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6a0aba8aaeeaa8aefccb507d89a3d070bf586f"/>
    <w:p>
      <w:pPr>
        <w:pStyle w:val="Heading1"/>
      </w:pPr>
      <w:r>
        <w:t xml:space="preserve">UDOFIN — Master Build Prompt for Claude Code</w:t>
      </w:r>
    </w:p>
    <w:p>
      <w:pPr>
        <w:pStyle w:val="FirstParagraph"/>
      </w:pPr>
      <w:r>
        <w:rPr>
          <w:bCs/>
          <w:b/>
        </w:rPr>
        <w:t xml:space="preserve">Borrower mobile app (Android and iOS) and web platform for a multi-lender Lending Service Provider (LSP): consent-based onboarding, KYC and credit-data orchestration, neutral offer comparison, KFS, eSign and eStamp, mandates and repayments, borrower servicing, grievance redressal with Equator, recovery support, notices and ADR access (attachable per lender), DLG management, and operations and partner-lender portals; from v1.2 also lender partnerships and per-deal configuration, borrower downloads and tax documents, financial-wellness add-ons, member and group lending, insurance distribution, plans and billing, and risk, supervisory access and data portability</w:t>
      </w:r>
    </w:p>
    <w:p>
      <w:pPr>
        <w:pStyle w:val="BodyText"/>
      </w:pPr>
      <w:r>
        <w:t xml:space="preserve">Version 1.2 · Revised 24 October 2026 (v1.2 adds Parts 7B–7H with settings and menu specifications for every new module, Phases 3c, 11b, 14b, 16c, 18c, 20b, 20c and 20d, Part 8A.17, Appendix E.4 and Appendix G; v1.1 was dated 19 October 2026) · regulatory baseline aligned with Finbyx Master Prompt v1.5, the Infrabyx Operations Hub Master Build Prompt v1.0 and the Infrabyx Ecosystem Integration Specification v1.1 (33 RBI Directions and 1 guidance note, plus the later RBI and non-RBI instruments in Part 8A.17) · Derived from the original Udofin prompt</w:t>
      </w:r>
    </w:p>
    <w:p>
      <w:r>
        <w:pict>
          <v:rect style="width:0;height:1.5pt" o:hralign="center" o:hrstd="t" o:hr="t"/>
        </w:pict>
      </w:r>
    </w:p>
    <w:bookmarkStart w:id="20" w:name="X8c5c62d5f0f9a9f59cf143059b1bc532bf8382d"/>
    <w:p>
      <w:pPr>
        <w:pStyle w:val="Heading2"/>
      </w:pPr>
      <w:r>
        <w:t xml:space="preserve">HOW TO USE THIS PROMPT (for the project owner — do not paste this box)</w:t>
      </w:r>
    </w:p>
    <w:p>
      <w:pPr>
        <w:numPr>
          <w:ilvl w:val="0"/>
          <w:numId w:val="1001"/>
        </w:numPr>
        <w:pStyle w:val="Compact"/>
      </w:pPr>
      <w:r>
        <w:rPr>
          <w:bCs/>
          <w:b/>
        </w:rPr>
        <w:t xml:space="preserve">Before Session 1:</w:t>
      </w:r>
      <w:r>
        <w:t xml:space="preserve"> </w:t>
      </w:r>
      <w:r>
        <w:t xml:space="preserve">Commit this entire file to the Udofin repository as</w:t>
      </w:r>
      <w:r>
        <w:t xml:space="preserve"> </w:t>
      </w:r>
      <w:r>
        <w:rPr>
          <w:rStyle w:val="VerbatimChar"/>
        </w:rPr>
        <w:t xml:space="preserve">docs/00-master-prompt.md</w:t>
      </w:r>
      <w:r>
        <w:t xml:space="preserve">. That means Parts 1–13 (including Parts 7A–7H), Appendices A–G and the Sources — everything below this box. Do not commit only Parts 1–13, because Phase 0 depends on the appendices.</w:t>
      </w:r>
    </w:p>
    <w:p>
      <w:pPr>
        <w:numPr>
          <w:ilvl w:val="0"/>
          <w:numId w:val="1001"/>
        </w:numPr>
        <w:pStyle w:val="Compact"/>
      </w:pPr>
      <w:r>
        <w:rPr>
          <w:bCs/>
          <w:b/>
        </w:rPr>
        <w:t xml:space="preserve">RBI source texts:</w:t>
      </w:r>
      <w:r>
        <w:t xml:space="preserve"> </w:t>
      </w:r>
      <w:r>
        <w:t xml:space="preserve">Commit the official RBI Direction PDFs (the same set supplied for Finbyx v1.3) to</w:t>
      </w:r>
      <w:r>
        <w:t xml:space="preserve"> </w:t>
      </w:r>
      <w:r>
        <w:rPr>
          <w:rStyle w:val="VerbatimChar"/>
        </w:rPr>
        <w:t xml:space="preserve">docs/regulations/rbi/</w:t>
      </w:r>
      <w:r>
        <w:t xml:space="preserve">. Part 8A cites them paragraph by paragraph, using the same requirement IDs as Finbyx so that the ecosystem keeps one register.</w:t>
      </w:r>
    </w:p>
    <w:p>
      <w:pPr>
        <w:numPr>
          <w:ilvl w:val="0"/>
          <w:numId w:val="1001"/>
        </w:numPr>
        <w:pStyle w:val="Compact"/>
      </w:pPr>
      <w:r>
        <w:rPr>
          <w:bCs/>
          <w:b/>
        </w:rPr>
        <w:t xml:space="preserve">Session 1:</w:t>
      </w:r>
      <w:r>
        <w:t xml:space="preserve"> </w:t>
      </w:r>
      <w:r>
        <w:t xml:space="preserve">Open Claude Code on the repository and type:</w:t>
      </w:r>
      <w:r>
        <w:t xml:space="preserve"> </w:t>
      </w:r>
      <w:r>
        <w:rPr>
          <w:iCs/>
          <w:i/>
        </w:rPr>
        <w:t xml:space="preserve">“</w:t>
      </w:r>
      <w:r>
        <w:rPr>
          <w:iCs/>
          <w:i/>
        </w:rPr>
        <w:t xml:space="preserve">Read docs/00-master-prompt.md in full, then execute Part 13 (Phase 0 only).</w:t>
      </w:r>
      <w:r>
        <w:rPr>
          <w:iCs/>
          <w:i/>
        </w:rPr>
        <w:t xml:space="preserve">”</w:t>
      </w:r>
      <w:r>
        <w:t xml:space="preserve"> </w:t>
      </w:r>
      <w:r>
        <w:t xml:space="preserve">Claude Code will audit and propose, then stop for your approval.</w:t>
      </w:r>
    </w:p>
    <w:p>
      <w:pPr>
        <w:numPr>
          <w:ilvl w:val="0"/>
          <w:numId w:val="1001"/>
        </w:numPr>
        <w:pStyle w:val="Compact"/>
      </w:pPr>
      <w:r>
        <w:rPr>
          <w:bCs/>
          <w:b/>
        </w:rPr>
        <w:t xml:space="preserve">After approval:</w:t>
      </w:r>
      <w:r>
        <w:t xml:space="preserve"> </w:t>
      </w:r>
      <w:r>
        <w:t xml:space="preserve">Claude Code commits</w:t>
      </w:r>
      <w:r>
        <w:t xml:space="preserve"> </w:t>
      </w:r>
      <w:r>
        <w:rPr>
          <w:rStyle w:val="VerbatimChar"/>
        </w:rPr>
        <w:t xml:space="preserve">CLAUDE.md</w:t>
      </w:r>
      <w:r>
        <w:t xml:space="preserve"> </w:t>
      </w:r>
      <w:r>
        <w:t xml:space="preserve">(Appendix A), which points every later session to the master prompt.</w:t>
      </w:r>
    </w:p>
    <w:p>
      <w:pPr>
        <w:numPr>
          <w:ilvl w:val="0"/>
          <w:numId w:val="1001"/>
        </w:numPr>
        <w:pStyle w:val="Compact"/>
      </w:pPr>
      <w:r>
        <w:rPr>
          <w:bCs/>
          <w:b/>
        </w:rPr>
        <w:t xml:space="preserve">Every later session:</w:t>
      </w:r>
      <w:r>
        <w:t xml:space="preserve"> </w:t>
      </w:r>
      <w:r>
        <w:t xml:space="preserve">Work one phase (or one sub-module) at a time. Copy the matching</w:t>
      </w:r>
      <w:r>
        <w:t xml:space="preserve"> </w:t>
      </w:r>
      <w:r>
        <w:t xml:space="preserve">“</w:t>
      </w:r>
      <w:r>
        <w:t xml:space="preserve">Instruction to Claude</w:t>
      </w:r>
      <w:r>
        <w:t xml:space="preserve">”</w:t>
      </w:r>
      <w:r>
        <w:t xml:space="preserve"> </w:t>
      </w:r>
      <w:r>
        <w:t xml:space="preserve">from Part 12 and follow the companion runbook</w:t>
      </w:r>
      <w:r>
        <w:t xml:space="preserve"> </w:t>
      </w:r>
      <w:r>
        <w:rPr>
          <w:rStyle w:val="VerbatimChar"/>
        </w:rPr>
        <w:t xml:space="preserve">docs/01-phase-runbook.md</w:t>
      </w:r>
      <w:r>
        <w:t xml:space="preserve">, which gives the session command, the checks to run and the exit criteria for each phase. Approve each specification before code is written.</w:t>
      </w:r>
    </w:p>
    <w:p>
      <w:pPr>
        <w:numPr>
          <w:ilvl w:val="0"/>
          <w:numId w:val="1001"/>
        </w:numPr>
        <w:pStyle w:val="Compact"/>
      </w:pPr>
      <w:r>
        <w:rPr>
          <w:bCs/>
          <w:b/>
        </w:rPr>
        <w:t xml:space="preserve">Items marked [VERIFY]</w:t>
      </w:r>
      <w:r>
        <w:t xml:space="preserve"> </w:t>
      </w:r>
      <w:r>
        <w:t xml:space="preserve">are regulatory, platform-policy or vendor facts that need re-checking against the primary source before the related module is built. Claude Code is instructed to do this check and record the result in the regulatory register.</w:t>
      </w:r>
    </w:p>
    <w:p>
      <w:pPr>
        <w:numPr>
          <w:ilvl w:val="0"/>
          <w:numId w:val="1001"/>
        </w:numPr>
        <w:pStyle w:val="Compact"/>
      </w:pPr>
      <w:r>
        <w:rPr>
          <w:bCs/>
          <w:b/>
        </w:rPr>
        <w:t xml:space="preserve">Data residency:</w:t>
      </w:r>
      <w:r>
        <w:t xml:space="preserve"> </w:t>
      </w:r>
      <w:r>
        <w:t xml:space="preserve">Railway has no India region. Use synthetic data only until India-region hosting is in place (Part 10). No real borrower, KYC or bureau data may touch a non-India environment.</w:t>
      </w:r>
    </w:p>
    <w:p>
      <w:pPr>
        <w:numPr>
          <w:ilvl w:val="0"/>
          <w:numId w:val="1001"/>
        </w:numPr>
        <w:pStyle w:val="Compact"/>
      </w:pPr>
      <w:r>
        <w:rPr>
          <w:bCs/>
          <w:b/>
        </w:rPr>
        <w:t xml:space="preserve">Your tasks, not Claude Code’s:</w:t>
      </w:r>
      <w:r>
        <w:t xml:space="preserve"> </w:t>
      </w:r>
      <w:r>
        <w:t xml:space="preserve">opening the Google Play Console and Apple Developer Program accounts (as an organisation, with D-U-N-S details), the Google Play India personal-loan declaration, app-signing keys, and all live provider contracts and credentials (KYC, bureau, eSign, eStamp, depositories, payment gateways, mandates, messaging). Claude Code builds mock and sandbox adapters first and prepares store listings, privacy labels and data-safety forms for your review.</w:t>
      </w:r>
    </w:p>
    <w:p>
      <w:pPr>
        <w:numPr>
          <w:ilvl w:val="0"/>
          <w:numId w:val="1001"/>
        </w:numPr>
        <w:pStyle w:val="Compact"/>
      </w:pPr>
      <w:r>
        <w:rPr>
          <w:bCs/>
          <w:b/>
        </w:rPr>
        <w:t xml:space="preserve">Ecosystem contract:</w:t>
      </w:r>
      <w:r>
        <w:t xml:space="preserve"> </w:t>
      </w:r>
      <w:r>
        <w:t xml:space="preserve">the Infrabyx Ecosystem Integration Specification v1.1 is the single source for events, APIs, data ownership and connectors. Commit it unchanged to</w:t>
      </w:r>
      <w:r>
        <w:t xml:space="preserve"> </w:t>
      </w:r>
      <w:r>
        <w:rPr>
          <w:rStyle w:val="VerbatimChar"/>
        </w:rPr>
        <w:t xml:space="preserve">docs/ecosystem/infrabyx-integration-spec.md</w:t>
      </w:r>
      <w:r>
        <w:t xml:space="preserve">, and a copy of the Finbyx master prompt (v1.5) and of the Infrabyx Operations Hub master prompt (v1.0, to</w:t>
      </w:r>
      <w:r>
        <w:t xml:space="preserve"> </w:t>
      </w:r>
      <w:r>
        <w:rPr>
          <w:rStyle w:val="VerbatimChar"/>
        </w:rPr>
        <w:t xml:space="preserve">docs/ecosystem/operations-hub-master-prompt.md</w:t>
      </w:r>
      <w:r>
        <w:t xml:space="preserve">) to</w:t>
      </w:r>
      <w:r>
        <w:t xml:space="preserve"> </w:t>
      </w:r>
      <w:r>
        <w:rPr>
          <w:rStyle w:val="VerbatimChar"/>
        </w:rPr>
        <w:t xml:space="preserve">docs/ecosystem/finbyx-master-prompt.md</w:t>
      </w:r>
      <w:r>
        <w:t xml:space="preserve">. Part 5 summarises the specification for Udofin. Change the contract only through a versioned change agreed in every affected repository.</w:t>
      </w:r>
    </w:p>
    <w:p>
      <w:pPr>
        <w:numPr>
          <w:ilvl w:val="0"/>
          <w:numId w:val="1001"/>
        </w:numPr>
        <w:pStyle w:val="Compact"/>
      </w:pPr>
      <w:r>
        <w:rPr>
          <w:bCs/>
          <w:b/>
        </w:rPr>
        <w:t xml:space="preserve">Version 1.1 additions (19 October 2026):</w:t>
      </w:r>
      <w:r>
        <w:t xml:space="preserve"> </w:t>
      </w:r>
      <w:r>
        <w:t xml:space="preserve">Part 7A (recovery support, notices and ADR access; attachable per lender), Part 6.4–6.5 (product-wise origination workflows and the Loan Against Securities journey), proposed Products 11–15, and Phases 12b, 16b and 18b. Appendix E.3 lists every change from v1.0.</w:t>
      </w:r>
    </w:p>
    <w:p>
      <w:pPr>
        <w:numPr>
          <w:ilvl w:val="0"/>
          <w:numId w:val="1001"/>
        </w:numPr>
        <w:pStyle w:val="Compact"/>
      </w:pPr>
      <w:r>
        <w:rPr>
          <w:bCs/>
          <w:b/>
        </w:rPr>
        <w:t xml:space="preserve">Version 1.2 additions (24 October 2026):</w:t>
      </w:r>
      <w:r>
        <w:t xml:space="preserve"> </w:t>
      </w:r>
      <w:r>
        <w:t xml:space="preserve">Parts 7B–7H (lender partnerships and deal configuration; borrower downloads, tax documents and grievance escalation; financial-wellness add-ons; member and group lending for credit co-operative societies and microfinance; the extensible product framework and insurance distribution; plans, revenue streams and billing; risk function, supervisory access, data portability, engineering operations and voice adapters), Phases 3c, 11b, 14b, 16c, 18c, 20b, 20c and 20d, Part 8A.17 (later RBI and non-RBI sources and the v1.2 [VERIFY] register), Appendix E.4 and Appendix G (navigation, menus, screens and settings map for every channel). Each module in Parts 7B–7H has</w:t>
      </w:r>
      <w:r>
        <w:t xml:space="preserve"> </w:t>
      </w:r>
      <w:r>
        <w:rPr>
          <w:rStyle w:val="VerbatimChar"/>
        </w:rPr>
        <w:t xml:space="preserve">Settings and options</w:t>
      </w:r>
      <w:r>
        <w:t xml:space="preserve"> </w:t>
      </w:r>
      <w:r>
        <w:t xml:space="preserve">and</w:t>
      </w:r>
      <w:r>
        <w:t xml:space="preserve"> </w:t>
      </w:r>
      <w:r>
        <w:rPr>
          <w:rStyle w:val="VerbatimChar"/>
        </w:rPr>
        <w:t xml:space="preserve">Menu and screens</w:t>
      </w:r>
      <w:r>
        <w:t xml:space="preserve"> </w:t>
      </w:r>
      <w:r>
        <w:t xml:space="preserve">subsections; Phase 0 turns them into the Appendix G map for your approval. Commit the official texts of the instruments listed in Part 8A.17 to</w:t>
      </w:r>
      <w:r>
        <w:t xml:space="preserve"> </w:t>
      </w:r>
      <w:r>
        <w:rPr>
          <w:rStyle w:val="VerbatimChar"/>
        </w:rPr>
        <w:t xml:space="preserve">docs/regulations/</w:t>
      </w:r>
      <w:r>
        <w:t xml:space="preserve"> </w:t>
      </w:r>
      <w:r>
        <w:t xml:space="preserve">(RBI texts in</w:t>
      </w:r>
      <w:r>
        <w:t xml:space="preserve"> </w:t>
      </w:r>
      <w:r>
        <w:rPr>
          <w:rStyle w:val="VerbatimChar"/>
        </w:rPr>
        <w:t xml:space="preserve">rbi/</w:t>
      </w:r>
      <w:r>
        <w:t xml:space="preserve">, others in</w:t>
      </w:r>
      <w:r>
        <w:t xml:space="preserve"> </w:t>
      </w:r>
      <w:r>
        <w:rPr>
          <w:rStyle w:val="VerbatimChar"/>
        </w:rPr>
        <w:t xml:space="preserve">other/</w:t>
      </w:r>
      <w:r>
        <w:t xml:space="preserve">) as you obtain them. Wellness add-ons, paid borrower plans, advertising and insurance stay switched off until the owner decisions in Appendix B items 26–30 are recorded.</w:t>
      </w:r>
    </w:p>
    <w:p>
      <w:pPr>
        <w:numPr>
          <w:ilvl w:val="0"/>
          <w:numId w:val="1001"/>
        </w:numPr>
        <w:pStyle w:val="Compact"/>
      </w:pPr>
      <w:r>
        <w:rPr>
          <w:bCs/>
          <w:b/>
        </w:rPr>
        <w:t xml:space="preserve">Companion prompt:</w:t>
      </w:r>
      <w:r>
        <w:t xml:space="preserve"> </w:t>
      </w:r>
      <w:r>
        <w:t xml:space="preserve">the Infrabyx Operations Hub — Master Build Prompt v1.0 (product code</w:t>
      </w:r>
      <w:r>
        <w:t xml:space="preserve"> </w:t>
      </w:r>
      <w:r>
        <w:rPr>
          <w:rStyle w:val="VerbatimChar"/>
        </w:rPr>
        <w:t xml:space="preserve">OH</w:t>
      </w:r>
      <w:r>
        <w:t xml:space="preserve">) builds the group’s internal operations platform in its own repository: CRM, client onboarding, support desk, customer success, marketing, the central revenue catalogue and RE invoicing, the professional directory, Infrabyx staff HRMS, workplace integration and the engineering-operations and certification console. It is not Udofin’s super-admin console. Udofin connects to it only through the Integration Specification v1.1 and never sends it borrower, loan, consent or wellness data (Part 2).</w:t>
      </w:r>
    </w:p>
    <w:p>
      <w:r>
        <w:pict>
          <v:rect style="width:0;height:1.5pt" o:hralign="center" o:hrstd="t" o:hr="t"/>
        </w:pict>
      </w:r>
    </w:p>
    <w:bookmarkEnd w:id="20"/>
    <w:bookmarkEnd w:id="21"/>
    <w:bookmarkStart w:id="22" w:name="part-1-role-and-working-agreement"/>
    <w:p>
      <w:pPr>
        <w:pStyle w:val="Heading1"/>
      </w:pPr>
      <w:r>
        <w:t xml:space="preserve">PART 1 — ROLE AND WORKING AGREEMENT</w:t>
      </w:r>
    </w:p>
    <w:p>
      <w:pPr>
        <w:pStyle w:val="FirstParagraph"/>
      </w:pPr>
      <w:r>
        <w:t xml:space="preserve">Act as the Lead Software Architect, Senior Full-Stack Engineer, Mobile Application Engineer (Android and iOS), Web and PWA Engineer, Digital-Lending Domain Architect, Database Architect, Security Engineer, QA Lead and Technical Product Partner for the development of</w:t>
      </w:r>
      <w:r>
        <w:t xml:space="preserve"> </w:t>
      </w:r>
      <w:r>
        <w:rPr>
          <w:bCs/>
          <w:b/>
        </w:rPr>
        <w:t xml:space="preserve">Udofin</w:t>
      </w:r>
      <w:r>
        <w:t xml:space="preserve">.</w:t>
      </w:r>
    </w:p>
    <w:p>
      <w:pPr>
        <w:pStyle w:val="BodyText"/>
      </w:pPr>
      <w:r>
        <w:t xml:space="preserve">I am the project owner and product manager. I will set business objectives, approve product decisions and give instructions module by module. You will turn those instructions into architecture, specifications, code, tests and implementation documentation.</w:t>
      </w:r>
    </w:p>
    <w:p>
      <w:pPr>
        <w:pStyle w:val="BodyText"/>
      </w:pPr>
      <w:r>
        <w:t xml:space="preserve">Do not behave merely as a code generator.</w:t>
      </w:r>
    </w:p>
    <w:p>
      <w:pPr>
        <w:numPr>
          <w:ilvl w:val="0"/>
          <w:numId w:val="1002"/>
        </w:numPr>
        <w:pStyle w:val="Compact"/>
      </w:pPr>
      <w:r>
        <w:t xml:space="preserve">Challenge incorrect assumptions, including mine. The original Udofin prompt contained several (Appendix E); expect more.</w:t>
      </w:r>
    </w:p>
    <w:p>
      <w:pPr>
        <w:numPr>
          <w:ilvl w:val="0"/>
          <w:numId w:val="1002"/>
        </w:numPr>
        <w:pStyle w:val="Compact"/>
      </w:pPr>
      <w:r>
        <w:t xml:space="preserve">Identify regulatory, conduct, privacy, financial-integrity and security risks before they are built in.</w:t>
      </w:r>
    </w:p>
    <w:p>
      <w:pPr>
        <w:numPr>
          <w:ilvl w:val="0"/>
          <w:numId w:val="1002"/>
        </w:numPr>
        <w:pStyle w:val="Compact"/>
      </w:pPr>
      <w:r>
        <w:t xml:space="preserve">Recommend better alternatives and explain material trade-offs before implementation.</w:t>
      </w:r>
    </w:p>
    <w:p>
      <w:pPr>
        <w:numPr>
          <w:ilvl w:val="0"/>
          <w:numId w:val="1002"/>
        </w:numPr>
        <w:pStyle w:val="Compact"/>
      </w:pPr>
      <w:r>
        <w:t xml:space="preserve">Do not agree with my proposals automatically. If a requested feature is impractical, insecure, legally questionable, commercially unviable, blocked by app-store policy or unnecessarily expensive, say why and propose a better approach.</w:t>
      </w:r>
    </w:p>
    <w:p>
      <w:pPr>
        <w:numPr>
          <w:ilvl w:val="0"/>
          <w:numId w:val="1002"/>
        </w:numPr>
        <w:pStyle w:val="Compact"/>
      </w:pPr>
      <w:r>
        <w:t xml:space="preserve">Remember throughout that</w:t>
      </w:r>
      <w:r>
        <w:t xml:space="preserve"> </w:t>
      </w:r>
      <w:r>
        <w:rPr>
          <w:bCs/>
          <w:b/>
        </w:rPr>
        <w:t xml:space="preserve">Udofin is an LSP, not a lender</w:t>
      </w:r>
      <w:r>
        <w:t xml:space="preserve"> </w:t>
      </w:r>
      <w:r>
        <w:t xml:space="preserve">(Part 4). Never design a screen, message, data model or API that implies Udofin lends, decides credit, owns the loan or holds borrower money.</w:t>
      </w:r>
    </w:p>
    <w:p>
      <w:pPr>
        <w:numPr>
          <w:ilvl w:val="0"/>
          <w:numId w:val="1002"/>
        </w:numPr>
        <w:pStyle w:val="Compact"/>
      </w:pPr>
      <w:r>
        <w:t xml:space="preserve">Ask as many questions as you need, but group them and ask only material ones. Where a sensible default exists, state the default and proceed after approval.</w:t>
      </w:r>
    </w:p>
    <w:p>
      <w:pPr>
        <w:numPr>
          <w:ilvl w:val="0"/>
          <w:numId w:val="1002"/>
        </w:numPr>
        <w:pStyle w:val="Compact"/>
      </w:pPr>
      <w:r>
        <w:t xml:space="preserve">Explain the logic in plain English before you write code. Break every change into small, reviewable commits on a feature branch (Part 11). Never claim a test passed unless it was run and its result is available.</w:t>
      </w:r>
    </w:p>
    <w:p>
      <w:r>
        <w:pict>
          <v:rect style="width:0;height:1.5pt" o:hralign="center" o:hrstd="t" o:hr="t"/>
        </w:pict>
      </w:r>
    </w:p>
    <w:bookmarkEnd w:id="22"/>
    <w:bookmarkStart w:id="23" w:name="X8927de602ca6b3d3edaa4469a42729ac6176126"/>
    <w:p>
      <w:pPr>
        <w:pStyle w:val="Heading1"/>
      </w:pPr>
      <w:r>
        <w:t xml:space="preserve">PART 2 — THE INFRABYX PRODUCT ECOSYSTEM AND UDOFIN’S PLACE IN IT</w:t>
      </w:r>
    </w:p>
    <w:p>
      <w:pPr>
        <w:pStyle w:val="FirstParagraph"/>
      </w:pPr>
      <w:r>
        <w:t xml:space="preserve">We are building four related products in the finance-cum-legal domain, supported from v1.2 by the group’s internal Infrabyx Operations Hub. Each product has its own database, deployment and release cycle. They share approved services and data only through well-defined, versioned interfaces, never through access to each other’s tables.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27"/>
        <w:gridCol w:w="4007"/>
        <w:gridCol w:w="4004"/>
      </w:tblGrid>
      <w:tr>
        <w:trPr>
          <w:tblHeader w:val="true"/>
          <w:tblHeader w:val="true"/>
        </w:trPr>
        <w:tc>
          <w:tcPr>
            <w:tcW w:w="1627" w:type="dxa"/>
            <w:shd w:val="clear" w:color="auto" w:fill="1F3A5F"/>
          </w:tcPr>
          <w:p>
            <w:pPr>
              <w:pStyle w:val="Compact"/>
              <w:spacing w:after="40"/>
              <w:jc w:val="left"/>
            </w:pPr>
            <w:r>
              <w:rPr>
                <w:b/>
                <w:color w:val="FFFFFF"/>
                <w:sz w:val="18"/>
              </w:rPr>
              <w:t xml:space="preserve">Product</w:t>
            </w:r>
          </w:p>
        </w:tc>
        <w:tc>
          <w:tcPr>
            <w:tcW w:w="4007" w:type="dxa"/>
            <w:shd w:val="clear" w:color="auto" w:fill="1F3A5F"/>
          </w:tcPr>
          <w:p>
            <w:pPr>
              <w:pStyle w:val="Compact"/>
              <w:spacing w:after="40"/>
              <w:jc w:val="left"/>
            </w:pPr>
            <w:r>
              <w:rPr>
                <w:b/>
                <w:color w:val="FFFFFF"/>
                <w:sz w:val="18"/>
              </w:rPr>
              <w:t xml:space="preserve">Role</w:t>
            </w:r>
          </w:p>
        </w:tc>
        <w:tc>
          <w:tcPr>
            <w:tcW w:w="4004" w:type="dxa"/>
            <w:shd w:val="clear" w:color="auto" w:fill="1F3A5F"/>
          </w:tcPr>
          <w:p>
            <w:pPr>
              <w:pStyle w:val="Compact"/>
              <w:spacing w:after="40"/>
              <w:jc w:val="left"/>
            </w:pPr>
            <w:r>
              <w:rPr>
                <w:b/>
                <w:color w:val="FFFFFF"/>
                <w:sz w:val="18"/>
              </w:rPr>
              <w:t xml:space="preserve">Relationship with Udofin</w:t>
            </w:r>
          </w:p>
        </w:tc>
      </w:tr>
      <w:tr>
        <w:tc>
          <w:tcPr>
            <w:tcW w:w="1627" w:type="dxa"/>
          </w:tcPr>
          <w:p>
            <w:pPr>
              <w:pStyle w:val="Compact"/>
              <w:spacing w:after="40"/>
              <w:jc w:val="left"/>
            </w:pPr>
            <w:r>
              <w:rPr>
                <w:bCs/>
                <w:b/>
                <w:sz w:val="18"/>
              </w:rPr>
              <w:t xml:space="preserve">Udofin</w:t>
            </w:r>
            <w:r>
              <w:rPr>
                <w:sz w:val="18"/>
              </w:rPr>
              <w:t xml:space="preserve"> </w:t>
            </w:r>
            <w:r>
              <w:rPr>
                <w:sz w:val="18"/>
              </w:rPr>
              <w:t xml:space="preserve">(www.udofin.com) —</w:t>
            </w:r>
            <w:r>
              <w:rPr>
                <w:sz w:val="18"/>
              </w:rPr>
              <w:t xml:space="preserve"> </w:t>
            </w:r>
            <w:r>
              <w:rPr>
                <w:iCs/>
                <w:i/>
                <w:sz w:val="18"/>
              </w:rPr>
              <w:t xml:space="preserve">this build</w:t>
            </w:r>
          </w:p>
        </w:tc>
        <w:tc>
          <w:tcPr>
            <w:tcW w:w="4007" w:type="dxa"/>
          </w:tcPr>
          <w:p>
            <w:pPr>
              <w:pStyle w:val="Compact"/>
              <w:spacing w:after="40"/>
              <w:jc w:val="left"/>
            </w:pPr>
            <w:r>
              <w:rPr>
                <w:sz w:val="18"/>
              </w:rPr>
              <w:t xml:space="preserve">Borrower-facing digital lending platform operated by an LSP: Android and iOS apps, borrower web app, operations portal, partner-lender portal and optional field app. Serves several partner regulated entities (REs) at once.</w:t>
            </w:r>
          </w:p>
        </w:tc>
        <w:tc>
          <w:tcPr>
            <w:tcW w:w="4004" w:type="dxa"/>
          </w:tcPr>
          <w:p>
            <w:pPr>
              <w:pStyle w:val="Compact"/>
              <w:spacing w:after="40"/>
              <w:jc w:val="left"/>
            </w:pPr>
            <w:r>
              <w:rPr>
                <w:sz w:val="18"/>
              </w:rPr>
              <w:t xml:space="preserve">System of record for the borrower’s journey on Udofin, Udofin’s consents and evidence, its LSP-side records, its own accounts and the DLG it provides. Never the system of record for a loan.</w:t>
            </w:r>
          </w:p>
        </w:tc>
      </w:tr>
      <w:tr>
        <w:tc>
          <w:tcPr>
            <w:tcW w:w="1627" w:type="dxa"/>
          </w:tcPr>
          <w:p>
            <w:pPr>
              <w:pStyle w:val="Compact"/>
              <w:spacing w:after="40"/>
              <w:jc w:val="left"/>
            </w:pPr>
            <w:r>
              <w:rPr>
                <w:bCs/>
                <w:b/>
                <w:sz w:val="18"/>
              </w:rPr>
              <w:t xml:space="preserve">Finbyx</w:t>
            </w:r>
            <w:r>
              <w:rPr>
                <w:sz w:val="18"/>
              </w:rPr>
              <w:t xml:space="preserve"> </w:t>
            </w:r>
            <w:r>
              <w:rPr>
                <w:sz w:val="18"/>
              </w:rPr>
              <w:t xml:space="preserve">(www.finbyx.com)</w:t>
            </w:r>
          </w:p>
        </w:tc>
        <w:tc>
          <w:tcPr>
            <w:tcW w:w="4007" w:type="dxa"/>
          </w:tcPr>
          <w:p>
            <w:pPr>
              <w:pStyle w:val="Compact"/>
              <w:spacing w:after="40"/>
              <w:jc w:val="left"/>
            </w:pPr>
            <w:r>
              <w:rPr>
                <w:sz w:val="18"/>
              </w:rPr>
              <w:t xml:space="preserve">Web-based LOS + LMS + accounting + collections + risk + regulatory reporting for NBFCs, HFCs, UCBs and banks. Staff-operated.</w:t>
            </w:r>
          </w:p>
        </w:tc>
        <w:tc>
          <w:tcPr>
            <w:tcW w:w="4004" w:type="dxa"/>
          </w:tcPr>
          <w:p>
            <w:pPr>
              <w:pStyle w:val="Compact"/>
              <w:spacing w:after="40"/>
              <w:jc w:val="left"/>
            </w:pPr>
            <w:r>
              <w:rPr>
                <w:sz w:val="18"/>
              </w:rPr>
              <w:t xml:space="preserve">First certified lender connector (Part 5). Where an RE uses Finbyx, Finbyx takes and records the RE’s regulated decisions and feeds Udofin’s loan mirror. Udofin must not depend on Finbyx: other REs connect their own LOS/LMS or use the Udofin lender portal.</w:t>
            </w:r>
          </w:p>
        </w:tc>
      </w:tr>
      <w:tr>
        <w:tc>
          <w:tcPr>
            <w:tcW w:w="1627" w:type="dxa"/>
          </w:tcPr>
          <w:p>
            <w:pPr>
              <w:pStyle w:val="Compact"/>
              <w:spacing w:after="40"/>
              <w:jc w:val="left"/>
            </w:pPr>
            <w:r>
              <w:rPr>
                <w:bCs/>
                <w:b/>
                <w:sz w:val="18"/>
              </w:rPr>
              <w:t xml:space="preserve">LawDocsComply</w:t>
            </w:r>
            <w:r>
              <w:rPr>
                <w:sz w:val="18"/>
              </w:rPr>
              <w:t xml:space="preserve"> </w:t>
            </w:r>
            <w:r>
              <w:rPr>
                <w:sz w:val="18"/>
              </w:rPr>
              <w:t xml:space="preserve">(www.lawdocscomply.com)</w:t>
            </w:r>
          </w:p>
        </w:tc>
        <w:tc>
          <w:tcPr>
            <w:tcW w:w="4007" w:type="dxa"/>
          </w:tcPr>
          <w:p>
            <w:pPr>
              <w:pStyle w:val="Compact"/>
              <w:spacing w:after="40"/>
              <w:jc w:val="left"/>
            </w:pPr>
            <w:r>
              <w:rPr>
                <w:sz w:val="18"/>
              </w:rPr>
              <w:t xml:space="preserve">Governance, risk and compliance (GRC) platform for entities regulated by RBI, SEBI and IFSCA.</w:t>
            </w:r>
          </w:p>
        </w:tc>
        <w:tc>
          <w:tcPr>
            <w:tcW w:w="4004" w:type="dxa"/>
          </w:tcPr>
          <w:p>
            <w:pPr>
              <w:pStyle w:val="Compact"/>
              <w:spacing w:after="40"/>
              <w:jc w:val="left"/>
            </w:pPr>
            <w:r>
              <w:rPr>
                <w:sz w:val="18"/>
              </w:rPr>
              <w:t xml:space="preserve">Receives Udofin’s control evidence (consent logs, DLA register, permission manifests, DLG disclosures, incident reports, grievance statistics) for the RE and for Udofin’s own compliance.</w:t>
            </w:r>
          </w:p>
        </w:tc>
      </w:tr>
      <w:tr>
        <w:tc>
          <w:tcPr>
            <w:tcW w:w="1627" w:type="dxa"/>
          </w:tcPr>
          <w:p>
            <w:pPr>
              <w:pStyle w:val="Compact"/>
              <w:spacing w:after="40"/>
              <w:jc w:val="left"/>
            </w:pPr>
            <w:r>
              <w:rPr>
                <w:bCs/>
                <w:b/>
                <w:sz w:val="18"/>
              </w:rPr>
              <w:t xml:space="preserve">Equator Resolution</w:t>
            </w:r>
            <w:r>
              <w:rPr>
                <w:sz w:val="18"/>
              </w:rPr>
              <w:t xml:space="preserve"> </w:t>
            </w:r>
            <w:r>
              <w:rPr>
                <w:sz w:val="18"/>
              </w:rPr>
              <w:t xml:space="preserve">(www.equator.in)</w:t>
            </w:r>
          </w:p>
        </w:tc>
        <w:tc>
          <w:tcPr>
            <w:tcW w:w="4007" w:type="dxa"/>
          </w:tcPr>
          <w:p>
            <w:pPr>
              <w:pStyle w:val="Compact"/>
              <w:spacing w:after="40"/>
              <w:jc w:val="left"/>
            </w:pPr>
            <w:r>
              <w:rPr>
                <w:sz w:val="18"/>
              </w:rPr>
              <w:t xml:space="preserve">Online dispute resolution (ODR): mediation, conciliation and arbitration.</w:t>
            </w:r>
          </w:p>
        </w:tc>
        <w:tc>
          <w:tcPr>
            <w:tcW w:w="4004" w:type="dxa"/>
          </w:tcPr>
          <w:p>
            <w:pPr>
              <w:pStyle w:val="Compact"/>
              <w:spacing w:after="40"/>
              <w:jc w:val="left"/>
            </w:pPr>
            <w:r>
              <w:rPr>
                <w:sz w:val="18"/>
              </w:rPr>
              <w:t xml:space="preserve">Receives grievances that remain unresolved after the RE’s process, where legally, contractually and procedurally appropriate. Cases reach Equator only by the RE’s referral, under a pre-named institution clause or the borrower’s written post-dispute consent, never by Udofin. The borrower reaches Equator from inside the Udofin app or web, with no separate app (Part 7A UR2).</w:t>
            </w:r>
          </w:p>
        </w:tc>
      </w:tr>
      <w:tr>
        <w:tc>
          <w:tcPr>
            <w:tcW w:w="1627" w:type="dxa"/>
          </w:tcPr>
          <w:p>
            <w:pPr>
              <w:pStyle w:val="Compact"/>
              <w:spacing w:after="40"/>
              <w:jc w:val="left"/>
            </w:pPr>
            <w:r>
              <w:rPr>
                <w:bCs/>
                <w:b/>
                <w:sz w:val="18"/>
              </w:rPr>
              <w:t xml:space="preserve">Infrabyx Operations Hub</w:t>
            </w:r>
            <w:r>
              <w:rPr>
                <w:sz w:val="18"/>
              </w:rPr>
              <w:t xml:space="preserve"> </w:t>
            </w:r>
            <w:r>
              <w:rPr>
                <w:sz w:val="18"/>
              </w:rPr>
              <w:t xml:space="preserve">(internal platform; product code</w:t>
            </w:r>
            <w:r>
              <w:rPr>
                <w:sz w:val="18"/>
              </w:rPr>
              <w:t xml:space="preserve"> </w:t>
            </w:r>
            <w:r>
              <w:rPr>
                <w:rStyle w:val="VerbatimChar"/>
                <w:sz w:val="18"/>
              </w:rPr>
              <w:t xml:space="preserve">OH</w:t>
            </w:r>
            <w:r>
              <w:rPr>
                <w:sz w:val="18"/>
              </w:rPr>
              <w:t xml:space="preserve">; v1.2)</w:t>
            </w:r>
          </w:p>
        </w:tc>
        <w:tc>
          <w:tcPr>
            <w:tcW w:w="4007" w:type="dxa"/>
          </w:tcPr>
          <w:p>
            <w:pPr>
              <w:pStyle w:val="Compact"/>
              <w:spacing w:after="40"/>
              <w:jc w:val="left"/>
            </w:pPr>
            <w:r>
              <w:rPr>
                <w:sz w:val="18"/>
              </w:rPr>
              <w:t xml:space="preserve">The group’s internal operations platform: CRM, client onboarding and delivery, support desk and vendor-side tickets, customer success, marketing and PR, the central revenue catalogue, plans and RE invoicing (OH8), the professional and advocate directory, Infrabyx staff HRMS, internal controls, workplace integration, and the engineering-operations console and certification control library. A separate app and repository; never Udofin’s super-admin console.</w:t>
            </w:r>
          </w:p>
        </w:tc>
        <w:tc>
          <w:tcPr>
            <w:tcW w:w="4004" w:type="dxa"/>
          </w:tcPr>
          <w:p>
            <w:pPr>
              <w:pStyle w:val="Compact"/>
              <w:spacing w:after="40"/>
              <w:jc w:val="left"/>
            </w:pPr>
            <w:r>
              <w:rPr>
                <w:sz w:val="18"/>
              </w:rPr>
              <w:t xml:space="preserve">Publishes the plan catalogue Udofin consumes and invoices REs; receives from Udofin only monthly</w:t>
            </w:r>
            <w:r>
              <w:rPr>
                <w:sz w:val="18"/>
              </w:rPr>
              <w:t xml:space="preserve"> </w:t>
            </w:r>
            <w:r>
              <w:rPr>
                <w:rStyle w:val="VerbatimChar"/>
                <w:sz w:val="18"/>
              </w:rPr>
              <w:t xml:space="preserve">UsageRecorded</w:t>
            </w:r>
            <w:r>
              <w:rPr>
                <w:sz w:val="18"/>
              </w:rPr>
              <w:t xml:space="preserve"> </w:t>
            </w:r>
            <w:r>
              <w:rPr>
                <w:sz w:val="18"/>
              </w:rPr>
              <w:t xml:space="preserve">statements (</w:t>
            </w:r>
            <w:r>
              <w:rPr>
                <w:rStyle w:val="VerbatimChar"/>
                <w:sz w:val="18"/>
              </w:rPr>
              <w:t xml:space="preserve">meter_kind</w:t>
            </w:r>
            <w:r>
              <w:rPr>
                <w:sz w:val="18"/>
              </w:rPr>
              <w:t xml:space="preserve"> </w:t>
            </w:r>
            <w:r>
              <w:rPr>
                <w:sz w:val="18"/>
              </w:rPr>
              <w:t xml:space="preserve">USAGE for RE meters; REVENUE_AGGREGATE for borrower-plan revenue, with no subscriber key), counts from external-access and portability events, and release, change and control evidence (Part 7G RV1, Part 7H RA4). Receives no borrower, loan, consent or wellness data.</w:t>
            </w:r>
          </w:p>
        </w:tc>
      </w:tr>
    </w:tbl>
    <w:p>
      <w:pPr>
        <w:pStyle w:val="BodyText"/>
      </w:pPr>
      <w:r>
        <w:rPr>
          <w:bCs/>
          <w:b/>
        </w:rPr>
        <w:t xml:space="preserve">Core difference between Udofin and Finbyx (keep this in every design decision):</w:t>
      </w:r>
    </w:p>
    <w:p>
      <w:pPr>
        <w:numPr>
          <w:ilvl w:val="0"/>
          <w:numId w:val="1003"/>
        </w:numPr>
        <w:pStyle w:val="Compact"/>
      </w:pPr>
      <w:r>
        <w:rPr>
          <w:bCs/>
          <w:b/>
        </w:rPr>
        <w:t xml:space="preserve">Udofin is borrower-led.</w:t>
      </w:r>
      <w:r>
        <w:t xml:space="preserve"> </w:t>
      </w:r>
      <w:r>
        <w:t xml:space="preserve">The customer starts on a phone or browser, registers with a mobile number, gives purpose-specific consents, completes KYC steps through authorised channels, sees matching offers from several lenders side by side, accepts a KFS, eSigns and eStamps, sets up a mandate, and then services the loan in the same app.</w:t>
      </w:r>
    </w:p>
    <w:p>
      <w:pPr>
        <w:numPr>
          <w:ilvl w:val="0"/>
          <w:numId w:val="1003"/>
        </w:numPr>
        <w:pStyle w:val="Compact"/>
      </w:pPr>
      <w:r>
        <w:rPr>
          <w:bCs/>
          <w:b/>
        </w:rPr>
        <w:t xml:space="preserve">Finbyx is lender-led.</w:t>
      </w:r>
      <w:r>
        <w:t xml:space="preserve"> </w:t>
      </w:r>
      <w:r>
        <w:t xml:space="preserve">Branch staff, relationship managers, field officers and DSAs capture applications for one lender.</w:t>
      </w:r>
    </w:p>
    <w:p>
      <w:pPr>
        <w:numPr>
          <w:ilvl w:val="0"/>
          <w:numId w:val="1003"/>
        </w:numPr>
        <w:pStyle w:val="Compact"/>
      </w:pPr>
      <w:r>
        <w:rPr>
          <w:bCs/>
          <w:b/>
        </w:rPr>
        <w:t xml:space="preserve">The RE decides; Udofin facilitates.</w:t>
      </w:r>
      <w:r>
        <w:t xml:space="preserve"> </w:t>
      </w:r>
      <w:r>
        <w:t xml:space="preserve">KYC compliance decision, credit decision, pricing, sanction, KFS, disbursement, asset classification, CIC reporting, recovery policy and grievance-redressal ownership stay with the RE (Part 4.2). Udofin carries data and evidence to the RE and presents the RE’s outputs to the borrower.</w:t>
      </w:r>
    </w:p>
    <w:p>
      <w:pPr>
        <w:pStyle w:val="FirstParagraph"/>
      </w:pPr>
      <w:r>
        <w:rPr>
          <w:bCs/>
          <w:b/>
        </w:rPr>
        <w:t xml:space="preserve">Shared services only through interfaces.</w:t>
      </w:r>
      <w:r>
        <w:t xml:space="preserve"> </w:t>
      </w:r>
      <w:r>
        <w:t xml:space="preserve">Ecosystem single sign-on (one Infrabyx OIDC identity) is optional and only for staff who need several products; authorisation stays per product. Borrower identities are not shared across products without the borrower’s consent.</w:t>
      </w:r>
    </w:p>
    <w:p>
      <w:pPr>
        <w:pStyle w:val="BodyText"/>
      </w:pPr>
      <w:r>
        <w:rPr>
          <w:bCs/>
          <w:b/>
        </w:rPr>
        <w:t xml:space="preserve">Group boundaries (v1.2).</w:t>
      </w:r>
      <w:r>
        <w:t xml:space="preserve"> </w:t>
      </w:r>
      <w:r>
        <w:t xml:space="preserve">Every cross-product flow is purpose-bound and runs through the Integration Specification v1.1. (1) LawDocsComply receives Udofin risk and compliance data only as aggregates and HMAC pseudonyms keyed in the tenant’s KMS, never raw PII (Part 7H RA1.7). (2) Equator receives a case only on the RE’s referral (Part 7A UR2); Equator staff hold no Udofin role, which protects its neutrality. (3) Infrabyx staff who work in Udofin hold Udofin roles granted under U23 with maker-checker; a Hub role or another product’s role grants nothing in Udofin. (4)</w:t>
      </w:r>
      <w:r>
        <w:t xml:space="preserve"> </w:t>
      </w:r>
      <w:r>
        <w:rPr>
          <w:bCs/>
          <w:b/>
        </w:rPr>
        <w:t xml:space="preserve">Udofin bills its own borrower plans</w:t>
      </w:r>
      <w:r>
        <w:t xml:space="preserve"> </w:t>
      </w:r>
      <w:r>
        <w:t xml:space="preserve">(if launched; Part 7D, Part 7G RV2.4) through its own billing service on its own Razorpay account; the Operations Hub owns the group catalogue and RE invoicing and receives borrower-plan revenue only as monthly</w:t>
      </w:r>
      <w:r>
        <w:t xml:space="preserve"> </w:t>
      </w:r>
      <w:r>
        <w:rPr>
          <w:rStyle w:val="VerbatimChar"/>
        </w:rPr>
        <w:t xml:space="preserve">UsageRecorded</w:t>
      </w:r>
      <w:r>
        <w:t xml:space="preserve"> </w:t>
      </w:r>
      <w:r>
        <w:t xml:space="preserve">with</w:t>
      </w:r>
      <w:r>
        <w:t xml:space="preserve"> </w:t>
      </w:r>
      <w:r>
        <w:rPr>
          <w:rStyle w:val="VerbatimChar"/>
        </w:rPr>
        <w:t xml:space="preserve">meter_kind = REVENUE_AGGREGATE</w:t>
      </w:r>
      <w:r>
        <w:t xml:space="preserve"> </w:t>
      </w:r>
      <w:r>
        <w:t xml:space="preserve">and no subscriber key. (5) Wellness data (credit reports, expenses) never leaves Udofin’s separate store and has no cross-product events. (6) Google Workspace, including Google Drive, holds non-regulated data only (no personal data, books of account, returns, loan or HR data), because it offers no India data region; staff office-suite work follows the Hub’s workplace rules (OH12).</w:t>
      </w:r>
    </w:p>
    <w:p>
      <w:pPr>
        <w:pStyle w:val="BodyText"/>
      </w:pPr>
      <w:r>
        <w:rPr>
          <w:bCs/>
          <w:b/>
        </w:rPr>
        <w:t xml:space="preserve">Switches carried over from the original prompt (configuration, not rebuilds):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83"/>
        <w:gridCol w:w="6339"/>
        <w:gridCol w:w="2016"/>
      </w:tblGrid>
      <w:tr>
        <w:trPr>
          <w:tblHeader w:val="true"/>
          <w:tblHeader w:val="true"/>
        </w:trPr>
        <w:tc>
          <w:tcPr>
            <w:tcW w:w="1283" w:type="dxa"/>
            <w:shd w:val="clear" w:color="auto" w:fill="1F3A5F"/>
          </w:tcPr>
          <w:p>
            <w:pPr>
              <w:pStyle w:val="Compact"/>
              <w:spacing w:after="40"/>
              <w:jc w:val="left"/>
            </w:pPr>
            <w:r>
              <w:rPr>
                <w:b/>
                <w:color w:val="FFFFFF"/>
                <w:sz w:val="18"/>
              </w:rPr>
              <w:t xml:space="preserve">Switch</w:t>
            </w:r>
          </w:p>
        </w:tc>
        <w:tc>
          <w:tcPr>
            <w:tcW w:w="6339" w:type="dxa"/>
            <w:shd w:val="clear" w:color="auto" w:fill="1F3A5F"/>
          </w:tcPr>
          <w:p>
            <w:pPr>
              <w:pStyle w:val="Compact"/>
              <w:spacing w:after="40"/>
              <w:jc w:val="left"/>
            </w:pPr>
            <w:r>
              <w:rPr>
                <w:b/>
                <w:color w:val="FFFFFF"/>
                <w:sz w:val="18"/>
              </w:rPr>
              <w:t xml:space="preserve">Options</w:t>
            </w:r>
          </w:p>
        </w:tc>
        <w:tc>
          <w:tcPr>
            <w:tcW w:w="2016" w:type="dxa"/>
            <w:shd w:val="clear" w:color="auto" w:fill="1F3A5F"/>
          </w:tcPr>
          <w:p>
            <w:pPr>
              <w:pStyle w:val="Compact"/>
              <w:spacing w:after="40"/>
              <w:jc w:val="left"/>
            </w:pPr>
            <w:r>
              <w:rPr>
                <w:b/>
                <w:color w:val="FFFFFF"/>
                <w:sz w:val="18"/>
              </w:rPr>
              <w:t xml:space="preserve">Default</w:t>
            </w:r>
          </w:p>
        </w:tc>
      </w:tr>
      <w:tr>
        <w:tc>
          <w:tcPr>
            <w:tcW w:w="1283" w:type="dxa"/>
          </w:tcPr>
          <w:p>
            <w:pPr>
              <w:pStyle w:val="Compact"/>
              <w:spacing w:after="40"/>
              <w:jc w:val="left"/>
            </w:pPr>
            <w:r>
              <w:rPr>
                <w:sz w:val="18"/>
              </w:rPr>
              <w:t xml:space="preserve">Compliance mode</w:t>
            </w:r>
          </w:p>
        </w:tc>
        <w:tc>
          <w:tcPr>
            <w:tcW w:w="6339" w:type="dxa"/>
          </w:tcPr>
          <w:p>
            <w:pPr>
              <w:pStyle w:val="Compact"/>
              <w:spacing w:after="40"/>
              <w:jc w:val="left"/>
            </w:pPr>
            <w:r>
              <w:rPr>
                <w:sz w:val="18"/>
              </w:rPr>
              <w:t xml:space="preserve">(a) the RE uses LawDocsComply and Udofin pushes evidence there; (b) the RE uses the compliance module embedded in Finbyx; (c) a group uses one LawDocsComply instance for all its companies; (d) the RE uses a third-party GRC tool (for example MetricStream, IBM OpenPages, ServiceNow IRM or Archer) through the generic GRC connector (U18); (e) evidence-pack export only</w:t>
            </w:r>
          </w:p>
        </w:tc>
        <w:tc>
          <w:tcPr>
            <w:tcW w:w="2016" w:type="dxa"/>
          </w:tcPr>
          <w:p>
            <w:pPr>
              <w:pStyle w:val="Compact"/>
              <w:spacing w:after="40"/>
              <w:jc w:val="left"/>
            </w:pPr>
            <w:r>
              <w:rPr>
                <w:sz w:val="18"/>
              </w:rPr>
              <w:t xml:space="preserve">(e) until a connector is configured</w:t>
            </w:r>
          </w:p>
        </w:tc>
      </w:tr>
      <w:tr>
        <w:tc>
          <w:tcPr>
            <w:tcW w:w="1283" w:type="dxa"/>
          </w:tcPr>
          <w:p>
            <w:pPr>
              <w:pStyle w:val="Compact"/>
              <w:spacing w:after="40"/>
              <w:jc w:val="left"/>
            </w:pPr>
            <w:r>
              <w:rPr>
                <w:sz w:val="18"/>
              </w:rPr>
              <w:t xml:space="preserve">Grievance host</w:t>
            </w:r>
          </w:p>
        </w:tc>
        <w:tc>
          <w:tcPr>
            <w:tcW w:w="6339" w:type="dxa"/>
          </w:tcPr>
          <w:p>
            <w:pPr>
              <w:pStyle w:val="Compact"/>
              <w:spacing w:after="40"/>
              <w:jc w:val="left"/>
            </w:pPr>
            <w:r>
              <w:rPr>
                <w:sz w:val="18"/>
              </w:rPr>
              <w:t xml:space="preserve">(a) grievances are managed in Udofin’s lender portal by the RE’s GRO; (b) in Finbyx; (c) in LawDocsComply; in every case the borrower raises and tracks them in Udofin and unresolved cases can go to Equator</w:t>
            </w:r>
          </w:p>
        </w:tc>
        <w:tc>
          <w:tcPr>
            <w:tcW w:w="2016" w:type="dxa"/>
          </w:tcPr>
          <w:p>
            <w:pPr>
              <w:pStyle w:val="Compact"/>
              <w:spacing w:after="40"/>
              <w:jc w:val="left"/>
            </w:pPr>
            <w:r>
              <w:rPr>
                <w:sz w:val="18"/>
              </w:rPr>
              <w:t xml:space="preserve">Per RE; (b) where the RE is on Finbyx</w:t>
            </w:r>
          </w:p>
        </w:tc>
      </w:tr>
      <w:tr>
        <w:tc>
          <w:tcPr>
            <w:tcW w:w="1283" w:type="dxa"/>
          </w:tcPr>
          <w:p>
            <w:pPr>
              <w:pStyle w:val="Compact"/>
              <w:spacing w:after="40"/>
              <w:jc w:val="left"/>
            </w:pPr>
            <w:r>
              <w:rPr>
                <w:sz w:val="18"/>
              </w:rPr>
              <w:t xml:space="preserve">Lender system</w:t>
            </w:r>
          </w:p>
        </w:tc>
        <w:tc>
          <w:tcPr>
            <w:tcW w:w="6339" w:type="dxa"/>
          </w:tcPr>
          <w:p>
            <w:pPr>
              <w:pStyle w:val="Compact"/>
              <w:spacing w:after="40"/>
              <w:jc w:val="left"/>
            </w:pPr>
            <w:r>
              <w:rPr>
                <w:sz w:val="18"/>
              </w:rPr>
              <w:t xml:space="preserve">(a) Finbyx connector; (b) generic LOS/LMS connector; (c) Udofin lender portal only</w:t>
            </w:r>
          </w:p>
        </w:tc>
        <w:tc>
          <w:tcPr>
            <w:tcW w:w="2016" w:type="dxa"/>
          </w:tcPr>
          <w:p>
            <w:pPr>
              <w:pStyle w:val="Compact"/>
              <w:spacing w:after="40"/>
              <w:jc w:val="left"/>
            </w:pPr>
            <w:r>
              <w:rPr>
                <w:sz w:val="18"/>
              </w:rPr>
              <w:t xml:space="preserve">Per RE</w:t>
            </w:r>
          </w:p>
        </w:tc>
      </w:tr>
    </w:tbl>
    <w:p>
      <w:r>
        <w:pict>
          <v:rect style="width:0;height:1.5pt" o:hralign="center" o:hrstd="t" o:hr="t"/>
        </w:pict>
      </w:r>
    </w:p>
    <w:bookmarkEnd w:id="23"/>
    <w:bookmarkStart w:id="29" w:name="part-3-what-udofin-must-be"/>
    <w:p>
      <w:pPr>
        <w:pStyle w:val="Heading1"/>
      </w:pPr>
      <w:r>
        <w:t xml:space="preserve">PART 3 — WHAT UDOFIN MUST BE</w:t>
      </w:r>
    </w:p>
    <w:bookmarkStart w:id="24" w:name="customers-and-commercial-models"/>
    <w:p>
      <w:pPr>
        <w:pStyle w:val="Heading2"/>
      </w:pPr>
      <w:r>
        <w:t xml:space="preserve">3.1 Customers and commercial models</w:t>
      </w:r>
    </w:p>
    <w:p>
      <w:pPr>
        <w:pStyle w:val="FirstParagraph"/>
      </w:pPr>
      <w:r>
        <w:t xml:space="preserve">Udofin serves four customer groups.</w:t>
      </w:r>
      <w:r>
        <w:t xml:space="preserve"> </w:t>
      </w:r>
      <w:r>
        <w:rPr>
          <w:bCs/>
          <w:b/>
        </w:rPr>
        <w:t xml:space="preserve">Borrowers</w:t>
      </w:r>
      <w:r>
        <w:t xml:space="preserve"> </w:t>
      </w:r>
      <w:r>
        <w:t xml:space="preserve">never pay Udofin for anything loan-related: no fee, charge or reimbursement for obtaining, pricing, processing, servicing or repaying a loan is charged to or collected from them (CF para 10(4)).</w:t>
      </w:r>
      <w:r>
        <w:t xml:space="preserve"> </w:t>
      </w:r>
      <w:r>
        <w:rPr>
          <w:bCs/>
          <w:b/>
        </w:rPr>
        <w:t xml:space="preserve">Partner REs</w:t>
      </w:r>
      <w:r>
        <w:t xml:space="preserve"> </w:t>
      </w:r>
      <w:r>
        <w:t xml:space="preserve">(NBFCs including HFCs and NBFC-MFIs, banks and other eligible lenders), who pay Udofin under an LSP agreement.</w:t>
      </w:r>
      <w:r>
        <w:t xml:space="preserve"> </w:t>
      </w:r>
      <w:r>
        <w:rPr>
          <w:bCs/>
          <w:b/>
        </w:rPr>
        <w:t xml:space="preserve">Non-RE lenders</w:t>
      </w:r>
      <w:r>
        <w:t xml:space="preserve"> </w:t>
      </w:r>
      <w:r>
        <w:t xml:space="preserve">(credit co-operative societies lending only to their own members; Part 7B UP4) pay under a technology and sourcing agreement that imposes RE-equivalent conduct.</w:t>
      </w:r>
      <w:r>
        <w:t xml:space="preserve"> </w:t>
      </w:r>
      <w:r>
        <w:rPr>
          <w:bCs/>
          <w:b/>
        </w:rPr>
        <w:t xml:space="preserve">Consumers</w:t>
      </w:r>
      <w:r>
        <w:t xml:space="preserve"> </w:t>
      </w:r>
      <w:r>
        <w:t xml:space="preserve">(borrowers or not) may buy separate, optional non-credit plans only after the Part 7D FW4 gates G1–G5 (owner decision, legal opinion, CIC partner agreement, a separate decision to charge, annual re-review) and the Part 7G RV1 legality gate. Support these RE operating models:</w:t>
      </w:r>
    </w:p>
    <w:p>
      <w:pPr>
        <w:numPr>
          <w:ilvl w:val="0"/>
          <w:numId w:val="1004"/>
        </w:numPr>
        <w:pStyle w:val="Compact"/>
      </w:pPr>
      <w:r>
        <w:rPr>
          <w:bCs/>
          <w:b/>
        </w:rPr>
        <w:t xml:space="preserve">RE on Finbyx.</w:t>
      </w:r>
      <w:r>
        <w:t xml:space="preserve"> </w:t>
      </w:r>
      <w:r>
        <w:t xml:space="preserve">Decisions and servicing in Finbyx; Udofin connects through the certified Finbyx connector.</w:t>
      </w:r>
    </w:p>
    <w:p>
      <w:pPr>
        <w:numPr>
          <w:ilvl w:val="0"/>
          <w:numId w:val="1004"/>
        </w:numPr>
        <w:pStyle w:val="Compact"/>
      </w:pPr>
      <w:r>
        <w:rPr>
          <w:bCs/>
          <w:b/>
        </w:rPr>
        <w:t xml:space="preserve">RE on another LOS/LMS.</w:t>
      </w:r>
      <w:r>
        <w:t xml:space="preserve"> </w:t>
      </w:r>
      <w:r>
        <w:t xml:space="preserve">Udofin connects through the generic connector framework (Part 5.3) with a per-RE mapping and certification.</w:t>
      </w:r>
    </w:p>
    <w:p>
      <w:pPr>
        <w:numPr>
          <w:ilvl w:val="0"/>
          <w:numId w:val="1004"/>
        </w:numPr>
        <w:pStyle w:val="Compact"/>
      </w:pPr>
      <w:r>
        <w:rPr>
          <w:bCs/>
          <w:b/>
        </w:rPr>
        <w:t xml:space="preserve">Portal-only RE.</w:t>
      </w:r>
      <w:r>
        <w:t xml:space="preserve"> </w:t>
      </w:r>
      <w:r>
        <w:t xml:space="preserve">The RE takes its decisions in the Udofin lender portal and books loans in its own LMS; servicing data returns to Udofin by API or file (Part 5.4).</w:t>
      </w:r>
    </w:p>
    <w:p>
      <w:pPr>
        <w:numPr>
          <w:ilvl w:val="0"/>
          <w:numId w:val="1004"/>
        </w:numPr>
        <w:pStyle w:val="Compact"/>
      </w:pPr>
      <w:r>
        <w:rPr>
          <w:bCs/>
          <w:b/>
        </w:rPr>
        <w:t xml:space="preserve">White-label DLA</w:t>
      </w:r>
      <w:r>
        <w:t xml:space="preserve"> </w:t>
      </w:r>
      <w:r>
        <w:t xml:space="preserve">[assess]. Udofin’s code published under the RE’s brand and, normally, the RE’s developer accounts. Legally this is then the RE’s own DLA with Udofin as technology service provider, which changes the CIMS</w:t>
      </w:r>
      <w:r>
        <w:t xml:space="preserve"> </w:t>
      </w:r>
      <w:r>
        <w:t xml:space="preserve">“</w:t>
      </w:r>
      <w:r>
        <w:t xml:space="preserve">owner</w:t>
      </w:r>
      <w:r>
        <w:t xml:space="preserve">”</w:t>
      </w:r>
      <w:r>
        <w:t xml:space="preserve"> </w:t>
      </w:r>
      <w:r>
        <w:t xml:space="preserve">field, the multi-lender rules and the contract (Part 4.6–4.7). Produce an ADR and a legal note before building it.</w:t>
      </w:r>
    </w:p>
    <w:p>
      <w:pPr>
        <w:pStyle w:val="FirstParagraph"/>
      </w:pPr>
      <w:r>
        <w:rPr>
          <w:bCs/>
          <w:b/>
        </w:rPr>
        <w:t xml:space="preserve">Commercial models (record in the LSP agreement registry, U1):</w:t>
      </w:r>
    </w:p>
    <w:p>
      <w:pPr>
        <w:numPr>
          <w:ilvl w:val="0"/>
          <w:numId w:val="1005"/>
        </w:numPr>
        <w:pStyle w:val="Compact"/>
      </w:pPr>
      <w:r>
        <w:t xml:space="preserve">sourcing fee per disbursed loan, platform or SaaS fee per RE, servicing or collection fee where Udofin is appointed for that activity, and DLG fee where Udofin provides DLG (CF para 20(1));</w:t>
      </w:r>
    </w:p>
    <w:p>
      <w:pPr>
        <w:numPr>
          <w:ilvl w:val="0"/>
          <w:numId w:val="1005"/>
        </w:numPr>
        <w:pStyle w:val="Compact"/>
      </w:pPr>
      <w:r>
        <w:t xml:space="preserve">every fee is paid by the RE directly and is never charged to or collected from the borrower (CF para 10(4)), never deducted from a disbursement and never taken from recovery proceeds (CF para 10(5));</w:t>
      </w:r>
    </w:p>
    <w:p>
      <w:pPr>
        <w:numPr>
          <w:ilvl w:val="0"/>
          <w:numId w:val="1005"/>
        </w:numPr>
        <w:pStyle w:val="Compact"/>
      </w:pPr>
      <w:r>
        <w:t xml:space="preserve">fee differences between REs must never influence matching or ranking (CF para 7(2), 7(4)). The ranking engine has no access to fee or DLG data.</w:t>
      </w:r>
    </w:p>
    <w:p>
      <w:pPr>
        <w:numPr>
          <w:ilvl w:val="0"/>
          <w:numId w:val="1005"/>
        </w:numPr>
        <w:pStyle w:val="Compact"/>
      </w:pPr>
      <w:r>
        <w:rPr>
          <w:bCs/>
          <w:b/>
        </w:rPr>
        <w:t xml:space="preserve">v1.2 revenue catalogue (Part 7G RV1):</w:t>
      </w:r>
      <w:r>
        <w:t xml:space="preserve"> </w:t>
      </w:r>
      <w:r>
        <w:t xml:space="preserve">streams S01–S08 are RE-paid (or non-RE-lender-paid) LSP revenue for anything loan-related (CF para 10(4)); S09 borrower wellness plans only after FW4 and RV1, open to non-borrowers at the same price and never tied to a loan; S10 advertising only outside the offer view and every loan journey screen, labelled, with no sponsored ranking, paid placement or badges (RV4; CF para 7(4); ASCI Code; CCPA Guidelines); S11 insurance commission only under Udofin’s own IRDAI registration (Part 7F XP2.1 models A–B); S12 a fixed technology fee from an RE that holds the licence, never a commission (model C); S13 other regulated distribution only after the XP3 feasibility and licence gates. The prohibited-stream list is hard-coded (RV1.1).</w:t>
      </w:r>
    </w:p>
    <w:p>
      <w:pPr>
        <w:numPr>
          <w:ilvl w:val="0"/>
          <w:numId w:val="1005"/>
        </w:numPr>
        <w:pStyle w:val="Compact"/>
      </w:pPr>
      <w:r>
        <w:rPr>
          <w:bCs/>
          <w:b/>
        </w:rPr>
        <w:t xml:space="preserve">Switchable pricing models</w:t>
      </w:r>
      <w:r>
        <w:t xml:space="preserve"> </w:t>
      </w:r>
      <w:r>
        <w:t xml:space="preserve">per deal (one-time, subscription, monthly rental, pay-as-you-go, tiered, freemium, advertising, commission; RV1.2). The group catalogue and RE invoicing run in the Operations Hub (OH8); borrower plans are billed by Udofin’s own billing service on its own Razorpay account (RV2.4, RV3); the billing, plan and settings pages explain each plan in plain language (RV2).</w:t>
      </w:r>
    </w:p>
    <w:p>
      <w:pPr>
        <w:pStyle w:val="FirstParagraph"/>
      </w:pPr>
      <w:r>
        <w:t xml:space="preserve">Track unit economics from day one (original</w:t>
      </w:r>
      <w:r>
        <w:t xml:space="preserve"> </w:t>
      </w:r>
      <w:r>
        <w:t xml:space="preserve">“</w:t>
      </w:r>
      <w:r>
        <w:t xml:space="preserve">important addition</w:t>
      </w:r>
      <w:r>
        <w:t xml:space="preserve">”</w:t>
      </w:r>
      <w:r>
        <w:t xml:space="preserve"> </w:t>
      </w:r>
      <w:r>
        <w:t xml:space="preserve">10): verification, bureau, eSign, eStamp, messaging and cloud cost per application; funnel conversion by RE and product; support cost; revenue per disbursed loan; DLG losses.</w:t>
      </w:r>
    </w:p>
    <w:bookmarkEnd w:id="24"/>
    <w:bookmarkStart w:id="25" w:name="channels-and-user-groups"/>
    <w:p>
      <w:pPr>
        <w:pStyle w:val="Heading2"/>
      </w:pPr>
      <w:r>
        <w:t xml:space="preserve">3.2 Channels and user groups</w:t>
      </w:r>
    </w:p>
    <w:p>
      <w:pPr>
        <w:pStyle w:val="FirstParagraph"/>
      </w:pPr>
      <w:r>
        <w:t xml:space="preserve">Build separate experiences, not one generic menu. Each staff workspace shows its queues, SLAs, alerts and next actions.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32"/>
        <w:gridCol w:w="2423"/>
        <w:gridCol w:w="3191"/>
        <w:gridCol w:w="3192"/>
      </w:tblGrid>
      <w:tr>
        <w:trPr>
          <w:tblHeader w:val="true"/>
          <w:tblHeader w:val="true"/>
        </w:trPr>
        <w:tc>
          <w:tcPr>
            <w:tcW w:w="832" w:type="dxa"/>
            <w:shd w:val="clear" w:color="auto" w:fill="1F3A5F"/>
          </w:tcPr>
          <w:p>
            <w:pPr>
              <w:pStyle w:val="Compact"/>
              <w:spacing w:after="40"/>
              <w:jc w:val="left"/>
            </w:pPr>
            <w:r>
              <w:rPr>
                <w:b/>
                <w:color w:val="FFFFFF"/>
                <w:sz w:val="18"/>
              </w:rPr>
              <w:t xml:space="preserve">#</w:t>
            </w:r>
          </w:p>
        </w:tc>
        <w:tc>
          <w:tcPr>
            <w:tcW w:w="2423" w:type="dxa"/>
            <w:shd w:val="clear" w:color="auto" w:fill="1F3A5F"/>
          </w:tcPr>
          <w:p>
            <w:pPr>
              <w:pStyle w:val="Compact"/>
              <w:spacing w:after="40"/>
              <w:jc w:val="left"/>
            </w:pPr>
            <w:r>
              <w:rPr>
                <w:b/>
                <w:color w:val="FFFFFF"/>
                <w:sz w:val="18"/>
              </w:rPr>
              <w:t xml:space="preserve">Channel</w:t>
            </w:r>
          </w:p>
        </w:tc>
        <w:tc>
          <w:tcPr>
            <w:tcW w:w="3191" w:type="dxa"/>
            <w:shd w:val="clear" w:color="auto" w:fill="1F3A5F"/>
          </w:tcPr>
          <w:p>
            <w:pPr>
              <w:pStyle w:val="Compact"/>
              <w:spacing w:after="40"/>
              <w:jc w:val="left"/>
            </w:pPr>
            <w:r>
              <w:rPr>
                <w:b/>
                <w:color w:val="FFFFFF"/>
                <w:sz w:val="18"/>
              </w:rPr>
              <w:t xml:space="preserve">Users</w:t>
            </w:r>
          </w:p>
        </w:tc>
        <w:tc>
          <w:tcPr>
            <w:tcW w:w="3192" w:type="dxa"/>
            <w:shd w:val="clear" w:color="auto" w:fill="1F3A5F"/>
          </w:tcPr>
          <w:p>
            <w:pPr>
              <w:pStyle w:val="Compact"/>
              <w:spacing w:after="40"/>
              <w:jc w:val="left"/>
            </w:pPr>
            <w:r>
              <w:rPr>
                <w:b/>
                <w:color w:val="FFFFFF"/>
                <w:sz w:val="18"/>
              </w:rPr>
              <w:t xml:space="preserve">Core jobs</w:t>
            </w:r>
          </w:p>
        </w:tc>
      </w:tr>
      <w:tr>
        <w:tc>
          <w:tcPr>
            <w:tcW w:w="832" w:type="dxa"/>
          </w:tcPr>
          <w:p>
            <w:pPr>
              <w:pStyle w:val="Compact"/>
              <w:spacing w:after="40"/>
              <w:jc w:val="left"/>
            </w:pPr>
            <w:r>
              <w:rPr>
                <w:sz w:val="18"/>
              </w:rPr>
              <w:t xml:space="preserve">A</w:t>
            </w:r>
          </w:p>
        </w:tc>
        <w:tc>
          <w:tcPr>
            <w:tcW w:w="2423" w:type="dxa"/>
          </w:tcPr>
          <w:p>
            <w:pPr>
              <w:pStyle w:val="Compact"/>
              <w:spacing w:after="40"/>
              <w:jc w:val="left"/>
            </w:pPr>
            <w:r>
              <w:rPr>
                <w:sz w:val="18"/>
              </w:rPr>
              <w:t xml:space="preserve">Borrower mobile app (Expo + React Native; Android first on Google Play, then iOS on the App Store)</w:t>
            </w:r>
          </w:p>
        </w:tc>
        <w:tc>
          <w:tcPr>
            <w:tcW w:w="3191" w:type="dxa"/>
          </w:tcPr>
          <w:p>
            <w:pPr>
              <w:pStyle w:val="Compact"/>
              <w:spacing w:after="40"/>
              <w:jc w:val="left"/>
            </w:pPr>
            <w:r>
              <w:rPr>
                <w:sz w:val="18"/>
              </w:rPr>
              <w:t xml:space="preserve">Borrowers</w:t>
            </w:r>
          </w:p>
        </w:tc>
        <w:tc>
          <w:tcPr>
            <w:tcW w:w="3192" w:type="dxa"/>
          </w:tcPr>
          <w:p>
            <w:pPr>
              <w:pStyle w:val="Compact"/>
              <w:spacing w:after="40"/>
              <w:jc w:val="left"/>
            </w:pPr>
            <w:r>
              <w:rPr>
                <w:sz w:val="18"/>
              </w:rPr>
              <w:t xml:space="preserve">Registration, consent, KYC steps, application, offer comparison, KFS, eSign, eStamp, mandates, repayments, documents, loan dashboard, grievances, feedback</w:t>
            </w:r>
          </w:p>
        </w:tc>
      </w:tr>
      <w:tr>
        <w:tc>
          <w:tcPr>
            <w:tcW w:w="832" w:type="dxa"/>
          </w:tcPr>
          <w:p>
            <w:pPr>
              <w:pStyle w:val="Compact"/>
              <w:spacing w:after="40"/>
              <w:jc w:val="left"/>
            </w:pPr>
            <w:r>
              <w:rPr>
                <w:sz w:val="18"/>
              </w:rPr>
              <w:t xml:space="preserve">B</w:t>
            </w:r>
          </w:p>
        </w:tc>
        <w:tc>
          <w:tcPr>
            <w:tcW w:w="2423" w:type="dxa"/>
          </w:tcPr>
          <w:p>
            <w:pPr>
              <w:pStyle w:val="Compact"/>
              <w:spacing w:after="40"/>
              <w:jc w:val="left"/>
            </w:pPr>
            <w:r>
              <w:rPr>
                <w:sz w:val="18"/>
              </w:rPr>
              <w:t xml:space="preserve">Borrower web app (Next.js, responsive, installable PWA)</w:t>
            </w:r>
          </w:p>
        </w:tc>
        <w:tc>
          <w:tcPr>
            <w:tcW w:w="3191" w:type="dxa"/>
          </w:tcPr>
          <w:p>
            <w:pPr>
              <w:pStyle w:val="Compact"/>
              <w:spacing w:after="40"/>
              <w:jc w:val="left"/>
            </w:pPr>
            <w:r>
              <w:rPr>
                <w:sz w:val="18"/>
              </w:rPr>
              <w:t xml:space="preserve">Borrowers</w:t>
            </w:r>
          </w:p>
        </w:tc>
        <w:tc>
          <w:tcPr>
            <w:tcW w:w="3192" w:type="dxa"/>
          </w:tcPr>
          <w:p>
            <w:pPr>
              <w:pStyle w:val="Compact"/>
              <w:spacing w:after="40"/>
              <w:jc w:val="left"/>
            </w:pPr>
            <w:r>
              <w:rPr>
                <w:sz w:val="18"/>
              </w:rPr>
              <w:t xml:space="preserve">The same journey as A wherever the browser allows; hand-off to the app where a step needs a native capability</w:t>
            </w:r>
          </w:p>
        </w:tc>
      </w:tr>
      <w:tr>
        <w:tc>
          <w:tcPr>
            <w:tcW w:w="832" w:type="dxa"/>
          </w:tcPr>
          <w:p>
            <w:pPr>
              <w:pStyle w:val="Compact"/>
              <w:spacing w:after="40"/>
              <w:jc w:val="left"/>
            </w:pPr>
            <w:r>
              <w:rPr>
                <w:sz w:val="18"/>
              </w:rPr>
              <w:t xml:space="preserve">C</w:t>
            </w:r>
          </w:p>
        </w:tc>
        <w:tc>
          <w:tcPr>
            <w:tcW w:w="2423" w:type="dxa"/>
          </w:tcPr>
          <w:p>
            <w:pPr>
              <w:pStyle w:val="Compact"/>
              <w:spacing w:after="40"/>
              <w:jc w:val="left"/>
            </w:pPr>
            <w:r>
              <w:rPr>
                <w:sz w:val="18"/>
              </w:rPr>
              <w:t xml:space="preserve">Udofin operations portal (web)</w:t>
            </w:r>
          </w:p>
        </w:tc>
        <w:tc>
          <w:tcPr>
            <w:tcW w:w="3191" w:type="dxa"/>
          </w:tcPr>
          <w:p>
            <w:pPr>
              <w:pStyle w:val="Compact"/>
              <w:spacing w:after="40"/>
              <w:jc w:val="left"/>
            </w:pPr>
            <w:r>
              <w:rPr>
                <w:sz w:val="18"/>
              </w:rPr>
              <w:t xml:space="preserve">Udofin operations, support, reconciliation, compliance, risk and finance teams</w:t>
            </w:r>
          </w:p>
        </w:tc>
        <w:tc>
          <w:tcPr>
            <w:tcW w:w="3192" w:type="dxa"/>
          </w:tcPr>
          <w:p>
            <w:pPr>
              <w:pStyle w:val="Compact"/>
              <w:spacing w:after="40"/>
              <w:jc w:val="left"/>
            </w:pPr>
            <w:r>
              <w:rPr>
                <w:sz w:val="18"/>
              </w:rPr>
              <w:t xml:space="preserve">Lender onboarding, application exceptions, integration failures, queues, support, reconciliation, configuration, reporting, DLG, incident handling</w:t>
            </w:r>
          </w:p>
        </w:tc>
      </w:tr>
      <w:tr>
        <w:tc>
          <w:tcPr>
            <w:tcW w:w="832" w:type="dxa"/>
          </w:tcPr>
          <w:p>
            <w:pPr>
              <w:pStyle w:val="Compact"/>
              <w:spacing w:after="40"/>
              <w:jc w:val="left"/>
            </w:pPr>
            <w:r>
              <w:rPr>
                <w:sz w:val="18"/>
              </w:rPr>
              <w:t xml:space="preserve">D</w:t>
            </w:r>
          </w:p>
        </w:tc>
        <w:tc>
          <w:tcPr>
            <w:tcW w:w="2423" w:type="dxa"/>
          </w:tcPr>
          <w:p>
            <w:pPr>
              <w:pStyle w:val="Compact"/>
              <w:spacing w:after="40"/>
              <w:jc w:val="left"/>
            </w:pPr>
            <w:r>
              <w:rPr>
                <w:sz w:val="18"/>
              </w:rPr>
              <w:t xml:space="preserve">Partner lender (RE) portal (web)</w:t>
            </w:r>
          </w:p>
        </w:tc>
        <w:tc>
          <w:tcPr>
            <w:tcW w:w="3191" w:type="dxa"/>
          </w:tcPr>
          <w:p>
            <w:pPr>
              <w:pStyle w:val="Compact"/>
              <w:spacing w:after="40"/>
              <w:jc w:val="left"/>
            </w:pPr>
            <w:r>
              <w:rPr>
                <w:sz w:val="18"/>
              </w:rPr>
              <w:t xml:space="preserve">Each RE’s credit, operations, compliance, grievance, finance and audit staff</w:t>
            </w:r>
          </w:p>
        </w:tc>
        <w:tc>
          <w:tcPr>
            <w:tcW w:w="3192" w:type="dxa"/>
          </w:tcPr>
          <w:p>
            <w:pPr>
              <w:pStyle w:val="Compact"/>
              <w:spacing w:after="40"/>
              <w:jc w:val="left"/>
            </w:pPr>
            <w:r>
              <w:rPr>
                <w:sz w:val="18"/>
              </w:rPr>
              <w:t xml:space="preserve">The RE’s own applications, products, eligibility configuration, decision queues (portal-only REs), documents, complaints, DLG, reports. Strictly limited to that RE’s data</w:t>
            </w:r>
          </w:p>
        </w:tc>
      </w:tr>
      <w:tr>
        <w:tc>
          <w:tcPr>
            <w:tcW w:w="832" w:type="dxa"/>
          </w:tcPr>
          <w:p>
            <w:pPr>
              <w:pStyle w:val="Compact"/>
              <w:spacing w:after="40"/>
              <w:jc w:val="left"/>
            </w:pPr>
            <w:r>
              <w:rPr>
                <w:sz w:val="18"/>
              </w:rPr>
              <w:t xml:space="preserve">E</w:t>
            </w:r>
          </w:p>
        </w:tc>
        <w:tc>
          <w:tcPr>
            <w:tcW w:w="2423" w:type="dxa"/>
          </w:tcPr>
          <w:p>
            <w:pPr>
              <w:pStyle w:val="Compact"/>
              <w:spacing w:after="40"/>
              <w:jc w:val="left"/>
            </w:pPr>
            <w:r>
              <w:rPr>
                <w:sz w:val="18"/>
              </w:rPr>
              <w:t xml:space="preserve">Collection and field-agent app (Expo; optional, later phase)</w:t>
            </w:r>
          </w:p>
        </w:tc>
        <w:tc>
          <w:tcPr>
            <w:tcW w:w="3191" w:type="dxa"/>
          </w:tcPr>
          <w:p>
            <w:pPr>
              <w:pStyle w:val="Compact"/>
              <w:spacing w:after="40"/>
              <w:jc w:val="left"/>
            </w:pPr>
            <w:r>
              <w:rPr>
                <w:sz w:val="18"/>
              </w:rPr>
              <w:t xml:space="preserve">Udofin or agency staff, only where an RE appoints Udofin as recovery agent; assisted-onboarding staff</w:t>
            </w:r>
          </w:p>
        </w:tc>
        <w:tc>
          <w:tcPr>
            <w:tcW w:w="3192" w:type="dxa"/>
          </w:tcPr>
          <w:p>
            <w:pPr>
              <w:pStyle w:val="Compact"/>
              <w:spacing w:after="40"/>
              <w:jc w:val="left"/>
            </w:pPr>
            <w:r>
              <w:rPr>
                <w:sz w:val="18"/>
              </w:rPr>
              <w:t xml:space="preserve">Allocated cases, contact logging, PTP, digital receipts, assisted onboarding. Not a copy of the borrower app</w:t>
            </w:r>
          </w:p>
        </w:tc>
      </w:tr>
      <w:tr>
        <w:tc>
          <w:tcPr>
            <w:tcW w:w="832" w:type="dxa"/>
          </w:tcPr>
          <w:p>
            <w:pPr>
              <w:pStyle w:val="Compact"/>
              <w:spacing w:after="40"/>
              <w:jc w:val="left"/>
            </w:pPr>
            <w:r>
              <w:rPr>
                <w:sz w:val="18"/>
              </w:rPr>
              <w:t xml:space="preserve">F</w:t>
            </w:r>
          </w:p>
        </w:tc>
        <w:tc>
          <w:tcPr>
            <w:tcW w:w="2423" w:type="dxa"/>
          </w:tcPr>
          <w:p>
            <w:pPr>
              <w:pStyle w:val="Compact"/>
              <w:spacing w:after="40"/>
              <w:jc w:val="left"/>
            </w:pPr>
            <w:r>
              <w:rPr>
                <w:sz w:val="18"/>
              </w:rPr>
              <w:t xml:space="preserve">Platform administration (web)</w:t>
            </w:r>
          </w:p>
        </w:tc>
        <w:tc>
          <w:tcPr>
            <w:tcW w:w="3191" w:type="dxa"/>
          </w:tcPr>
          <w:p>
            <w:pPr>
              <w:pStyle w:val="Compact"/>
              <w:spacing w:after="40"/>
              <w:jc w:val="left"/>
            </w:pPr>
            <w:r>
              <w:rPr>
                <w:sz w:val="18"/>
              </w:rPr>
              <w:t xml:space="preserve">Infrabyx platform administrators</w:t>
            </w:r>
          </w:p>
        </w:tc>
        <w:tc>
          <w:tcPr>
            <w:tcW w:w="3192" w:type="dxa"/>
          </w:tcPr>
          <w:p>
            <w:pPr>
              <w:pStyle w:val="Compact"/>
              <w:spacing w:after="40"/>
              <w:jc w:val="left"/>
            </w:pPr>
            <w:r>
              <w:rPr>
                <w:sz w:val="18"/>
              </w:rPr>
              <w:t xml:space="preserve">Tenant set-up, roles, permissions, integration credentials, feature flags, theming, security monitoring, break-glass access</w:t>
            </w:r>
          </w:p>
        </w:tc>
      </w:tr>
      <w:tr>
        <w:tc>
          <w:tcPr>
            <w:tcW w:w="832" w:type="dxa"/>
          </w:tcPr>
          <w:p>
            <w:pPr>
              <w:pStyle w:val="Compact"/>
              <w:spacing w:after="40"/>
              <w:jc w:val="left"/>
            </w:pPr>
            <w:r>
              <w:rPr>
                <w:sz w:val="18"/>
              </w:rPr>
              <w:t xml:space="preserve">G</w:t>
            </w:r>
          </w:p>
        </w:tc>
        <w:tc>
          <w:tcPr>
            <w:tcW w:w="2423" w:type="dxa"/>
          </w:tcPr>
          <w:p>
            <w:pPr>
              <w:pStyle w:val="Compact"/>
              <w:spacing w:after="40"/>
              <w:jc w:val="left"/>
            </w:pPr>
            <w:r>
              <w:rPr>
                <w:sz w:val="18"/>
              </w:rPr>
              <w:t xml:space="preserve">Auditor and supervisor workspace (web, read-only; v1.2)</w:t>
            </w:r>
          </w:p>
        </w:tc>
        <w:tc>
          <w:tcPr>
            <w:tcW w:w="3191" w:type="dxa"/>
          </w:tcPr>
          <w:p>
            <w:pPr>
              <w:pStyle w:val="Compact"/>
              <w:spacing w:after="40"/>
              <w:jc w:val="left"/>
            </w:pPr>
            <w:r>
              <w:rPr>
                <w:sz w:val="18"/>
              </w:rPr>
              <w:t xml:space="preserve">RE internal, concurrent, IS and statutory auditors, pooled-audit firms, RBI supervisors and inspection teams; society auditors and Registrar inspectors for non-RE lenders</w:t>
            </w:r>
          </w:p>
        </w:tc>
        <w:tc>
          <w:tcPr>
            <w:tcW w:w="3192" w:type="dxa"/>
          </w:tcPr>
          <w:p>
            <w:pPr>
              <w:pStyle w:val="Compact"/>
              <w:spacing w:after="40"/>
              <w:jc w:val="left"/>
            </w:pPr>
            <w:r>
              <w:rPr>
                <w:sz w:val="18"/>
              </w:rPr>
              <w:t xml:space="preserve">Time-bound, one-RE, read-only queries and watermarked exports; every action logged and reported to that RE (Part 7H RA2)</w:t>
            </w:r>
          </w:p>
        </w:tc>
      </w:tr>
    </w:tbl>
    <w:p>
      <w:pPr>
        <w:pStyle w:val="BodyText"/>
      </w:pPr>
      <w:r>
        <w:rPr>
          <w:bCs/>
          <w:b/>
        </w:rPr>
        <w:t xml:space="preserve">User groups added in v1.2:</w:t>
      </w:r>
    </w:p>
    <w:p>
      <w:pPr>
        <w:numPr>
          <w:ilvl w:val="0"/>
          <w:numId w:val="1006"/>
        </w:numPr>
        <w:pStyle w:val="Compact"/>
      </w:pPr>
      <w:r>
        <w:rPr>
          <w:bCs/>
          <w:b/>
        </w:rPr>
        <w:t xml:space="preserve">Members of credit co-operative societies</w:t>
      </w:r>
      <w:r>
        <w:t xml:space="preserve"> </w:t>
      </w:r>
      <w:r>
        <w:t xml:space="preserve">(Part 7E MG1): a separate</w:t>
      </w:r>
      <w:r>
        <w:t xml:space="preserve"> </w:t>
      </w:r>
      <w:r>
        <w:t xml:space="preserve">“</w:t>
      </w:r>
      <w:r>
        <w:t xml:space="preserve">Your society</w:t>
      </w:r>
      <w:r>
        <w:t xml:space="preserve">”</w:t>
      </w:r>
      <w:r>
        <w:t xml:space="preserve"> </w:t>
      </w:r>
      <w:r>
        <w:t xml:space="preserve">space, never inside the multi-lender offer view; web/PWA and assisted channel only until app-store policy for non-RE lenders is confirmed (Part 7B UP4).</w:t>
      </w:r>
    </w:p>
    <w:p>
      <w:pPr>
        <w:numPr>
          <w:ilvl w:val="0"/>
          <w:numId w:val="1006"/>
        </w:numPr>
        <w:pStyle w:val="Compact"/>
      </w:pPr>
      <w:r>
        <w:rPr>
          <w:bCs/>
          <w:b/>
        </w:rPr>
        <w:t xml:space="preserve">JLG and SHG members and office bearers</w:t>
      </w:r>
      <w:r>
        <w:t xml:space="preserve"> </w:t>
      </w:r>
      <w:r>
        <w:t xml:space="preserve">(MG2–MG3): mainly through assisted mode on channel E, with consent, KFS acceptance and eSign completed on the member’s own device (MG4); app and web for members who prefer them.</w:t>
      </w:r>
    </w:p>
    <w:p>
      <w:pPr>
        <w:numPr>
          <w:ilvl w:val="0"/>
          <w:numId w:val="1006"/>
        </w:numPr>
        <w:pStyle w:val="Compact"/>
      </w:pPr>
      <w:r>
        <w:rPr>
          <w:bCs/>
          <w:b/>
        </w:rPr>
        <w:t xml:space="preserve">Assisted agents</w:t>
      </w:r>
      <w:r>
        <w:t xml:space="preserve"> </w:t>
      </w:r>
      <w:r>
        <w:t xml:space="preserve">on channel E: RE or society staff, business correspondents of a bank RE and, only where an RE appoints Udofin, Udofin assisted-onboarding staff. They never see or enter an OTP, give consent, accept a KFS, sign or choose a lender for a member (MG4.2).</w:t>
      </w:r>
    </w:p>
    <w:p>
      <w:pPr>
        <w:numPr>
          <w:ilvl w:val="0"/>
          <w:numId w:val="1006"/>
        </w:numPr>
        <w:pStyle w:val="Compact"/>
      </w:pPr>
      <w:r>
        <w:rPr>
          <w:bCs/>
          <w:b/>
        </w:rPr>
        <w:t xml:space="preserve">RE auditors and supervisors</w:t>
      </w:r>
      <w:r>
        <w:t xml:space="preserve"> </w:t>
      </w:r>
      <w:r>
        <w:t xml:space="preserve">on channel G (RA2).</w:t>
      </w:r>
    </w:p>
    <w:p>
      <w:pPr>
        <w:numPr>
          <w:ilvl w:val="0"/>
          <w:numId w:val="1006"/>
        </w:numPr>
        <w:pStyle w:val="Compact"/>
      </w:pPr>
      <w:r>
        <w:rPr>
          <w:bCs/>
          <w:b/>
        </w:rPr>
        <w:t xml:space="preserve">Consumers using optional money tools</w:t>
      </w:r>
      <w:r>
        <w:t xml:space="preserve"> </w:t>
      </w:r>
      <w:r>
        <w:t xml:space="preserve">(Part 7D) in a separate</w:t>
      </w:r>
      <w:r>
        <w:t xml:space="preserve"> </w:t>
      </w:r>
      <w:r>
        <w:rPr>
          <w:rStyle w:val="VerbatimChar"/>
        </w:rPr>
        <w:t xml:space="preserve">Account › Money tools</w:t>
      </w:r>
      <w:r>
        <w:t xml:space="preserve"> </w:t>
      </w:r>
      <w:r>
        <w:t xml:space="preserve">area on channels A and B (never a bottom tab; the app keeps Home, Loans, Pay, Help and Account), open to non-borrowers and off until the FW4 gates pass; and</w:t>
      </w:r>
      <w:r>
        <w:t xml:space="preserve"> </w:t>
      </w:r>
      <w:r>
        <w:rPr>
          <w:bCs/>
          <w:b/>
        </w:rPr>
        <w:t xml:space="preserve">insurance customers</w:t>
      </w:r>
      <w:r>
        <w:t xml:space="preserve"> </w:t>
      </w:r>
      <w:r>
        <w:t xml:space="preserve">in a separate</w:t>
      </w:r>
      <w:r>
        <w:t xml:space="preserve"> </w:t>
      </w:r>
      <w:r>
        <w:rPr>
          <w:rStyle w:val="VerbatimChar"/>
        </w:rPr>
        <w:t xml:space="preserve">Account › Protect</w:t>
      </w:r>
      <w:r>
        <w:t xml:space="preserve"> </w:t>
      </w:r>
      <w:r>
        <w:t xml:space="preserve">area only after the XP1 licence gate (Part 7F).</w:t>
      </w:r>
    </w:p>
    <w:p>
      <w:pPr>
        <w:pStyle w:val="FirstParagraph"/>
      </w:pPr>
      <w:r>
        <w:rPr>
          <w:bCs/>
          <w:b/>
        </w:rPr>
        <w:t xml:space="preserve">Why both an app and a web platform.</w:t>
      </w:r>
      <w:r>
        <w:t xml:space="preserve"> </w:t>
      </w:r>
      <w:r>
        <w:t xml:space="preserve">The original prompt chose mobile only because borrowers must share location and OTPs. Browsers can do both, and Aadhaar eSign, DigiLocker, eNACH and V-CIP all work through web flows. The web reaches borrowers who will not install an app, suits document-heavy secured products, and is a fallback if a store listing is suspended. Both are DLAs (Part 4.7). The app stays primary because device binding, attestation and native capture are stronger there.</w:t>
      </w:r>
    </w:p>
    <w:p>
      <w:pPr>
        <w:pStyle w:val="BodyText"/>
      </w:pPr>
      <w:r>
        <w:rPr>
          <w:bCs/>
          <w:b/>
        </w:rPr>
        <w:t xml:space="preserve">Parity matrix (initial; confirm in Phase 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63"/>
        <w:gridCol w:w="1483"/>
        <w:gridCol w:w="1444"/>
        <w:gridCol w:w="3212"/>
        <w:gridCol w:w="2136"/>
      </w:tblGrid>
      <w:tr>
        <w:trPr>
          <w:tblHeader w:val="true"/>
          <w:tblHeader w:val="true"/>
        </w:trPr>
        <w:tc>
          <w:tcPr>
            <w:tcW w:w="1363" w:type="dxa"/>
            <w:shd w:val="clear" w:color="auto" w:fill="1F3A5F"/>
          </w:tcPr>
          <w:p>
            <w:pPr>
              <w:pStyle w:val="Compact"/>
              <w:spacing w:after="40"/>
              <w:jc w:val="left"/>
            </w:pPr>
            <w:r>
              <w:rPr>
                <w:b/>
                <w:color w:val="FFFFFF"/>
                <w:sz w:val="18"/>
              </w:rPr>
              <w:t xml:space="preserve">Capability</w:t>
            </w:r>
          </w:p>
        </w:tc>
        <w:tc>
          <w:tcPr>
            <w:tcW w:w="1483" w:type="dxa"/>
            <w:shd w:val="clear" w:color="auto" w:fill="1F3A5F"/>
          </w:tcPr>
          <w:p>
            <w:pPr>
              <w:pStyle w:val="Compact"/>
              <w:spacing w:after="40"/>
              <w:jc w:val="left"/>
            </w:pPr>
            <w:r>
              <w:rPr>
                <w:b/>
                <w:color w:val="FFFFFF"/>
                <w:sz w:val="18"/>
              </w:rPr>
              <w:t xml:space="preserve">Android app</w:t>
            </w:r>
          </w:p>
        </w:tc>
        <w:tc>
          <w:tcPr>
            <w:tcW w:w="1444" w:type="dxa"/>
            <w:shd w:val="clear" w:color="auto" w:fill="1F3A5F"/>
          </w:tcPr>
          <w:p>
            <w:pPr>
              <w:pStyle w:val="Compact"/>
              <w:spacing w:after="40"/>
              <w:jc w:val="left"/>
            </w:pPr>
            <w:r>
              <w:rPr>
                <w:b/>
                <w:color w:val="FFFFFF"/>
                <w:sz w:val="18"/>
              </w:rPr>
              <w:t xml:space="preserve">iOS app</w:t>
            </w:r>
          </w:p>
        </w:tc>
        <w:tc>
          <w:tcPr>
            <w:tcW w:w="3212" w:type="dxa"/>
            <w:shd w:val="clear" w:color="auto" w:fill="1F3A5F"/>
          </w:tcPr>
          <w:p>
            <w:pPr>
              <w:pStyle w:val="Compact"/>
              <w:spacing w:after="40"/>
              <w:jc w:val="left"/>
            </w:pPr>
            <w:r>
              <w:rPr>
                <w:b/>
                <w:color w:val="FFFFFF"/>
                <w:sz w:val="18"/>
              </w:rPr>
              <w:t xml:space="preserve">Borrower web/PWA</w:t>
            </w:r>
          </w:p>
        </w:tc>
        <w:tc>
          <w:tcPr>
            <w:tcW w:w="2136" w:type="dxa"/>
            <w:shd w:val="clear" w:color="auto" w:fill="1F3A5F"/>
          </w:tcPr>
          <w:p>
            <w:pPr>
              <w:pStyle w:val="Compact"/>
              <w:spacing w:after="40"/>
              <w:jc w:val="left"/>
            </w:pPr>
            <w:r>
              <w:rPr>
                <w:b/>
                <w:color w:val="FFFFFF"/>
                <w:sz w:val="18"/>
              </w:rPr>
              <w:t xml:space="preserve">Notes</w:t>
            </w:r>
          </w:p>
        </w:tc>
      </w:tr>
      <w:tr>
        <w:tc>
          <w:tcPr>
            <w:tcW w:w="1363" w:type="dxa"/>
          </w:tcPr>
          <w:p>
            <w:pPr>
              <w:pStyle w:val="Compact"/>
              <w:spacing w:after="40"/>
              <w:jc w:val="left"/>
            </w:pPr>
            <w:r>
              <w:rPr>
                <w:sz w:val="18"/>
              </w:rPr>
              <w:t xml:space="preserve">Registration and OTP login</w:t>
            </w:r>
          </w:p>
        </w:tc>
        <w:tc>
          <w:tcPr>
            <w:tcW w:w="1483" w:type="dxa"/>
          </w:tcPr>
          <w:p>
            <w:pPr>
              <w:pStyle w:val="Compact"/>
              <w:spacing w:after="40"/>
              <w:jc w:val="left"/>
            </w:pPr>
            <w:r>
              <w:rPr>
                <w:sz w:val="18"/>
              </w:rPr>
              <w:t xml:space="preserve">Yes, SMS Retriever or User Consent API (no SMS permission)</w:t>
            </w:r>
          </w:p>
        </w:tc>
        <w:tc>
          <w:tcPr>
            <w:tcW w:w="1444" w:type="dxa"/>
          </w:tcPr>
          <w:p>
            <w:pPr>
              <w:pStyle w:val="Compact"/>
              <w:spacing w:after="40"/>
              <w:jc w:val="left"/>
            </w:pPr>
            <w:r>
              <w:rPr>
                <w:sz w:val="18"/>
              </w:rPr>
              <w:t xml:space="preserve">Yes, one-time-code autofill</w:t>
            </w:r>
          </w:p>
        </w:tc>
        <w:tc>
          <w:tcPr>
            <w:tcW w:w="3212" w:type="dxa"/>
          </w:tcPr>
          <w:p>
            <w:pPr>
              <w:pStyle w:val="Compact"/>
              <w:spacing w:after="40"/>
              <w:jc w:val="left"/>
            </w:pPr>
            <w:r>
              <w:rPr>
                <w:sz w:val="18"/>
              </w:rPr>
              <w:t xml:space="preserve">Yes, WebOTP API on Chrome for Android;</w:t>
            </w:r>
            <w:r>
              <w:rPr>
                <w:sz w:val="18"/>
              </w:rPr>
              <w:t xml:space="preserve"> </w:t>
            </w:r>
            <w:r>
              <w:rPr>
                <w:rStyle w:val="VerbatimChar"/>
                <w:sz w:val="18"/>
              </w:rPr>
              <w:t xml:space="preserve">autocomplete="one-time-code"</w:t>
            </w:r>
            <w:r>
              <w:rPr>
                <w:sz w:val="18"/>
              </w:rPr>
              <w:t xml:space="preserve"> </w:t>
            </w:r>
            <w:r>
              <w:rPr>
                <w:sz w:val="18"/>
              </w:rPr>
              <w:t xml:space="preserve">autofill on Safari (iOS and macOS); else manual entry</w:t>
            </w:r>
          </w:p>
        </w:tc>
        <w:tc>
          <w:tcPr>
            <w:tcW w:w="2136" w:type="dxa"/>
          </w:tcPr>
          <w:p>
            <w:pPr>
              <w:pStyle w:val="Compact"/>
              <w:spacing w:after="40"/>
              <w:jc w:val="left"/>
            </w:pPr>
            <w:r>
              <w:rPr>
                <w:sz w:val="18"/>
              </w:rPr>
              <w:t xml:space="preserve">Never request SMS read permission (Part 4.5)</w:t>
            </w:r>
          </w:p>
        </w:tc>
      </w:tr>
      <w:tr>
        <w:tc>
          <w:tcPr>
            <w:tcW w:w="1363" w:type="dxa"/>
          </w:tcPr>
          <w:p>
            <w:pPr>
              <w:pStyle w:val="Compact"/>
              <w:spacing w:after="40"/>
              <w:jc w:val="left"/>
            </w:pPr>
            <w:r>
              <w:rPr>
                <w:sz w:val="18"/>
              </w:rPr>
              <w:t xml:space="preserve">Device binding</w:t>
            </w:r>
          </w:p>
        </w:tc>
        <w:tc>
          <w:tcPr>
            <w:tcW w:w="1483" w:type="dxa"/>
          </w:tcPr>
          <w:p>
            <w:pPr>
              <w:pStyle w:val="Compact"/>
              <w:spacing w:after="40"/>
              <w:jc w:val="left"/>
            </w:pPr>
            <w:r>
              <w:rPr>
                <w:sz w:val="18"/>
              </w:rPr>
              <w:t xml:space="preserve">Yes, hardware-backed key plus Play Integrity</w:t>
            </w:r>
          </w:p>
        </w:tc>
        <w:tc>
          <w:tcPr>
            <w:tcW w:w="1444" w:type="dxa"/>
          </w:tcPr>
          <w:p>
            <w:pPr>
              <w:pStyle w:val="Compact"/>
              <w:spacing w:after="40"/>
              <w:jc w:val="left"/>
            </w:pPr>
            <w:r>
              <w:rPr>
                <w:sz w:val="18"/>
              </w:rPr>
              <w:t xml:space="preserve">Yes, Secure Enclave key plus App Attest</w:t>
            </w:r>
          </w:p>
        </w:tc>
        <w:tc>
          <w:tcPr>
            <w:tcW w:w="3212" w:type="dxa"/>
          </w:tcPr>
          <w:p>
            <w:pPr>
              <w:pStyle w:val="Compact"/>
              <w:spacing w:after="40"/>
              <w:jc w:val="left"/>
            </w:pPr>
            <w:r>
              <w:rPr>
                <w:sz w:val="18"/>
              </w:rPr>
              <w:t xml:space="preserve">Partial: WebAuthn passkey plus step-up OTP. Passkeys are usually synced across the borrower’s devices by the platform account (iCloud Keychain, Google Password Manager), so they authenticate the person, not a device; record whether the credential is device-bound or synced</w:t>
            </w:r>
          </w:p>
        </w:tc>
        <w:tc>
          <w:tcPr>
            <w:tcW w:w="2136" w:type="dxa"/>
          </w:tcPr>
          <w:p>
            <w:pPr>
              <w:pStyle w:val="Compact"/>
              <w:spacing w:after="40"/>
              <w:jc w:val="left"/>
            </w:pPr>
            <w:r>
              <w:rPr>
                <w:sz w:val="18"/>
              </w:rPr>
              <w:t xml:space="preserve">Web sessions get lower transaction limits by policy</w:t>
            </w:r>
          </w:p>
        </w:tc>
      </w:tr>
      <w:tr>
        <w:tc>
          <w:tcPr>
            <w:tcW w:w="1363" w:type="dxa"/>
          </w:tcPr>
          <w:p>
            <w:pPr>
              <w:pStyle w:val="Compact"/>
              <w:spacing w:after="40"/>
              <w:jc w:val="left"/>
            </w:pPr>
            <w:r>
              <w:rPr>
                <w:sz w:val="18"/>
              </w:rPr>
              <w:t xml:space="preserve">Document capture</w:t>
            </w:r>
          </w:p>
        </w:tc>
        <w:tc>
          <w:tcPr>
            <w:tcW w:w="1483" w:type="dxa"/>
          </w:tcPr>
          <w:p>
            <w:pPr>
              <w:pStyle w:val="Compact"/>
              <w:spacing w:after="40"/>
              <w:jc w:val="left"/>
            </w:pPr>
            <w:r>
              <w:rPr>
                <w:sz w:val="18"/>
              </w:rPr>
              <w:t xml:space="preserve">Camera with edge detection, onboarding and KYC only</w:t>
            </w:r>
          </w:p>
        </w:tc>
        <w:tc>
          <w:tcPr>
            <w:tcW w:w="1444" w:type="dxa"/>
          </w:tcPr>
          <w:p>
            <w:pPr>
              <w:pStyle w:val="Compact"/>
              <w:spacing w:after="40"/>
              <w:jc w:val="left"/>
            </w:pPr>
            <w:r>
              <w:rPr>
                <w:sz w:val="18"/>
              </w:rPr>
              <w:t xml:space="preserve">Same</w:t>
            </w:r>
          </w:p>
        </w:tc>
        <w:tc>
          <w:tcPr>
            <w:tcW w:w="3212" w:type="dxa"/>
          </w:tcPr>
          <w:p>
            <w:pPr>
              <w:pStyle w:val="Compact"/>
              <w:spacing w:after="40"/>
              <w:jc w:val="left"/>
            </w:pPr>
            <w:r>
              <w:rPr>
                <w:sz w:val="18"/>
              </w:rPr>
              <w:t xml:space="preserve">Browser camera or file upload of a user-chosen file</w:t>
            </w:r>
          </w:p>
        </w:tc>
        <w:tc>
          <w:tcPr>
            <w:tcW w:w="2136" w:type="dxa"/>
          </w:tcPr>
          <w:p>
            <w:pPr>
              <w:pStyle w:val="Compact"/>
              <w:spacing w:after="40"/>
              <w:jc w:val="left"/>
            </w:pPr>
            <w:r>
              <w:rPr>
                <w:sz w:val="18"/>
              </w:rPr>
              <w:t xml:space="preserve">After onboarding use the system document or photo picker, never storage permission</w:t>
            </w:r>
          </w:p>
        </w:tc>
      </w:tr>
      <w:tr>
        <w:tc>
          <w:tcPr>
            <w:tcW w:w="1363" w:type="dxa"/>
          </w:tcPr>
          <w:p>
            <w:pPr>
              <w:pStyle w:val="Compact"/>
              <w:spacing w:after="40"/>
              <w:jc w:val="left"/>
            </w:pPr>
            <w:r>
              <w:rPr>
                <w:sz w:val="18"/>
              </w:rPr>
              <w:t xml:space="preserve">Selfie and liveness</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 browser camera</w:t>
            </w:r>
          </w:p>
        </w:tc>
        <w:tc>
          <w:tcPr>
            <w:tcW w:w="2136" w:type="dxa"/>
          </w:tcPr>
          <w:p>
            <w:pPr>
              <w:pStyle w:val="Compact"/>
              <w:spacing w:after="40"/>
              <w:jc w:val="left"/>
            </w:pPr>
            <w:r>
              <w:rPr>
                <w:sz w:val="18"/>
              </w:rPr>
              <w:t xml:space="preserve">Only as the RE’s KYC process requires; no biometric template retained (Part 4.5)</w:t>
            </w:r>
          </w:p>
        </w:tc>
      </w:tr>
      <w:tr>
        <w:tc>
          <w:tcPr>
            <w:tcW w:w="1363" w:type="dxa"/>
          </w:tcPr>
          <w:p>
            <w:pPr>
              <w:pStyle w:val="Compact"/>
              <w:spacing w:after="40"/>
              <w:jc w:val="left"/>
            </w:pPr>
            <w:r>
              <w:rPr>
                <w:sz w:val="18"/>
              </w:rPr>
              <w:t xml:space="preserve">One-time location</w:t>
            </w:r>
          </w:p>
        </w:tc>
        <w:tc>
          <w:tcPr>
            <w:tcW w:w="1483" w:type="dxa"/>
          </w:tcPr>
          <w:p>
            <w:pPr>
              <w:pStyle w:val="Compact"/>
              <w:spacing w:after="40"/>
              <w:jc w:val="left"/>
            </w:pPr>
            <w:r>
              <w:rPr>
                <w:sz w:val="18"/>
              </w:rPr>
              <w:t xml:space="preserve">Yes,</w:t>
            </w:r>
            <w:r>
              <w:rPr>
                <w:sz w:val="18"/>
              </w:rPr>
              <w:t xml:space="preserve"> </w:t>
            </w:r>
            <w:r>
              <w:rPr>
                <w:sz w:val="18"/>
              </w:rPr>
              <w:t xml:space="preserve">“</w:t>
            </w:r>
            <w:r>
              <w:rPr>
                <w:sz w:val="18"/>
              </w:rPr>
              <w:t xml:space="preserve">only this time</w:t>
            </w:r>
            <w:r>
              <w:rPr>
                <w:sz w:val="18"/>
              </w:rPr>
              <w:t xml:space="preserve">”</w:t>
            </w:r>
            <w:r>
              <w:rPr>
                <w:sz w:val="18"/>
              </w:rPr>
              <w:t xml:space="preserve">, approximate only</w:t>
            </w:r>
          </w:p>
        </w:tc>
        <w:tc>
          <w:tcPr>
            <w:tcW w:w="1444" w:type="dxa"/>
          </w:tcPr>
          <w:p>
            <w:pPr>
              <w:pStyle w:val="Compact"/>
              <w:spacing w:after="40"/>
              <w:jc w:val="left"/>
            </w:pPr>
            <w:r>
              <w:rPr>
                <w:sz w:val="18"/>
              </w:rPr>
              <w:t xml:space="preserve">Yes,</w:t>
            </w:r>
            <w:r>
              <w:rPr>
                <w:sz w:val="18"/>
              </w:rPr>
              <w:t xml:space="preserve"> </w:t>
            </w:r>
            <w:r>
              <w:rPr>
                <w:sz w:val="18"/>
              </w:rPr>
              <w:t xml:space="preserve">“</w:t>
            </w:r>
            <w:r>
              <w:rPr>
                <w:sz w:val="18"/>
              </w:rPr>
              <w:t xml:space="preserve">allow once</w:t>
            </w:r>
            <w:r>
              <w:rPr>
                <w:sz w:val="18"/>
              </w:rPr>
              <w:t xml:space="preserve">”</w:t>
            </w:r>
            <w:r>
              <w:rPr>
                <w:sz w:val="18"/>
              </w:rPr>
              <w:t xml:space="preserve">, reduced accuracy</w:t>
            </w:r>
          </w:p>
        </w:tc>
        <w:tc>
          <w:tcPr>
            <w:tcW w:w="3212" w:type="dxa"/>
          </w:tcPr>
          <w:p>
            <w:pPr>
              <w:pStyle w:val="Compact"/>
              <w:spacing w:after="40"/>
              <w:jc w:val="left"/>
            </w:pPr>
            <w:r>
              <w:rPr>
                <w:sz w:val="18"/>
              </w:rPr>
              <w:t xml:space="preserve">Yes, Geolocation API, called once; the browser returns precise coordinates and cannot be asked for approximate only, and the site permission may persist, so reduce precision before storage and never re-read it</w:t>
            </w:r>
          </w:p>
        </w:tc>
        <w:tc>
          <w:tcPr>
            <w:tcW w:w="2136" w:type="dxa"/>
          </w:tcPr>
          <w:p>
            <w:pPr>
              <w:pStyle w:val="Compact"/>
              <w:spacing w:after="40"/>
              <w:jc w:val="left"/>
            </w:pPr>
            <w:r>
              <w:rPr>
                <w:sz w:val="18"/>
              </w:rPr>
              <w:t xml:space="preserve">Onboarding/KYC only (Part 4.5); precise V-CIP geo-tag only in the RE’s browser session (Part 10.3)</w:t>
            </w:r>
          </w:p>
        </w:tc>
      </w:tr>
      <w:tr>
        <w:tc>
          <w:tcPr>
            <w:tcW w:w="1363" w:type="dxa"/>
          </w:tcPr>
          <w:p>
            <w:pPr>
              <w:pStyle w:val="Compact"/>
              <w:spacing w:after="40"/>
              <w:jc w:val="left"/>
            </w:pPr>
            <w:r>
              <w:rPr>
                <w:sz w:val="18"/>
              </w:rPr>
              <w:t xml:space="preserve">V-CIP by the RE’s official</w:t>
            </w:r>
          </w:p>
        </w:tc>
        <w:tc>
          <w:tcPr>
            <w:tcW w:w="1483" w:type="dxa"/>
          </w:tcPr>
          <w:p>
            <w:pPr>
              <w:pStyle w:val="Compact"/>
              <w:spacing w:after="40"/>
              <w:jc w:val="left"/>
            </w:pPr>
            <w:r>
              <w:rPr>
                <w:sz w:val="18"/>
              </w:rPr>
              <w:t xml:space="preserve">Yes, the RE’s web session opened from the app (Part 10.3)</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 browser WebRTC</w:t>
            </w:r>
          </w:p>
        </w:tc>
        <w:tc>
          <w:tcPr>
            <w:tcW w:w="2136" w:type="dxa"/>
          </w:tcPr>
          <w:p>
            <w:pPr>
              <w:pStyle w:val="Compact"/>
              <w:spacing w:after="40"/>
              <w:jc w:val="left"/>
            </w:pPr>
            <w:r>
              <w:rPr>
                <w:sz w:val="18"/>
              </w:rPr>
              <w:t xml:space="preserve">RE’s infrastructure and official; Udofin only launches the RE’s V-CIP session and hosts no V-CIP component (KYC para 27)</w:t>
            </w:r>
          </w:p>
        </w:tc>
      </w:tr>
      <w:tr>
        <w:tc>
          <w:tcPr>
            <w:tcW w:w="1363" w:type="dxa"/>
          </w:tcPr>
          <w:p>
            <w:pPr>
              <w:pStyle w:val="Compact"/>
              <w:spacing w:after="40"/>
              <w:jc w:val="left"/>
            </w:pPr>
            <w:r>
              <w:rPr>
                <w:sz w:val="18"/>
              </w:rPr>
              <w:t xml:space="preserve">DigiLocker, CKYC identifier capture, PAN check</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Through RE-authorised channels</w:t>
            </w:r>
          </w:p>
        </w:tc>
      </w:tr>
      <w:tr>
        <w:tc>
          <w:tcPr>
            <w:tcW w:w="1363" w:type="dxa"/>
          </w:tcPr>
          <w:p>
            <w:pPr>
              <w:pStyle w:val="Compact"/>
              <w:spacing w:after="40"/>
              <w:jc w:val="left"/>
            </w:pPr>
            <w:r>
              <w:rPr>
                <w:sz w:val="18"/>
              </w:rPr>
              <w:t xml:space="preserve">Bureau and AA consent</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AA consent screens are the AA’s own</w:t>
            </w:r>
          </w:p>
        </w:tc>
      </w:tr>
      <w:tr>
        <w:tc>
          <w:tcPr>
            <w:tcW w:w="1363" w:type="dxa"/>
          </w:tcPr>
          <w:p>
            <w:pPr>
              <w:pStyle w:val="Compact"/>
              <w:spacing w:after="40"/>
              <w:jc w:val="left"/>
            </w:pPr>
            <w:r>
              <w:rPr>
                <w:sz w:val="18"/>
              </w:rPr>
              <w:t xml:space="preserve">Offer comparison and KFS</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Identical content and ranking on every channel (CF para 7)</w:t>
            </w:r>
          </w:p>
        </w:tc>
      </w:tr>
      <w:tr>
        <w:tc>
          <w:tcPr>
            <w:tcW w:w="1363" w:type="dxa"/>
          </w:tcPr>
          <w:p>
            <w:pPr>
              <w:pStyle w:val="Compact"/>
              <w:spacing w:after="40"/>
              <w:jc w:val="left"/>
            </w:pPr>
            <w:r>
              <w:rPr>
                <w:sz w:val="18"/>
              </w:rPr>
              <w:t xml:space="preserve">Aadhaar eSign and eStamp</w:t>
            </w:r>
          </w:p>
        </w:tc>
        <w:tc>
          <w:tcPr>
            <w:tcW w:w="1483" w:type="dxa"/>
          </w:tcPr>
          <w:p>
            <w:pPr>
              <w:pStyle w:val="Compact"/>
              <w:spacing w:after="40"/>
              <w:jc w:val="left"/>
            </w:pPr>
            <w:r>
              <w:rPr>
                <w:sz w:val="18"/>
              </w:rPr>
              <w:t xml:space="preserve">Yes, provider web view or redirect</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 redirect</w:t>
            </w:r>
          </w:p>
        </w:tc>
        <w:tc>
          <w:tcPr>
            <w:tcW w:w="2136" w:type="dxa"/>
          </w:tcPr>
          <w:p>
            <w:pPr>
              <w:pStyle w:val="Compact"/>
              <w:spacing w:after="40"/>
              <w:jc w:val="left"/>
            </w:pPr>
            <w:r>
              <w:rPr>
                <w:sz w:val="18"/>
              </w:rPr>
              <w:t xml:space="preserve">Evidence captured server-side</w:t>
            </w:r>
          </w:p>
        </w:tc>
      </w:tr>
      <w:tr>
        <w:tc>
          <w:tcPr>
            <w:tcW w:w="1363" w:type="dxa"/>
          </w:tcPr>
          <w:p>
            <w:pPr>
              <w:pStyle w:val="Compact"/>
              <w:spacing w:after="40"/>
              <w:jc w:val="left"/>
            </w:pPr>
            <w:r>
              <w:rPr>
                <w:sz w:val="18"/>
              </w:rPr>
              <w:t xml:space="preserve">eNACH mandate</w:t>
            </w:r>
          </w:p>
        </w:tc>
        <w:tc>
          <w:tcPr>
            <w:tcW w:w="1483" w:type="dxa"/>
          </w:tcPr>
          <w:p>
            <w:pPr>
              <w:pStyle w:val="Compact"/>
              <w:spacing w:after="40"/>
              <w:jc w:val="left"/>
            </w:pPr>
            <w:r>
              <w:rPr>
                <w:sz w:val="18"/>
              </w:rPr>
              <w:t xml:space="preserve">Yes, net banking or debit-card redirect</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Mandate in favour of the RE</w:t>
            </w:r>
          </w:p>
        </w:tc>
      </w:tr>
      <w:tr>
        <w:tc>
          <w:tcPr>
            <w:tcW w:w="1363" w:type="dxa"/>
          </w:tcPr>
          <w:p>
            <w:pPr>
              <w:pStyle w:val="Compact"/>
              <w:spacing w:after="40"/>
              <w:jc w:val="left"/>
            </w:pPr>
            <w:r>
              <w:rPr>
                <w:sz w:val="18"/>
              </w:rPr>
              <w:t xml:space="preserve">UPI AutoPay and UPI payment</w:t>
            </w:r>
          </w:p>
        </w:tc>
        <w:tc>
          <w:tcPr>
            <w:tcW w:w="1483" w:type="dxa"/>
          </w:tcPr>
          <w:p>
            <w:pPr>
              <w:pStyle w:val="Compact"/>
              <w:spacing w:after="40"/>
              <w:jc w:val="left"/>
            </w:pPr>
            <w:r>
              <w:rPr>
                <w:sz w:val="18"/>
              </w:rPr>
              <w:t xml:space="preserve">Yes, UPI intent</w:t>
            </w:r>
          </w:p>
        </w:tc>
        <w:tc>
          <w:tcPr>
            <w:tcW w:w="1444" w:type="dxa"/>
          </w:tcPr>
          <w:p>
            <w:pPr>
              <w:pStyle w:val="Compact"/>
              <w:spacing w:after="40"/>
              <w:jc w:val="left"/>
            </w:pPr>
            <w:r>
              <w:rPr>
                <w:sz w:val="18"/>
              </w:rPr>
              <w:t xml:space="preserve">Yes, UPI app switch [VERIFY iOS intent support per PSP]</w:t>
            </w:r>
          </w:p>
        </w:tc>
        <w:tc>
          <w:tcPr>
            <w:tcW w:w="3212" w:type="dxa"/>
          </w:tcPr>
          <w:p>
            <w:pPr>
              <w:pStyle w:val="Compact"/>
              <w:spacing w:after="40"/>
              <w:jc w:val="left"/>
            </w:pPr>
            <w:r>
              <w:rPr>
                <w:sz w:val="18"/>
              </w:rPr>
              <w:t xml:space="preserve">UPI intent on Android mobile browsers, QR on desktop; collect request only as P2M where the RE’s PSP supports it (NPCI ended P2P collect from 1 Oct 2025)</w:t>
            </w:r>
          </w:p>
        </w:tc>
        <w:tc>
          <w:tcPr>
            <w:tcW w:w="2136" w:type="dxa"/>
          </w:tcPr>
          <w:p>
            <w:pPr>
              <w:pStyle w:val="Compact"/>
              <w:spacing w:after="40"/>
              <w:jc w:val="left"/>
            </w:pPr>
            <w:r>
              <w:rPr>
                <w:sz w:val="18"/>
              </w:rPr>
              <w:t xml:space="preserve">Settles to the RE’s account</w:t>
            </w:r>
          </w:p>
        </w:tc>
      </w:tr>
      <w:tr>
        <w:tc>
          <w:tcPr>
            <w:tcW w:w="1363" w:type="dxa"/>
          </w:tcPr>
          <w:p>
            <w:pPr>
              <w:pStyle w:val="Compact"/>
              <w:spacing w:after="40"/>
              <w:jc w:val="left"/>
            </w:pPr>
            <w:r>
              <w:rPr>
                <w:sz w:val="18"/>
              </w:rPr>
              <w:t xml:space="preserve">Push notifications</w:t>
            </w:r>
          </w:p>
        </w:tc>
        <w:tc>
          <w:tcPr>
            <w:tcW w:w="1483" w:type="dxa"/>
          </w:tcPr>
          <w:p>
            <w:pPr>
              <w:pStyle w:val="Compact"/>
              <w:spacing w:after="40"/>
              <w:jc w:val="left"/>
            </w:pPr>
            <w:r>
              <w:rPr>
                <w:sz w:val="18"/>
              </w:rPr>
              <w:t xml:space="preserve">Yes, FCM</w:t>
            </w:r>
          </w:p>
        </w:tc>
        <w:tc>
          <w:tcPr>
            <w:tcW w:w="1444" w:type="dxa"/>
          </w:tcPr>
          <w:p>
            <w:pPr>
              <w:pStyle w:val="Compact"/>
              <w:spacing w:after="40"/>
              <w:jc w:val="left"/>
            </w:pPr>
            <w:r>
              <w:rPr>
                <w:sz w:val="18"/>
              </w:rPr>
              <w:t xml:space="preserve">Yes, APNs</w:t>
            </w:r>
          </w:p>
        </w:tc>
        <w:tc>
          <w:tcPr>
            <w:tcW w:w="3212" w:type="dxa"/>
          </w:tcPr>
          <w:p>
            <w:pPr>
              <w:pStyle w:val="Compact"/>
              <w:spacing w:after="40"/>
              <w:jc w:val="left"/>
            </w:pPr>
            <w:r>
              <w:rPr>
                <w:sz w:val="18"/>
              </w:rPr>
              <w:t xml:space="preserve">Web push in Chrome, Edge and Firefox without installation; on iPhone and iPad only from iOS/iPadOS 16.4 and only after the borrower adds the web app to the Home Screen; SMS or email fallback for service alerts</w:t>
            </w:r>
          </w:p>
        </w:tc>
        <w:tc>
          <w:tcPr>
            <w:tcW w:w="2136" w:type="dxa"/>
          </w:tcPr>
          <w:p>
            <w:pPr>
              <w:pStyle w:val="Compact"/>
              <w:spacing w:after="40"/>
              <w:jc w:val="left"/>
            </w:pPr>
            <w:r>
              <w:rPr>
                <w:sz w:val="18"/>
              </w:rPr>
              <w:t xml:space="preserve">Service messages separate from marketing consent</w:t>
            </w:r>
          </w:p>
        </w:tc>
      </w:tr>
      <w:tr>
        <w:tc>
          <w:tcPr>
            <w:tcW w:w="1363" w:type="dxa"/>
          </w:tcPr>
          <w:p>
            <w:pPr>
              <w:pStyle w:val="Compact"/>
              <w:spacing w:after="40"/>
              <w:jc w:val="left"/>
            </w:pPr>
            <w:r>
              <w:rPr>
                <w:sz w:val="18"/>
              </w:rPr>
              <w:t xml:space="preserve">Biometric unlock</w:t>
            </w:r>
          </w:p>
        </w:tc>
        <w:tc>
          <w:tcPr>
            <w:tcW w:w="1483" w:type="dxa"/>
          </w:tcPr>
          <w:p>
            <w:pPr>
              <w:pStyle w:val="Compact"/>
              <w:spacing w:after="40"/>
              <w:jc w:val="left"/>
            </w:pPr>
            <w:r>
              <w:rPr>
                <w:sz w:val="18"/>
              </w:rPr>
              <w:t xml:space="preserve">Yes, OS biometric prompt</w:t>
            </w:r>
          </w:p>
        </w:tc>
        <w:tc>
          <w:tcPr>
            <w:tcW w:w="1444" w:type="dxa"/>
          </w:tcPr>
          <w:p>
            <w:pPr>
              <w:pStyle w:val="Compact"/>
              <w:spacing w:after="40"/>
              <w:jc w:val="left"/>
            </w:pPr>
            <w:r>
              <w:rPr>
                <w:sz w:val="18"/>
              </w:rPr>
              <w:t xml:space="preserve">Yes, Face ID or Touch ID</w:t>
            </w:r>
          </w:p>
        </w:tc>
        <w:tc>
          <w:tcPr>
            <w:tcW w:w="3212" w:type="dxa"/>
          </w:tcPr>
          <w:p>
            <w:pPr>
              <w:pStyle w:val="Compact"/>
              <w:spacing w:after="40"/>
              <w:jc w:val="left"/>
            </w:pPr>
            <w:r>
              <w:rPr>
                <w:sz w:val="18"/>
              </w:rPr>
              <w:t xml:space="preserve">Passkey</w:t>
            </w:r>
          </w:p>
        </w:tc>
        <w:tc>
          <w:tcPr>
            <w:tcW w:w="2136" w:type="dxa"/>
          </w:tcPr>
          <w:p>
            <w:pPr>
              <w:pStyle w:val="Compact"/>
              <w:spacing w:after="40"/>
              <w:jc w:val="left"/>
            </w:pPr>
            <w:r>
              <w:rPr>
                <w:sz w:val="18"/>
              </w:rPr>
              <w:t xml:space="preserve">Local OS feature; no biometric data leaves the device</w:t>
            </w:r>
          </w:p>
        </w:tc>
      </w:tr>
      <w:tr>
        <w:tc>
          <w:tcPr>
            <w:tcW w:w="1363" w:type="dxa"/>
          </w:tcPr>
          <w:p>
            <w:pPr>
              <w:pStyle w:val="Compact"/>
              <w:spacing w:after="40"/>
              <w:jc w:val="left"/>
            </w:pPr>
            <w:r>
              <w:rPr>
                <w:sz w:val="18"/>
              </w:rPr>
              <w:t xml:space="preserve">Root, jailbreak and remote-access detection</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Not possible; use risk signals and step-up</w:t>
            </w:r>
          </w:p>
        </w:tc>
        <w:tc>
          <w:tcPr>
            <w:tcW w:w="2136" w:type="dxa"/>
          </w:tcPr>
          <w:p>
            <w:pPr>
              <w:pStyle w:val="Compact"/>
              <w:spacing w:after="40"/>
              <w:jc w:val="left"/>
            </w:pPr>
            <w:r>
              <w:rPr>
                <w:sz w:val="18"/>
              </w:rPr>
              <w:t xml:space="preserve">DPS para 68 used as a baseline by policy</w:t>
            </w:r>
          </w:p>
        </w:tc>
      </w:tr>
      <w:tr>
        <w:tc>
          <w:tcPr>
            <w:tcW w:w="1363" w:type="dxa"/>
          </w:tcPr>
          <w:p>
            <w:pPr>
              <w:pStyle w:val="Compact"/>
              <w:spacing w:after="40"/>
              <w:jc w:val="left"/>
            </w:pPr>
            <w:r>
              <w:rPr>
                <w:sz w:val="18"/>
              </w:rPr>
              <w:t xml:space="preserve">Loan dashboard, books-of-accounts view, documents</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From the loan mirror (U12, U25)</w:t>
            </w:r>
          </w:p>
        </w:tc>
      </w:tr>
      <w:tr>
        <w:tc>
          <w:tcPr>
            <w:tcW w:w="1363" w:type="dxa"/>
          </w:tcPr>
          <w:p>
            <w:pPr>
              <w:pStyle w:val="Compact"/>
              <w:spacing w:after="40"/>
              <w:jc w:val="left"/>
            </w:pPr>
            <w:r>
              <w:rPr>
                <w:sz w:val="18"/>
              </w:rPr>
              <w:t xml:space="preserve">Grievance, AI assistant, Equator access</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No separate Equator app</w:t>
            </w:r>
          </w:p>
        </w:tc>
      </w:tr>
      <w:tr>
        <w:tc>
          <w:tcPr>
            <w:tcW w:w="1363" w:type="dxa"/>
          </w:tcPr>
          <w:p>
            <w:pPr>
              <w:pStyle w:val="Compact"/>
              <w:spacing w:after="40"/>
              <w:jc w:val="left"/>
            </w:pPr>
            <w:r>
              <w:rPr>
                <w:sz w:val="18"/>
              </w:rPr>
              <w:t xml:space="preserve">Field app features</w:t>
            </w:r>
          </w:p>
        </w:tc>
        <w:tc>
          <w:tcPr>
            <w:tcW w:w="1483" w:type="dxa"/>
          </w:tcPr>
          <w:p>
            <w:pPr>
              <w:pStyle w:val="Compact"/>
              <w:spacing w:after="40"/>
              <w:jc w:val="left"/>
            </w:pPr>
            <w:r>
              <w:rPr>
                <w:sz w:val="18"/>
              </w:rPr>
              <w:t xml:space="preserve">No</w:t>
            </w:r>
          </w:p>
        </w:tc>
        <w:tc>
          <w:tcPr>
            <w:tcW w:w="1444" w:type="dxa"/>
          </w:tcPr>
          <w:p>
            <w:pPr>
              <w:pStyle w:val="Compact"/>
              <w:spacing w:after="40"/>
              <w:jc w:val="left"/>
            </w:pPr>
            <w:r>
              <w:rPr>
                <w:sz w:val="18"/>
              </w:rPr>
              <w:t xml:space="preserve">No</w:t>
            </w:r>
          </w:p>
        </w:tc>
        <w:tc>
          <w:tcPr>
            <w:tcW w:w="3212" w:type="dxa"/>
          </w:tcPr>
          <w:p>
            <w:pPr>
              <w:pStyle w:val="Compact"/>
              <w:spacing w:after="40"/>
              <w:jc w:val="left"/>
            </w:pPr>
            <w:r>
              <w:rPr>
                <w:sz w:val="18"/>
              </w:rPr>
              <w:t xml:space="preserve">No</w:t>
            </w:r>
          </w:p>
        </w:tc>
        <w:tc>
          <w:tcPr>
            <w:tcW w:w="2136" w:type="dxa"/>
          </w:tcPr>
          <w:p>
            <w:pPr>
              <w:pStyle w:val="Compact"/>
              <w:spacing w:after="40"/>
              <w:jc w:val="left"/>
            </w:pPr>
            <w:r>
              <w:rPr>
                <w:sz w:val="18"/>
              </w:rPr>
              <w:t xml:space="preserve">Channel E only</w:t>
            </w:r>
          </w:p>
        </w:tc>
      </w:tr>
    </w:tbl>
    <w:p>
      <w:pPr>
        <w:pStyle w:val="BodyText"/>
      </w:pPr>
      <w:r>
        <w:rPr>
          <w:bCs/>
          <w:b/>
        </w:rPr>
        <w:t xml:space="preserve">Deep links and hand-off rules:</w:t>
      </w:r>
    </w:p>
    <w:p>
      <w:pPr>
        <w:numPr>
          <w:ilvl w:val="0"/>
          <w:numId w:val="1007"/>
        </w:numPr>
        <w:pStyle w:val="Compact"/>
      </w:pPr>
      <w:r>
        <w:t xml:space="preserve">Use verified Android App Links and iOS Universal Links on a Udofin-controlled domain; never custom URL schemes for anything sensitive.</w:t>
      </w:r>
    </w:p>
    <w:p>
      <w:pPr>
        <w:numPr>
          <w:ilvl w:val="0"/>
          <w:numId w:val="1007"/>
        </w:numPr>
        <w:pStyle w:val="Compact"/>
      </w:pPr>
      <w:r>
        <w:t xml:space="preserve">A web-to-app hand-off uses a QR code or link carrying a single-use, short-lived (for example 5 minutes), journey-bound token. It never carries PII, OTPs or document references.</w:t>
      </w:r>
    </w:p>
    <w:p>
      <w:pPr>
        <w:numPr>
          <w:ilvl w:val="0"/>
          <w:numId w:val="1007"/>
        </w:numPr>
        <w:pStyle w:val="Compact"/>
      </w:pPr>
      <w:r>
        <w:t xml:space="preserve">The receiving channel re-authenticates the borrower before resuming. The journey state lives on the server, so the borrower resumes at the same step on any channel.</w:t>
      </w:r>
    </w:p>
    <w:p>
      <w:pPr>
        <w:numPr>
          <w:ilvl w:val="0"/>
          <w:numId w:val="1007"/>
        </w:numPr>
        <w:pStyle w:val="Compact"/>
      </w:pPr>
      <w:r>
        <w:t xml:space="preserve">If a step needs a native capability that the browser lacks, hand off; never weaken the control to keep the borrower on the web.</w:t>
      </w:r>
    </w:p>
    <w:p>
      <w:pPr>
        <w:numPr>
          <w:ilvl w:val="0"/>
          <w:numId w:val="1007"/>
        </w:numPr>
        <w:pStyle w:val="Compact"/>
      </w:pPr>
      <w:r>
        <w:t xml:space="preserve">Every RE-specific link opens the RE’s own website disclosures page where required (CF para 9(5)).</w:t>
      </w:r>
    </w:p>
    <w:bookmarkEnd w:id="25"/>
    <w:bookmarkStart w:id="26" w:name="borrower-journey-design"/>
    <w:p>
      <w:pPr>
        <w:pStyle w:val="Heading2"/>
      </w:pPr>
      <w:r>
        <w:t xml:space="preserve">3.3 Borrower journey design</w:t>
      </w:r>
    </w:p>
    <w:p>
      <w:pPr>
        <w:numPr>
          <w:ilvl w:val="0"/>
          <w:numId w:val="1008"/>
        </w:numPr>
        <w:pStyle w:val="Compact"/>
      </w:pPr>
      <w:r>
        <w:rPr>
          <w:bCs/>
          <w:b/>
        </w:rPr>
        <w:t xml:space="preserve">Three to four interactions to begin an application</w:t>
      </w:r>
      <w:r>
        <w:t xml:space="preserve"> </w:t>
      </w:r>
      <w:r>
        <w:t xml:space="preserve">(original target), not to complete KYC, underwriting and execution. Default start: (1) enter mobile number and accept the platform notice; (2) verify OTP; (3) choose a product and enter amount and tenor; (4) give the purpose-specific consents needed for a first eligibility check. Everything else is progressive.</w:t>
      </w:r>
    </w:p>
    <w:p>
      <w:pPr>
        <w:numPr>
          <w:ilvl w:val="0"/>
          <w:numId w:val="1008"/>
        </w:numPr>
        <w:pStyle w:val="Compact"/>
      </w:pPr>
      <w:r>
        <w:rPr>
          <w:bCs/>
          <w:b/>
        </w:rPr>
        <w:t xml:space="preserve">Progressive disclosure.</w:t>
      </w:r>
      <w:r>
        <w:t xml:space="preserve"> </w:t>
      </w:r>
      <w:r>
        <w:t xml:space="preserve">Ask for each data item only at the step where it is needed, and say why it is needed and which lender will receive it (CF para 13(3)).</w:t>
      </w:r>
    </w:p>
    <w:p>
      <w:pPr>
        <w:numPr>
          <w:ilvl w:val="0"/>
          <w:numId w:val="1008"/>
        </w:numPr>
        <w:pStyle w:val="Compact"/>
      </w:pPr>
      <w:r>
        <w:rPr>
          <w:bCs/>
          <w:b/>
        </w:rPr>
        <w:t xml:space="preserve">Minimum mandatory data.</w:t>
      </w:r>
      <w:r>
        <w:t xml:space="preserve"> </w:t>
      </w:r>
      <w:r>
        <w:t xml:space="preserve">Age, occupation and income are captured for every application because the RE must assess creditworthiness on them (CF para 8(1)). Household income is captured for every collateral-free loan because of the microfinance test (CF para 51; Part 6).</w:t>
      </w:r>
    </w:p>
    <w:p>
      <w:pPr>
        <w:numPr>
          <w:ilvl w:val="0"/>
          <w:numId w:val="1008"/>
        </w:numPr>
        <w:pStyle w:val="Compact"/>
      </w:pPr>
      <w:r>
        <w:rPr>
          <w:bCs/>
          <w:b/>
        </w:rPr>
        <w:t xml:space="preserve">Resumable journeys.</w:t>
      </w:r>
      <w:r>
        <w:t xml:space="preserve"> </w:t>
      </w:r>
      <w:r>
        <w:t xml:space="preserve">Server-side journey state with explicit states and transitions; safe resumption after an app kill, network loss or channel switch; expiry rules for stale consents, offers and KFS validity.</w:t>
      </w:r>
    </w:p>
    <w:p>
      <w:pPr>
        <w:numPr>
          <w:ilvl w:val="0"/>
          <w:numId w:val="1008"/>
        </w:numPr>
        <w:pStyle w:val="Compact"/>
      </w:pPr>
      <w:r>
        <w:rPr>
          <w:bCs/>
          <w:b/>
        </w:rPr>
        <w:t xml:space="preserve">Permission at the point of use.</w:t>
      </w:r>
      <w:r>
        <w:t xml:space="preserve"> </w:t>
      </w:r>
      <w:r>
        <w:t xml:space="preserve">Request a device permission only at the step that needs it, after an explanation screen, and release it afterwards (Part 4.5).</w:t>
      </w:r>
    </w:p>
    <w:p>
      <w:pPr>
        <w:numPr>
          <w:ilvl w:val="0"/>
          <w:numId w:val="1008"/>
        </w:numPr>
        <w:pStyle w:val="Compact"/>
      </w:pPr>
      <w:r>
        <w:rPr>
          <w:bCs/>
          <w:b/>
        </w:rPr>
        <w:t xml:space="preserve">No shortcuts past controls.</w:t>
      </w:r>
      <w:r>
        <w:t xml:space="preserve"> </w:t>
      </w:r>
      <w:r>
        <w:t xml:space="preserve">Fewer clicks must never bypass verification, consent, disclosure, the KFS or the RE’s underwriting.</w:t>
      </w:r>
    </w:p>
    <w:p>
      <w:pPr>
        <w:numPr>
          <w:ilvl w:val="0"/>
          <w:numId w:val="1008"/>
        </w:numPr>
        <w:pStyle w:val="Compact"/>
      </w:pPr>
      <w:r>
        <w:rPr>
          <w:bCs/>
          <w:b/>
        </w:rPr>
        <w:t xml:space="preserve">Transparency.</w:t>
      </w:r>
      <w:r>
        <w:t xml:space="preserve"> </w:t>
      </w:r>
      <w:r>
        <w:t xml:space="preserve">Show who the lender is, that Udofin is the RE’s LSP, every charge, the APR, the cooling-off right and the grievance route at the moment they matter. After disbursal, give the borrower a</w:t>
      </w:r>
      <w:r>
        <w:t xml:space="preserve"> </w:t>
      </w:r>
      <w:r>
        <w:t xml:space="preserve">“</w:t>
      </w:r>
      <w:r>
        <w:t xml:space="preserve">books of accounts</w:t>
      </w:r>
      <w:r>
        <w:t xml:space="preserve">”</w:t>
      </w:r>
      <w:r>
        <w:t xml:space="preserve"> </w:t>
      </w:r>
      <w:r>
        <w:t xml:space="preserve">view of every amount disbursed, charged, paid and outstanding (U25).</w:t>
      </w:r>
    </w:p>
    <w:p>
      <w:pPr>
        <w:numPr>
          <w:ilvl w:val="0"/>
          <w:numId w:val="1008"/>
        </w:numPr>
        <w:pStyle w:val="Compact"/>
      </w:pPr>
      <w:r>
        <w:rPr>
          <w:bCs/>
          <w:b/>
        </w:rPr>
        <w:t xml:space="preserve">Accessibility.</w:t>
      </w:r>
      <w:r>
        <w:t xml:space="preserve"> </w:t>
      </w:r>
      <w:r>
        <w:t xml:space="preserve">WCAG 2.2 AA as the target on web and the equivalent platform accessibility APIs on mobile; dynamic type, screen-reader labels, sufficient contrast, no colour-only signals, and generous touch targets.</w:t>
      </w:r>
    </w:p>
    <w:p>
      <w:pPr>
        <w:numPr>
          <w:ilvl w:val="0"/>
          <w:numId w:val="1008"/>
        </w:numPr>
        <w:pStyle w:val="Compact"/>
      </w:pPr>
      <w:r>
        <w:rPr>
          <w:bCs/>
          <w:b/>
        </w:rPr>
        <w:t xml:space="preserve">Multilingual.</w:t>
      </w:r>
      <w:r>
        <w:t xml:space="preserve"> </w:t>
      </w:r>
      <w:r>
        <w:t xml:space="preserve">English and Hindi in the MVP; major regional languages next. The KFS must be in a language the borrower understands (RBC para 29(1)), so the language choice is stored and passed to the RE.</w:t>
      </w:r>
    </w:p>
    <w:p>
      <w:pPr>
        <w:numPr>
          <w:ilvl w:val="0"/>
          <w:numId w:val="1008"/>
        </w:numPr>
        <w:pStyle w:val="Compact"/>
      </w:pPr>
      <w:r>
        <w:rPr>
          <w:bCs/>
          <w:b/>
        </w:rPr>
        <w:t xml:space="preserve">Clear errors and recovery.</w:t>
      </w:r>
      <w:r>
        <w:t xml:space="preserve"> </w:t>
      </w:r>
      <w:r>
        <w:t xml:space="preserve">Every error says what happened, whether data was saved and what to do next. Never show raw provider errors.</w:t>
      </w:r>
    </w:p>
    <w:p>
      <w:pPr>
        <w:numPr>
          <w:ilvl w:val="0"/>
          <w:numId w:val="1008"/>
        </w:numPr>
        <w:pStyle w:val="Compact"/>
      </w:pPr>
      <w:r>
        <w:rPr>
          <w:bCs/>
          <w:b/>
        </w:rPr>
        <w:t xml:space="preserve">Feedback.</w:t>
      </w:r>
      <w:r>
        <w:t xml:space="preserve"> </w:t>
      </w:r>
      <w:r>
        <w:t xml:space="preserve">Lightweight feedback prompts after key events (application, disbursal, grievance closure) and a permanent feedback entry point (U16).</w:t>
      </w:r>
    </w:p>
    <w:bookmarkEnd w:id="26"/>
    <w:bookmarkStart w:id="27" w:name="customisation-philosophy"/>
    <w:p>
      <w:pPr>
        <w:pStyle w:val="Heading2"/>
      </w:pPr>
      <w:r>
        <w:t xml:space="preserve">3.4 Customisation philosophy</w:t>
      </w:r>
    </w:p>
    <w:p>
      <w:pPr>
        <w:pStyle w:val="FirstParagraph"/>
      </w:pPr>
      <w:r>
        <w:t xml:space="preserve">Provide customisation for every product, journey, document, integration, communication, report and screen, through a governed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57"/>
        <w:gridCol w:w="2408"/>
        <w:gridCol w:w="4373"/>
      </w:tblGrid>
      <w:tr>
        <w:trPr>
          <w:tblHeader w:val="true"/>
          <w:tblHeader w:val="true"/>
        </w:trPr>
        <w:tc>
          <w:tcPr>
            <w:tcW w:w="2857" w:type="dxa"/>
            <w:shd w:val="clear" w:color="auto" w:fill="1F3A5F"/>
          </w:tcPr>
          <w:p>
            <w:pPr>
              <w:pStyle w:val="Compact"/>
              <w:spacing w:after="40"/>
              <w:jc w:val="left"/>
            </w:pPr>
            <w:r>
              <w:rPr>
                <w:b/>
                <w:color w:val="FFFFFF"/>
                <w:sz w:val="18"/>
              </w:rPr>
              <w:t xml:space="preserve">Layer</w:t>
            </w:r>
          </w:p>
        </w:tc>
        <w:tc>
          <w:tcPr>
            <w:tcW w:w="2408" w:type="dxa"/>
            <w:shd w:val="clear" w:color="auto" w:fill="1F3A5F"/>
          </w:tcPr>
          <w:p>
            <w:pPr>
              <w:pStyle w:val="Compact"/>
              <w:spacing w:after="40"/>
              <w:jc w:val="left"/>
            </w:pPr>
            <w:r>
              <w:rPr>
                <w:b/>
                <w:color w:val="FFFFFF"/>
                <w:sz w:val="18"/>
              </w:rPr>
              <w:t xml:space="preserve">Who can change it</w:t>
            </w:r>
          </w:p>
        </w:tc>
        <w:tc>
          <w:tcPr>
            <w:tcW w:w="4373" w:type="dxa"/>
            <w:shd w:val="clear" w:color="auto" w:fill="1F3A5F"/>
          </w:tcPr>
          <w:p>
            <w:pPr>
              <w:pStyle w:val="Compact"/>
              <w:spacing w:after="40"/>
              <w:jc w:val="left"/>
            </w:pPr>
            <w:r>
              <w:rPr>
                <w:b/>
                <w:color w:val="FFFFFF"/>
                <w:sz w:val="18"/>
              </w:rPr>
              <w:t xml:space="preserve">Examples</w:t>
            </w:r>
          </w:p>
        </w:tc>
      </w:tr>
      <w:tr>
        <w:tc>
          <w:tcPr>
            <w:tcW w:w="2857" w:type="dxa"/>
          </w:tcPr>
          <w:p>
            <w:pPr>
              <w:pStyle w:val="Compact"/>
              <w:spacing w:after="40"/>
              <w:jc w:val="left"/>
            </w:pPr>
            <w:r>
              <w:rPr>
                <w:bCs/>
                <w:b/>
                <w:sz w:val="18"/>
              </w:rPr>
              <w:t xml:space="preserve">Standard core</w:t>
            </w:r>
            <w:r>
              <w:rPr>
                <w:sz w:val="18"/>
              </w:rPr>
              <w:t xml:space="preserve"> </w:t>
            </w:r>
            <w:r>
              <w:rPr>
                <w:sz w:val="18"/>
              </w:rPr>
              <w:t xml:space="preserve">(code, platform-controlled)</w:t>
            </w:r>
          </w:p>
        </w:tc>
        <w:tc>
          <w:tcPr>
            <w:tcW w:w="2408" w:type="dxa"/>
          </w:tcPr>
          <w:p>
            <w:pPr>
              <w:pStyle w:val="Compact"/>
              <w:spacing w:after="40"/>
              <w:jc w:val="left"/>
            </w:pPr>
            <w:r>
              <w:rPr>
                <w:sz w:val="18"/>
              </w:rPr>
              <w:t xml:space="preserve">Infrabyx, by release</w:t>
            </w:r>
          </w:p>
        </w:tc>
        <w:tc>
          <w:tcPr>
            <w:tcW w:w="4373" w:type="dxa"/>
          </w:tcPr>
          <w:p>
            <w:pPr>
              <w:pStyle w:val="Compact"/>
              <w:spacing w:after="40"/>
              <w:jc w:val="left"/>
            </w:pPr>
            <w:r>
              <w:rPr>
                <w:sz w:val="18"/>
              </w:rPr>
              <w:t xml:space="preserve">Consent engine, permission policy, offer-neutrality engine, money-flow guards, audit, security, tenant isolation</w:t>
            </w:r>
          </w:p>
        </w:tc>
      </w:tr>
      <w:tr>
        <w:tc>
          <w:tcPr>
            <w:tcW w:w="2857" w:type="dxa"/>
          </w:tcPr>
          <w:p>
            <w:pPr>
              <w:pStyle w:val="Compact"/>
              <w:spacing w:after="40"/>
              <w:jc w:val="left"/>
            </w:pPr>
            <w:r>
              <w:rPr>
                <w:bCs/>
                <w:b/>
                <w:sz w:val="18"/>
              </w:rPr>
              <w:t xml:space="preserve">Tenant-safe configuration</w:t>
            </w:r>
            <w:r>
              <w:rPr>
                <w:sz w:val="18"/>
              </w:rPr>
              <w:t xml:space="preserve"> </w:t>
            </w:r>
            <w:r>
              <w:rPr>
                <w:sz w:val="18"/>
              </w:rPr>
              <w:t xml:space="preserve">(UI, maker-checker inside the RE or Udofin)</w:t>
            </w:r>
          </w:p>
        </w:tc>
        <w:tc>
          <w:tcPr>
            <w:tcW w:w="2408" w:type="dxa"/>
          </w:tcPr>
          <w:p>
            <w:pPr>
              <w:pStyle w:val="Compact"/>
              <w:spacing w:after="40"/>
              <w:jc w:val="left"/>
            </w:pPr>
            <w:r>
              <w:rPr>
                <w:sz w:val="18"/>
              </w:rPr>
              <w:t xml:space="preserve">RE administrator or Udofin operations</w:t>
            </w:r>
          </w:p>
        </w:tc>
        <w:tc>
          <w:tcPr>
            <w:tcW w:w="4373" w:type="dxa"/>
          </w:tcPr>
          <w:p>
            <w:pPr>
              <w:pStyle w:val="Compact"/>
              <w:spacing w:after="40"/>
              <w:jc w:val="left"/>
            </w:pPr>
            <w:r>
              <w:rPr>
                <w:sz w:val="18"/>
              </w:rPr>
              <w:t xml:space="preserve">Branding within the theme tokens, document checklists, communication templates (non-regulatory parts), support hours, report schedules, journey copy within approved slots</w:t>
            </w:r>
          </w:p>
        </w:tc>
      </w:tr>
      <w:tr>
        <w:tc>
          <w:tcPr>
            <w:tcW w:w="2857" w:type="dxa"/>
          </w:tcPr>
          <w:p>
            <w:pPr>
              <w:pStyle w:val="Compact"/>
              <w:spacing w:after="40"/>
              <w:jc w:val="left"/>
            </w:pPr>
            <w:r>
              <w:rPr>
                <w:bCs/>
                <w:b/>
                <w:sz w:val="18"/>
              </w:rPr>
              <w:t xml:space="preserve">Platform-approved configuration</w:t>
            </w:r>
            <w:r>
              <w:rPr>
                <w:sz w:val="18"/>
              </w:rPr>
              <w:t xml:space="preserve"> </w:t>
            </w:r>
            <w:r>
              <w:rPr>
                <w:sz w:val="18"/>
              </w:rPr>
              <w:t xml:space="preserve">(Udofin approval and validation rule)</w:t>
            </w:r>
          </w:p>
        </w:tc>
        <w:tc>
          <w:tcPr>
            <w:tcW w:w="2408" w:type="dxa"/>
          </w:tcPr>
          <w:p>
            <w:pPr>
              <w:pStyle w:val="Compact"/>
              <w:spacing w:after="40"/>
              <w:jc w:val="left"/>
            </w:pPr>
            <w:r>
              <w:rPr>
                <w:sz w:val="18"/>
              </w:rPr>
              <w:t xml:space="preserve">Udofin product and risk teams on an RE request</w:t>
            </w:r>
          </w:p>
        </w:tc>
        <w:tc>
          <w:tcPr>
            <w:tcW w:w="4373" w:type="dxa"/>
          </w:tcPr>
          <w:p>
            <w:pPr>
              <w:pStyle w:val="Compact"/>
              <w:spacing w:after="40"/>
              <w:jc w:val="left"/>
            </w:pPr>
            <w:r>
              <w:rPr>
                <w:sz w:val="18"/>
              </w:rPr>
              <w:t xml:space="preserve">New product template, eligibility routing rules, connector mapping, new data pull, journey step order, feature flags per RE</w:t>
            </w:r>
          </w:p>
        </w:tc>
      </w:tr>
      <w:tr>
        <w:tc>
          <w:tcPr>
            <w:tcW w:w="2857" w:type="dxa"/>
          </w:tcPr>
          <w:p>
            <w:pPr>
              <w:pStyle w:val="Compact"/>
              <w:spacing w:after="40"/>
              <w:jc w:val="left"/>
            </w:pPr>
            <w:r>
              <w:rPr>
                <w:bCs/>
                <w:b/>
                <w:sz w:val="18"/>
              </w:rPr>
              <w:t xml:space="preserve">Legal-review configuration</w:t>
            </w:r>
            <w:r>
              <w:rPr>
                <w:sz w:val="18"/>
              </w:rPr>
              <w:t xml:space="preserve"> </w:t>
            </w:r>
            <w:r>
              <w:rPr>
                <w:sz w:val="18"/>
              </w:rPr>
              <w:t xml:space="preserve">(RE compliance sign-off plus Udofin legal review)</w:t>
            </w:r>
          </w:p>
        </w:tc>
        <w:tc>
          <w:tcPr>
            <w:tcW w:w="2408" w:type="dxa"/>
          </w:tcPr>
          <w:p>
            <w:pPr>
              <w:pStyle w:val="Compact"/>
              <w:spacing w:after="40"/>
              <w:jc w:val="left"/>
            </w:pPr>
            <w:r>
              <w:rPr>
                <w:sz w:val="18"/>
              </w:rPr>
              <w:t xml:space="preserve">RE CCO and Udofin legal</w:t>
            </w:r>
          </w:p>
        </w:tc>
        <w:tc>
          <w:tcPr>
            <w:tcW w:w="4373" w:type="dxa"/>
          </w:tcPr>
          <w:p>
            <w:pPr>
              <w:pStyle w:val="Compact"/>
              <w:spacing w:after="40"/>
              <w:jc w:val="left"/>
            </w:pPr>
            <w:r>
              <w:rPr>
                <w:sz w:val="18"/>
              </w:rPr>
              <w:t xml:space="preserve">Consent and notice wording, KFS template version, cooling-off period, privacy-policy text, DLG terms, recovery-contact policy, marketing consent wording, Equator referral wording</w:t>
            </w:r>
          </w:p>
        </w:tc>
      </w:tr>
      <w:tr>
        <w:tc>
          <w:tcPr>
            <w:tcW w:w="2857" w:type="dxa"/>
          </w:tcPr>
          <w:p>
            <w:pPr>
              <w:pStyle w:val="Compact"/>
              <w:spacing w:after="40"/>
              <w:jc w:val="left"/>
            </w:pPr>
            <w:r>
              <w:rPr>
                <w:bCs/>
                <w:b/>
                <w:sz w:val="18"/>
              </w:rPr>
              <w:t xml:space="preserve">Controlled extensions</w:t>
            </w:r>
          </w:p>
        </w:tc>
        <w:tc>
          <w:tcPr>
            <w:tcW w:w="2408" w:type="dxa"/>
          </w:tcPr>
          <w:p>
            <w:pPr>
              <w:pStyle w:val="Compact"/>
              <w:spacing w:after="40"/>
              <w:jc w:val="left"/>
            </w:pPr>
            <w:r>
              <w:rPr>
                <w:sz w:val="18"/>
              </w:rPr>
              <w:t xml:space="preserve">Infrabyx, or an RE developer through the connector SDK</w:t>
            </w:r>
          </w:p>
        </w:tc>
        <w:tc>
          <w:tcPr>
            <w:tcW w:w="4373" w:type="dxa"/>
          </w:tcPr>
          <w:p>
            <w:pPr>
              <w:pStyle w:val="Compact"/>
              <w:spacing w:after="40"/>
              <w:jc w:val="left"/>
            </w:pPr>
            <w:r>
              <w:rPr>
                <w:sz w:val="18"/>
              </w:rPr>
              <w:t xml:space="preserve">Custom connector adapters, webhooks, custom report definitions</w:t>
            </w:r>
          </w:p>
        </w:tc>
      </w:tr>
    </w:tbl>
    <w:p>
      <w:pPr>
        <w:pStyle w:val="BodyText"/>
      </w:pPr>
      <w:r>
        <w:rPr>
          <w:bCs/>
          <w:b/>
        </w:rPr>
        <w:t xml:space="preserve">Regulatory guard-rails cannot be overridden by any configuration.</w:t>
      </w:r>
      <w:r>
        <w:t xml:space="preserve"> </w:t>
      </w:r>
      <w:r>
        <w:t xml:space="preserve">Examples:</w:t>
      </w:r>
    </w:p>
    <w:p>
      <w:pPr>
        <w:numPr>
          <w:ilvl w:val="0"/>
          <w:numId w:val="1009"/>
        </w:numPr>
        <w:pStyle w:val="Compact"/>
      </w:pPr>
      <w:r>
        <w:t xml:space="preserve">no access to files and media, contacts, call logs or telephony functions (CF para 13(1));</w:t>
      </w:r>
    </w:p>
    <w:p>
      <w:pPr>
        <w:numPr>
          <w:ilvl w:val="0"/>
          <w:numId w:val="1009"/>
        </w:numPr>
        <w:pStyle w:val="Compact"/>
      </w:pPr>
      <w:r>
        <w:t xml:space="preserve">data stored only in India (CF para 14(4));</w:t>
      </w:r>
    </w:p>
    <w:p>
      <w:pPr>
        <w:numPr>
          <w:ilvl w:val="0"/>
          <w:numId w:val="1009"/>
        </w:numPr>
        <w:pStyle w:val="Compact"/>
      </w:pPr>
      <w:r>
        <w:t xml:space="preserve">no disbursal to, or repayment through, an Udofin account (CF para 10(1)–(3));</w:t>
      </w:r>
    </w:p>
    <w:p>
      <w:pPr>
        <w:numPr>
          <w:ilvl w:val="0"/>
          <w:numId w:val="1009"/>
        </w:numPr>
        <w:pStyle w:val="Compact"/>
      </w:pPr>
      <w:r>
        <w:t xml:space="preserve">no fee charged to the borrower by Udofin for anything loan-related (CF para 10(4)); optional non-loan plans only behind the Part 7D FW4 and Part 7G RV1 gates, never linked to a loan;</w:t>
      </w:r>
    </w:p>
    <w:p>
      <w:pPr>
        <w:numPr>
          <w:ilvl w:val="0"/>
          <w:numId w:val="1009"/>
        </w:numPr>
        <w:pStyle w:val="Compact"/>
      </w:pPr>
      <w:r>
        <w:t xml:space="preserve">every matching offer shown, unmatched lenders named, and ranking only on a pre-disclosed metric (CF para 7);</w:t>
      </w:r>
    </w:p>
    <w:p>
      <w:pPr>
        <w:numPr>
          <w:ilvl w:val="0"/>
          <w:numId w:val="1009"/>
        </w:numPr>
        <w:pStyle w:val="Compact"/>
      </w:pPr>
      <w:r>
        <w:t xml:space="preserve">no execution before a KFS has been shown and acknowledged (RBC para 29(1));</w:t>
      </w:r>
    </w:p>
    <w:p>
      <w:pPr>
        <w:numPr>
          <w:ilvl w:val="0"/>
          <w:numId w:val="1009"/>
        </w:numPr>
        <w:pStyle w:val="Compact"/>
      </w:pPr>
      <w:r>
        <w:t xml:space="preserve">a cooling-off exit option of at least one day (CF para 11(1));</w:t>
      </w:r>
    </w:p>
    <w:p>
      <w:pPr>
        <w:numPr>
          <w:ilvl w:val="0"/>
          <w:numId w:val="1009"/>
        </w:numPr>
        <w:pStyle w:val="Compact"/>
      </w:pPr>
      <w:r>
        <w:t xml:space="preserve">grievance contacts and the CMS escalation route always visible (CF para 12);</w:t>
      </w:r>
    </w:p>
    <w:p>
      <w:pPr>
        <w:numPr>
          <w:ilvl w:val="0"/>
          <w:numId w:val="1009"/>
        </w:numPr>
        <w:pStyle w:val="Compact"/>
      </w:pPr>
      <w:r>
        <w:t xml:space="preserve">no exposure of one RE’s data to another;</w:t>
      </w:r>
    </w:p>
    <w:p>
      <w:pPr>
        <w:numPr>
          <w:ilvl w:val="0"/>
          <w:numId w:val="1009"/>
        </w:numPr>
        <w:pStyle w:val="Compact"/>
      </w:pPr>
      <w:r>
        <w:t xml:space="preserve">no advertising, sponsored item or non-loan product inside the offer view or any loan journey screen (CF para 7(4); Parts 7F, 7G);</w:t>
      </w:r>
    </w:p>
    <w:p>
      <w:pPr>
        <w:numPr>
          <w:ilvl w:val="0"/>
          <w:numId w:val="1009"/>
        </w:numPr>
        <w:pStyle w:val="Compact"/>
      </w:pPr>
      <w:r>
        <w:t xml:space="preserve">no deposit listed, quoted, solicited or collected for any lender, society or member class (Part 7E);</w:t>
      </w:r>
    </w:p>
    <w:p>
      <w:pPr>
        <w:numPr>
          <w:ilvl w:val="0"/>
          <w:numId w:val="1009"/>
        </w:numPr>
        <w:pStyle w:val="Compact"/>
      </w:pPr>
      <w:r>
        <w:t xml:space="preserve">no co-lending, loan sale or split routing between a credit co-operative society or co-operative bank and an NBFC (TDCR paras 12(4), 97; Part 7B UP4).</w:t>
      </w:r>
    </w:p>
    <w:p>
      <w:pPr>
        <w:pStyle w:val="FirstParagraph"/>
      </w:pPr>
      <w:r>
        <w:t xml:space="preserve">Every configuration change is validated against these guard-rails, versioned, effective-dated and audited.</w:t>
      </w:r>
    </w:p>
    <w:bookmarkEnd w:id="27"/>
    <w:bookmarkStart w:id="28" w:name="mvp-and-expansion"/>
    <w:p>
      <w:pPr>
        <w:pStyle w:val="Heading2"/>
      </w:pPr>
      <w:r>
        <w:t xml:space="preserve">3.5 MVP and expansion</w:t>
      </w:r>
    </w:p>
    <w:p>
      <w:pPr>
        <w:pStyle w:val="FirstParagraph"/>
      </w:pPr>
      <w:r>
        <w:rPr>
          <w:bCs/>
          <w:b/>
        </w:rPr>
        <w:t xml:space="preserve">MVP (pilot):</w:t>
      </w:r>
    </w:p>
    <w:p>
      <w:pPr>
        <w:numPr>
          <w:ilvl w:val="0"/>
          <w:numId w:val="1010"/>
        </w:numPr>
        <w:pStyle w:val="Compact"/>
      </w:pPr>
      <w:r>
        <w:t xml:space="preserve">Products 1 (Personal Loan) and 2 (Payday / short-tenure loan, subject to the app-store gate in Part 6).</w:t>
      </w:r>
    </w:p>
    <w:p>
      <w:pPr>
        <w:numPr>
          <w:ilvl w:val="0"/>
          <w:numId w:val="1010"/>
        </w:numPr>
        <w:pStyle w:val="Compact"/>
      </w:pPr>
      <w:r>
        <w:t xml:space="preserve">Android app + borrower web app + operations portal + lender portal.</w:t>
      </w:r>
    </w:p>
    <w:p>
      <w:pPr>
        <w:numPr>
          <w:ilvl w:val="0"/>
          <w:numId w:val="1010"/>
        </w:numPr>
        <w:pStyle w:val="Compact"/>
      </w:pPr>
      <w:r>
        <w:t xml:space="preserve">One or two pilot REs: one on Finbyx, one on a generic LMS connector.</w:t>
      </w:r>
    </w:p>
    <w:p>
      <w:pPr>
        <w:numPr>
          <w:ilvl w:val="0"/>
          <w:numId w:val="1010"/>
        </w:numPr>
        <w:pStyle w:val="Compact"/>
      </w:pPr>
      <w:r>
        <w:t xml:space="preserve">iOS follows after the pilot gate (Phase P; App Store release engineering is prepared in Phase 17), because App Store review needs a stable product and complete disclosures.</w:t>
      </w:r>
    </w:p>
    <w:p>
      <w:pPr>
        <w:pStyle w:val="FirstParagraph"/>
      </w:pPr>
      <w:r>
        <w:rPr>
          <w:bCs/>
          <w:b/>
        </w:rPr>
        <w:t xml:space="preserve">Expansion, in order (Part 12):</w:t>
      </w:r>
      <w:r>
        <w:t xml:space="preserve"> </w:t>
      </w:r>
      <w:r>
        <w:t xml:space="preserve">secured products (LAS, Home, LAP, Vehicle; Phase 18); additional product templates (Gold, Business/MSME, Microfinance, Supply-chain/TReDS invoice finance, Education; proposed; Phase 18b); specialist products only after a feasibility note is approved (Phase 19); field app, analytics, broader AI and marketing (Phase 20); scale hardening and AWS migration (Phase 21). v1.2 adds lender partnerships and the deal configurator (Phase 3c), borrower downloads and tax documents (11b), grievance escalation chain v2 (14b), the risk function, supervisory access, data portability and engineering assurance (16c), member and group lending (18c), wellness add-ons with plans and billing (20b), extensible products and insurance distribution (20c), and voice, AI contact-centre and Jio adapters (20d).</w:t>
      </w:r>
    </w:p>
    <w:p>
      <w:pPr>
        <w:pStyle w:val="BodyText"/>
      </w:pPr>
      <w:r>
        <w:rPr>
          <w:bCs/>
          <w:b/>
        </w:rPr>
        <w:t xml:space="preserve">Scale.</w:t>
      </w:r>
      <w:r>
        <w:t xml:space="preserve"> </w:t>
      </w:r>
      <w:r>
        <w:t xml:space="preserve">Design for millions of borrowers and many REs from the start: stateless API instances, queue-based integrations, read replicas for the loan mirror, partitioned event and audit tables, CDN-served static assets, and load tests at ten times the pilot volume before each expansion (Part 10).</w:t>
      </w:r>
    </w:p>
    <w:p>
      <w:r>
        <w:pict>
          <v:rect style="width:0;height:1.5pt" o:hralign="center" o:hrstd="t" o:hr="t"/>
        </w:pict>
      </w:r>
    </w:p>
    <w:bookmarkEnd w:id="28"/>
    <w:bookmarkEnd w:id="29"/>
    <w:bookmarkStart w:id="38" w:name="X2405896c8077eed5492d54dc3c382f3b84e1661"/>
    <w:p>
      <w:pPr>
        <w:pStyle w:val="Heading1"/>
      </w:pPr>
      <w:r>
        <w:t xml:space="preserve">PART 4 — UDOFIN’S REGULATORY POSITION AND OPERATING MODEL</w:t>
      </w:r>
    </w:p>
    <w:p>
      <w:pPr>
        <w:pStyle w:val="FirstParagraph"/>
      </w:pPr>
      <w:r>
        <w:t xml:space="preserve">This Part sets the operating model. The detailed, paragraph-level requirements are in Part 8A (8A.1 CF, 8A.2 CIR, 8A.3 KYC, 8A.4 AA, 8A.5 MFI, 8A.6 RBC, 8A.7 OUT, 8A.8 CYB, 8A.9 FRM, 8A.11 DPS). Distinguish law, interpretation and recommendation everywhere; label interpretations as such.</w:t>
      </w:r>
    </w:p>
    <w:bookmarkStart w:id="30" w:name="udofin-is-an-lsp-not-a-lender"/>
    <w:p>
      <w:pPr>
        <w:pStyle w:val="Heading2"/>
      </w:pPr>
      <w:r>
        <w:t xml:space="preserve">4.1 Udofin is an LSP, not a lender</w:t>
      </w:r>
    </w:p>
    <w:p>
      <w:pPr>
        <w:numPr>
          <w:ilvl w:val="0"/>
          <w:numId w:val="1011"/>
        </w:numPr>
        <w:pStyle w:val="Compact"/>
      </w:pPr>
      <w:r>
        <w:rPr>
          <w:bCs/>
          <w:b/>
        </w:rPr>
        <w:t xml:space="preserve">Definition.</w:t>
      </w:r>
      <w:r>
        <w:t xml:space="preserve"> </w:t>
      </w:r>
      <w:r>
        <w:t xml:space="preserve">An LSP is</w:t>
      </w:r>
      <w:r>
        <w:t xml:space="preserve"> </w:t>
      </w:r>
      <w:r>
        <w:t xml:space="preserve">“</w:t>
      </w:r>
      <w:r>
        <w:t xml:space="preserve">an agent of an NBFC (including another lender) who carries out one or more of NBFC’s digital lending functions, or part thereof, in customer acquisition, services incidental to underwriting and pricing, servicing, monitoring, recovery of specific loan or loan portfolio on behalf of the NBFC in conformity with extant outsourcing guidelines</w:t>
      </w:r>
      <w:r>
        <w:t xml:space="preserve">”</w:t>
      </w:r>
      <w:r>
        <w:t xml:space="preserve"> </w:t>
      </w:r>
      <w:r>
        <w:t xml:space="preserve">(CF para 4(1)(xix)). Udofin performs customer acquisition, services incidental to underwriting, servicing support, monitoring support and, only where separately appointed, recovery.</w:t>
      </w:r>
    </w:p>
    <w:p>
      <w:pPr>
        <w:numPr>
          <w:ilvl w:val="0"/>
          <w:numId w:val="1011"/>
        </w:numPr>
        <w:pStyle w:val="Compact"/>
      </w:pPr>
      <w:r>
        <w:rPr>
          <w:bCs/>
          <w:b/>
        </w:rPr>
        <w:t xml:space="preserve">The RE stays fully responsible.</w:t>
      </w:r>
      <w:r>
        <w:t xml:space="preserve"> </w:t>
      </w:r>
      <w:r>
        <w:t xml:space="preserve">The NBFC</w:t>
      </w:r>
      <w:r>
        <w:t xml:space="preserve"> </w:t>
      </w:r>
      <w:r>
        <w:t xml:space="preserve">“</w:t>
      </w:r>
      <w:r>
        <w:t xml:space="preserve">shall remain fully responsible and liable for all acts and omissions of the LSP</w:t>
      </w:r>
      <w:r>
        <w:t xml:space="preserve">”</w:t>
      </w:r>
      <w:r>
        <w:t xml:space="preserve"> </w:t>
      </w:r>
      <w:r>
        <w:t xml:space="preserve">(CF para 6(7)); the LSP arrangement is a contract that defines roles, rights and obligations (para 6(1)), entered after enhanced due diligence (para 6(2)) and reviewed periodically (para 6(3)). Udofin must therefore be built to be audited by every RE (U18).</w:t>
      </w:r>
    </w:p>
    <w:p>
      <w:pPr>
        <w:numPr>
          <w:ilvl w:val="0"/>
          <w:numId w:val="1011"/>
        </w:numPr>
        <w:pStyle w:val="Compact"/>
      </w:pPr>
      <w:r>
        <w:rPr>
          <w:bCs/>
          <w:b/>
        </w:rPr>
        <w:t xml:space="preserve">Outsourcing limits bind the design.</w:t>
      </w:r>
      <w:r>
        <w:t xml:space="preserve"> </w:t>
      </w:r>
      <w:r>
        <w:t xml:space="preserve">An NBFC may not outsource decision-making functions such as determining compliance with KYC norms or giving sanction for loans (OUT para 15; KYC para 13). Udofin’s systems may compute, collect and present, but every regulated decision is recorded as taken by a named RE user or an RE-owned rule set (Part 4.2, 5.4).</w:t>
      </w:r>
    </w:p>
    <w:p>
      <w:pPr>
        <w:numPr>
          <w:ilvl w:val="0"/>
          <w:numId w:val="1011"/>
        </w:numPr>
        <w:pStyle w:val="Compact"/>
      </w:pPr>
      <w:r>
        <w:rPr>
          <w:bCs/>
          <w:b/>
        </w:rPr>
        <w:t xml:space="preserve">Applicability by RE type.</w:t>
      </w:r>
      <w:r>
        <w:t xml:space="preserve"> </w:t>
      </w:r>
      <w:r>
        <w:t xml:space="preserve">CF applies to NBFCs and HFCs (CF para 3(1)). Bank REs follow the corresponding Commercial Banks directions, which were not supplied [VERIFY: bank digital-lending and KYC directions before onboarding a bank RE]. Keep the rule packs per RE type.</w:t>
      </w:r>
    </w:p>
    <w:p>
      <w:pPr>
        <w:numPr>
          <w:ilvl w:val="0"/>
          <w:numId w:val="1011"/>
        </w:numPr>
        <w:pStyle w:val="Compact"/>
      </w:pPr>
      <w:r>
        <w:rPr>
          <w:bCs/>
          <w:b/>
        </w:rPr>
        <w:t xml:space="preserve">Payment aggregator boundary.</w:t>
      </w:r>
      <w:r>
        <w:t xml:space="preserve"> </w:t>
      </w:r>
      <w:r>
        <w:t xml:space="preserve">A PA that also performs LSP functions must comply with the Directions; the supplied text says</w:t>
      </w:r>
      <w:r>
        <w:t xml:space="preserve"> </w:t>
      </w:r>
      <w:r>
        <w:t xml:space="preserve">“</w:t>
      </w:r>
      <w:r>
        <w:t xml:space="preserve">Chapter IV</w:t>
      </w:r>
      <w:r>
        <w:t xml:space="preserve">”</w:t>
      </w:r>
      <w:r>
        <w:t xml:space="preserve"> </w:t>
      </w:r>
      <w:r>
        <w:t xml:space="preserve">in CF para 4(1)(xix), evidently meaning Chapter III (Digital Lending) [VERIFY; record in errata]. Udofin must not obtain a PA licence role in its loan flows (Part 4.3).</w:t>
      </w:r>
    </w:p>
    <w:p>
      <w:pPr>
        <w:numPr>
          <w:ilvl w:val="0"/>
          <w:numId w:val="1011"/>
        </w:numPr>
        <w:pStyle w:val="Compact"/>
      </w:pPr>
      <w:r>
        <w:rPr>
          <w:bCs/>
          <w:b/>
        </w:rPr>
        <w:t xml:space="preserve">Never imply lending.</w:t>
      </w:r>
      <w:r>
        <w:t xml:space="preserve"> </w:t>
      </w:r>
      <w:r>
        <w:t xml:space="preserve">Copy, store listings, push messages and screens say</w:t>
      </w:r>
      <w:r>
        <w:t xml:space="preserve"> </w:t>
      </w:r>
      <w:r>
        <w:t xml:space="preserve">“</w:t>
      </w:r>
      <w:r>
        <w:t xml:space="preserve">loans from [RE name], facilitated by Udofin, a lending service provider</w:t>
      </w:r>
      <w:r>
        <w:t xml:space="preserve">”</w:t>
      </w:r>
      <w:r>
        <w:t xml:space="preserve">. No</w:t>
      </w:r>
      <w:r>
        <w:t xml:space="preserve"> </w:t>
      </w:r>
      <w:r>
        <w:t xml:space="preserve">“</w:t>
      </w:r>
      <w:r>
        <w:t xml:space="preserve">Udofin loan</w:t>
      </w:r>
      <w:r>
        <w:t xml:space="preserve">”</w:t>
      </w:r>
      <w:r>
        <w:t xml:space="preserve">,</w:t>
      </w:r>
      <w:r>
        <w:t xml:space="preserve"> </w:t>
      </w:r>
      <w:r>
        <w:t xml:space="preserve">“</w:t>
      </w:r>
      <w:r>
        <w:t xml:space="preserve">Udofin credit limit</w:t>
      </w:r>
      <w:r>
        <w:t xml:space="preserve">”</w:t>
      </w:r>
      <w:r>
        <w:t xml:space="preserve"> </w:t>
      </w:r>
      <w:r>
        <w:t xml:space="preserve">or</w:t>
      </w:r>
      <w:r>
        <w:t xml:space="preserve"> </w:t>
      </w:r>
      <w:r>
        <w:t xml:space="preserve">“</w:t>
      </w:r>
      <w:r>
        <w:t xml:space="preserve">approved by Udofin</w:t>
      </w:r>
      <w:r>
        <w:t xml:space="preserve">”</w:t>
      </w:r>
      <w:r>
        <w:t xml:space="preserve">. The CIMS listing is not an RBI endorsement and must not be presented as one (CF para 18(6)).</w:t>
      </w:r>
    </w:p>
    <w:bookmarkEnd w:id="30"/>
    <w:bookmarkStart w:id="31" w:name="responsibility-matrix"/>
    <w:p>
      <w:pPr>
        <w:pStyle w:val="Heading2"/>
      </w:pPr>
      <w:r>
        <w:t xml:space="preserve">4.2 Responsibility matrix</w:t>
      </w:r>
    </w:p>
    <w:p>
      <w:pPr>
        <w:pStyle w:val="FirstParagraph"/>
      </w:pPr>
      <w:r>
        <w:t xml:space="preserve">Interpretation, to be confirmed in each LSP agreement.</w:t>
      </w:r>
      <w:r>
        <w:t xml:space="preserve"> </w:t>
      </w:r>
      <w:r>
        <w:t xml:space="preserve">“</w:t>
      </w:r>
      <w:r>
        <w:t xml:space="preserve">Udofin acts</w:t>
      </w:r>
      <w:r>
        <w:t xml:space="preserve">”</w:t>
      </w:r>
      <w:r>
        <w:t xml:space="preserve"> </w:t>
      </w:r>
      <w:r>
        <w:t xml:space="preserve">means as the RE’s agent under the contract; the RE remains responsible (CF para 6(7)).</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34"/>
        <w:gridCol w:w="2917"/>
        <w:gridCol w:w="2936"/>
        <w:gridCol w:w="2451"/>
      </w:tblGrid>
      <w:tr>
        <w:trPr>
          <w:tblHeader w:val="true"/>
          <w:tblHeader w:val="true"/>
        </w:trPr>
        <w:tc>
          <w:tcPr>
            <w:tcW w:w="1334" w:type="dxa"/>
            <w:shd w:val="clear" w:color="auto" w:fill="1F3A5F"/>
          </w:tcPr>
          <w:p>
            <w:pPr>
              <w:pStyle w:val="Compact"/>
              <w:spacing w:after="40"/>
              <w:jc w:val="left"/>
            </w:pPr>
            <w:r>
              <w:rPr>
                <w:b/>
                <w:color w:val="FFFFFF"/>
                <w:sz w:val="18"/>
              </w:rPr>
              <w:t xml:space="preserve">Activity</w:t>
            </w:r>
          </w:p>
        </w:tc>
        <w:tc>
          <w:tcPr>
            <w:tcW w:w="2917" w:type="dxa"/>
            <w:shd w:val="clear" w:color="auto" w:fill="1F3A5F"/>
          </w:tcPr>
          <w:p>
            <w:pPr>
              <w:pStyle w:val="Compact"/>
              <w:spacing w:after="40"/>
              <w:jc w:val="left"/>
            </w:pPr>
            <w:r>
              <w:rPr>
                <w:b/>
                <w:color w:val="FFFFFF"/>
                <w:sz w:val="18"/>
              </w:rPr>
              <w:t xml:space="preserve">RE (partner lender)</w:t>
            </w:r>
          </w:p>
        </w:tc>
        <w:tc>
          <w:tcPr>
            <w:tcW w:w="2936" w:type="dxa"/>
            <w:shd w:val="clear" w:color="auto" w:fill="1F3A5F"/>
          </w:tcPr>
          <w:p>
            <w:pPr>
              <w:pStyle w:val="Compact"/>
              <w:spacing w:after="40"/>
              <w:jc w:val="left"/>
            </w:pPr>
            <w:r>
              <w:rPr>
                <w:b/>
                <w:color w:val="FFFFFF"/>
                <w:sz w:val="18"/>
              </w:rPr>
              <w:t xml:space="preserve">Udofin (LSP)</w:t>
            </w:r>
          </w:p>
        </w:tc>
        <w:tc>
          <w:tcPr>
            <w:tcW w:w="2451" w:type="dxa"/>
            <w:shd w:val="clear" w:color="auto" w:fill="1F3A5F"/>
          </w:tcPr>
          <w:p>
            <w:pPr>
              <w:pStyle w:val="Compact"/>
              <w:spacing w:after="40"/>
              <w:jc w:val="left"/>
            </w:pPr>
            <w:r>
              <w:rPr>
                <w:b/>
                <w:color w:val="FFFFFF"/>
                <w:sz w:val="18"/>
              </w:rPr>
              <w:t xml:space="preserve">Contract / source</w:t>
            </w:r>
          </w:p>
        </w:tc>
      </w:tr>
      <w:tr>
        <w:tc>
          <w:tcPr>
            <w:tcW w:w="1334" w:type="dxa"/>
          </w:tcPr>
          <w:p>
            <w:pPr>
              <w:pStyle w:val="Compact"/>
              <w:spacing w:after="40"/>
              <w:jc w:val="left"/>
            </w:pPr>
            <w:r>
              <w:rPr>
                <w:sz w:val="18"/>
              </w:rPr>
              <w:t xml:space="preserve">Sourcing and marketing</w:t>
            </w:r>
          </w:p>
        </w:tc>
        <w:tc>
          <w:tcPr>
            <w:tcW w:w="2917" w:type="dxa"/>
          </w:tcPr>
          <w:p>
            <w:pPr>
              <w:pStyle w:val="Compact"/>
              <w:spacing w:after="40"/>
              <w:jc w:val="left"/>
            </w:pPr>
            <w:r>
              <w:rPr>
                <w:sz w:val="18"/>
              </w:rPr>
              <w:t xml:space="preserve">Approves products, eligibility and marketing content; owns the customer relationship once onboarded</w:t>
            </w:r>
          </w:p>
        </w:tc>
        <w:tc>
          <w:tcPr>
            <w:tcW w:w="2936" w:type="dxa"/>
          </w:tcPr>
          <w:p>
            <w:pPr>
              <w:pStyle w:val="Compact"/>
              <w:spacing w:after="40"/>
              <w:jc w:val="left"/>
            </w:pPr>
            <w:r>
              <w:rPr>
                <w:sz w:val="18"/>
              </w:rPr>
              <w:t xml:space="preserve">Acquires and onboards borrowers; runs approved campaigns with consent; neutral offer display</w:t>
            </w:r>
          </w:p>
        </w:tc>
        <w:tc>
          <w:tcPr>
            <w:tcW w:w="2451" w:type="dxa"/>
          </w:tcPr>
          <w:p>
            <w:pPr>
              <w:pStyle w:val="Compact"/>
              <w:spacing w:after="40"/>
              <w:jc w:val="left"/>
            </w:pPr>
            <w:r>
              <w:rPr>
                <w:sz w:val="18"/>
              </w:rPr>
              <w:t xml:space="preserve">LSP agreement; CF paras 6, 7; RBC paras 98–101</w:t>
            </w:r>
          </w:p>
        </w:tc>
      </w:tr>
      <w:tr>
        <w:tc>
          <w:tcPr>
            <w:tcW w:w="1334" w:type="dxa"/>
          </w:tcPr>
          <w:p>
            <w:pPr>
              <w:pStyle w:val="Compact"/>
              <w:spacing w:after="40"/>
              <w:jc w:val="left"/>
            </w:pPr>
            <w:r>
              <w:rPr>
                <w:sz w:val="18"/>
              </w:rPr>
              <w:t xml:space="preserve">KYC</w:t>
            </w:r>
          </w:p>
        </w:tc>
        <w:tc>
          <w:tcPr>
            <w:tcW w:w="2917" w:type="dxa"/>
          </w:tcPr>
          <w:p>
            <w:pPr>
              <w:pStyle w:val="Compact"/>
              <w:spacing w:after="40"/>
              <w:jc w:val="left"/>
            </w:pPr>
            <w:r>
              <w:rPr>
                <w:sz w:val="18"/>
              </w:rPr>
              <w:t xml:space="preserve">Takes the KYC compliance decision; risk categorisation; CKYCR download and upload; V-CIP official; Aadhaar e-KYC only if notified under s.11A PML Act</w:t>
            </w:r>
          </w:p>
        </w:tc>
        <w:tc>
          <w:tcPr>
            <w:tcW w:w="2936" w:type="dxa"/>
          </w:tcPr>
          <w:p>
            <w:pPr>
              <w:pStyle w:val="Compact"/>
              <w:spacing w:after="40"/>
              <w:jc w:val="left"/>
            </w:pPr>
            <w:r>
              <w:rPr>
                <w:sz w:val="18"/>
              </w:rPr>
              <w:t xml:space="preserve">Runs the technology: capture, OKYC or DigiLocker flows, PAN check, liveness, evidence packaging; never decides</w:t>
            </w:r>
          </w:p>
        </w:tc>
        <w:tc>
          <w:tcPr>
            <w:tcW w:w="2451" w:type="dxa"/>
          </w:tcPr>
          <w:p>
            <w:pPr>
              <w:pStyle w:val="Compact"/>
              <w:spacing w:after="40"/>
              <w:jc w:val="left"/>
            </w:pPr>
            <w:r>
              <w:rPr>
                <w:sz w:val="18"/>
              </w:rPr>
              <w:t xml:space="preserve">KYC paras 13, 23, 25, 27; OUT para 15</w:t>
            </w:r>
          </w:p>
        </w:tc>
      </w:tr>
      <w:tr>
        <w:tc>
          <w:tcPr>
            <w:tcW w:w="1334" w:type="dxa"/>
          </w:tcPr>
          <w:p>
            <w:pPr>
              <w:pStyle w:val="Compact"/>
              <w:spacing w:after="40"/>
              <w:jc w:val="left"/>
            </w:pPr>
            <w:r>
              <w:rPr>
                <w:sz w:val="18"/>
              </w:rPr>
              <w:t xml:space="preserve">Credit bureau enquiry</w:t>
            </w:r>
          </w:p>
        </w:tc>
        <w:tc>
          <w:tcPr>
            <w:tcW w:w="2917" w:type="dxa"/>
          </w:tcPr>
          <w:p>
            <w:pPr>
              <w:pStyle w:val="Compact"/>
              <w:spacing w:after="40"/>
              <w:jc w:val="left"/>
            </w:pPr>
            <w:r>
              <w:rPr>
                <w:sz w:val="18"/>
              </w:rPr>
              <w:t xml:space="preserve">Pulls bureau data under its own CIC membership and owns the enquiry</w:t>
            </w:r>
          </w:p>
        </w:tc>
        <w:tc>
          <w:tcPr>
            <w:tcW w:w="2936" w:type="dxa"/>
          </w:tcPr>
          <w:p>
            <w:pPr>
              <w:pStyle w:val="Compact"/>
              <w:spacing w:after="40"/>
              <w:jc w:val="left"/>
            </w:pPr>
            <w:r>
              <w:rPr>
                <w:sz w:val="18"/>
              </w:rPr>
              <w:t xml:space="preserve">Captures borrower consent and the purpose; triggers the RE’s pull through the RE’s credentials or connector; displays only what the RE permits</w:t>
            </w:r>
          </w:p>
        </w:tc>
        <w:tc>
          <w:tcPr>
            <w:tcW w:w="2451" w:type="dxa"/>
          </w:tcPr>
          <w:p>
            <w:pPr>
              <w:pStyle w:val="Compact"/>
              <w:spacing w:after="40"/>
              <w:jc w:val="left"/>
            </w:pPr>
            <w:r>
              <w:rPr>
                <w:sz w:val="18"/>
              </w:rPr>
              <w:t xml:space="preserve">CIR para 6; CICRA [VERIFY Udofin’s access route]</w:t>
            </w:r>
          </w:p>
        </w:tc>
      </w:tr>
      <w:tr>
        <w:tc>
          <w:tcPr>
            <w:tcW w:w="1334" w:type="dxa"/>
          </w:tcPr>
          <w:p>
            <w:pPr>
              <w:pStyle w:val="Compact"/>
              <w:spacing w:after="40"/>
              <w:jc w:val="left"/>
            </w:pPr>
            <w:r>
              <w:rPr>
                <w:sz w:val="18"/>
              </w:rPr>
              <w:t xml:space="preserve">Account Aggregator</w:t>
            </w:r>
          </w:p>
        </w:tc>
        <w:tc>
          <w:tcPr>
            <w:tcW w:w="2917" w:type="dxa"/>
          </w:tcPr>
          <w:p>
            <w:pPr>
              <w:pStyle w:val="Compact"/>
              <w:spacing w:after="40"/>
              <w:jc w:val="left"/>
            </w:pPr>
            <w:r>
              <w:rPr>
                <w:sz w:val="18"/>
              </w:rPr>
              <w:t xml:space="preserve">Is the FIU; consent artefact names the RE</w:t>
            </w:r>
          </w:p>
        </w:tc>
        <w:tc>
          <w:tcPr>
            <w:tcW w:w="2936" w:type="dxa"/>
          </w:tcPr>
          <w:p>
            <w:pPr>
              <w:pStyle w:val="Compact"/>
              <w:spacing w:after="40"/>
              <w:jc w:val="left"/>
            </w:pPr>
            <w:r>
              <w:rPr>
                <w:sz w:val="18"/>
              </w:rPr>
              <w:t xml:space="preserve">Technology service provider to the RE; launches the AA journey; never an FIU itself</w:t>
            </w:r>
          </w:p>
        </w:tc>
        <w:tc>
          <w:tcPr>
            <w:tcW w:w="2451" w:type="dxa"/>
          </w:tcPr>
          <w:p>
            <w:pPr>
              <w:pStyle w:val="Compact"/>
              <w:spacing w:after="40"/>
              <w:jc w:val="left"/>
            </w:pPr>
            <w:r>
              <w:rPr>
                <w:sz w:val="18"/>
              </w:rPr>
              <w:t xml:space="preserve">AA paras 8(12), 27–28 [VERIFY Sahamati TSP rules]</w:t>
            </w:r>
          </w:p>
        </w:tc>
      </w:tr>
      <w:tr>
        <w:tc>
          <w:tcPr>
            <w:tcW w:w="1334" w:type="dxa"/>
          </w:tcPr>
          <w:p>
            <w:pPr>
              <w:pStyle w:val="Compact"/>
              <w:spacing w:after="40"/>
              <w:jc w:val="left"/>
            </w:pPr>
            <w:r>
              <w:rPr>
                <w:sz w:val="18"/>
              </w:rPr>
              <w:t xml:space="preserve">Underwriting</w:t>
            </w:r>
          </w:p>
        </w:tc>
        <w:tc>
          <w:tcPr>
            <w:tcW w:w="2917" w:type="dxa"/>
          </w:tcPr>
          <w:p>
            <w:pPr>
              <w:pStyle w:val="Compact"/>
              <w:spacing w:after="40"/>
              <w:jc w:val="left"/>
            </w:pPr>
            <w:r>
              <w:rPr>
                <w:sz w:val="18"/>
              </w:rPr>
              <w:t xml:space="preserve">Credit policy, BRE rules, decision, deviations</w:t>
            </w:r>
          </w:p>
        </w:tc>
        <w:tc>
          <w:tcPr>
            <w:tcW w:w="2936" w:type="dxa"/>
          </w:tcPr>
          <w:p>
            <w:pPr>
              <w:pStyle w:val="Compact"/>
              <w:spacing w:after="40"/>
              <w:jc w:val="left"/>
            </w:pPr>
            <w:r>
              <w:rPr>
                <w:sz w:val="18"/>
              </w:rPr>
              <w:t xml:space="preserve">Collects and pre-validates inputs; runs the RE’s rule set only as hosted for the RE (portal-only REs); no DLG input to any rule</w:t>
            </w:r>
          </w:p>
        </w:tc>
        <w:tc>
          <w:tcPr>
            <w:tcW w:w="2451" w:type="dxa"/>
          </w:tcPr>
          <w:p>
            <w:pPr>
              <w:pStyle w:val="Compact"/>
              <w:spacing w:after="40"/>
              <w:jc w:val="left"/>
            </w:pPr>
            <w:r>
              <w:rPr>
                <w:sz w:val="18"/>
              </w:rPr>
              <w:t xml:space="preserve">CF paras 8, 20(2); OUT para 15</w:t>
            </w:r>
          </w:p>
        </w:tc>
      </w:tr>
      <w:tr>
        <w:tc>
          <w:tcPr>
            <w:tcW w:w="1334" w:type="dxa"/>
          </w:tcPr>
          <w:p>
            <w:pPr>
              <w:pStyle w:val="Compact"/>
              <w:spacing w:after="40"/>
              <w:jc w:val="left"/>
            </w:pPr>
            <w:r>
              <w:rPr>
                <w:sz w:val="18"/>
              </w:rPr>
              <w:t xml:space="preserve">Pricing</w:t>
            </w:r>
          </w:p>
        </w:tc>
        <w:tc>
          <w:tcPr>
            <w:tcW w:w="2917" w:type="dxa"/>
          </w:tcPr>
          <w:p>
            <w:pPr>
              <w:pStyle w:val="Compact"/>
              <w:spacing w:after="40"/>
              <w:jc w:val="left"/>
            </w:pPr>
            <w:r>
              <w:rPr>
                <w:sz w:val="18"/>
              </w:rPr>
              <w:t xml:space="preserve">Sets rate, charges, penal charges, APR</w:t>
            </w:r>
          </w:p>
        </w:tc>
        <w:tc>
          <w:tcPr>
            <w:tcW w:w="2936" w:type="dxa"/>
          </w:tcPr>
          <w:p>
            <w:pPr>
              <w:pStyle w:val="Compact"/>
              <w:spacing w:after="40"/>
              <w:jc w:val="left"/>
            </w:pPr>
            <w:r>
              <w:rPr>
                <w:sz w:val="18"/>
              </w:rPr>
              <w:t xml:space="preserve">Displays the RE’s figures unchanged; independent APR recomputation check before display</w:t>
            </w:r>
          </w:p>
        </w:tc>
        <w:tc>
          <w:tcPr>
            <w:tcW w:w="2451" w:type="dxa"/>
          </w:tcPr>
          <w:p>
            <w:pPr>
              <w:pStyle w:val="Compact"/>
              <w:spacing w:after="40"/>
              <w:jc w:val="left"/>
            </w:pPr>
            <w:r>
              <w:rPr>
                <w:sz w:val="18"/>
              </w:rPr>
              <w:t xml:space="preserve">RBC paras 29–30; CF para 7(3)</w:t>
            </w:r>
          </w:p>
        </w:tc>
      </w:tr>
      <w:tr>
        <w:tc>
          <w:tcPr>
            <w:tcW w:w="1334" w:type="dxa"/>
          </w:tcPr>
          <w:p>
            <w:pPr>
              <w:pStyle w:val="Compact"/>
              <w:spacing w:after="40"/>
              <w:jc w:val="left"/>
            </w:pPr>
            <w:r>
              <w:rPr>
                <w:sz w:val="18"/>
              </w:rPr>
              <w:t xml:space="preserve">KFS</w:t>
            </w:r>
          </w:p>
        </w:tc>
        <w:tc>
          <w:tcPr>
            <w:tcW w:w="2917" w:type="dxa"/>
          </w:tcPr>
          <w:p>
            <w:pPr>
              <w:pStyle w:val="Compact"/>
              <w:spacing w:after="40"/>
              <w:jc w:val="left"/>
            </w:pPr>
            <w:r>
              <w:rPr>
                <w:sz w:val="18"/>
              </w:rPr>
              <w:t xml:space="preserve">Issues the KFS with unique proposal number and validity; owns its content</w:t>
            </w:r>
          </w:p>
        </w:tc>
        <w:tc>
          <w:tcPr>
            <w:tcW w:w="2936" w:type="dxa"/>
          </w:tcPr>
          <w:p>
            <w:pPr>
              <w:pStyle w:val="Compact"/>
              <w:spacing w:after="40"/>
              <w:jc w:val="left"/>
            </w:pPr>
            <w:r>
              <w:rPr>
                <w:sz w:val="18"/>
              </w:rPr>
              <w:t xml:space="preserve">Displays, explains, records acknowledgement and acceptance time, passes them to the RE</w:t>
            </w:r>
          </w:p>
        </w:tc>
        <w:tc>
          <w:tcPr>
            <w:tcW w:w="2451" w:type="dxa"/>
          </w:tcPr>
          <w:p>
            <w:pPr>
              <w:pStyle w:val="Compact"/>
              <w:spacing w:after="40"/>
              <w:jc w:val="left"/>
            </w:pPr>
            <w:r>
              <w:rPr>
                <w:sz w:val="18"/>
              </w:rPr>
              <w:t xml:space="preserve">RBC para 29; CF para 9(1)</w:t>
            </w:r>
          </w:p>
        </w:tc>
      </w:tr>
      <w:tr>
        <w:tc>
          <w:tcPr>
            <w:tcW w:w="1334" w:type="dxa"/>
          </w:tcPr>
          <w:p>
            <w:pPr>
              <w:pStyle w:val="Compact"/>
              <w:spacing w:after="40"/>
              <w:jc w:val="left"/>
            </w:pPr>
            <w:r>
              <w:rPr>
                <w:sz w:val="18"/>
              </w:rPr>
              <w:t xml:space="preserve">Sanction</w:t>
            </w:r>
          </w:p>
        </w:tc>
        <w:tc>
          <w:tcPr>
            <w:tcW w:w="2917" w:type="dxa"/>
          </w:tcPr>
          <w:p>
            <w:pPr>
              <w:pStyle w:val="Compact"/>
              <w:spacing w:after="40"/>
              <w:jc w:val="left"/>
            </w:pPr>
            <w:r>
              <w:rPr>
                <w:sz w:val="18"/>
              </w:rPr>
              <w:t xml:space="preserve">Sanctions and issues the sanction letter</w:t>
            </w:r>
          </w:p>
        </w:tc>
        <w:tc>
          <w:tcPr>
            <w:tcW w:w="2936" w:type="dxa"/>
          </w:tcPr>
          <w:p>
            <w:pPr>
              <w:pStyle w:val="Compact"/>
              <w:spacing w:after="40"/>
              <w:jc w:val="left"/>
            </w:pPr>
            <w:r>
              <w:rPr>
                <w:sz w:val="18"/>
              </w:rPr>
              <w:t xml:space="preserve">Displays and delivers</w:t>
            </w:r>
          </w:p>
        </w:tc>
        <w:tc>
          <w:tcPr>
            <w:tcW w:w="2451" w:type="dxa"/>
          </w:tcPr>
          <w:p>
            <w:pPr>
              <w:pStyle w:val="Compact"/>
              <w:spacing w:after="40"/>
              <w:jc w:val="left"/>
            </w:pPr>
            <w:r>
              <w:rPr>
                <w:sz w:val="18"/>
              </w:rPr>
              <w:t xml:space="preserve">OUT para 15</w:t>
            </w:r>
          </w:p>
        </w:tc>
      </w:tr>
      <w:tr>
        <w:tc>
          <w:tcPr>
            <w:tcW w:w="1334" w:type="dxa"/>
          </w:tcPr>
          <w:p>
            <w:pPr>
              <w:pStyle w:val="Compact"/>
              <w:spacing w:after="40"/>
              <w:jc w:val="left"/>
            </w:pPr>
            <w:r>
              <w:rPr>
                <w:sz w:val="18"/>
              </w:rPr>
              <w:t xml:space="preserve">Loan agreement</w:t>
            </w:r>
          </w:p>
        </w:tc>
        <w:tc>
          <w:tcPr>
            <w:tcW w:w="2917" w:type="dxa"/>
          </w:tcPr>
          <w:p>
            <w:pPr>
              <w:pStyle w:val="Compact"/>
              <w:spacing w:after="40"/>
              <w:jc w:val="left"/>
            </w:pPr>
            <w:r>
              <w:rPr>
                <w:sz w:val="18"/>
              </w:rPr>
              <w:t xml:space="preserve">Owns the template and contract; executes on its letterhead</w:t>
            </w:r>
          </w:p>
        </w:tc>
        <w:tc>
          <w:tcPr>
            <w:tcW w:w="2936" w:type="dxa"/>
          </w:tcPr>
          <w:p>
            <w:pPr>
              <w:pStyle w:val="Compact"/>
              <w:spacing w:after="40"/>
              <w:jc w:val="left"/>
            </w:pPr>
            <w:r>
              <w:rPr>
                <w:sz w:val="18"/>
              </w:rPr>
              <w:t xml:space="preserve">Orchestrates borrower execution and evidence capture</w:t>
            </w:r>
          </w:p>
        </w:tc>
        <w:tc>
          <w:tcPr>
            <w:tcW w:w="2451" w:type="dxa"/>
          </w:tcPr>
          <w:p>
            <w:pPr>
              <w:pStyle w:val="Compact"/>
              <w:spacing w:after="40"/>
              <w:jc w:val="left"/>
            </w:pPr>
            <w:r>
              <w:rPr>
                <w:sz w:val="18"/>
              </w:rPr>
              <w:t xml:space="preserve">CF para 9(3); IT Act</w:t>
            </w:r>
          </w:p>
        </w:tc>
      </w:tr>
      <w:tr>
        <w:tc>
          <w:tcPr>
            <w:tcW w:w="1334" w:type="dxa"/>
          </w:tcPr>
          <w:p>
            <w:pPr>
              <w:pStyle w:val="Compact"/>
              <w:spacing w:after="40"/>
              <w:jc w:val="left"/>
            </w:pPr>
            <w:r>
              <w:rPr>
                <w:sz w:val="18"/>
              </w:rPr>
              <w:t xml:space="preserve">eSign and eStamp</w:t>
            </w:r>
          </w:p>
        </w:tc>
        <w:tc>
          <w:tcPr>
            <w:tcW w:w="2917" w:type="dxa"/>
          </w:tcPr>
          <w:p>
            <w:pPr>
              <w:pStyle w:val="Compact"/>
              <w:spacing w:after="40"/>
              <w:jc w:val="left"/>
            </w:pPr>
            <w:r>
              <w:rPr>
                <w:sz w:val="18"/>
              </w:rPr>
              <w:t xml:space="preserve">Party to the document; may hold the ESP and stamp-vendor contracts</w:t>
            </w:r>
          </w:p>
        </w:tc>
        <w:tc>
          <w:tcPr>
            <w:tcW w:w="2936" w:type="dxa"/>
          </w:tcPr>
          <w:p>
            <w:pPr>
              <w:pStyle w:val="Compact"/>
              <w:spacing w:after="40"/>
              <w:jc w:val="left"/>
            </w:pPr>
            <w:r>
              <w:rPr>
                <w:sz w:val="18"/>
              </w:rPr>
              <w:t xml:space="preserve">Orchestrates the borrower’s eSign and the eStamp purchase on the RE’s account; stores provider evidence; never marks</w:t>
            </w:r>
            <w:r>
              <w:rPr>
                <w:sz w:val="18"/>
              </w:rPr>
              <w:t xml:space="preserve"> </w:t>
            </w:r>
            <w:r>
              <w:rPr>
                <w:sz w:val="18"/>
              </w:rPr>
              <w:t xml:space="preserve">“</w:t>
            </w:r>
            <w:r>
              <w:rPr>
                <w:sz w:val="18"/>
              </w:rPr>
              <w:t xml:space="preserve">signed</w:t>
            </w:r>
            <w:r>
              <w:rPr>
                <w:sz w:val="18"/>
              </w:rPr>
              <w:t xml:space="preserve">”</w:t>
            </w:r>
            <w:r>
              <w:rPr>
                <w:sz w:val="18"/>
              </w:rPr>
              <w:t xml:space="preserve"> </w:t>
            </w:r>
            <w:r>
              <w:rPr>
                <w:sz w:val="18"/>
              </w:rPr>
              <w:t xml:space="preserve">without it</w:t>
            </w:r>
          </w:p>
        </w:tc>
        <w:tc>
          <w:tcPr>
            <w:tcW w:w="2451" w:type="dxa"/>
          </w:tcPr>
          <w:p>
            <w:pPr>
              <w:pStyle w:val="Compact"/>
              <w:spacing w:after="40"/>
              <w:jc w:val="left"/>
            </w:pPr>
            <w:r>
              <w:rPr>
                <w:sz w:val="18"/>
              </w:rPr>
              <w:t xml:space="preserve">LSP agreement; IT Act s.3A; state Stamp Acts [VERIFY per state]</w:t>
            </w:r>
          </w:p>
        </w:tc>
      </w:tr>
      <w:tr>
        <w:tc>
          <w:tcPr>
            <w:tcW w:w="1334" w:type="dxa"/>
          </w:tcPr>
          <w:p>
            <w:pPr>
              <w:pStyle w:val="Compact"/>
              <w:spacing w:after="40"/>
              <w:jc w:val="left"/>
            </w:pPr>
            <w:r>
              <w:rPr>
                <w:sz w:val="18"/>
              </w:rPr>
              <w:t xml:space="preserve">Disbursement</w:t>
            </w:r>
          </w:p>
        </w:tc>
        <w:tc>
          <w:tcPr>
            <w:tcW w:w="2917" w:type="dxa"/>
          </w:tcPr>
          <w:p>
            <w:pPr>
              <w:pStyle w:val="Compact"/>
              <w:spacing w:after="40"/>
              <w:jc w:val="left"/>
            </w:pPr>
            <w:r>
              <w:rPr>
                <w:sz w:val="18"/>
              </w:rPr>
              <w:t xml:space="preserve">Disburses from its account to the borrower or permitted end-beneficiary</w:t>
            </w:r>
          </w:p>
        </w:tc>
        <w:tc>
          <w:tcPr>
            <w:tcW w:w="2936" w:type="dxa"/>
          </w:tcPr>
          <w:p>
            <w:pPr>
              <w:pStyle w:val="Compact"/>
              <w:spacing w:after="40"/>
              <w:jc w:val="left"/>
            </w:pPr>
            <w:r>
              <w:rPr>
                <w:sz w:val="18"/>
              </w:rPr>
              <w:t xml:space="preserve">Shows status only; never touches funds</w:t>
            </w:r>
          </w:p>
        </w:tc>
        <w:tc>
          <w:tcPr>
            <w:tcW w:w="2451" w:type="dxa"/>
          </w:tcPr>
          <w:p>
            <w:pPr>
              <w:pStyle w:val="Compact"/>
              <w:spacing w:after="40"/>
              <w:jc w:val="left"/>
            </w:pPr>
            <w:r>
              <w:rPr>
                <w:sz w:val="18"/>
              </w:rPr>
              <w:t xml:space="preserve">CF para 10(1)</w:t>
            </w:r>
          </w:p>
        </w:tc>
      </w:tr>
      <w:tr>
        <w:tc>
          <w:tcPr>
            <w:tcW w:w="1334" w:type="dxa"/>
          </w:tcPr>
          <w:p>
            <w:pPr>
              <w:pStyle w:val="Compact"/>
              <w:spacing w:after="40"/>
              <w:jc w:val="left"/>
            </w:pPr>
            <w:r>
              <w:rPr>
                <w:sz w:val="18"/>
              </w:rPr>
              <w:t xml:space="preserve">Mandates</w:t>
            </w:r>
          </w:p>
        </w:tc>
        <w:tc>
          <w:tcPr>
            <w:tcW w:w="2917" w:type="dxa"/>
          </w:tcPr>
          <w:p>
            <w:pPr>
              <w:pStyle w:val="Compact"/>
              <w:spacing w:after="40"/>
              <w:jc w:val="left"/>
            </w:pPr>
            <w:r>
              <w:rPr>
                <w:sz w:val="18"/>
              </w:rPr>
              <w:t xml:space="preserve">Mandate in its favour, with its sponsor bank and utility code</w:t>
            </w:r>
          </w:p>
        </w:tc>
        <w:tc>
          <w:tcPr>
            <w:tcW w:w="2936" w:type="dxa"/>
          </w:tcPr>
          <w:p>
            <w:pPr>
              <w:pStyle w:val="Compact"/>
              <w:spacing w:after="40"/>
              <w:jc w:val="left"/>
            </w:pPr>
            <w:r>
              <w:rPr>
                <w:sz w:val="18"/>
              </w:rPr>
              <w:t xml:space="preserve">Orchestrates registration and shows status</w:t>
            </w:r>
          </w:p>
        </w:tc>
        <w:tc>
          <w:tcPr>
            <w:tcW w:w="2451" w:type="dxa"/>
          </w:tcPr>
          <w:p>
            <w:pPr>
              <w:pStyle w:val="Compact"/>
              <w:spacing w:after="40"/>
              <w:jc w:val="left"/>
            </w:pPr>
            <w:r>
              <w:rPr>
                <w:sz w:val="18"/>
              </w:rPr>
              <w:t xml:space="preserve">CF para 10(2)–(3)</w:t>
            </w:r>
          </w:p>
        </w:tc>
      </w:tr>
      <w:tr>
        <w:tc>
          <w:tcPr>
            <w:tcW w:w="1334" w:type="dxa"/>
          </w:tcPr>
          <w:p>
            <w:pPr>
              <w:pStyle w:val="Compact"/>
              <w:spacing w:after="40"/>
              <w:jc w:val="left"/>
            </w:pPr>
            <w:r>
              <w:rPr>
                <w:sz w:val="18"/>
              </w:rPr>
              <w:t xml:space="preserve">Repayment collection</w:t>
            </w:r>
          </w:p>
        </w:tc>
        <w:tc>
          <w:tcPr>
            <w:tcW w:w="2917" w:type="dxa"/>
          </w:tcPr>
          <w:p>
            <w:pPr>
              <w:pStyle w:val="Compact"/>
              <w:spacing w:after="40"/>
              <w:jc w:val="left"/>
            </w:pPr>
            <w:r>
              <w:rPr>
                <w:sz w:val="18"/>
              </w:rPr>
              <w:t xml:space="preserve">Receives every payment in its own account</w:t>
            </w:r>
          </w:p>
        </w:tc>
        <w:tc>
          <w:tcPr>
            <w:tcW w:w="2936" w:type="dxa"/>
          </w:tcPr>
          <w:p>
            <w:pPr>
              <w:pStyle w:val="Compact"/>
              <w:spacing w:after="40"/>
              <w:jc w:val="left"/>
            </w:pPr>
            <w:r>
              <w:rPr>
                <w:sz w:val="18"/>
              </w:rPr>
              <w:t xml:space="preserve">Generates payment instructions on the RE’s merchant account; shows status and receipts</w:t>
            </w:r>
          </w:p>
        </w:tc>
        <w:tc>
          <w:tcPr>
            <w:tcW w:w="2451" w:type="dxa"/>
          </w:tcPr>
          <w:p>
            <w:pPr>
              <w:pStyle w:val="Compact"/>
              <w:spacing w:after="40"/>
              <w:jc w:val="left"/>
            </w:pPr>
            <w:r>
              <w:rPr>
                <w:sz w:val="18"/>
              </w:rPr>
              <w:t xml:space="preserve">CF para 10(2)–(4)</w:t>
            </w:r>
          </w:p>
        </w:tc>
      </w:tr>
      <w:tr>
        <w:tc>
          <w:tcPr>
            <w:tcW w:w="1334" w:type="dxa"/>
          </w:tcPr>
          <w:p>
            <w:pPr>
              <w:pStyle w:val="Compact"/>
              <w:spacing w:after="40"/>
              <w:jc w:val="left"/>
            </w:pPr>
            <w:r>
              <w:rPr>
                <w:sz w:val="18"/>
              </w:rPr>
              <w:t xml:space="preserve">Reminders</w:t>
            </w:r>
          </w:p>
        </w:tc>
        <w:tc>
          <w:tcPr>
            <w:tcW w:w="2917" w:type="dxa"/>
          </w:tcPr>
          <w:p>
            <w:pPr>
              <w:pStyle w:val="Compact"/>
              <w:spacing w:after="40"/>
              <w:jc w:val="left"/>
            </w:pPr>
            <w:r>
              <w:rPr>
                <w:sz w:val="18"/>
              </w:rPr>
              <w:t xml:space="preserve">Sets content and policy; owns penal-charge disclosure</w:t>
            </w:r>
          </w:p>
        </w:tc>
        <w:tc>
          <w:tcPr>
            <w:tcW w:w="2936" w:type="dxa"/>
          </w:tcPr>
          <w:p>
            <w:pPr>
              <w:pStyle w:val="Compact"/>
              <w:spacing w:after="40"/>
              <w:jc w:val="left"/>
            </w:pPr>
            <w:r>
              <w:rPr>
                <w:sz w:val="18"/>
              </w:rPr>
              <w:t xml:space="preserve">Sends approved reminders and alerts on the RE’s behalf</w:t>
            </w:r>
          </w:p>
        </w:tc>
        <w:tc>
          <w:tcPr>
            <w:tcW w:w="2451" w:type="dxa"/>
          </w:tcPr>
          <w:p>
            <w:pPr>
              <w:pStyle w:val="Compact"/>
              <w:spacing w:after="40"/>
              <w:jc w:val="left"/>
            </w:pPr>
            <w:r>
              <w:rPr>
                <w:sz w:val="18"/>
              </w:rPr>
              <w:t xml:space="preserve">RBC para 30; CIR para 34(1)(i)</w:t>
            </w:r>
          </w:p>
        </w:tc>
      </w:tr>
      <w:tr>
        <w:tc>
          <w:tcPr>
            <w:tcW w:w="1334" w:type="dxa"/>
          </w:tcPr>
          <w:p>
            <w:pPr>
              <w:pStyle w:val="Compact"/>
              <w:spacing w:after="40"/>
              <w:jc w:val="left"/>
            </w:pPr>
            <w:r>
              <w:rPr>
                <w:sz w:val="18"/>
              </w:rPr>
              <w:t xml:space="preserve">Recovery</w:t>
            </w:r>
          </w:p>
        </w:tc>
        <w:tc>
          <w:tcPr>
            <w:tcW w:w="2917" w:type="dxa"/>
          </w:tcPr>
          <w:p>
            <w:pPr>
              <w:pStyle w:val="Compact"/>
              <w:spacing w:after="40"/>
              <w:jc w:val="left"/>
            </w:pPr>
            <w:r>
              <w:rPr>
                <w:sz w:val="18"/>
              </w:rPr>
              <w:t xml:space="preserve">Owns recovery policy; appoints agents; sends agent particulars before contact</w:t>
            </w:r>
          </w:p>
        </w:tc>
        <w:tc>
          <w:tcPr>
            <w:tcW w:w="2936" w:type="dxa"/>
          </w:tcPr>
          <w:p>
            <w:pPr>
              <w:pStyle w:val="Compact"/>
              <w:spacing w:after="40"/>
              <w:jc w:val="left"/>
            </w:pPr>
            <w:r>
              <w:rPr>
                <w:sz w:val="18"/>
              </w:rPr>
              <w:t xml:space="preserve">Only if appointed by an explicit recovery-agent contract; follows RBC conduct rules</w:t>
            </w:r>
          </w:p>
        </w:tc>
        <w:tc>
          <w:tcPr>
            <w:tcW w:w="2451" w:type="dxa"/>
          </w:tcPr>
          <w:p>
            <w:pPr>
              <w:pStyle w:val="Compact"/>
              <w:spacing w:after="40"/>
              <w:jc w:val="left"/>
            </w:pPr>
            <w:r>
              <w:rPr>
                <w:sz w:val="18"/>
              </w:rPr>
              <w:t xml:space="preserve">CF paras 6(5), 9(6), 10(5); RBC paras 93–100; RBC Third Amendment paras 100A–100AB from 1 Jan 2027 (Part 7A)</w:t>
            </w:r>
          </w:p>
        </w:tc>
      </w:tr>
      <w:tr>
        <w:tc>
          <w:tcPr>
            <w:tcW w:w="1334" w:type="dxa"/>
          </w:tcPr>
          <w:p>
            <w:pPr>
              <w:pStyle w:val="Compact"/>
              <w:spacing w:after="40"/>
              <w:jc w:val="left"/>
            </w:pPr>
            <w:r>
              <w:rPr>
                <w:sz w:val="18"/>
              </w:rPr>
              <w:t xml:space="preserve">Settlement, ADR and legal action</w:t>
            </w:r>
          </w:p>
        </w:tc>
        <w:tc>
          <w:tcPr>
            <w:tcW w:w="2917" w:type="dxa"/>
          </w:tcPr>
          <w:p>
            <w:pPr>
              <w:pStyle w:val="Compact"/>
              <w:spacing w:after="40"/>
              <w:jc w:val="left"/>
            </w:pPr>
            <w:r>
              <w:rPr>
                <w:sz w:val="18"/>
              </w:rPr>
              <w:t xml:space="preserve">Approves every settlement one level above the sanctioning authority; refers disputes to ADR; issues legal notices and conducts litigation in its own name</w:t>
            </w:r>
          </w:p>
        </w:tc>
        <w:tc>
          <w:tcPr>
            <w:tcW w:w="2936" w:type="dxa"/>
          </w:tcPr>
          <w:p>
            <w:pPr>
              <w:pStyle w:val="Compact"/>
              <w:spacing w:after="40"/>
              <w:jc w:val="left"/>
            </w:pPr>
            <w:r>
              <w:rPr>
                <w:sz w:val="18"/>
              </w:rPr>
              <w:t xml:space="preserve">Relays settlement requests and shows the RE’s offers, notices and ADR status as the RE permits; never approves, refers or issues (Part 7A)</w:t>
            </w:r>
          </w:p>
        </w:tc>
        <w:tc>
          <w:tcPr>
            <w:tcW w:w="2451" w:type="dxa"/>
          </w:tcPr>
          <w:p>
            <w:pPr>
              <w:pStyle w:val="Compact"/>
              <w:spacing w:after="40"/>
              <w:jc w:val="left"/>
            </w:pPr>
            <w:r>
              <w:rPr>
                <w:sz w:val="18"/>
              </w:rPr>
              <w:t xml:space="preserve">RSA paras 16(5), 87–100; OUT para 15; CF para 12</w:t>
            </w:r>
          </w:p>
        </w:tc>
      </w:tr>
      <w:tr>
        <w:tc>
          <w:tcPr>
            <w:tcW w:w="1334" w:type="dxa"/>
          </w:tcPr>
          <w:p>
            <w:pPr>
              <w:pStyle w:val="Compact"/>
              <w:spacing w:after="40"/>
              <w:jc w:val="left"/>
            </w:pPr>
            <w:r>
              <w:rPr>
                <w:sz w:val="18"/>
              </w:rPr>
              <w:t xml:space="preserve">DLG</w:t>
            </w:r>
          </w:p>
        </w:tc>
        <w:tc>
          <w:tcPr>
            <w:tcW w:w="2917" w:type="dxa"/>
          </w:tcPr>
          <w:p>
            <w:pPr>
              <w:pStyle w:val="Compact"/>
              <w:spacing w:after="40"/>
              <w:jc w:val="left"/>
            </w:pPr>
            <w:r>
              <w:rPr>
                <w:sz w:val="18"/>
              </w:rPr>
              <w:t xml:space="preserve">Accepts DLG under its Board policy; invokes; classifies and provisions the loans</w:t>
            </w:r>
          </w:p>
        </w:tc>
        <w:tc>
          <w:tcPr>
            <w:tcW w:w="2936" w:type="dxa"/>
          </w:tcPr>
          <w:p>
            <w:pPr>
              <w:pStyle w:val="Compact"/>
              <w:spacing w:after="40"/>
              <w:jc w:val="left"/>
            </w:pPr>
            <w:r>
              <w:rPr>
                <w:sz w:val="18"/>
              </w:rPr>
              <w:t xml:space="preserve">Provides DLG in a permitted form; auditor-certified declaration; monthly website disclosure</w:t>
            </w:r>
          </w:p>
        </w:tc>
        <w:tc>
          <w:tcPr>
            <w:tcW w:w="2451" w:type="dxa"/>
          </w:tcPr>
          <w:p>
            <w:pPr>
              <w:pStyle w:val="Compact"/>
              <w:spacing w:after="40"/>
              <w:jc w:val="left"/>
            </w:pPr>
            <w:r>
              <w:rPr>
                <w:sz w:val="18"/>
              </w:rPr>
              <w:t xml:space="preserve">CF paras 19–29</w:t>
            </w:r>
          </w:p>
        </w:tc>
      </w:tr>
      <w:tr>
        <w:tc>
          <w:tcPr>
            <w:tcW w:w="1334" w:type="dxa"/>
          </w:tcPr>
          <w:p>
            <w:pPr>
              <w:pStyle w:val="Compact"/>
              <w:spacing w:after="40"/>
              <w:jc w:val="left"/>
            </w:pPr>
            <w:r>
              <w:rPr>
                <w:sz w:val="18"/>
              </w:rPr>
              <w:t xml:space="preserve">Grievance</w:t>
            </w:r>
          </w:p>
        </w:tc>
        <w:tc>
          <w:tcPr>
            <w:tcW w:w="2917" w:type="dxa"/>
          </w:tcPr>
          <w:p>
            <w:pPr>
              <w:pStyle w:val="Compact"/>
              <w:spacing w:after="40"/>
              <w:jc w:val="left"/>
            </w:pPr>
            <w:r>
              <w:rPr>
                <w:sz w:val="18"/>
              </w:rPr>
              <w:t xml:space="preserve">Owns redressal; GRO and Internal Ombudsman; 30-day clock; refers disputes to ADR</w:t>
            </w:r>
          </w:p>
        </w:tc>
        <w:tc>
          <w:tcPr>
            <w:tcW w:w="2936" w:type="dxa"/>
          </w:tcPr>
          <w:p>
            <w:pPr>
              <w:pStyle w:val="Compact"/>
              <w:spacing w:after="40"/>
              <w:jc w:val="left"/>
            </w:pPr>
            <w:r>
              <w:rPr>
                <w:sz w:val="18"/>
              </w:rPr>
              <w:t xml:space="preserve">Own nodal grievance officer for LSP-related complaints; lodging on the DLA; routing and tracking; ADR status and access for RE-referred cases (Part 7A UR2)</w:t>
            </w:r>
          </w:p>
        </w:tc>
        <w:tc>
          <w:tcPr>
            <w:tcW w:w="2451" w:type="dxa"/>
          </w:tcPr>
          <w:p>
            <w:pPr>
              <w:pStyle w:val="Compact"/>
              <w:spacing w:after="40"/>
              <w:jc w:val="left"/>
            </w:pPr>
            <w:r>
              <w:rPr>
                <w:sz w:val="18"/>
              </w:rPr>
              <w:t xml:space="preserve">CF para 12</w:t>
            </w:r>
          </w:p>
        </w:tc>
      </w:tr>
      <w:tr>
        <w:tc>
          <w:tcPr>
            <w:tcW w:w="1334" w:type="dxa"/>
          </w:tcPr>
          <w:p>
            <w:pPr>
              <w:pStyle w:val="Compact"/>
              <w:spacing w:after="40"/>
              <w:jc w:val="left"/>
            </w:pPr>
            <w:r>
              <w:rPr>
                <w:sz w:val="18"/>
              </w:rPr>
              <w:t xml:space="preserve">CIC reporting</w:t>
            </w:r>
          </w:p>
        </w:tc>
        <w:tc>
          <w:tcPr>
            <w:tcW w:w="2917" w:type="dxa"/>
          </w:tcPr>
          <w:p>
            <w:pPr>
              <w:pStyle w:val="Compact"/>
              <w:spacing w:after="40"/>
              <w:jc w:val="left"/>
            </w:pPr>
            <w:r>
              <w:rPr>
                <w:sz w:val="18"/>
              </w:rPr>
              <w:t xml:space="preserve">Reports all DLA lending, including household income for microfinance</w:t>
            </w:r>
          </w:p>
        </w:tc>
        <w:tc>
          <w:tcPr>
            <w:tcW w:w="2936" w:type="dxa"/>
          </w:tcPr>
          <w:p>
            <w:pPr>
              <w:pStyle w:val="Compact"/>
              <w:spacing w:after="40"/>
              <w:jc w:val="left"/>
            </w:pPr>
            <w:r>
              <w:rPr>
                <w:sz w:val="18"/>
              </w:rPr>
              <w:t xml:space="preserve">Supplies captured data (for example household income) with evidence</w:t>
            </w:r>
          </w:p>
        </w:tc>
        <w:tc>
          <w:tcPr>
            <w:tcW w:w="2451" w:type="dxa"/>
          </w:tcPr>
          <w:p>
            <w:pPr>
              <w:pStyle w:val="Compact"/>
              <w:spacing w:after="40"/>
              <w:jc w:val="left"/>
            </w:pPr>
            <w:r>
              <w:rPr>
                <w:sz w:val="18"/>
              </w:rPr>
              <w:t xml:space="preserve">CF paras 17, 54</w:t>
            </w:r>
          </w:p>
        </w:tc>
      </w:tr>
      <w:tr>
        <w:tc>
          <w:tcPr>
            <w:tcW w:w="1334" w:type="dxa"/>
          </w:tcPr>
          <w:p>
            <w:pPr>
              <w:pStyle w:val="Compact"/>
              <w:spacing w:after="40"/>
              <w:jc w:val="left"/>
            </w:pPr>
            <w:r>
              <w:rPr>
                <w:sz w:val="18"/>
              </w:rPr>
              <w:t xml:space="preserve">CIMS DLA reporting</w:t>
            </w:r>
          </w:p>
        </w:tc>
        <w:tc>
          <w:tcPr>
            <w:tcW w:w="2917" w:type="dxa"/>
          </w:tcPr>
          <w:p>
            <w:pPr>
              <w:pStyle w:val="Compact"/>
              <w:spacing w:after="40"/>
              <w:jc w:val="left"/>
            </w:pPr>
            <w:r>
              <w:rPr>
                <w:sz w:val="18"/>
              </w:rPr>
              <w:t xml:space="preserve">Reports every DLA, certifies the para 18(4) points</w:t>
            </w:r>
          </w:p>
        </w:tc>
        <w:tc>
          <w:tcPr>
            <w:tcW w:w="2936" w:type="dxa"/>
          </w:tcPr>
          <w:p>
            <w:pPr>
              <w:pStyle w:val="Compact"/>
              <w:spacing w:after="40"/>
              <w:jc w:val="left"/>
            </w:pPr>
            <w:r>
              <w:rPr>
                <w:sz w:val="18"/>
              </w:rPr>
              <w:t xml:space="preserve">Maintains the DLA register and supplies the data; keeps the DLA compliant</w:t>
            </w:r>
          </w:p>
        </w:tc>
        <w:tc>
          <w:tcPr>
            <w:tcW w:w="2451" w:type="dxa"/>
          </w:tcPr>
          <w:p>
            <w:pPr>
              <w:pStyle w:val="Compact"/>
              <w:spacing w:after="40"/>
              <w:jc w:val="left"/>
            </w:pPr>
            <w:r>
              <w:rPr>
                <w:sz w:val="18"/>
              </w:rPr>
              <w:t xml:space="preserve">CF para 18</w:t>
            </w:r>
          </w:p>
        </w:tc>
      </w:tr>
      <w:tr>
        <w:tc>
          <w:tcPr>
            <w:tcW w:w="1334" w:type="dxa"/>
          </w:tcPr>
          <w:p>
            <w:pPr>
              <w:pStyle w:val="Compact"/>
              <w:spacing w:after="40"/>
              <w:jc w:val="left"/>
            </w:pPr>
            <w:r>
              <w:rPr>
                <w:sz w:val="18"/>
              </w:rPr>
              <w:t xml:space="preserve">Data storage</w:t>
            </w:r>
          </w:p>
        </w:tc>
        <w:tc>
          <w:tcPr>
            <w:tcW w:w="2917" w:type="dxa"/>
          </w:tcPr>
          <w:p>
            <w:pPr>
              <w:pStyle w:val="Compact"/>
              <w:spacing w:after="40"/>
              <w:jc w:val="left"/>
            </w:pPr>
            <w:r>
              <w:rPr>
                <w:sz w:val="18"/>
              </w:rPr>
              <w:t xml:space="preserve">Responsible for borrower data privacy and security on an ongoing basis</w:t>
            </w:r>
          </w:p>
        </w:tc>
        <w:tc>
          <w:tcPr>
            <w:tcW w:w="2936" w:type="dxa"/>
          </w:tcPr>
          <w:p>
            <w:pPr>
              <w:pStyle w:val="Compact"/>
              <w:spacing w:after="40"/>
              <w:jc w:val="left"/>
            </w:pPr>
            <w:r>
              <w:rPr>
                <w:sz w:val="18"/>
              </w:rPr>
              <w:t xml:space="preserve">Stores only basic minimal data within the agreement’s scope; India-only storage</w:t>
            </w:r>
          </w:p>
        </w:tc>
        <w:tc>
          <w:tcPr>
            <w:tcW w:w="2451" w:type="dxa"/>
          </w:tcPr>
          <w:p>
            <w:pPr>
              <w:pStyle w:val="Compact"/>
              <w:spacing w:after="40"/>
              <w:jc w:val="left"/>
            </w:pPr>
            <w:r>
              <w:rPr>
                <w:sz w:val="18"/>
              </w:rPr>
              <w:t xml:space="preserve">CF para 14(1), 14(4)</w:t>
            </w:r>
          </w:p>
        </w:tc>
      </w:tr>
      <w:tr>
        <w:tc>
          <w:tcPr>
            <w:tcW w:w="1334" w:type="dxa"/>
          </w:tcPr>
          <w:p>
            <w:pPr>
              <w:pStyle w:val="Compact"/>
              <w:spacing w:after="40"/>
              <w:jc w:val="left"/>
            </w:pPr>
            <w:r>
              <w:rPr>
                <w:sz w:val="18"/>
              </w:rPr>
              <w:t xml:space="preserve">Security incidents</w:t>
            </w:r>
          </w:p>
        </w:tc>
        <w:tc>
          <w:tcPr>
            <w:tcW w:w="2917" w:type="dxa"/>
          </w:tcPr>
          <w:p>
            <w:pPr>
              <w:pStyle w:val="Compact"/>
              <w:spacing w:after="40"/>
              <w:jc w:val="left"/>
            </w:pPr>
            <w:r>
              <w:rPr>
                <w:sz w:val="18"/>
              </w:rPr>
              <w:t xml:space="preserve">Reports to RBI within the regulatory timeline</w:t>
            </w:r>
          </w:p>
        </w:tc>
        <w:tc>
          <w:tcPr>
            <w:tcW w:w="2936" w:type="dxa"/>
          </w:tcPr>
          <w:p>
            <w:pPr>
              <w:pStyle w:val="Compact"/>
              <w:spacing w:after="40"/>
              <w:jc w:val="left"/>
            </w:pPr>
            <w:r>
              <w:rPr>
                <w:sz w:val="18"/>
              </w:rPr>
              <w:t xml:space="preserve">Reports to the RE without undue delay (internal target 2 hours) so the RE can report to RBI within six hours of Udofin’s detection</w:t>
            </w:r>
          </w:p>
        </w:tc>
        <w:tc>
          <w:tcPr>
            <w:tcW w:w="2451" w:type="dxa"/>
          </w:tcPr>
          <w:p>
            <w:pPr>
              <w:pStyle w:val="Compact"/>
              <w:spacing w:after="40"/>
              <w:jc w:val="left"/>
            </w:pPr>
            <w:r>
              <w:rPr>
                <w:sz w:val="18"/>
              </w:rPr>
              <w:t xml:space="preserve">OUT para 61; CYB (Part 8A.8)</w:t>
            </w:r>
          </w:p>
        </w:tc>
      </w:tr>
      <w:tr>
        <w:tc>
          <w:tcPr>
            <w:tcW w:w="1334" w:type="dxa"/>
          </w:tcPr>
          <w:p>
            <w:pPr>
              <w:pStyle w:val="Compact"/>
              <w:spacing w:after="40"/>
              <w:jc w:val="left"/>
            </w:pPr>
            <w:r>
              <w:rPr>
                <w:sz w:val="18"/>
              </w:rPr>
              <w:t xml:space="preserve">Audit</w:t>
            </w:r>
          </w:p>
        </w:tc>
        <w:tc>
          <w:tcPr>
            <w:tcW w:w="2917" w:type="dxa"/>
          </w:tcPr>
          <w:p>
            <w:pPr>
              <w:pStyle w:val="Compact"/>
              <w:spacing w:after="40"/>
              <w:jc w:val="left"/>
            </w:pPr>
            <w:r>
              <w:rPr>
                <w:sz w:val="18"/>
              </w:rPr>
              <w:t xml:space="preserve">Audits Udofin; RBI may inspect</w:t>
            </w:r>
          </w:p>
        </w:tc>
        <w:tc>
          <w:tcPr>
            <w:tcW w:w="2936" w:type="dxa"/>
          </w:tcPr>
          <w:p>
            <w:pPr>
              <w:pStyle w:val="Compact"/>
              <w:spacing w:after="40"/>
              <w:jc w:val="left"/>
            </w:pPr>
            <w:r>
              <w:rPr>
                <w:sz w:val="18"/>
              </w:rPr>
              <w:t xml:space="preserve">Gives access to books, records and systems; supports audits and inspections</w:t>
            </w:r>
          </w:p>
        </w:tc>
        <w:tc>
          <w:tcPr>
            <w:tcW w:w="2451" w:type="dxa"/>
          </w:tcPr>
          <w:p>
            <w:pPr>
              <w:pStyle w:val="Compact"/>
              <w:spacing w:after="40"/>
              <w:jc w:val="left"/>
            </w:pPr>
            <w:r>
              <w:rPr>
                <w:sz w:val="18"/>
              </w:rPr>
              <w:t xml:space="preserve">OUT para 34(ii), (vii)–(ix)</w:t>
            </w:r>
          </w:p>
        </w:tc>
      </w:tr>
    </w:tbl>
    <w:bookmarkEnd w:id="31"/>
    <w:bookmarkStart w:id="32" w:name="fund-flows"/>
    <w:p>
      <w:pPr>
        <w:pStyle w:val="Heading2"/>
      </w:pPr>
      <w:r>
        <w:t xml:space="preserve">4.3 Fund flows</w:t>
      </w:r>
    </w:p>
    <w:p>
      <w:pPr>
        <w:pStyle w:val="FirstParagraph"/>
      </w:pPr>
      <w:r>
        <w:rPr>
          <w:bCs/>
          <w:b/>
        </w:rPr>
        <w:t xml:space="preserve">Rules (CF para 10):</w:t>
      </w:r>
    </w:p>
    <w:p>
      <w:pPr>
        <w:numPr>
          <w:ilvl w:val="0"/>
          <w:numId w:val="1012"/>
        </w:numPr>
        <w:pStyle w:val="Compact"/>
      </w:pPr>
      <w:r>
        <w:rPr>
          <w:bCs/>
          <w:b/>
        </w:rPr>
        <w:t xml:space="preserve">Disbursal</w:t>
      </w:r>
      <w:r>
        <w:t xml:space="preserve"> </w:t>
      </w:r>
      <w:r>
        <w:t xml:space="preserve">always goes from the RE’s account into the borrower’s bank account. The only exceptions are disbursals exclusively under a statutory or regulatory mandate, flows between lenders in co-lending, and disbursals for a specific end use paid directly into the end-beneficiary’s bank account (for example a hospital, dealer, builder or the existing lender being repaid). Never into a third-party account, including Udofin’s (para 10(1)).</w:t>
      </w:r>
    </w:p>
    <w:p>
      <w:pPr>
        <w:numPr>
          <w:ilvl w:val="0"/>
          <w:numId w:val="1012"/>
        </w:numPr>
        <w:pStyle w:val="Compact"/>
      </w:pPr>
      <w:r>
        <w:rPr>
          <w:bCs/>
          <w:b/>
        </w:rPr>
        <w:t xml:space="preserve">Salary advance proviso:</w:t>
      </w:r>
      <w:r>
        <w:t xml:space="preserve"> </w:t>
      </w:r>
      <w:r>
        <w:t xml:space="preserve">the employer may repay by salary deduction directly from the employer’s bank account to the RE, with no LSP control over the funds (para 10(1) proviso). Not in the MVP.</w:t>
      </w:r>
    </w:p>
    <w:p>
      <w:pPr>
        <w:numPr>
          <w:ilvl w:val="0"/>
          <w:numId w:val="1012"/>
        </w:numPr>
        <w:pStyle w:val="Compact"/>
      </w:pPr>
      <w:r>
        <w:rPr>
          <w:bCs/>
          <w:b/>
        </w:rPr>
        <w:t xml:space="preserve">Repayment</w:t>
      </w:r>
      <w:r>
        <w:t xml:space="preserve"> </w:t>
      </w:r>
      <w:r>
        <w:t xml:space="preserve">goes directly into the RE’s bank account, with no pass-through or pool account of any third party, including Udofin (para 10(2)); no third party controls the flow (para 10(3)). In co-lending, only the co-lenders may control the escrow (para 10(1), Note).</w:t>
      </w:r>
    </w:p>
    <w:p>
      <w:pPr>
        <w:numPr>
          <w:ilvl w:val="0"/>
          <w:numId w:val="1012"/>
        </w:numPr>
        <w:pStyle w:val="Compact"/>
      </w:pPr>
      <w:r>
        <w:rPr>
          <w:bCs/>
          <w:b/>
        </w:rPr>
        <w:t xml:space="preserve">LSP fees</w:t>
      </w:r>
      <w:r>
        <w:t xml:space="preserve"> </w:t>
      </w:r>
      <w:r>
        <w:t xml:space="preserve">are paid by the RE directly and never collected from the borrower (para 10(4)).</w:t>
      </w:r>
    </w:p>
    <w:p>
      <w:pPr>
        <w:numPr>
          <w:ilvl w:val="0"/>
          <w:numId w:val="1012"/>
        </w:numPr>
        <w:pStyle w:val="Compact"/>
      </w:pPr>
      <w:r>
        <w:rPr>
          <w:bCs/>
          <w:b/>
        </w:rPr>
        <w:t xml:space="preserve">Cash recovery</w:t>
      </w:r>
      <w:r>
        <w:t xml:space="preserve"> </w:t>
      </w:r>
      <w:r>
        <w:t xml:space="preserve">on delinquent loans is allowed only where Udofin is the appointed recovery agent; it must be reflected in full in the borrower’s account the same day, and no LSP fee may be taken from the proceeds (para 10(5)).</w:t>
      </w:r>
    </w:p>
    <w:p>
      <w:pPr>
        <w:pStyle w:val="FirstParagraph"/>
      </w:pPr>
      <w:r>
        <w:rPr>
          <w:bCs/>
          <w:b/>
        </w:rPr>
        <w:t xml:space="preserve">Payment gateways.</w:t>
      </w:r>
      <w:r>
        <w:t xml:space="preserve"> </w:t>
      </w:r>
      <w:r>
        <w:t xml:space="preserve">Integrate Razorpay, Cashfree and PayU (and Juspay as optional orchestration) behind one</w:t>
      </w:r>
      <w:r>
        <w:t xml:space="preserve"> </w:t>
      </w:r>
      <w:r>
        <w:rPr>
          <w:rStyle w:val="VerbatimChar"/>
        </w:rPr>
        <w:t xml:space="preserve">PaymentCollectionGateway</w:t>
      </w:r>
      <w:r>
        <w:t xml:space="preserve"> </w:t>
      </w:r>
      <w:r>
        <w:t xml:space="preserve">interface, always on</w:t>
      </w:r>
      <w:r>
        <w:t xml:space="preserve"> </w:t>
      </w:r>
      <w:r>
        <w:rPr>
          <w:bCs/>
          <w:b/>
        </w:rPr>
        <w:t xml:space="preserve">the RE’s merchant account</w:t>
      </w:r>
      <w:r>
        <w:t xml:space="preserve">: the RE is the merchant of record, settlement goes to the RE’s bank account, and Udofin holds only API credentials scoped by the RE. Whether a PA’s regulated escrow or nodal account counts as a third-party</w:t>
      </w:r>
      <w:r>
        <w:t xml:space="preserve"> </w:t>
      </w:r>
      <w:r>
        <w:t xml:space="preserve">“</w:t>
      </w:r>
      <w:r>
        <w:t xml:space="preserve">pool account</w:t>
      </w:r>
      <w:r>
        <w:t xml:space="preserve">”</w:t>
      </w:r>
      <w:r>
        <w:t xml:space="preserve"> </w:t>
      </w:r>
      <w:r>
        <w:t xml:space="preserve">under para 10(2) is an interpretation question [VERIFY: legal opinion per PA model].</w:t>
      </w:r>
    </w:p>
    <w:p>
      <w:pPr>
        <w:pStyle w:val="BodyText"/>
      </w:pPr>
      <w:r>
        <w:rPr>
          <w:bCs/>
          <w:b/>
        </w:rPr>
        <w:t xml:space="preserve">Stripe and PayPal.</w:t>
      </w:r>
      <w:r>
        <w:t xml:space="preserve"> </w:t>
      </w:r>
      <w:r>
        <w:t xml:space="preserve">The original prompt asked for them. Keep adapter interfaces, but do not use them for domestic loan repayments until verified: Stripe’s India availability is restricted and PayPal has exited domestic Indian payments [VERIFY: current status]. They may suit Udofin’s own cross-border SaaS billing to REs, not borrower EMIs. Record this in an ADR.</w:t>
      </w:r>
    </w:p>
    <w:p>
      <w:pPr>
        <w:pStyle w:val="BodyText"/>
      </w:pPr>
      <w:r>
        <w:rPr>
          <w:bCs/>
          <w:b/>
        </w:rPr>
        <w:t xml:space="preserve">Build guards:</w:t>
      </w:r>
      <w:r>
        <w:t xml:space="preserve"> </w:t>
      </w:r>
      <w:r>
        <w:t xml:space="preserve">the configuration validator rejects any beneficiary or settlement account that is not the borrower’s, an approved end-beneficiary or the RE’s; payment links and VPAs are generated per RE; a daily reconciliation (</w:t>
      </w:r>
      <w:r>
        <w:rPr>
          <w:rStyle w:val="VerbatimChar"/>
        </w:rPr>
        <w:t xml:space="preserve">DailyReconciliationFile</w:t>
      </w:r>
      <w:r>
        <w:t xml:space="preserve">, Part 5) proves that no money touched Udofin.</w:t>
      </w:r>
    </w:p>
    <w:bookmarkEnd w:id="32"/>
    <w:bookmarkStart w:id="33" w:name="dlg-and-collections-are-separate"/>
    <w:p>
      <w:pPr>
        <w:pStyle w:val="Heading2"/>
      </w:pPr>
      <w:r>
        <w:t xml:space="preserve">4.4 DLG and collections are separate</w:t>
      </w:r>
    </w:p>
    <w:p>
      <w:pPr>
        <w:pStyle w:val="FirstParagraph"/>
      </w:pPr>
      <w:r>
        <w:t xml:space="preserve">The original prompt said that because Udofin gives 5% FLDG it must handle collections. That is wrong: a DLG arrangement does not by itself give Udofin any collection right or duty.</w:t>
      </w:r>
    </w:p>
    <w:p>
      <w:pPr>
        <w:numPr>
          <w:ilvl w:val="0"/>
          <w:numId w:val="1013"/>
        </w:numPr>
        <w:pStyle w:val="Compact"/>
      </w:pPr>
      <w:r>
        <w:rPr>
          <w:bCs/>
          <w:b/>
        </w:rPr>
        <w:t xml:space="preserve">DLG (CF paras 19–29)</w:t>
      </w:r>
      <w:r>
        <w:t xml:space="preserve"> </w:t>
      </w:r>
      <w:r>
        <w:t xml:space="preserve">is a loss-sharing contract. Udofin must be a company under the Companies Act, 2013 (para 19) [VERIFY Udofin’s legal entity], provide cover only in a permitted form (para 23), within 5% of the amount disbursed from a fixed DLG set (para 24), with an auditor-certified declaration (para 20(3)), accept invocation within 120 days overdue without reinstatement (paras 25(4), 27(1)), and publish a monthly disclosure (para 28). Detail in U14 and Part 8A.1.</w:t>
      </w:r>
    </w:p>
    <w:p>
      <w:pPr>
        <w:numPr>
          <w:ilvl w:val="0"/>
          <w:numId w:val="1013"/>
        </w:numPr>
        <w:pStyle w:val="Compact"/>
      </w:pPr>
      <w:r>
        <w:rPr>
          <w:bCs/>
          <w:b/>
        </w:rPr>
        <w:t xml:space="preserve">Collections</w:t>
      </w:r>
      <w:r>
        <w:t xml:space="preserve"> </w:t>
      </w:r>
      <w:r>
        <w:t xml:space="preserve">come only from an explicit recovery-agent or outsourcing contract with the RE, recorded in U1 with effective dates, scope (reminders only, tele-calling, field), territories, controls and fees. Without it, Udofin sends only RE-approved reminders and payment links. With it, Udofin follows the RE’s recovery policy and the RBC conduct rules (U13; Part 8A.6).</w:t>
      </w:r>
    </w:p>
    <w:p>
      <w:pPr>
        <w:numPr>
          <w:ilvl w:val="0"/>
          <w:numId w:val="1013"/>
        </w:numPr>
        <w:pStyle w:val="Compact"/>
      </w:pPr>
      <w:r>
        <w:rPr>
          <w:bCs/>
          <w:b/>
        </w:rPr>
        <w:t xml:space="preserve">Conflict control:</w:t>
      </w:r>
      <w:r>
        <w:t xml:space="preserve"> </w:t>
      </w:r>
      <w:r>
        <w:t xml:space="preserve">Udofin’s DLG exposure creates an incentive to steer borrowers and to collect aggressively. The matching and ranking engines must not read DLG data, and collection actions must pass the same contact-policy engine whether or not DLG covers the loan.</w:t>
      </w:r>
    </w:p>
    <w:bookmarkEnd w:id="33"/>
    <w:bookmarkStart w:id="34" w:name="data-and-device-rules"/>
    <w:p>
      <w:pPr>
        <w:pStyle w:val="Heading2"/>
      </w:pPr>
      <w:r>
        <w:t xml:space="preserve">4.5 Data and device rules</w:t>
      </w:r>
    </w:p>
    <w:p>
      <w:pPr>
        <w:pStyle w:val="FirstParagraph"/>
      </w:pPr>
      <w:r>
        <w:rPr>
          <w:bCs/>
          <w:b/>
        </w:rPr>
        <w:t xml:space="preserve">What the text says (CF para 13(1)):</w:t>
      </w:r>
      <w:r>
        <w:t xml:space="preserve"> </w:t>
      </w:r>
      <w:r>
        <w:t xml:space="preserve">the RE must ensure that collection of data by its DLA and its LSP’s DLA</w:t>
      </w:r>
      <w:r>
        <w:t xml:space="preserve"> </w:t>
      </w:r>
      <w:r>
        <w:t xml:space="preserve">“</w:t>
      </w:r>
      <w:r>
        <w:t xml:space="preserve">is need-based and with prior and explicit consent of the borrower having audit trail</w:t>
      </w:r>
      <w:r>
        <w:t xml:space="preserve">”</w:t>
      </w:r>
      <w:r>
        <w:t xml:space="preserve">, and that the DLAs</w:t>
      </w:r>
      <w:r>
        <w:t xml:space="preserve"> </w:t>
      </w:r>
      <w:r>
        <w:t xml:space="preserve">“</w:t>
      </w:r>
      <w:r>
        <w:t xml:space="preserve">desist from accessing mobile phone resources like file and media, contact list, call logs, telephony functions, etc. A one-time access can be taken for camera, microphone, location or any other facility necessary for the purpose of on-boarding / KYC requirements only, with the explicit consent of the borrower.</w:t>
      </w:r>
      <w:r>
        <w:t xml:space="preserve">”</w:t>
      </w:r>
    </w:p>
    <w:p>
      <w:pPr>
        <w:pStyle w:val="BodyText"/>
      </w:pPr>
      <w:r>
        <w:rPr>
          <w:bCs/>
          <w:b/>
        </w:rPr>
        <w:t xml:space="preserve">Related rules:</w:t>
      </w:r>
      <w:r>
        <w:t xml:space="preserve"> </w:t>
      </w:r>
      <w:r>
        <w:t xml:space="preserve">give, deny, restrict, revoke and delete options (para 13(2)); purpose disclosed at each stage (para 13(3)); explicit consent before sharing with any third party unless law requires it (para 13(4)); the LSP stores only basic minimal data needed under the agreement (para 14(1)); a published storage, retention and destruction policy (para 14(2)); no biometric data stored or collected unless statute allows (para 14(3)); storage only in India, with anything processed abroad deleted and repatriated within 24 hours (para 14(4)); a comprehensive privacy policy listing third parties that collect data through the DLA (para 15).</w:t>
      </w:r>
    </w:p>
    <w:p>
      <w:pPr>
        <w:pStyle w:val="BodyText"/>
      </w:pPr>
      <w:r>
        <w:rPr>
          <w:bCs/>
          <w:b/>
        </w:rPr>
        <w:t xml:space="preserve">DPDP.</w:t>
      </w:r>
      <w:r>
        <w:t xml:space="preserve"> </w:t>
      </w:r>
      <w:r>
        <w:t xml:space="preserve">The Digital Personal Data Protection Act, 2023 and DPDP Rules, 2025 apply alongside the RBI rules [VERIFY: notification and phased commencement — Rules notified November 2025, Consent Manager provisions from November 2026, most obligations from May 2027, per Finbyx v1.3]. Determine in Phase 0, per processing purpose, whether Udofin acts as Data Fiduciary (its own platform account, marketing, fraud prevention) or as Data Processor for the RE (application data shared with that RE), and whether Udofin may be notified as a Significant Data Fiduciary [assess]. Where the RBI rule is stricter, the RBI rule wins.</w:t>
      </w:r>
    </w:p>
    <w:p>
      <w:pPr>
        <w:pStyle w:val="BodyText"/>
      </w:pPr>
      <w:r>
        <w:rPr>
          <w:bCs/>
          <w:b/>
        </w:rPr>
        <w:t xml:space="preserve">Interpretations adopted (record each in the regulatory register):</w:t>
      </w:r>
    </w:p>
    <w:p>
      <w:pPr>
        <w:numPr>
          <w:ilvl w:val="0"/>
          <w:numId w:val="1014"/>
        </w:numPr>
        <w:pStyle w:val="Compact"/>
      </w:pPr>
      <w:r>
        <w:t xml:space="preserve">“</w:t>
      </w:r>
      <w:r>
        <w:t xml:space="preserve">One-time</w:t>
      </w:r>
      <w:r>
        <w:t xml:space="preserve">”</w:t>
      </w:r>
      <w:r>
        <w:t xml:space="preserve"> </w:t>
      </w:r>
      <w:r>
        <w:t xml:space="preserve">means requested at the step that needs it, using the platform’s one-time grant where available, and not used again. Udofin does not keep a standing permission for later use.</w:t>
      </w:r>
    </w:p>
    <w:p>
      <w:pPr>
        <w:numPr>
          <w:ilvl w:val="0"/>
          <w:numId w:val="1014"/>
        </w:numPr>
        <w:pStyle w:val="Compact"/>
      </w:pPr>
      <w:r>
        <w:t xml:space="preserve">After onboarding and KYC, document uploads (for example income proof for a top-up or evidence for a grievance) use the system document or photo picker, which gives access only to the file the borrower picks and needs no storage permission [VERIFY: legal view that this is not</w:t>
      </w:r>
      <w:r>
        <w:t xml:space="preserve"> </w:t>
      </w:r>
      <w:r>
        <w:t xml:space="preserve">“</w:t>
      </w:r>
      <w:r>
        <w:t xml:space="preserve">accessing file and media</w:t>
      </w:r>
      <w:r>
        <w:t xml:space="preserve">”</w:t>
      </w:r>
      <w:r>
        <w:t xml:space="preserve">].</w:t>
      </w:r>
    </w:p>
    <w:p>
      <w:pPr>
        <w:numPr>
          <w:ilvl w:val="0"/>
          <w:numId w:val="1014"/>
        </w:numPr>
        <w:pStyle w:val="Compact"/>
      </w:pPr>
      <w:r>
        <w:t xml:space="preserve">A device’s own biometric unlock (the OS keeps the template; Udofin receives only a yes or no) is not collection or storage of biometric data by Udofin [VERIFY]. Face-match templates created for KYC are discarded after the match; only the photo required as KYC evidence is kept for the RE [VERIFY: whether a face template is</w:t>
      </w:r>
      <w:r>
        <w:t xml:space="preserve"> </w:t>
      </w:r>
      <w:r>
        <w:t xml:space="preserve">“</w:t>
      </w:r>
      <w:r>
        <w:t xml:space="preserve">biometric data</w:t>
      </w:r>
      <w:r>
        <w:t xml:space="preserve">”</w:t>
      </w:r>
      <w:r>
        <w:t xml:space="preserve"> </w:t>
      </w:r>
      <w:r>
        <w:t xml:space="preserve">for para 14(3)].</w:t>
      </w:r>
    </w:p>
    <w:p>
      <w:pPr>
        <w:pStyle w:val="FirstParagraph"/>
      </w:pPr>
      <w:r>
        <w:rPr>
          <w:bCs/>
          <w:b/>
        </w:rPr>
        <w:t xml:space="preserve">Permission policy (Android manifest and iOS entitlements are reviewed in CI against this table):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40"/>
        <w:gridCol w:w="974"/>
        <w:gridCol w:w="3554"/>
        <w:gridCol w:w="3070"/>
      </w:tblGrid>
      <w:tr>
        <w:trPr>
          <w:tblHeader w:val="true"/>
          <w:tblHeader w:val="true"/>
        </w:trPr>
        <w:tc>
          <w:tcPr>
            <w:tcW w:w="2040" w:type="dxa"/>
            <w:shd w:val="clear" w:color="auto" w:fill="1F3A5F"/>
          </w:tcPr>
          <w:p>
            <w:pPr>
              <w:pStyle w:val="Compact"/>
              <w:spacing w:after="40"/>
              <w:jc w:val="left"/>
            </w:pPr>
            <w:r>
              <w:rPr>
                <w:b/>
                <w:color w:val="FFFFFF"/>
                <w:sz w:val="18"/>
              </w:rPr>
              <w:t xml:space="preserve">Permission</w:t>
            </w:r>
          </w:p>
        </w:tc>
        <w:tc>
          <w:tcPr>
            <w:tcW w:w="974" w:type="dxa"/>
            <w:shd w:val="clear" w:color="auto" w:fill="1F3A5F"/>
          </w:tcPr>
          <w:p>
            <w:pPr>
              <w:pStyle w:val="Compact"/>
              <w:spacing w:after="40"/>
              <w:jc w:val="left"/>
            </w:pPr>
            <w:r>
              <w:rPr>
                <w:b/>
                <w:color w:val="FFFFFF"/>
                <w:sz w:val="18"/>
              </w:rPr>
              <w:t xml:space="preserve">Allowed?</w:t>
            </w:r>
          </w:p>
        </w:tc>
        <w:tc>
          <w:tcPr>
            <w:tcW w:w="3554" w:type="dxa"/>
            <w:shd w:val="clear" w:color="auto" w:fill="1F3A5F"/>
          </w:tcPr>
          <w:p>
            <w:pPr>
              <w:pStyle w:val="Compact"/>
              <w:spacing w:after="40"/>
              <w:jc w:val="left"/>
            </w:pPr>
            <w:r>
              <w:rPr>
                <w:b/>
                <w:color w:val="FFFFFF"/>
                <w:sz w:val="18"/>
              </w:rPr>
              <w:t xml:space="preserve">When</w:t>
            </w:r>
          </w:p>
        </w:tc>
        <w:tc>
          <w:tcPr>
            <w:tcW w:w="3070" w:type="dxa"/>
            <w:shd w:val="clear" w:color="auto" w:fill="1F3A5F"/>
          </w:tcPr>
          <w:p>
            <w:pPr>
              <w:pStyle w:val="Compact"/>
              <w:spacing w:after="40"/>
              <w:jc w:val="left"/>
            </w:pPr>
            <w:r>
              <w:rPr>
                <w:b/>
                <w:color w:val="FFFFFF"/>
                <w:sz w:val="18"/>
              </w:rPr>
              <w:t xml:space="preserve">Why</w:t>
            </w:r>
          </w:p>
        </w:tc>
      </w:tr>
      <w:tr>
        <w:tc>
          <w:tcPr>
            <w:tcW w:w="2040" w:type="dxa"/>
          </w:tcPr>
          <w:p>
            <w:pPr>
              <w:pStyle w:val="Compact"/>
              <w:spacing w:after="40"/>
              <w:jc w:val="left"/>
            </w:pPr>
            <w:r>
              <w:rPr>
                <w:sz w:val="18"/>
              </w:rPr>
              <w:t xml:space="preserve">Camera</w:t>
            </w:r>
          </w:p>
        </w:tc>
        <w:tc>
          <w:tcPr>
            <w:tcW w:w="974" w:type="dxa"/>
          </w:tcPr>
          <w:p>
            <w:pPr>
              <w:pStyle w:val="Compact"/>
              <w:spacing w:after="40"/>
              <w:jc w:val="left"/>
            </w:pPr>
            <w:r>
              <w:rPr>
                <w:sz w:val="18"/>
              </w:rPr>
              <w:t xml:space="preserve">Yes, one-time</w:t>
            </w:r>
          </w:p>
        </w:tc>
        <w:tc>
          <w:tcPr>
            <w:tcW w:w="3554" w:type="dxa"/>
          </w:tcPr>
          <w:p>
            <w:pPr>
              <w:pStyle w:val="Compact"/>
              <w:spacing w:after="40"/>
              <w:jc w:val="left"/>
            </w:pPr>
            <w:r>
              <w:rPr>
                <w:sz w:val="18"/>
              </w:rPr>
              <w:t xml:space="preserve">Onboarding and KYC steps only (document capture, selfie, liveness, V-CIP)</w:t>
            </w:r>
          </w:p>
        </w:tc>
        <w:tc>
          <w:tcPr>
            <w:tcW w:w="3070" w:type="dxa"/>
          </w:tcPr>
          <w:p>
            <w:pPr>
              <w:pStyle w:val="Compact"/>
              <w:spacing w:after="40"/>
              <w:jc w:val="left"/>
            </w:pPr>
            <w:r>
              <w:rPr>
                <w:sz w:val="18"/>
              </w:rPr>
              <w:t xml:space="preserve">Permitted for onboarding/KYC with explicit consent (CF para 13(1))</w:t>
            </w:r>
          </w:p>
        </w:tc>
      </w:tr>
      <w:tr>
        <w:tc>
          <w:tcPr>
            <w:tcW w:w="2040" w:type="dxa"/>
          </w:tcPr>
          <w:p>
            <w:pPr>
              <w:pStyle w:val="Compact"/>
              <w:spacing w:after="40"/>
              <w:jc w:val="left"/>
            </w:pPr>
            <w:r>
              <w:rPr>
                <w:sz w:val="18"/>
              </w:rPr>
              <w:t xml:space="preserve">Microphone</w:t>
            </w:r>
          </w:p>
        </w:tc>
        <w:tc>
          <w:tcPr>
            <w:tcW w:w="974" w:type="dxa"/>
          </w:tcPr>
          <w:p>
            <w:pPr>
              <w:pStyle w:val="Compact"/>
              <w:spacing w:after="40"/>
              <w:jc w:val="left"/>
            </w:pPr>
            <w:r>
              <w:rPr>
                <w:sz w:val="18"/>
              </w:rPr>
              <w:t xml:space="preserve">Yes, one-time</w:t>
            </w:r>
          </w:p>
        </w:tc>
        <w:tc>
          <w:tcPr>
            <w:tcW w:w="3554" w:type="dxa"/>
          </w:tcPr>
          <w:p>
            <w:pPr>
              <w:pStyle w:val="Compact"/>
              <w:spacing w:after="40"/>
              <w:jc w:val="left"/>
            </w:pPr>
            <w:r>
              <w:rPr>
                <w:sz w:val="18"/>
              </w:rPr>
              <w:t xml:space="preserve">V-CIP session run by the RE’s official only</w:t>
            </w:r>
          </w:p>
        </w:tc>
        <w:tc>
          <w:tcPr>
            <w:tcW w:w="3070" w:type="dxa"/>
          </w:tcPr>
          <w:p>
            <w:pPr>
              <w:pStyle w:val="Compact"/>
              <w:spacing w:after="40"/>
              <w:jc w:val="left"/>
            </w:pPr>
            <w:r>
              <w:rPr>
                <w:sz w:val="18"/>
              </w:rPr>
              <w:t xml:space="preserve">Permitted for onboarding/KYC (CF para 13(1)); KYC para 27</w:t>
            </w:r>
          </w:p>
        </w:tc>
      </w:tr>
      <w:tr>
        <w:tc>
          <w:tcPr>
            <w:tcW w:w="2040" w:type="dxa"/>
          </w:tcPr>
          <w:p>
            <w:pPr>
              <w:pStyle w:val="Compact"/>
              <w:spacing w:after="40"/>
              <w:jc w:val="left"/>
            </w:pPr>
            <w:r>
              <w:rPr>
                <w:sz w:val="18"/>
              </w:rPr>
              <w:t xml:space="preserve">Location (approximate only, foreground)</w:t>
            </w:r>
          </w:p>
        </w:tc>
        <w:tc>
          <w:tcPr>
            <w:tcW w:w="974" w:type="dxa"/>
          </w:tcPr>
          <w:p>
            <w:pPr>
              <w:pStyle w:val="Compact"/>
              <w:spacing w:after="40"/>
              <w:jc w:val="left"/>
            </w:pPr>
            <w:r>
              <w:rPr>
                <w:sz w:val="18"/>
              </w:rPr>
              <w:t xml:space="preserve">Yes, one-time</w:t>
            </w:r>
          </w:p>
        </w:tc>
        <w:tc>
          <w:tcPr>
            <w:tcW w:w="3554" w:type="dxa"/>
          </w:tcPr>
          <w:p>
            <w:pPr>
              <w:pStyle w:val="Compact"/>
              <w:spacing w:after="40"/>
              <w:jc w:val="left"/>
            </w:pPr>
            <w:r>
              <w:rPr>
                <w:sz w:val="18"/>
              </w:rPr>
              <w:t xml:space="preserve">Onboarding or KYC step only (address pre-fill, fraud signal or the RE’s geo-tagging need); the precise V-CIP geo-tag is captured only in the RE’s browser session (Part 10.3)</w:t>
            </w:r>
          </w:p>
        </w:tc>
        <w:tc>
          <w:tcPr>
            <w:tcW w:w="3070" w:type="dxa"/>
          </w:tcPr>
          <w:p>
            <w:pPr>
              <w:pStyle w:val="Compact"/>
              <w:spacing w:after="40"/>
              <w:jc w:val="left"/>
            </w:pPr>
            <w:r>
              <w:rPr>
                <w:sz w:val="18"/>
              </w:rPr>
              <w:t xml:space="preserve">Permitted for onboarding/KYC (CF para 13(1)); ACCESS_FINE_LOCATION is prohibited for personal-loan apps on Google Play (Part 8.2)</w:t>
            </w:r>
          </w:p>
        </w:tc>
      </w:tr>
      <w:tr>
        <w:tc>
          <w:tcPr>
            <w:tcW w:w="2040" w:type="dxa"/>
          </w:tcPr>
          <w:p>
            <w:pPr>
              <w:pStyle w:val="Compact"/>
              <w:spacing w:after="40"/>
              <w:jc w:val="left"/>
            </w:pPr>
            <w:r>
              <w:rPr>
                <w:sz w:val="18"/>
              </w:rPr>
              <w:t xml:space="preserve">Background location</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Not necessary for onboarding/KYC</w:t>
            </w:r>
          </w:p>
        </w:tc>
      </w:tr>
      <w:tr>
        <w:tc>
          <w:tcPr>
            <w:tcW w:w="2040" w:type="dxa"/>
          </w:tcPr>
          <w:p>
            <w:pPr>
              <w:pStyle w:val="Compact"/>
              <w:spacing w:after="40"/>
              <w:jc w:val="left"/>
            </w:pPr>
            <w:r>
              <w:rPr>
                <w:sz w:val="18"/>
              </w:rPr>
              <w:t xml:space="preserve">Files, photos and media (storage, media read permissions)</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 use the system picker</w:t>
            </w:r>
          </w:p>
        </w:tc>
        <w:tc>
          <w:tcPr>
            <w:tcW w:w="3070" w:type="dxa"/>
          </w:tcPr>
          <w:p>
            <w:pPr>
              <w:pStyle w:val="Compact"/>
              <w:spacing w:after="40"/>
              <w:jc w:val="left"/>
            </w:pPr>
            <w:r>
              <w:rPr>
                <w:sz w:val="18"/>
              </w:rPr>
              <w:t xml:space="preserve">“</w:t>
            </w:r>
            <w:r>
              <w:rPr>
                <w:sz w:val="18"/>
              </w:rPr>
              <w:t xml:space="preserve">File and media</w:t>
            </w:r>
            <w:r>
              <w:rPr>
                <w:sz w:val="18"/>
              </w:rPr>
              <w:t xml:space="preserve">”</w:t>
            </w:r>
            <w:r>
              <w:rPr>
                <w:sz w:val="18"/>
              </w:rPr>
              <w:t xml:space="preserve"> </w:t>
            </w:r>
            <w:r>
              <w:rPr>
                <w:sz w:val="18"/>
              </w:rPr>
              <w:t xml:space="preserve">access barred (CF para 13(1))</w:t>
            </w:r>
          </w:p>
        </w:tc>
      </w:tr>
      <w:tr>
        <w:tc>
          <w:tcPr>
            <w:tcW w:w="2040" w:type="dxa"/>
          </w:tcPr>
          <w:p>
            <w:pPr>
              <w:pStyle w:val="Compact"/>
              <w:spacing w:after="40"/>
              <w:jc w:val="left"/>
            </w:pPr>
            <w:r>
              <w:rPr>
                <w:sz w:val="18"/>
              </w:rPr>
              <w:t xml:space="preserve">Contacts</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Barred (CF para 13(1)); also no</w:t>
            </w:r>
            <w:r>
              <w:rPr>
                <w:sz w:val="18"/>
              </w:rPr>
              <w:t xml:space="preserve"> </w:t>
            </w:r>
            <w:r>
              <w:rPr>
                <w:sz w:val="18"/>
              </w:rPr>
              <w:t xml:space="preserve">“</w:t>
            </w:r>
            <w:r>
              <w:rPr>
                <w:sz w:val="18"/>
              </w:rPr>
              <w:t xml:space="preserve">references from phonebook</w:t>
            </w:r>
            <w:r>
              <w:rPr>
                <w:sz w:val="18"/>
              </w:rPr>
              <w:t xml:space="preserve">”</w:t>
            </w:r>
            <w:r>
              <w:rPr>
                <w:sz w:val="18"/>
              </w:rPr>
              <w:t xml:space="preserve"> </w:t>
            </w:r>
            <w:r>
              <w:rPr>
                <w:sz w:val="18"/>
              </w:rPr>
              <w:t xml:space="preserve">feature</w:t>
            </w:r>
          </w:p>
        </w:tc>
      </w:tr>
      <w:tr>
        <w:tc>
          <w:tcPr>
            <w:tcW w:w="2040" w:type="dxa"/>
          </w:tcPr>
          <w:p>
            <w:pPr>
              <w:pStyle w:val="Compact"/>
              <w:spacing w:after="40"/>
              <w:jc w:val="left"/>
            </w:pPr>
            <w:r>
              <w:rPr>
                <w:sz w:val="18"/>
              </w:rPr>
              <w:t xml:space="preserve">Call logs</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Barred (CF para 13(1))</w:t>
            </w:r>
          </w:p>
        </w:tc>
      </w:tr>
      <w:tr>
        <w:tc>
          <w:tcPr>
            <w:tcW w:w="2040" w:type="dxa"/>
          </w:tcPr>
          <w:p>
            <w:pPr>
              <w:pStyle w:val="Compact"/>
              <w:spacing w:after="40"/>
              <w:jc w:val="left"/>
            </w:pPr>
            <w:r>
              <w:rPr>
                <w:sz w:val="18"/>
              </w:rPr>
              <w:t xml:space="preserve">SMS read, receive or send</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 use the SMS Retriever or User Consent API and one-time-code autofill</w:t>
            </w:r>
          </w:p>
        </w:tc>
        <w:tc>
          <w:tcPr>
            <w:tcW w:w="3070" w:type="dxa"/>
          </w:tcPr>
          <w:p>
            <w:pPr>
              <w:pStyle w:val="Compact"/>
              <w:spacing w:after="40"/>
              <w:jc w:val="left"/>
            </w:pPr>
            <w:r>
              <w:rPr>
                <w:sz w:val="18"/>
              </w:rPr>
              <w:t xml:space="preserve">Telephony functions barred; no SIM binding by outbound SMS</w:t>
            </w:r>
          </w:p>
        </w:tc>
      </w:tr>
      <w:tr>
        <w:tc>
          <w:tcPr>
            <w:tcW w:w="2040" w:type="dxa"/>
          </w:tcPr>
          <w:p>
            <w:pPr>
              <w:pStyle w:val="Compact"/>
              <w:spacing w:after="40"/>
              <w:jc w:val="left"/>
            </w:pPr>
            <w:r>
              <w:rPr>
                <w:sz w:val="18"/>
              </w:rPr>
              <w:t xml:space="preserve">Phone state, phone number, IMEI, telephony</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Barred (CF para 13(1)); device binding uses an app-generated key</w:t>
            </w:r>
          </w:p>
        </w:tc>
      </w:tr>
      <w:tr>
        <w:tc>
          <w:tcPr>
            <w:tcW w:w="2040" w:type="dxa"/>
          </w:tcPr>
          <w:p>
            <w:pPr>
              <w:pStyle w:val="Compact"/>
              <w:spacing w:after="40"/>
              <w:jc w:val="left"/>
            </w:pPr>
            <w:r>
              <w:rPr>
                <w:sz w:val="18"/>
              </w:rPr>
              <w:t xml:space="preserve">Notifications</w:t>
            </w:r>
          </w:p>
        </w:tc>
        <w:tc>
          <w:tcPr>
            <w:tcW w:w="974" w:type="dxa"/>
          </w:tcPr>
          <w:p>
            <w:pPr>
              <w:pStyle w:val="Compact"/>
              <w:spacing w:after="40"/>
              <w:jc w:val="left"/>
            </w:pPr>
            <w:r>
              <w:rPr>
                <w:sz w:val="18"/>
              </w:rPr>
              <w:t xml:space="preserve">Yes, opt-in</w:t>
            </w:r>
          </w:p>
        </w:tc>
        <w:tc>
          <w:tcPr>
            <w:tcW w:w="3554" w:type="dxa"/>
          </w:tcPr>
          <w:p>
            <w:pPr>
              <w:pStyle w:val="Compact"/>
              <w:spacing w:after="40"/>
              <w:jc w:val="left"/>
            </w:pPr>
            <w:r>
              <w:rPr>
                <w:sz w:val="18"/>
              </w:rPr>
              <w:t xml:space="preserve">After registration, with separate service and marketing choices</w:t>
            </w:r>
          </w:p>
        </w:tc>
        <w:tc>
          <w:tcPr>
            <w:tcW w:w="3070" w:type="dxa"/>
          </w:tcPr>
          <w:p>
            <w:pPr>
              <w:pStyle w:val="Compact"/>
              <w:spacing w:after="40"/>
              <w:jc w:val="left"/>
            </w:pPr>
            <w:r>
              <w:rPr>
                <w:sz w:val="18"/>
              </w:rPr>
              <w:t xml:space="preserve">Service alerts; marketing only with consent</w:t>
            </w:r>
          </w:p>
        </w:tc>
      </w:tr>
      <w:tr>
        <w:tc>
          <w:tcPr>
            <w:tcW w:w="2040" w:type="dxa"/>
          </w:tcPr>
          <w:p>
            <w:pPr>
              <w:pStyle w:val="Compact"/>
              <w:spacing w:after="40"/>
              <w:jc w:val="left"/>
            </w:pPr>
            <w:r>
              <w:rPr>
                <w:sz w:val="18"/>
              </w:rPr>
              <w:t xml:space="preserve">Biometric prompt (local unlock)</w:t>
            </w:r>
          </w:p>
        </w:tc>
        <w:tc>
          <w:tcPr>
            <w:tcW w:w="974" w:type="dxa"/>
          </w:tcPr>
          <w:p>
            <w:pPr>
              <w:pStyle w:val="Compact"/>
              <w:spacing w:after="40"/>
              <w:jc w:val="left"/>
            </w:pPr>
            <w:r>
              <w:rPr>
                <w:sz w:val="18"/>
              </w:rPr>
              <w:t xml:space="preserve">Yes, optional</w:t>
            </w:r>
          </w:p>
        </w:tc>
        <w:tc>
          <w:tcPr>
            <w:tcW w:w="3554" w:type="dxa"/>
          </w:tcPr>
          <w:p>
            <w:pPr>
              <w:pStyle w:val="Compact"/>
              <w:spacing w:after="40"/>
              <w:jc w:val="left"/>
            </w:pPr>
            <w:r>
              <w:rPr>
                <w:sz w:val="18"/>
              </w:rPr>
              <w:t xml:space="preserve">App unlock and step-up, if the borrower chooses</w:t>
            </w:r>
          </w:p>
        </w:tc>
        <w:tc>
          <w:tcPr>
            <w:tcW w:w="3070" w:type="dxa"/>
          </w:tcPr>
          <w:p>
            <w:pPr>
              <w:pStyle w:val="Compact"/>
              <w:spacing w:after="40"/>
              <w:jc w:val="left"/>
            </w:pPr>
            <w:r>
              <w:rPr>
                <w:sz w:val="18"/>
              </w:rPr>
              <w:t xml:space="preserve">OS-held template; no data to Udofin</w:t>
            </w:r>
          </w:p>
        </w:tc>
      </w:tr>
      <w:tr>
        <w:tc>
          <w:tcPr>
            <w:tcW w:w="2040" w:type="dxa"/>
          </w:tcPr>
          <w:p>
            <w:pPr>
              <w:pStyle w:val="Compact"/>
              <w:spacing w:after="40"/>
              <w:jc w:val="left"/>
            </w:pPr>
            <w:r>
              <w:rPr>
                <w:sz w:val="18"/>
              </w:rPr>
              <w:t xml:space="preserve">Installed-apps list (query all packages)</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 declare only a narrow list of named remote-access apps to detect</w:t>
            </w:r>
          </w:p>
        </w:tc>
        <w:tc>
          <w:tcPr>
            <w:tcW w:w="3070" w:type="dxa"/>
          </w:tcPr>
          <w:p>
            <w:pPr>
              <w:pStyle w:val="Compact"/>
              <w:spacing w:after="40"/>
              <w:jc w:val="left"/>
            </w:pPr>
            <w:r>
              <w:rPr>
                <w:sz w:val="18"/>
              </w:rPr>
              <w:t xml:space="preserve">Minimal data; remote-access detection per DPS para 68(2)(iv) as baseline</w:t>
            </w:r>
          </w:p>
        </w:tc>
      </w:tr>
      <w:tr>
        <w:tc>
          <w:tcPr>
            <w:tcW w:w="2040" w:type="dxa"/>
          </w:tcPr>
          <w:p>
            <w:pPr>
              <w:pStyle w:val="Compact"/>
              <w:spacing w:after="40"/>
              <w:jc w:val="left"/>
            </w:pPr>
            <w:r>
              <w:rPr>
                <w:sz w:val="18"/>
              </w:rPr>
              <w:t xml:space="preserve">Accessibility service, overlay (draw over apps)</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Abuse risk; not needed</w:t>
            </w:r>
          </w:p>
        </w:tc>
      </w:tr>
      <w:tr>
        <w:tc>
          <w:tcPr>
            <w:tcW w:w="2040" w:type="dxa"/>
          </w:tcPr>
          <w:p>
            <w:pPr>
              <w:pStyle w:val="Compact"/>
              <w:spacing w:after="40"/>
              <w:jc w:val="left"/>
            </w:pPr>
            <w:r>
              <w:rPr>
                <w:sz w:val="18"/>
              </w:rPr>
              <w:t xml:space="preserve">Advertising ID</w:t>
            </w:r>
          </w:p>
        </w:tc>
        <w:tc>
          <w:tcPr>
            <w:tcW w:w="974" w:type="dxa"/>
          </w:tcPr>
          <w:p>
            <w:pPr>
              <w:pStyle w:val="Compact"/>
              <w:spacing w:after="40"/>
              <w:jc w:val="left"/>
            </w:pPr>
            <w:r>
              <w:rPr>
                <w:sz w:val="18"/>
              </w:rPr>
              <w:t xml:space="preserve">No by default</w:t>
            </w:r>
          </w:p>
        </w:tc>
        <w:tc>
          <w:tcPr>
            <w:tcW w:w="3554" w:type="dxa"/>
          </w:tcPr>
          <w:p>
            <w:pPr>
              <w:pStyle w:val="Compact"/>
              <w:spacing w:after="40"/>
              <w:jc w:val="left"/>
            </w:pPr>
            <w:r>
              <w:rPr>
                <w:sz w:val="18"/>
              </w:rPr>
              <w:t xml:space="preserve">Only if marketing attribution is approved and consented</w:t>
            </w:r>
          </w:p>
        </w:tc>
        <w:tc>
          <w:tcPr>
            <w:tcW w:w="3070" w:type="dxa"/>
          </w:tcPr>
          <w:p>
            <w:pPr>
              <w:pStyle w:val="Compact"/>
              <w:spacing w:after="40"/>
              <w:jc w:val="left"/>
            </w:pPr>
            <w:r>
              <w:rPr>
                <w:sz w:val="18"/>
              </w:rPr>
              <w:t xml:space="preserve">Minimal data (DPS para 68(2)(vii) baseline)</w:t>
            </w:r>
          </w:p>
        </w:tc>
      </w:tr>
      <w:tr>
        <w:tc>
          <w:tcPr>
            <w:tcW w:w="2040" w:type="dxa"/>
          </w:tcPr>
          <w:p>
            <w:pPr>
              <w:pStyle w:val="Compact"/>
              <w:spacing w:after="40"/>
              <w:jc w:val="left"/>
            </w:pPr>
            <w:r>
              <w:rPr>
                <w:sz w:val="18"/>
              </w:rPr>
              <w:t xml:space="preserve">Bluetooth, nearby devices, calendar</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Not needed</w:t>
            </w:r>
          </w:p>
        </w:tc>
      </w:tr>
    </w:tbl>
    <w:p>
      <w:pPr>
        <w:pStyle w:val="BodyText"/>
      </w:pPr>
      <w:r>
        <w:t xml:space="preserve">Any change to this table is a legal-review configuration (Part 3.4), needs an ADR and must also pass the Google Play and App Store data-safety declarations (Part 8.2).</w:t>
      </w:r>
    </w:p>
    <w:bookmarkEnd w:id="34"/>
    <w:bookmarkStart w:id="35" w:name="multi-lender-marketplace-rules"/>
    <w:p>
      <w:pPr>
        <w:pStyle w:val="Heading2"/>
      </w:pPr>
      <w:r>
        <w:t xml:space="preserve">4.6 Multi-lender marketplace rules</w:t>
      </w:r>
    </w:p>
    <w:p>
      <w:pPr>
        <w:pStyle w:val="FirstParagraph"/>
      </w:pPr>
      <w:r>
        <w:t xml:space="preserve">Udofin has agreements with several lenders, so each RE must ensure that Udofin follows CF para 7:</w:t>
      </w:r>
    </w:p>
    <w:p>
      <w:pPr>
        <w:numPr>
          <w:ilvl w:val="0"/>
          <w:numId w:val="1015"/>
        </w:numPr>
        <w:pStyle w:val="Compact"/>
      </w:pPr>
      <w:r>
        <w:rPr>
          <w:bCs/>
          <w:b/>
        </w:rPr>
        <w:t xml:space="preserve">All matching offers in one digital view,</w:t>
      </w:r>
      <w:r>
        <w:t xml:space="preserve"> </w:t>
      </w:r>
      <w:r>
        <w:t xml:space="preserve">and the</w:t>
      </w:r>
      <w:r>
        <w:t xml:space="preserve"> </w:t>
      </w:r>
      <w:r>
        <w:rPr>
          <w:bCs/>
          <w:b/>
        </w:rPr>
        <w:t xml:space="preserve">names of unmatched lenders disclosed</w:t>
      </w:r>
      <w:r>
        <w:t xml:space="preserve"> </w:t>
      </w:r>
      <w:r>
        <w:t xml:space="preserve">in the same view (para 7(1)).</w:t>
      </w:r>
    </w:p>
    <w:p>
      <w:pPr>
        <w:numPr>
          <w:ilvl w:val="0"/>
          <w:numId w:val="1015"/>
        </w:numPr>
        <w:pStyle w:val="Compact"/>
      </w:pPr>
      <w:r>
        <w:rPr>
          <w:bCs/>
          <w:b/>
        </w:rPr>
        <w:t xml:space="preserve">Consistent, documented matching.</w:t>
      </w:r>
      <w:r>
        <w:t xml:space="preserve"> </w:t>
      </w:r>
      <w:r>
        <w:t xml:space="preserve">Udofin may choose its matching mechanism, but it must treat similarly placed borrowers and products alike, and the mechanism and every change to it must be documented (para 7(2)). Build: a versioned</w:t>
      </w:r>
      <w:r>
        <w:t xml:space="preserve"> </w:t>
      </w:r>
      <w:r>
        <w:rPr>
          <w:rStyle w:val="VerbatimChar"/>
        </w:rPr>
        <w:t xml:space="preserve">matching_mechanism_version</w:t>
      </w:r>
      <w:r>
        <w:t xml:space="preserve"> </w:t>
      </w:r>
      <w:r>
        <w:t xml:space="preserve">with a plain-language description, stored with every offer set shown.</w:t>
      </w:r>
    </w:p>
    <w:p>
      <w:pPr>
        <w:numPr>
          <w:ilvl w:val="0"/>
          <w:numId w:val="1015"/>
        </w:numPr>
        <w:pStyle w:val="Compact"/>
      </w:pPr>
      <w:r>
        <w:rPr>
          <w:bCs/>
          <w:b/>
        </w:rPr>
        <w:t xml:space="preserve">Comparable content.</w:t>
      </w:r>
      <w:r>
        <w:t xml:space="preserve"> </w:t>
      </w:r>
      <w:r>
        <w:t xml:space="preserve">Each offer shows lender name, amount, tenor, APR, monthly repayment obligation and penal charges (if any), so that the borrower can compare fairly, plus a link to that lender’s KFS (para 7(3)).</w:t>
      </w:r>
    </w:p>
    <w:p>
      <w:pPr>
        <w:numPr>
          <w:ilvl w:val="0"/>
          <w:numId w:val="1015"/>
        </w:numPr>
        <w:pStyle w:val="Compact"/>
      </w:pPr>
      <w:r>
        <w:rPr>
          <w:bCs/>
          <w:b/>
        </w:rPr>
        <w:t xml:space="preserve">Neutrality.</w:t>
      </w:r>
      <w:r>
        <w:t xml:space="preserve"> </w:t>
      </w:r>
      <w:r>
        <w:t xml:space="preserve">Content must be unbiased and objective, must not directly or indirectly push a lender, and must not use dark patterns as defined in section 2(e) of the CCPA Guidelines for Prevention and Regulation of Dark Patterns, 2023 (para 7(4) and Note). Ranking on a publicly pre-disclosed metric is allowed. Build: default ranking by APR (ties by monthly repayment obligation), the metric published on the website and in the app before the offers appear, no pre-selected offer, no</w:t>
      </w:r>
      <w:r>
        <w:t xml:space="preserve"> </w:t>
      </w:r>
      <w:r>
        <w:t xml:space="preserve">“</w:t>
      </w:r>
      <w:r>
        <w:t xml:space="preserve">recommended</w:t>
      </w:r>
      <w:r>
        <w:t xml:space="preserve">”</w:t>
      </w:r>
      <w:r>
        <w:t xml:space="preserve"> </w:t>
      </w:r>
      <w:r>
        <w:t xml:space="preserve">or</w:t>
      </w:r>
      <w:r>
        <w:t xml:space="preserve"> </w:t>
      </w:r>
      <w:r>
        <w:t xml:space="preserve">“</w:t>
      </w:r>
      <w:r>
        <w:t xml:space="preserve">best</w:t>
      </w:r>
      <w:r>
        <w:t xml:space="preserve">”</w:t>
      </w:r>
      <w:r>
        <w:t xml:space="preserve"> </w:t>
      </w:r>
      <w:r>
        <w:t xml:space="preserve">badge, equal visual weight, no countdown timers or false scarcity, no paid placement inside the offer view.</w:t>
      </w:r>
    </w:p>
    <w:p>
      <w:pPr>
        <w:numPr>
          <w:ilvl w:val="0"/>
          <w:numId w:val="1015"/>
        </w:numPr>
        <w:pStyle w:val="Compact"/>
      </w:pPr>
      <w:r>
        <w:rPr>
          <w:bCs/>
          <w:b/>
        </w:rPr>
        <w:t xml:space="preserve">Inputs to matching</w:t>
      </w:r>
      <w:r>
        <w:t xml:space="preserve"> </w:t>
      </w:r>
      <w:r>
        <w:t xml:space="preserve">come only from the borrower’s request, the RE’s published eligibility rules (</w:t>
      </w:r>
      <w:r>
        <w:rPr>
          <w:rStyle w:val="VerbatimChar"/>
        </w:rPr>
        <w:t xml:space="preserve">ProductCatalogPublished</w:t>
      </w:r>
      <w:r>
        <w:t xml:space="preserve">) and each RE’s</w:t>
      </w:r>
      <w:r>
        <w:t xml:space="preserve"> </w:t>
      </w:r>
      <w:r>
        <w:rPr>
          <w:rStyle w:val="VerbatimChar"/>
        </w:rPr>
        <w:t xml:space="preserve">EligibilityCheck</w:t>
      </w:r>
      <w:r>
        <w:t xml:space="preserve"> </w:t>
      </w:r>
      <w:r>
        <w:t xml:space="preserve">response. Never from fees, DLG exposure or conversion targets.</w:t>
      </w:r>
    </w:p>
    <w:p>
      <w:pPr>
        <w:numPr>
          <w:ilvl w:val="0"/>
          <w:numId w:val="1015"/>
        </w:numPr>
        <w:pStyle w:val="Compact"/>
      </w:pPr>
      <w:r>
        <w:rPr>
          <w:bCs/>
          <w:b/>
        </w:rPr>
        <w:t xml:space="preserve">No automatic limit increase</w:t>
      </w:r>
      <w:r>
        <w:t xml:space="preserve"> </w:t>
      </w:r>
      <w:r>
        <w:t xml:space="preserve">without an explicit, evaluated and recorded borrower request (CF para 8(2)); pre-approved top-up campaigns lead to a request, not an increase.</w:t>
      </w:r>
    </w:p>
    <w:p>
      <w:pPr>
        <w:numPr>
          <w:ilvl w:val="0"/>
          <w:numId w:val="1015"/>
        </w:numPr>
        <w:pStyle w:val="Compact"/>
      </w:pPr>
      <w:r>
        <w:rPr>
          <w:bCs/>
          <w:b/>
        </w:rPr>
        <w:t xml:space="preserve">White-label and single-lender modes.</w:t>
      </w:r>
      <w:r>
        <w:t xml:space="preserve"> </w:t>
      </w:r>
      <w:r>
        <w:t xml:space="preserve">Whether para 7 applies to a DLA that shows only one RE, when Udofin has agreements with several lenders, is an interpretation question [VERIFY: legal opinion]. Default: apply para 7 to every Udofin-branded DLA.</w:t>
      </w:r>
    </w:p>
    <w:p>
      <w:pPr>
        <w:numPr>
          <w:ilvl w:val="0"/>
          <w:numId w:val="1015"/>
        </w:numPr>
        <w:pStyle w:val="Compact"/>
      </w:pPr>
      <w:r>
        <w:rPr>
          <w:bCs/>
          <w:b/>
        </w:rPr>
        <w:t xml:space="preserve">Store-policy filtering versus para 7(1).</w:t>
      </w:r>
      <w:r>
        <w:t xml:space="preserve"> </w:t>
      </w:r>
      <w:r>
        <w:t xml:space="preserve">Channel filters (tenor of 60 days or less in both store apps; APR above 36% including fees in the iOS app; Part 10.2 principle 30) mean a store-app borrower may not see every matching offer. Name each filtered lender in the unmatched list with the reason</w:t>
      </w:r>
      <w:r>
        <w:t xml:space="preserve"> </w:t>
      </w:r>
      <w:r>
        <w:t xml:space="preserve">“</w:t>
      </w:r>
      <w:r>
        <w:t xml:space="preserve">not available in this app; available on the web</w:t>
      </w:r>
      <w:r>
        <w:t xml:space="preserve">”</w:t>
      </w:r>
      <w:r>
        <w:t xml:space="preserve"> </w:t>
      </w:r>
      <w:r>
        <w:t xml:space="preserve">and obtain a legal opinion that this satisfies para 7(1) [VERIFY].</w:t>
      </w:r>
    </w:p>
    <w:bookmarkEnd w:id="35"/>
    <w:bookmarkStart w:id="36" w:name="dla-registration-and-disclosures"/>
    <w:p>
      <w:pPr>
        <w:pStyle w:val="Heading2"/>
      </w:pPr>
      <w:r>
        <w:t xml:space="preserve">4.7 DLA registration and disclosures</w:t>
      </w:r>
    </w:p>
    <w:p>
      <w:pPr>
        <w:numPr>
          <w:ilvl w:val="0"/>
          <w:numId w:val="1016"/>
        </w:numPr>
        <w:pStyle w:val="Compact"/>
      </w:pPr>
      <w:r>
        <w:rPr>
          <w:bCs/>
          <w:b/>
        </w:rPr>
        <w:t xml:space="preserve">Every borrower-facing channel is a DLA</w:t>
      </w:r>
      <w:r>
        <w:t xml:space="preserve"> </w:t>
      </w:r>
      <w:r>
        <w:t xml:space="preserve">of each partner RE (</w:t>
      </w:r>
      <w:r>
        <w:t xml:space="preserve">“</w:t>
      </w:r>
      <w:r>
        <w:t xml:space="preserve">mobile and / or web-based applications</w:t>
      </w:r>
      <w:r>
        <w:t xml:space="preserve">”</w:t>
      </w:r>
      <w:r>
        <w:t xml:space="preserve">; CF para 4(1)(x)). Keep a</w:t>
      </w:r>
      <w:r>
        <w:t xml:space="preserve"> </w:t>
      </w:r>
      <w:r>
        <w:rPr>
          <w:bCs/>
          <w:b/>
        </w:rPr>
        <w:t xml:space="preserve">DLA register</w:t>
      </w:r>
      <w:r>
        <w:t xml:space="preserve"> </w:t>
      </w:r>
      <w:r>
        <w:t xml:space="preserve">with one line per DLA per platform per RE (Udofin Android, Udofin iOS, Udofin web, and each white-label DLA), carrying the CIMS Annex-I fields: name, owner (self or LSP), platform, link, GRO name, email, telephone and mobile, and the RE’s website (CF para 18(1), Annex-I). Supply each RE with its extract and every change, so that the RE can update CIMS when a DLA is added or ceases (para 18(2)).</w:t>
      </w:r>
    </w:p>
    <w:p>
      <w:pPr>
        <w:numPr>
          <w:ilvl w:val="0"/>
          <w:numId w:val="1016"/>
        </w:numPr>
        <w:pStyle w:val="Compact"/>
      </w:pPr>
      <w:r>
        <w:rPr>
          <w:bCs/>
          <w:b/>
        </w:rPr>
        <w:t xml:space="preserve">Certification support.</w:t>
      </w:r>
      <w:r>
        <w:t xml:space="preserve"> </w:t>
      </w:r>
      <w:r>
        <w:t xml:space="preserve">Give each RE the evidence for the four points its CCO certifies (para 18(4)): link from the DLA to the RE’s website; Udofin’s nodal grievance officer, shown prominently on the DLA; data collection and storage compliant with paras 13–14; and consistency with the RE’s website disclosure under para 9(4).</w:t>
      </w:r>
    </w:p>
    <w:p>
      <w:pPr>
        <w:numPr>
          <w:ilvl w:val="0"/>
          <w:numId w:val="1016"/>
        </w:numPr>
        <w:pStyle w:val="Compact"/>
      </w:pPr>
      <w:r>
        <w:rPr>
          <w:bCs/>
          <w:b/>
        </w:rPr>
        <w:t xml:space="preserve">Links and disclosures in the DLA:</w:t>
      </w:r>
      <w:r>
        <w:t xml:space="preserve"> </w:t>
      </w:r>
      <w:r>
        <w:t xml:space="preserve">a link to each partner RE’s website disclosure page (para 9(5)); GRO details of the RE and of Udofin (para 12(2)); complaint lodging (para 12(3)); privacy policy listing third parties that collect data through the DLA (para 15); data storage and destruction policy (para 14(2)); the list of partner REs and the activities Udofin performs for each (supporting para 9(4)(ii)).</w:t>
      </w:r>
    </w:p>
    <w:p>
      <w:pPr>
        <w:numPr>
          <w:ilvl w:val="0"/>
          <w:numId w:val="1016"/>
        </w:numPr>
        <w:pStyle w:val="Compact"/>
      </w:pPr>
      <w:r>
        <w:rPr>
          <w:bCs/>
          <w:b/>
        </w:rPr>
        <w:t xml:space="preserve">Website.</w:t>
      </w:r>
      <w:r>
        <w:t xml:space="preserve"> </w:t>
      </w:r>
      <w:r>
        <w:t xml:space="preserve">Udofin’s website carries the same disclosures, the ranking metric (Part 4.6) and the monthly DLG disclosure (para 28).</w:t>
      </w:r>
    </w:p>
    <w:p>
      <w:pPr>
        <w:numPr>
          <w:ilvl w:val="0"/>
          <w:numId w:val="1016"/>
        </w:numPr>
        <w:pStyle w:val="Compact"/>
      </w:pPr>
      <w:r>
        <w:rPr>
          <w:bCs/>
          <w:b/>
        </w:rPr>
        <w:t xml:space="preserve">App stores.</w:t>
      </w:r>
      <w:r>
        <w:t xml:space="preserve"> </w:t>
      </w:r>
      <w:r>
        <w:t xml:space="preserve">Google Play’s Financial Services policy for personal-loan apps in India and Apple’s App Review Guidelines for lending apps impose their own requirements: declarations, RE names, APR disclosure, no loans repayable in full in 60 days or less on either store, and a 36% maximum APR on the App Store. Re-check the current text before each submission (Part 8.2).</w:t>
      </w:r>
    </w:p>
    <w:p>
      <w:pPr>
        <w:numPr>
          <w:ilvl w:val="0"/>
          <w:numId w:val="1016"/>
        </w:numPr>
        <w:pStyle w:val="Compact"/>
      </w:pPr>
      <w:r>
        <w:rPr>
          <w:bCs/>
          <w:b/>
        </w:rPr>
        <w:t xml:space="preserve">Never</w:t>
      </w:r>
      <w:r>
        <w:t xml:space="preserve"> </w:t>
      </w:r>
      <w:r>
        <w:t xml:space="preserve">describe the CIMS listing as an RBI registration, licence or approval (para 18(6)).</w:t>
      </w:r>
    </w:p>
    <w:bookmarkEnd w:id="36"/>
    <w:bookmarkStart w:id="37" w:name="operating-model-additions-in-v1.2"/>
    <w:p>
      <w:pPr>
        <w:pStyle w:val="Heading2"/>
      </w:pPr>
      <w:r>
        <w:t xml:space="preserve">4.8 Operating-model additions in v1.2</w:t>
      </w:r>
    </w:p>
    <w:p>
      <w:pPr>
        <w:numPr>
          <w:ilvl w:val="0"/>
          <w:numId w:val="1017"/>
        </w:numPr>
        <w:pStyle w:val="Compact"/>
      </w:pPr>
      <w:r>
        <w:rPr>
          <w:bCs/>
          <w:b/>
        </w:rPr>
        <w:t xml:space="preserve">Non-RE lender track (Part 7B UP4).</w:t>
      </w:r>
      <w:r>
        <w:t xml:space="preserve"> </w:t>
      </w:r>
      <w:r>
        <w:t xml:space="preserve">Credit co-operative societies registered under a State Act or the MSCS Act 2002 (as amended 2023) may lend to their own members through Udofin. They are not RBI REs, so CF, RBC, OUT and CIR do not reach Udofin through them; Udofin imposes RE-equivalent conduct by contract (KFS-equivalent, cooling-off, direct money flows, no borrower fee, the Part 4.5 permission policy, contact rules, grievance chain). Hard limits: member-only lending after register verification; no deposits of any kind through Udofin (MSCS s.67; BUDS Act First Schedule items 4(i) and 8; RBI press release of 22 Nov 2021); no co-lending, direct assignment, participation or split routing with any NBFC (TDCR paras 97, 12(4)); no</w:t>
      </w:r>
      <w:r>
        <w:t xml:space="preserve"> </w:t>
      </w:r>
      <w:r>
        <w:t xml:space="preserve">“</w:t>
      </w:r>
      <w:r>
        <w:t xml:space="preserve">bank</w:t>
      </w:r>
      <w:r>
        <w:t xml:space="preserve">”</w:t>
      </w:r>
      <w:r>
        <w:t xml:space="preserve">,</w:t>
      </w:r>
      <w:r>
        <w:t xml:space="preserve"> </w:t>
      </w:r>
      <w:r>
        <w:t xml:space="preserve">“</w:t>
      </w:r>
      <w:r>
        <w:t xml:space="preserve">banker</w:t>
      </w:r>
      <w:r>
        <w:t xml:space="preserve">”</w:t>
      </w:r>
      <w:r>
        <w:t xml:space="preserve"> </w:t>
      </w:r>
      <w:r>
        <w:t xml:space="preserve">or</w:t>
      </w:r>
      <w:r>
        <w:t xml:space="preserve"> </w:t>
      </w:r>
      <w:r>
        <w:t xml:space="preserve">“</w:t>
      </w:r>
      <w:r>
        <w:t xml:space="preserve">banking</w:t>
      </w:r>
      <w:r>
        <w:t xml:space="preserve">”</w:t>
      </w:r>
      <w:r>
        <w:t xml:space="preserve"> </w:t>
      </w:r>
      <w:r>
        <w:t xml:space="preserve">in the lender’s name; separate tenant class</w:t>
      </w:r>
      <w:r>
        <w:t xml:space="preserve"> </w:t>
      </w:r>
      <w:r>
        <w:rPr>
          <w:rStyle w:val="VerbatimChar"/>
        </w:rPr>
        <w:t xml:space="preserve">NON_RE_COOP</w:t>
      </w:r>
      <w:r>
        <w:t xml:space="preserve">; society loans never appear in the CF para 7 offer view. Lawful alternatives (an RE term loan to the society for on-lending; the society as an RE’s sourcing agent where its bye-laws allow; parallel independent loans shown separately) need counsel’s opinion before any build.</w:t>
      </w:r>
    </w:p>
    <w:p>
      <w:pPr>
        <w:numPr>
          <w:ilvl w:val="0"/>
          <w:numId w:val="1017"/>
        </w:numPr>
        <w:pStyle w:val="Compact"/>
      </w:pPr>
      <w:r>
        <w:rPr>
          <w:bCs/>
          <w:b/>
        </w:rPr>
        <w:t xml:space="preserve">Insurance licence gate (Part 7F).</w:t>
      </w:r>
      <w:r>
        <w:t xml:space="preserve"> </w:t>
      </w:r>
      <w:r>
        <w:t xml:space="preserve">Udofin earns commission or fees for insurance only if it holds its own IRDAI registration (Corporate Agent or Insurance Web Aggregator; XP2.1 models A–B). Otherwise it may act only as an unpaid technology provider to an RE that holds the licence (model C: a fixed technology fee from the RE, no solicitation) or display an RE’s optional group cover inside the RE’s KFS (model D). Until a model is approved and licensed, no insurance screen exists (</w:t>
      </w:r>
      <w:r>
        <w:rPr>
          <w:rStyle w:val="VerbatimChar"/>
        </w:rPr>
        <w:t xml:space="preserve">LICENCE_PENDING</w:t>
      </w:r>
      <w:r>
        <w:t xml:space="preserve">). Consent is product-specific and defaults to</w:t>
      </w:r>
      <w:r>
        <w:t xml:space="preserve"> </w:t>
      </w:r>
      <w:r>
        <w:t xml:space="preserve">“</w:t>
      </w:r>
      <w:r>
        <w:t xml:space="preserve">No</w:t>
      </w:r>
      <w:r>
        <w:t xml:space="preserve">”</w:t>
      </w:r>
      <w:r>
        <w:t xml:space="preserve">; no bundling and no loan-funding of premiums; premiums go to the insurer, never through Udofin (RBC Second Amendment paras 101G, 101I, 101V, 101W applied as policy; Insurance Act s.42D(8)) [VERIFY: final NBFC text; Insurance Act s.40 after the 2025 amendment].</w:t>
      </w:r>
    </w:p>
    <w:p>
      <w:pPr>
        <w:numPr>
          <w:ilvl w:val="0"/>
          <w:numId w:val="1017"/>
        </w:numPr>
        <w:pStyle w:val="Compact"/>
      </w:pPr>
      <w:r>
        <w:rPr>
          <w:bCs/>
          <w:b/>
        </w:rPr>
        <w:t xml:space="preserve">Wellness separation (Part 7D).</w:t>
      </w:r>
      <w:r>
        <w:t xml:space="preserve"> </w:t>
      </w:r>
      <w:r>
        <w:t xml:space="preserve">Credit-report tracking (as the consumer’s own agent through a CIC consumer-partner channel), an educational score simulator and an expense tracker sit outside every loan: separate store and key, separate notices and consents, separate navigation and support, no RE access, and no use for credit, routing, collections, contact policy or advertising targeting (FW4). Udofin is Data Fiduciary in its own right for this data. Enabling needs gates G1 and G2 (with the G5 re-review every 12 months); FW1–FW2 also need G3; charging needs G4 (FW-C13); the flag</w:t>
      </w:r>
      <w:r>
        <w:t xml:space="preserve"> </w:t>
      </w:r>
      <w:r>
        <w:rPr>
          <w:rStyle w:val="VerbatimChar"/>
        </w:rPr>
        <w:t xml:space="preserve">addons.wellness</w:t>
      </w:r>
      <w:r>
        <w:t xml:space="preserve"> </w:t>
      </w:r>
      <w:r>
        <w:t xml:space="preserve">stays off in production until then.</w:t>
      </w:r>
    </w:p>
    <w:p>
      <w:pPr>
        <w:numPr>
          <w:ilvl w:val="0"/>
          <w:numId w:val="1017"/>
        </w:numPr>
        <w:pStyle w:val="Compact"/>
      </w:pPr>
      <w:r>
        <w:rPr>
          <w:bCs/>
          <w:b/>
        </w:rPr>
        <w:t xml:space="preserve">Revenue and advertising (Part 7G).</w:t>
      </w:r>
      <w:r>
        <w:t xml:space="preserve"> </w:t>
      </w:r>
      <w:r>
        <w:t xml:space="preserve">Every revenue stream passes the RV1 legality gate; a borrower-paid stream needs an owner decision and a written legal opinion; no advertising, sponsored ranking or paid placement in the offer view or any loan journey screen (CF para 7(4); RV4).</w:t>
      </w:r>
    </w:p>
    <w:p>
      <w:pPr>
        <w:numPr>
          <w:ilvl w:val="0"/>
          <w:numId w:val="1017"/>
        </w:numPr>
        <w:pStyle w:val="Compact"/>
      </w:pPr>
      <w:r>
        <w:rPr>
          <w:bCs/>
          <w:b/>
        </w:rPr>
        <w:t xml:space="preserve">Supervisory access (Part 7H RA2).</w:t>
      </w:r>
      <w:r>
        <w:t xml:space="preserve"> </w:t>
      </w:r>
      <w:r>
        <w:t xml:space="preserve">RBI’s and each RE’s access to Udofin rests on the LSP agreement (OUT paras 34(ii), 34(vii)–(ix), 74(xii), 81), not on Udofin being regulated; Udofin provisions read-only, time-bound access scoped to one RE.</w:t>
      </w:r>
    </w:p>
    <w:p>
      <w:pPr>
        <w:numPr>
          <w:ilvl w:val="0"/>
          <w:numId w:val="1017"/>
        </w:numPr>
        <w:pStyle w:val="Compact"/>
      </w:pPr>
      <w:r>
        <w:rPr>
          <w:bCs/>
          <w:b/>
        </w:rPr>
        <w:t xml:space="preserve">Telecom (Part 7H RA5).</w:t>
      </w:r>
      <w:r>
        <w:t xml:space="preserve"> </w:t>
      </w:r>
      <w:r>
        <w:t xml:space="preserve">RE service and transactional calls only from the RE’s 1600-series numbers; promotional calls only from 140-series numbers with promotional consent; Udofin’s own outbound service calls stay disabled until its eligibility for a 1600-series number is confirmed [VERIFY].</w:t>
      </w:r>
    </w:p>
    <w:p>
      <w:r>
        <w:pict>
          <v:rect style="width:0;height:1.5pt" o:hralign="center" o:hrstd="t" o:hr="t"/>
        </w:pict>
      </w:r>
    </w:p>
    <w:bookmarkEnd w:id="37"/>
    <w:bookmarkEnd w:id="38"/>
    <w:bookmarkStart w:id="44" w:name="X580e741f03658884fcd704998eb43ebb732c326"/>
    <w:p>
      <w:pPr>
        <w:pStyle w:val="Heading1"/>
      </w:pPr>
      <w:r>
        <w:t xml:space="preserve">PART 5 — UDOFIN ↔ LENDER AND ECOSYSTEM INTEGRATION (FINBYX, ANY LOS/LMS, EQUATOR, GRC AND THIRD PARTIES)</w:t>
      </w:r>
    </w:p>
    <w:p>
      <w:pPr>
        <w:pStyle w:val="FirstParagraph"/>
      </w:pPr>
      <w:r>
        <w:t xml:space="preserve">Udofin builds the</w:t>
      </w:r>
      <w:r>
        <w:t xml:space="preserve"> </w:t>
      </w:r>
      <w:r>
        <w:rPr>
          <w:bCs/>
          <w:b/>
        </w:rPr>
        <w:t xml:space="preserve">LSP side</w:t>
      </w:r>
      <w:r>
        <w:t xml:space="preserve"> </w:t>
      </w:r>
      <w:r>
        <w:t xml:space="preserve">of the ecosystem contract.</w:t>
      </w:r>
      <w:r>
        <w:t xml:space="preserve"> </w:t>
      </w:r>
      <w:r>
        <w:rPr>
          <w:bCs/>
          <w:b/>
        </w:rPr>
        <w:t xml:space="preserve">Canonical source (v1.2):</w:t>
      </w:r>
      <w:r>
        <w:t xml:space="preserve"> </w:t>
      </w:r>
      <w:r>
        <w:t xml:space="preserve">the Infrabyx Ecosystem Integration Specification v1.1 (</w:t>
      </w:r>
      <w:r>
        <w:rPr>
          <w:rStyle w:val="VerbatimChar"/>
        </w:rPr>
        <w:t xml:space="preserve">docs/ecosystem/infrabyx-integration-spec.md</w:t>
      </w:r>
      <w:r>
        <w:t xml:space="preserve">, committed unchanged in every Infrabyx repository) is the single source for event names and schemas, APIs, data ownership, the security profile and connector certification. The tables in this Part summarise it for Udofin; where they differ, the specification wins and the difference is raised as a contract change, never coded silently. The event names below are identical to the specification and to Finbyx Part 5.2. Finbyx is the first certified connector; every other RE system connects through the same contract or through an adapter that translates to it. Specification v1.1 adds the domains used by Parts 7B–7H: partner deals (</w:t>
      </w:r>
      <w:r>
        <w:rPr>
          <w:rStyle w:val="VerbatimChar"/>
        </w:rPr>
        <w:t xml:space="preserve">LenderDealProposed</w:t>
      </w:r>
      <w:r>
        <w:t xml:space="preserve">,</w:t>
      </w:r>
      <w:r>
        <w:t xml:space="preserve"> </w:t>
      </w:r>
      <w:r>
        <w:rPr>
          <w:rStyle w:val="VerbatimChar"/>
        </w:rPr>
        <w:t xml:space="preserve">LenderDealApproved</w:t>
      </w:r>
      <w:r>
        <w:t xml:space="preserve">,</w:t>
      </w:r>
      <w:r>
        <w:t xml:space="preserve"> </w:t>
      </w:r>
      <w:r>
        <w:rPr>
          <w:rStyle w:val="VerbatimChar"/>
        </w:rPr>
        <w:t xml:space="preserve">LenderDealActivated</w:t>
      </w:r>
      <w:r>
        <w:t xml:space="preserve">,</w:t>
      </w:r>
      <w:r>
        <w:t xml:space="preserve"> </w:t>
      </w:r>
      <w:r>
        <w:rPr>
          <w:rStyle w:val="VerbatimChar"/>
        </w:rPr>
        <w:t xml:space="preserve">LenderDealSuspended</w:t>
      </w:r>
      <w:r>
        <w:t xml:space="preserve">,</w:t>
      </w:r>
      <w:r>
        <w:t xml:space="preserve"> </w:t>
      </w:r>
      <w:r>
        <w:rPr>
          <w:rStyle w:val="VerbatimChar"/>
        </w:rPr>
        <w:t xml:space="preserve">LenderDealTerminated</w:t>
      </w:r>
      <w:r>
        <w:t xml:space="preserve">), billing (Udofin produces only</w:t>
      </w:r>
      <w:r>
        <w:t xml:space="preserve"> </w:t>
      </w:r>
      <w:r>
        <w:rPr>
          <w:rStyle w:val="VerbatimChar"/>
        </w:rPr>
        <w:t xml:space="preserve">UsageRecorded</w:t>
      </w:r>
      <w:r>
        <w:t xml:space="preserve"> </w:t>
      </w:r>
      <w:r>
        <w:t xml:space="preserve">and consumes</w:t>
      </w:r>
      <w:r>
        <w:t xml:space="preserve"> </w:t>
      </w:r>
      <w:r>
        <w:rPr>
          <w:rStyle w:val="VerbatimChar"/>
        </w:rPr>
        <w:t xml:space="preserve">PlanChanged</w:t>
      </w:r>
      <w:r>
        <w:t xml:space="preserve">,</w:t>
      </w:r>
      <w:r>
        <w:t xml:space="preserve"> </w:t>
      </w:r>
      <w:r>
        <w:rPr>
          <w:rStyle w:val="VerbatimChar"/>
        </w:rPr>
        <w:t xml:space="preserve">EntitlementChanged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 </w:t>
      </w:r>
      <w:r>
        <w:t xml:space="preserve">and</w:t>
      </w:r>
      <w:r>
        <w:t xml:space="preserve"> </w:t>
      </w:r>
      <w:r>
        <w:rPr>
          <w:rStyle w:val="VerbatimChar"/>
        </w:rPr>
        <w:t xml:space="preserve">SubscriptionCancelled</w:t>
      </w:r>
      <w:r>
        <w:t xml:space="preserve"> </w:t>
      </w:r>
      <w:r>
        <w:t xml:space="preserve">for RE fees; borrower-plan billing is Udofin-internal), portability (</w:t>
      </w:r>
      <w:r>
        <w:rPr>
          <w:rStyle w:val="VerbatimChar"/>
        </w:rPr>
        <w:t xml:space="preserve">ExportRequested</w:t>
      </w:r>
      <w:r>
        <w:t xml:space="preserve">,</w:t>
      </w:r>
      <w:r>
        <w:t xml:space="preserve"> </w:t>
      </w:r>
      <w:r>
        <w:rPr>
          <w:rStyle w:val="VerbatimChar"/>
        </w:rPr>
        <w:t xml:space="preserve">ExportCompleted</w:t>
      </w:r>
      <w:r>
        <w:t xml:space="preserve">,</w:t>
      </w:r>
      <w:r>
        <w:t xml:space="preserve"> </w:t>
      </w:r>
      <w:r>
        <w:rPr>
          <w:rStyle w:val="VerbatimChar"/>
        </w:rPr>
        <w:t xml:space="preserve">StorageTargetConnected</w:t>
      </w:r>
      <w:r>
        <w:t xml:space="preserve">,</w:t>
      </w:r>
      <w:r>
        <w:t xml:space="preserve"> </w:t>
      </w:r>
      <w:r>
        <w:rPr>
          <w:rStyle w:val="VerbatimChar"/>
        </w:rPr>
        <w:t xml:space="preserve">BackupCompleted</w:t>
      </w:r>
      <w:r>
        <w:t xml:space="preserve">,</w:t>
      </w:r>
      <w:r>
        <w:t xml:space="preserve"> </w:t>
      </w:r>
      <w:r>
        <w:rPr>
          <w:rStyle w:val="VerbatimChar"/>
        </w:rPr>
        <w:t xml:space="preserve">RestoreTested</w:t>
      </w:r>
      <w:r>
        <w:t xml:space="preserve">), risk (</w:t>
      </w:r>
      <w:r>
        <w:rPr>
          <w:rStyle w:val="VerbatimChar"/>
        </w:rPr>
        <w:t xml:space="preserve">KriBreached</w:t>
      </w:r>
      <w:r>
        <w:t xml:space="preserve">,</w:t>
      </w:r>
      <w:r>
        <w:t xml:space="preserve"> </w:t>
      </w:r>
      <w:r>
        <w:rPr>
          <w:rStyle w:val="VerbatimChar"/>
        </w:rPr>
        <w:t xml:space="preserve">LossEventRecorded</w:t>
      </w:r>
      <w:r>
        <w:t xml:space="preserve">,</w:t>
      </w:r>
      <w:r>
        <w:t xml:space="preserve"> </w:t>
      </w:r>
      <w:r>
        <w:rPr>
          <w:rStyle w:val="VerbatimChar"/>
        </w:rPr>
        <w:t xml:space="preserve">LimitBreached</w:t>
      </w:r>
      <w:r>
        <w:t xml:space="preserve">,</w:t>
      </w:r>
      <w:r>
        <w:t xml:space="preserve"> </w:t>
      </w:r>
      <w:r>
        <w:rPr>
          <w:rStyle w:val="VerbatimChar"/>
        </w:rPr>
        <w:t xml:space="preserve">RiskSnapshotPublished</w:t>
      </w:r>
      <w:r>
        <w:t xml:space="preserve">), external access (</w:t>
      </w:r>
      <w:r>
        <w:rPr>
          <w:rStyle w:val="VerbatimChar"/>
        </w:rPr>
        <w:t xml:space="preserve">ExternalAccessGranted</w:t>
      </w:r>
      <w:r>
        <w:t xml:space="preserve">,</w:t>
      </w:r>
      <w:r>
        <w:t xml:space="preserve"> </w:t>
      </w:r>
      <w:r>
        <w:rPr>
          <w:rStyle w:val="VerbatimChar"/>
        </w:rPr>
        <w:t xml:space="preserve">ExternalAccessRevoked</w:t>
      </w:r>
      <w:r>
        <w:t xml:space="preserve">,</w:t>
      </w:r>
      <w:r>
        <w:t xml:space="preserve"> </w:t>
      </w:r>
      <w:r>
        <w:rPr>
          <w:rStyle w:val="VerbatimChar"/>
        </w:rPr>
        <w:t xml:space="preserve">ExternalAccessUsed</w:t>
      </w:r>
      <w:r>
        <w:t xml:space="preserve">), grievance additions (</w:t>
      </w:r>
      <w:r>
        <w:rPr>
          <w:rStyle w:val="VerbatimChar"/>
        </w:rPr>
        <w:t xml:space="preserve">OmbudsmanReferralRecorded</w:t>
      </w:r>
      <w:r>
        <w:t xml:space="preserve">,</w:t>
      </w:r>
      <w:r>
        <w:t xml:space="preserve"> </w:t>
      </w:r>
      <w:r>
        <w:rPr>
          <w:rStyle w:val="VerbatimChar"/>
        </w:rPr>
        <w:t xml:space="preserve">GrievanceReopened</w:t>
      </w:r>
      <w:r>
        <w:t xml:space="preserve">,</w:t>
      </w:r>
      <w:r>
        <w:t xml:space="preserve"> </w:t>
      </w:r>
      <w:r>
        <w:rPr>
          <w:rStyle w:val="VerbatimChar"/>
        </w:rPr>
        <w:t xml:space="preserve">GrievanceRated</w:t>
      </w:r>
      <w:r>
        <w:t xml:space="preserve">), member and group lending (</w:t>
      </w:r>
      <w:r>
        <w:rPr>
          <w:rStyle w:val="VerbatimChar"/>
        </w:rPr>
        <w:t xml:space="preserve">MemberAdmitted</w:t>
      </w:r>
      <w:r>
        <w:t xml:space="preserve">,</w:t>
      </w:r>
      <w:r>
        <w:t xml:space="preserve"> </w:t>
      </w:r>
      <w:r>
        <w:rPr>
          <w:rStyle w:val="VerbatimChar"/>
        </w:rPr>
        <w:t xml:space="preserve">ShareCapitalPosted</w:t>
      </w:r>
      <w:r>
        <w:t xml:space="preserve">,</w:t>
      </w:r>
      <w:r>
        <w:t xml:space="preserve"> </w:t>
      </w:r>
      <w:r>
        <w:rPr>
          <w:rStyle w:val="VerbatimChar"/>
        </w:rPr>
        <w:t xml:space="preserve">GroupFormed</w:t>
      </w:r>
      <w:r>
        <w:t xml:space="preserve">,</w:t>
      </w:r>
      <w:r>
        <w:t xml:space="preserve"> </w:t>
      </w:r>
      <w:r>
        <w:rPr>
          <w:rStyle w:val="VerbatimChar"/>
        </w:rPr>
        <w:t xml:space="preserve">CentreMeetingHeld</w:t>
      </w:r>
      <w:r>
        <w:t xml:space="preserve">,</w:t>
      </w:r>
      <w:r>
        <w:t xml:space="preserve"> </w:t>
      </w:r>
      <w:r>
        <w:rPr>
          <w:rStyle w:val="VerbatimChar"/>
        </w:rPr>
        <w:t xml:space="preserve">GroupCollectionPosted</w:t>
      </w:r>
      <w:r>
        <w:t xml:space="preserve">), finance (</w:t>
      </w:r>
      <w:r>
        <w:rPr>
          <w:rStyle w:val="VerbatimChar"/>
        </w:rPr>
        <w:t xml:space="preserve">InterestCertificateIssued</w:t>
      </w:r>
      <w:r>
        <w:t xml:space="preserve">), operations (</w:t>
      </w:r>
      <w:r>
        <w:rPr>
          <w:rStyle w:val="VerbatimChar"/>
        </w:rPr>
        <w:t xml:space="preserve">ReleasePublished</w:t>
      </w:r>
      <w:r>
        <w:t xml:space="preserve">,</w:t>
      </w:r>
      <w:r>
        <w:t xml:space="preserve"> </w:t>
      </w:r>
      <w:r>
        <w:rPr>
          <w:rStyle w:val="VerbatimChar"/>
        </w:rPr>
        <w:t xml:space="preserve">ChangeApproved</w:t>
      </w:r>
      <w:r>
        <w:t xml:space="preserve">,</w:t>
      </w:r>
      <w:r>
        <w:t xml:space="preserve"> </w:t>
      </w:r>
      <w:r>
        <w:rPr>
          <w:rStyle w:val="VerbatimChar"/>
        </w:rPr>
        <w:t xml:space="preserve">ControlEvidenceCollected</w:t>
      </w:r>
      <w:r>
        <w:t xml:space="preserve">) and insurance (</w:t>
      </w:r>
      <w:r>
        <w:rPr>
          <w:rStyle w:val="VerbatimChar"/>
        </w:rPr>
        <w:t xml:space="preserve">InsuranceQuoteRequested</w:t>
      </w:r>
      <w:r>
        <w:t xml:space="preserve">,</w:t>
      </w:r>
      <w:r>
        <w:t xml:space="preserve"> </w:t>
      </w:r>
      <w:r>
        <w:rPr>
          <w:rStyle w:val="VerbatimChar"/>
        </w:rPr>
        <w:t xml:space="preserve">PolicyIssued</w:t>
      </w:r>
      <w:r>
        <w:t xml:space="preserve">,</w:t>
      </w:r>
      <w:r>
        <w:t xml:space="preserve"> </w:t>
      </w:r>
      <w:r>
        <w:rPr>
          <w:rStyle w:val="VerbatimChar"/>
        </w:rPr>
        <w:t xml:space="preserve">ClaimAssistanceRequested</w:t>
      </w:r>
      <w:r>
        <w:t xml:space="preserve">; Udofin and insurer only). Wellness data has no cross-product events.</w:t>
      </w:r>
    </w:p>
    <w:bookmarkStart w:id="39" w:name="principles"/>
    <w:p>
      <w:pPr>
        <w:pStyle w:val="Heading2"/>
      </w:pPr>
      <w:r>
        <w:t xml:space="preserve">5.1 Principles</w:t>
      </w:r>
    </w:p>
    <w:p>
      <w:pPr>
        <w:numPr>
          <w:ilvl w:val="0"/>
          <w:numId w:val="1018"/>
        </w:numPr>
        <w:pStyle w:val="Compact"/>
      </w:pPr>
      <w:r>
        <w:rPr>
          <w:bCs/>
          <w:b/>
        </w:rPr>
        <w:t xml:space="preserve">Ownership of records:</w:t>
      </w:r>
    </w:p>
    <w:p>
      <w:pPr>
        <w:numPr>
          <w:ilvl w:val="1"/>
          <w:numId w:val="1019"/>
        </w:numPr>
        <w:pStyle w:val="Compact"/>
      </w:pPr>
      <w:r>
        <w:rPr>
          <w:bCs/>
          <w:b/>
        </w:rPr>
        <w:t xml:space="preserve">The RE’s system (Finbyx or another LOS/LMS) is the system of record for:</w:t>
      </w:r>
      <w:r>
        <w:t xml:space="preserve"> </w:t>
      </w:r>
      <w:r>
        <w:t xml:space="preserve">the credit decision, sanction, KFS content, loan account, schedule, ledger, asset classification, CIC reporting and provisioning.</w:t>
      </w:r>
    </w:p>
    <w:p>
      <w:pPr>
        <w:numPr>
          <w:ilvl w:val="1"/>
          <w:numId w:val="1019"/>
        </w:numPr>
        <w:pStyle w:val="Compact"/>
      </w:pPr>
      <w:r>
        <w:rPr>
          <w:bCs/>
          <w:b/>
        </w:rPr>
        <w:t xml:space="preserve">Udofin is the system of record for:</w:t>
      </w:r>
      <w:r>
        <w:t xml:space="preserve"> </w:t>
      </w:r>
      <w:r>
        <w:t xml:space="preserve">the borrower’s journey on Udofin, Udofin’s consents and their evidence, KYC and signing evidence it captured, its DLA register, its grievance cases as the LSP, its DLG records and its own accounts.</w:t>
      </w:r>
    </w:p>
    <w:p>
      <w:pPr>
        <w:numPr>
          <w:ilvl w:val="1"/>
          <w:numId w:val="1019"/>
        </w:numPr>
        <w:pStyle w:val="Compact"/>
      </w:pPr>
      <w:r>
        <w:t xml:space="preserve">Udofin’s loan mirror (U12) is a read model. It is never authoritative; when it disagrees with the RE, the RE wins and the difference is a reconciliation break.</w:t>
      </w:r>
    </w:p>
    <w:p>
      <w:pPr>
        <w:numPr>
          <w:ilvl w:val="0"/>
          <w:numId w:val="1018"/>
        </w:numPr>
        <w:pStyle w:val="Compact"/>
      </w:pPr>
      <w:r>
        <w:rPr>
          <w:bCs/>
          <w:b/>
        </w:rPr>
        <w:t xml:space="preserve">Contracts:</w:t>
      </w:r>
      <w:r>
        <w:t xml:space="preserve"> </w:t>
      </w:r>
      <w:r>
        <w:t xml:space="preserve">per the Ecosystem Integration Specification: CloudEvents 1.0 envelope; OpenAPI 3.1 and AsyncAPI 3.0; a JSON Schema 2020-12 registry with backward-compatibility checks; mTLS plus RFC 9421 HTTP Message Signatures on every message (detached JWS for documents and regulated messages); OAuth 2.1 client credentials, and FAPI 2.0 where an API acts on the borrower’s behalf; Standard Webhooks for external webhooks;</w:t>
      </w:r>
      <w:r>
        <w:t xml:space="preserve"> </w:t>
      </w:r>
      <w:r>
        <w:rPr>
          <w:rStyle w:val="VerbatimChar"/>
        </w:rPr>
        <w:t xml:space="preserve">Idempotency-Key</w:t>
      </w:r>
      <w:r>
        <w:t xml:space="preserve"> </w:t>
      </w:r>
      <w:r>
        <w:t xml:space="preserve">on every POST; India-only data residency; every call idempotent, timestamped and replay-protected; schemas validated at both ends; contract tests (Pact) in both pipelines.</w:t>
      </w:r>
    </w:p>
    <w:p>
      <w:pPr>
        <w:numPr>
          <w:ilvl w:val="0"/>
          <w:numId w:val="1018"/>
        </w:numPr>
        <w:pStyle w:val="Compact"/>
      </w:pPr>
      <w:r>
        <w:rPr>
          <w:bCs/>
          <w:b/>
        </w:rPr>
        <w:t xml:space="preserve">Money flows:</w:t>
      </w:r>
      <w:r>
        <w:t xml:space="preserve"> </w:t>
      </w:r>
      <w:r>
        <w:t xml:space="preserve">Udofin never sends or receives loan money (Part 4.3). The contract carries instructions and status only. Udofin rejects any RE configuration that routes funds through it.</w:t>
      </w:r>
    </w:p>
    <w:p>
      <w:pPr>
        <w:numPr>
          <w:ilvl w:val="0"/>
          <w:numId w:val="1018"/>
        </w:numPr>
        <w:pStyle w:val="Compact"/>
      </w:pPr>
      <w:r>
        <w:rPr>
          <w:bCs/>
          <w:b/>
        </w:rPr>
        <w:t xml:space="preserve">Data minimisation and consent:</w:t>
      </w:r>
      <w:r>
        <w:t xml:space="preserve"> </w:t>
      </w:r>
      <w:r>
        <w:t xml:space="preserve">Udofin sends an RE only data the borrower consented to share with that RE, for that purpose, with the consent artefact reference (CF para 13(4)). Data goes to the RE that the borrower chose, not to every matching RE; eligibility checks before the choice use the minimum fields the RE needs.</w:t>
      </w:r>
    </w:p>
    <w:p>
      <w:pPr>
        <w:numPr>
          <w:ilvl w:val="0"/>
          <w:numId w:val="1018"/>
        </w:numPr>
        <w:pStyle w:val="Compact"/>
      </w:pPr>
      <w:r>
        <w:rPr>
          <w:bCs/>
          <w:b/>
        </w:rPr>
        <w:t xml:space="preserve">Failure containment:</w:t>
      </w:r>
      <w:r>
        <w:t xml:space="preserve"> </w:t>
      </w:r>
      <w:r>
        <w:t xml:space="preserve">if an RE system is unavailable, Udofin keeps working for every other RE and shows the borrower an honest status; the reverse is also true (Part 5.5).</w:t>
      </w:r>
    </w:p>
    <w:bookmarkEnd w:id="39"/>
    <w:bookmarkStart w:id="40" w:name="interface-catalogue-minimum"/>
    <w:p>
      <w:pPr>
        <w:pStyle w:val="Heading2"/>
      </w:pPr>
      <w:r>
        <w:t xml:space="preserve">5.2 Interface catalogue (minimum)</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34"/>
        <w:gridCol w:w="3332"/>
        <w:gridCol w:w="5372"/>
      </w:tblGrid>
      <w:tr>
        <w:trPr>
          <w:tblHeader w:val="true"/>
          <w:tblHeader w:val="true"/>
        </w:trPr>
        <w:tc>
          <w:tcPr>
            <w:tcW w:w="934" w:type="dxa"/>
            <w:shd w:val="clear" w:color="auto" w:fill="1F3A5F"/>
          </w:tcPr>
          <w:p>
            <w:pPr>
              <w:pStyle w:val="Compact"/>
              <w:spacing w:after="40"/>
              <w:jc w:val="left"/>
            </w:pPr>
            <w:r>
              <w:rPr>
                <w:b/>
                <w:color w:val="FFFFFF"/>
                <w:sz w:val="18"/>
              </w:rPr>
              <w:t xml:space="preserve">Direction</w:t>
            </w:r>
          </w:p>
        </w:tc>
        <w:tc>
          <w:tcPr>
            <w:tcW w:w="3332" w:type="dxa"/>
            <w:shd w:val="clear" w:color="auto" w:fill="1F3A5F"/>
          </w:tcPr>
          <w:p>
            <w:pPr>
              <w:pStyle w:val="Compact"/>
              <w:spacing w:after="40"/>
              <w:jc w:val="left"/>
            </w:pPr>
            <w:r>
              <w:rPr>
                <w:b/>
                <w:color w:val="FFFFFF"/>
                <w:sz w:val="18"/>
              </w:rPr>
              <w:t xml:space="preserve">Interface</w:t>
            </w:r>
          </w:p>
        </w:tc>
        <w:tc>
          <w:tcPr>
            <w:tcW w:w="5372" w:type="dxa"/>
            <w:shd w:val="clear" w:color="auto" w:fill="1F3A5F"/>
          </w:tcPr>
          <w:p>
            <w:pPr>
              <w:pStyle w:val="Compact"/>
              <w:spacing w:after="40"/>
              <w:jc w:val="left"/>
            </w:pPr>
            <w:r>
              <w:rPr>
                <w:b/>
                <w:color w:val="FFFFFF"/>
                <w:sz w:val="18"/>
              </w:rPr>
              <w:t xml:space="preserve">What Udofin sends, or must do on receipt</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ProductCatalogPublished</w:t>
            </w:r>
          </w:p>
        </w:tc>
        <w:tc>
          <w:tcPr>
            <w:tcW w:w="5372" w:type="dxa"/>
          </w:tcPr>
          <w:p>
            <w:pPr>
              <w:pStyle w:val="Compact"/>
              <w:spacing w:after="40"/>
              <w:jc w:val="left"/>
            </w:pPr>
            <w:r>
              <w:rPr>
                <w:sz w:val="18"/>
              </w:rPr>
              <w:t xml:space="preserve">Store as an immutable product-offer version per RE; validate against guard-rails (cooling-off ≥ 1 day, KFS template present, grievance contacts, DLA disclosures); make live only after the RE’s own go-live approval (for ML/UL REs, CCO evaluation of every new product: CMP paras 15(2), 31) and Udofin’s platform checks; withdraw the old version from new journeys at its effective date</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EligibilityCheck</w:t>
            </w:r>
            <w:r>
              <w:rPr>
                <w:sz w:val="18"/>
              </w:rPr>
              <w:t xml:space="preserve"> </w:t>
            </w:r>
            <w:r>
              <w:rPr>
                <w:sz w:val="18"/>
              </w:rPr>
              <w:t xml:space="preserve">(sync API)</w:t>
            </w:r>
          </w:p>
        </w:tc>
        <w:tc>
          <w:tcPr>
            <w:tcW w:w="5372" w:type="dxa"/>
          </w:tcPr>
          <w:p>
            <w:pPr>
              <w:pStyle w:val="Compact"/>
              <w:spacing w:after="40"/>
              <w:jc w:val="left"/>
            </w:pPr>
            <w:r>
              <w:rPr>
                <w:sz w:val="18"/>
              </w:rPr>
              <w:t xml:space="preserve">Send the minimum consented data for an indicative check by the RE’s BRE; store the request, response, rule-version reference and timestamp; feed only the response into matching (Part 4.6); time out to</w:t>
            </w:r>
            <w:r>
              <w:rPr>
                <w:sz w:val="18"/>
              </w:rPr>
              <w:t xml:space="preserve"> </w:t>
            </w:r>
            <w:r>
              <w:rPr>
                <w:sz w:val="18"/>
              </w:rPr>
              <w:t xml:space="preserve">“</w:t>
            </w:r>
            <w:r>
              <w:rPr>
                <w:sz w:val="18"/>
              </w:rPr>
              <w:t xml:space="preserve">lender unavailable</w:t>
            </w:r>
            <w:r>
              <w:rPr>
                <w:sz w:val="18"/>
              </w:rPr>
              <w:t xml:space="preserve">”</w:t>
            </w:r>
            <w:r>
              <w:rPr>
                <w:sz w:val="18"/>
              </w:rPr>
              <w:t xml:space="preserve">, never to a guessed result</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ApplicationSubmitted</w:t>
            </w:r>
          </w:p>
        </w:tc>
        <w:tc>
          <w:tcPr>
            <w:tcW w:w="5372" w:type="dxa"/>
          </w:tcPr>
          <w:p>
            <w:pPr>
              <w:pStyle w:val="Compact"/>
              <w:spacing w:after="40"/>
              <w:jc w:val="left"/>
            </w:pPr>
            <w:r>
              <w:rPr>
                <w:sz w:val="18"/>
              </w:rPr>
              <w:t xml:space="preserve">Send the application, KYC evidence references (evidence only; the KYC decision is the RE’s: KYC para 13), the OTP-e-KYC declaration where used (KYC para 25(8)), bureau and AA references, documents and consent artefacts; idempotency key per application</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ApplicationStatusChanged</w:t>
            </w:r>
            <w:r>
              <w:rPr>
                <w:sz w:val="18"/>
              </w:rPr>
              <w:t xml:space="preserve">,</w:t>
            </w:r>
            <w:r>
              <w:rPr>
                <w:sz w:val="18"/>
              </w:rPr>
              <w:t xml:space="preserve"> </w:t>
            </w:r>
            <w:r>
              <w:rPr>
                <w:rStyle w:val="VerbatimChar"/>
                <w:sz w:val="18"/>
              </w:rPr>
              <w:t xml:space="preserve">AdditionalInfoRequested</w:t>
            </w:r>
            <w:r>
              <w:rPr>
                <w:sz w:val="18"/>
              </w:rPr>
              <w:t xml:space="preserve">,</w:t>
            </w:r>
            <w:r>
              <w:rPr>
                <w:sz w:val="18"/>
              </w:rPr>
              <w:t xml:space="preserve"> </w:t>
            </w:r>
            <w:r>
              <w:rPr>
                <w:rStyle w:val="VerbatimChar"/>
                <w:sz w:val="18"/>
              </w:rPr>
              <w:t xml:space="preserve">DecisionMade</w:t>
            </w:r>
          </w:p>
        </w:tc>
        <w:tc>
          <w:tcPr>
            <w:tcW w:w="5372" w:type="dxa"/>
          </w:tcPr>
          <w:p>
            <w:pPr>
              <w:pStyle w:val="Compact"/>
              <w:spacing w:after="40"/>
              <w:jc w:val="left"/>
            </w:pPr>
            <w:r>
              <w:rPr>
                <w:sz w:val="18"/>
              </w:rPr>
              <w:t xml:space="preserve">Update journey state only through allowed transitions; notify the borrower; open the information request as a task; show sanction or rejection with the RE’s reason codes in plain language; never infer a decision</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KFSIssued</w:t>
            </w:r>
            <w:r>
              <w:rPr>
                <w:sz w:val="18"/>
              </w:rPr>
              <w:t xml:space="preserve">,</w:t>
            </w:r>
            <w:r>
              <w:rPr>
                <w:sz w:val="18"/>
              </w:rPr>
              <w:t xml:space="preserve"> </w:t>
            </w:r>
            <w:r>
              <w:rPr>
                <w:rStyle w:val="VerbatimChar"/>
                <w:sz w:val="18"/>
              </w:rPr>
              <w:t xml:space="preserve">SanctionLetterIssued</w:t>
            </w:r>
          </w:p>
        </w:tc>
        <w:tc>
          <w:tcPr>
            <w:tcW w:w="5372" w:type="dxa"/>
          </w:tcPr>
          <w:p>
            <w:pPr>
              <w:pStyle w:val="Compact"/>
              <w:spacing w:after="40"/>
              <w:jc w:val="left"/>
            </w:pPr>
            <w:r>
              <w:rPr>
                <w:sz w:val="18"/>
              </w:rPr>
              <w:t xml:space="preserve">Store the documents with hashes; show the KFS with proposal number and validity expiry; run the independent APR check and raise an exception (not a silent fix) on a mismatch; record view, explanation acknowledgement and acceptance time</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BorrowerAccepted</w:t>
            </w:r>
            <w:r>
              <w:rPr>
                <w:sz w:val="18"/>
              </w:rPr>
              <w:t xml:space="preserve">,</w:t>
            </w:r>
            <w:r>
              <w:rPr>
                <w:sz w:val="18"/>
              </w:rPr>
              <w:t xml:space="preserve"> </w:t>
            </w:r>
            <w:r>
              <w:rPr>
                <w:rStyle w:val="VerbatimChar"/>
                <w:sz w:val="18"/>
              </w:rPr>
              <w:t xml:space="preserve">ESignCompleted</w:t>
            </w:r>
            <w:r>
              <w:rPr>
                <w:sz w:val="18"/>
              </w:rPr>
              <w:t xml:space="preserve">,</w:t>
            </w:r>
            <w:r>
              <w:rPr>
                <w:sz w:val="18"/>
              </w:rPr>
              <w:t xml:space="preserve"> </w:t>
            </w:r>
            <w:r>
              <w:rPr>
                <w:rStyle w:val="VerbatimChar"/>
                <w:sz w:val="18"/>
              </w:rPr>
              <w:t xml:space="preserve">EStampCompleted</w:t>
            </w:r>
          </w:p>
        </w:tc>
        <w:tc>
          <w:tcPr>
            <w:tcW w:w="5372" w:type="dxa"/>
          </w:tcPr>
          <w:p>
            <w:pPr>
              <w:pStyle w:val="Compact"/>
              <w:spacing w:after="40"/>
              <w:jc w:val="left"/>
            </w:pPr>
            <w:r>
              <w:rPr>
                <w:sz w:val="18"/>
              </w:rPr>
              <w:t xml:space="preserve">Send acceptance within KFS validity, and provider evidence (transaction IDs, certificate, signed-document hash, timestamps, stamp certificate number).</w:t>
            </w:r>
            <w:r>
              <w:rPr>
                <w:sz w:val="18"/>
              </w:rPr>
              <w:t xml:space="preserve"> </w:t>
            </w:r>
            <w:r>
              <w:rPr>
                <w:bCs/>
                <w:b/>
                <w:sz w:val="18"/>
              </w:rPr>
              <w:t xml:space="preserve">Never a bare</w:t>
            </w:r>
            <w:r>
              <w:rPr>
                <w:bCs/>
                <w:b/>
                <w:sz w:val="18"/>
              </w:rPr>
              <w:t xml:space="preserve"> </w:t>
            </w:r>
            <w:r>
              <w:rPr>
                <w:bCs/>
                <w:b/>
                <w:sz w:val="18"/>
              </w:rPr>
              <w:t xml:space="preserve">“</w:t>
            </w:r>
            <w:r>
              <w:rPr>
                <w:bCs/>
                <w:b/>
                <w:sz w:val="18"/>
              </w:rPr>
              <w:t xml:space="preserve">signed=true</w:t>
            </w:r>
            <w:r>
              <w:rPr>
                <w:bCs/>
                <w:b/>
                <w:sz w:val="18"/>
              </w:rPr>
              <w:t xml:space="preserve">”</w:t>
            </w:r>
            <w:r>
              <w:rPr>
                <w:bCs/>
                <w:b/>
                <w:sz w:val="18"/>
              </w:rPr>
              <w:t xml:space="preserve"> </w:t>
            </w:r>
            <w:r>
              <w:rPr>
                <w:bCs/>
                <w:b/>
                <w:sz w:val="18"/>
              </w:rPr>
              <w:t xml:space="preserve">flag</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MandateRegistered</w:t>
            </w:r>
          </w:p>
        </w:tc>
        <w:tc>
          <w:tcPr>
            <w:tcW w:w="5372" w:type="dxa"/>
          </w:tcPr>
          <w:p>
            <w:pPr>
              <w:pStyle w:val="Compact"/>
              <w:spacing w:after="40"/>
              <w:jc w:val="left"/>
            </w:pPr>
            <w:r>
              <w:rPr>
                <w:sz w:val="18"/>
              </w:rPr>
              <w:t xml:space="preserve">Send UMRN, sponsor bank, mandate type, limits and validity, for a mandate in the RE’s favour</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LoanDisbursed</w:t>
            </w:r>
            <w:r>
              <w:rPr>
                <w:sz w:val="18"/>
              </w:rPr>
              <w:t xml:space="preserve">,</w:t>
            </w:r>
            <w:r>
              <w:rPr>
                <w:sz w:val="18"/>
              </w:rPr>
              <w:t xml:space="preserve"> </w:t>
            </w:r>
            <w:r>
              <w:rPr>
                <w:rStyle w:val="VerbatimChar"/>
                <w:sz w:val="18"/>
              </w:rPr>
              <w:t xml:space="preserve">DisbursementFailed</w:t>
            </w:r>
          </w:p>
        </w:tc>
        <w:tc>
          <w:tcPr>
            <w:tcW w:w="5372" w:type="dxa"/>
          </w:tcPr>
          <w:p>
            <w:pPr>
              <w:pStyle w:val="Compact"/>
              <w:spacing w:after="40"/>
              <w:jc w:val="left"/>
            </w:pPr>
            <w:r>
              <w:rPr>
                <w:sz w:val="18"/>
              </w:rPr>
              <w:t xml:space="preserve">Mark disbursed only on this event with UTR, amount and date; start the cooling-off clock display; create the loan mirror; on failure, show status and the RE’s next step</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CoolingOffExitRequested</w:t>
            </w:r>
          </w:p>
        </w:tc>
        <w:tc>
          <w:tcPr>
            <w:tcW w:w="5372" w:type="dxa"/>
          </w:tcPr>
          <w:p>
            <w:pPr>
              <w:pStyle w:val="Compact"/>
              <w:spacing w:after="40"/>
              <w:jc w:val="left"/>
            </w:pPr>
            <w:r>
              <w:rPr>
                <w:sz w:val="18"/>
              </w:rPr>
              <w:t xml:space="preserve">Send the borrower’s exit request within the period; show the RE’s payable amount (principal plus proportionate APR, plus any processing fee disclosed in the KFS: CF para 11) and a payment instruction to the RE’s account</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ScheduleIssued</w:t>
            </w:r>
            <w:r>
              <w:rPr>
                <w:sz w:val="18"/>
              </w:rPr>
              <w:t xml:space="preserve">,</w:t>
            </w:r>
            <w:r>
              <w:rPr>
                <w:sz w:val="18"/>
              </w:rPr>
              <w:t xml:space="preserve"> </w:t>
            </w:r>
            <w:r>
              <w:rPr>
                <w:rStyle w:val="VerbatimChar"/>
                <w:sz w:val="18"/>
              </w:rPr>
              <w:t xml:space="preserve">ScheduleChanged</w:t>
            </w:r>
            <w:r>
              <w:rPr>
                <w:sz w:val="18"/>
              </w:rPr>
              <w:t xml:space="preserve">,</w:t>
            </w:r>
            <w:r>
              <w:rPr>
                <w:sz w:val="18"/>
              </w:rPr>
              <w:t xml:space="preserve"> </w:t>
            </w:r>
            <w:r>
              <w:rPr>
                <w:rStyle w:val="VerbatimChar"/>
                <w:sz w:val="18"/>
              </w:rPr>
              <w:t xml:space="preserve">DueReminderTrigger</w:t>
            </w:r>
            <w:r>
              <w:rPr>
                <w:sz w:val="18"/>
              </w:rPr>
              <w:t xml:space="preserve">,</w:t>
            </w:r>
            <w:r>
              <w:rPr>
                <w:sz w:val="18"/>
              </w:rPr>
              <w:t xml:space="preserve"> </w:t>
            </w:r>
            <w:r>
              <w:rPr>
                <w:rStyle w:val="VerbatimChar"/>
                <w:sz w:val="18"/>
              </w:rPr>
              <w:t xml:space="preserve">PaymentReceived</w:t>
            </w:r>
            <w:r>
              <w:rPr>
                <w:sz w:val="18"/>
              </w:rPr>
              <w:t xml:space="preserve">,</w:t>
            </w:r>
            <w:r>
              <w:rPr>
                <w:sz w:val="18"/>
              </w:rPr>
              <w:t xml:space="preserve"> </w:t>
            </w:r>
            <w:r>
              <w:rPr>
                <w:rStyle w:val="VerbatimChar"/>
                <w:sz w:val="18"/>
              </w:rPr>
              <w:t xml:space="preserve">PaymentBounced</w:t>
            </w:r>
            <w:r>
              <w:rPr>
                <w:sz w:val="18"/>
              </w:rPr>
              <w:t xml:space="preserve">,</w:t>
            </w:r>
            <w:r>
              <w:rPr>
                <w:sz w:val="18"/>
              </w:rPr>
              <w:t xml:space="preserve"> </w:t>
            </w:r>
            <w:r>
              <w:rPr>
                <w:rStyle w:val="VerbatimChar"/>
                <w:sz w:val="18"/>
              </w:rPr>
              <w:t xml:space="preserve">DPDChanged</w:t>
            </w:r>
            <w:r>
              <w:rPr>
                <w:sz w:val="18"/>
              </w:rPr>
              <w:t xml:space="preserve">,</w:t>
            </w:r>
            <w:r>
              <w:rPr>
                <w:sz w:val="18"/>
              </w:rPr>
              <w:t xml:space="preserve"> </w:t>
            </w:r>
            <w:r>
              <w:rPr>
                <w:rStyle w:val="VerbatimChar"/>
                <w:sz w:val="18"/>
              </w:rPr>
              <w:t xml:space="preserve">AssetClassificationChanged</w:t>
            </w:r>
            <w:r>
              <w:rPr>
                <w:sz w:val="18"/>
              </w:rPr>
              <w:t xml:space="preserve">,</w:t>
            </w:r>
            <w:r>
              <w:rPr>
                <w:sz w:val="18"/>
              </w:rPr>
              <w:t xml:space="preserve"> </w:t>
            </w:r>
            <w:r>
              <w:rPr>
                <w:rStyle w:val="VerbatimChar"/>
                <w:sz w:val="18"/>
              </w:rPr>
              <w:t xml:space="preserve">LoanClosed</w:t>
            </w:r>
            <w:r>
              <w:rPr>
                <w:sz w:val="18"/>
              </w:rPr>
              <w:t xml:space="preserve">,</w:t>
            </w:r>
            <w:r>
              <w:rPr>
                <w:sz w:val="18"/>
              </w:rPr>
              <w:t xml:space="preserve"> </w:t>
            </w:r>
            <w:r>
              <w:rPr>
                <w:rStyle w:val="VerbatimChar"/>
                <w:sz w:val="18"/>
              </w:rPr>
              <w:t xml:space="preserve">NOCIssued</w:t>
            </w:r>
          </w:p>
        </w:tc>
        <w:tc>
          <w:tcPr>
            <w:tcW w:w="5372" w:type="dxa"/>
          </w:tcPr>
          <w:p>
            <w:pPr>
              <w:pStyle w:val="Compact"/>
              <w:spacing w:after="40"/>
              <w:jc w:val="left"/>
            </w:pPr>
            <w:r>
              <w:rPr>
                <w:sz w:val="18"/>
              </w:rPr>
              <w:t xml:space="preserve">Update the loan mirror; send RE-approved reminders and receipts; show the NOC; never show asset classification to the borrower unless the RE approves the wording</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CollectionAllocated</w:t>
            </w:r>
            <w:r>
              <w:rPr>
                <w:sz w:val="18"/>
              </w:rPr>
              <w:t xml:space="preserve">,</w:t>
            </w:r>
            <w:r>
              <w:rPr>
                <w:sz w:val="18"/>
              </w:rPr>
              <w:t xml:space="preserve"> </w:t>
            </w:r>
            <w:r>
              <w:rPr>
                <w:rStyle w:val="VerbatimChar"/>
                <w:sz w:val="18"/>
              </w:rPr>
              <w:t xml:space="preserve">CollectionDeallocated</w:t>
            </w:r>
          </w:p>
        </w:tc>
        <w:tc>
          <w:tcPr>
            <w:tcW w:w="5372" w:type="dxa"/>
          </w:tcPr>
          <w:p>
            <w:pPr>
              <w:pStyle w:val="Compact"/>
              <w:spacing w:after="40"/>
              <w:jc w:val="left"/>
            </w:pPr>
            <w:r>
              <w:rPr>
                <w:sz w:val="18"/>
              </w:rPr>
              <w:t xml:space="preserve">Accept only if an active recovery-agent contract exists for that RE, scope and territory; apply the contact-policy rules carried in the allocation; confirm that the agent’s particulars were sent to the borrower before first contact (CF para 9(6))</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CollectionActivityLogged</w:t>
            </w:r>
            <w:r>
              <w:rPr>
                <w:sz w:val="18"/>
              </w:rPr>
              <w:t xml:space="preserve">,</w:t>
            </w:r>
            <w:r>
              <w:rPr>
                <w:sz w:val="18"/>
              </w:rPr>
              <w:t xml:space="preserve"> </w:t>
            </w:r>
            <w:r>
              <w:rPr>
                <w:rStyle w:val="VerbatimChar"/>
                <w:sz w:val="18"/>
              </w:rPr>
              <w:t xml:space="preserve">PTPCaptured</w:t>
            </w:r>
            <w:r>
              <w:rPr>
                <w:sz w:val="18"/>
              </w:rPr>
              <w:t xml:space="preserve">,</w:t>
            </w:r>
            <w:r>
              <w:rPr>
                <w:sz w:val="18"/>
              </w:rPr>
              <w:t xml:space="preserve"> </w:t>
            </w:r>
            <w:r>
              <w:rPr>
                <w:rStyle w:val="VerbatimChar"/>
                <w:sz w:val="18"/>
              </w:rPr>
              <w:t xml:space="preserve">FieldVisitLogged</w:t>
            </w:r>
            <w:r>
              <w:rPr>
                <w:sz w:val="18"/>
              </w:rPr>
              <w:t xml:space="preserve">,</w:t>
            </w:r>
            <w:r>
              <w:rPr>
                <w:sz w:val="18"/>
              </w:rPr>
              <w:t xml:space="preserve"> </w:t>
            </w:r>
            <w:r>
              <w:rPr>
                <w:rStyle w:val="VerbatimChar"/>
                <w:sz w:val="18"/>
              </w:rPr>
              <w:t xml:space="preserve">ReceiptIssued</w:t>
            </w:r>
          </w:p>
        </w:tc>
        <w:tc>
          <w:tcPr>
            <w:tcW w:w="5372" w:type="dxa"/>
          </w:tcPr>
          <w:p>
            <w:pPr>
              <w:pStyle w:val="Compact"/>
              <w:spacing w:after="40"/>
              <w:jc w:val="left"/>
            </w:pPr>
            <w:r>
              <w:rPr>
                <w:sz w:val="18"/>
              </w:rPr>
              <w:t xml:space="preserve">Send activity with timestamps, recordings references and geo-tags from agent devices; cash receipts reflected to the RE the same day (CF para 10(5))</w:t>
            </w:r>
          </w:p>
        </w:tc>
      </w:tr>
      <w:tr>
        <w:tc>
          <w:tcPr>
            <w:tcW w:w="934" w:type="dxa"/>
          </w:tcPr>
          <w:p>
            <w:pPr>
              <w:pStyle w:val="Compact"/>
              <w:spacing w:after="40"/>
              <w:jc w:val="left"/>
            </w:pPr>
            <w:r>
              <w:rPr>
                <w:sz w:val="18"/>
              </w:rPr>
              <w:t xml:space="preserve">Both</w:t>
            </w:r>
          </w:p>
        </w:tc>
        <w:tc>
          <w:tcPr>
            <w:tcW w:w="3332" w:type="dxa"/>
          </w:tcPr>
          <w:p>
            <w:pPr>
              <w:pStyle w:val="Compact"/>
              <w:spacing w:after="40"/>
              <w:jc w:val="left"/>
            </w:pPr>
            <w:r>
              <w:rPr>
                <w:rStyle w:val="VerbatimChar"/>
                <w:sz w:val="18"/>
              </w:rPr>
              <w:t xml:space="preserve">GrievanceRaised</w:t>
            </w:r>
            <w:r>
              <w:rPr>
                <w:sz w:val="18"/>
              </w:rPr>
              <w:t xml:space="preserve">,</w:t>
            </w:r>
            <w:r>
              <w:rPr>
                <w:sz w:val="18"/>
              </w:rPr>
              <w:t xml:space="preserve"> </w:t>
            </w:r>
            <w:r>
              <w:rPr>
                <w:rStyle w:val="VerbatimChar"/>
                <w:sz w:val="18"/>
              </w:rPr>
              <w:t xml:space="preserve">GrievanceUpdated</w:t>
            </w:r>
            <w:r>
              <w:rPr>
                <w:sz w:val="18"/>
              </w:rPr>
              <w:t xml:space="preserve">,</w:t>
            </w:r>
            <w:r>
              <w:rPr>
                <w:sz w:val="18"/>
              </w:rPr>
              <w:t xml:space="preserve"> </w:t>
            </w:r>
            <w:r>
              <w:rPr>
                <w:rStyle w:val="VerbatimChar"/>
                <w:sz w:val="18"/>
              </w:rPr>
              <w:t xml:space="preserve">GrievanceEscalated</w:t>
            </w:r>
          </w:p>
        </w:tc>
        <w:tc>
          <w:tcPr>
            <w:tcW w:w="5372" w:type="dxa"/>
          </w:tcPr>
          <w:p>
            <w:pPr>
              <w:pStyle w:val="Compact"/>
              <w:spacing w:after="40"/>
              <w:jc w:val="left"/>
            </w:pPr>
            <w:r>
              <w:rPr>
                <w:sz w:val="18"/>
              </w:rPr>
              <w:t xml:space="preserve">Route to the RE’s GRO under the grievance-host switch; keep one reference across systems; show the CMS escalation route after 30 days or on rejection (CF para 12(4)); record Equator referrals</w:t>
            </w:r>
          </w:p>
        </w:tc>
      </w:tr>
      <w:tr>
        <w:tc>
          <w:tcPr>
            <w:tcW w:w="934" w:type="dxa"/>
          </w:tcPr>
          <w:p>
            <w:pPr>
              <w:pStyle w:val="Compact"/>
              <w:spacing w:after="40"/>
              <w:jc w:val="left"/>
            </w:pPr>
            <w:r>
              <w:rPr>
                <w:sz w:val="18"/>
              </w:rPr>
              <w:t xml:space="preserve">Both</w:t>
            </w:r>
          </w:p>
        </w:tc>
        <w:tc>
          <w:tcPr>
            <w:tcW w:w="3332" w:type="dxa"/>
          </w:tcPr>
          <w:p>
            <w:pPr>
              <w:pStyle w:val="Compact"/>
              <w:spacing w:after="40"/>
              <w:jc w:val="left"/>
            </w:pPr>
            <w:r>
              <w:rPr>
                <w:rStyle w:val="VerbatimChar"/>
                <w:sz w:val="18"/>
              </w:rPr>
              <w:t xml:space="preserve">DLGArrangementRegistered</w:t>
            </w:r>
            <w:r>
              <w:rPr>
                <w:sz w:val="18"/>
              </w:rPr>
              <w:t xml:space="preserve">,</w:t>
            </w:r>
            <w:r>
              <w:rPr>
                <w:sz w:val="18"/>
              </w:rPr>
              <w:t xml:space="preserve"> </w:t>
            </w:r>
            <w:r>
              <w:rPr>
                <w:rStyle w:val="VerbatimChar"/>
                <w:sz w:val="18"/>
              </w:rPr>
              <w:t xml:space="preserve">DLGInvocationRaised</w:t>
            </w:r>
            <w:r>
              <w:rPr>
                <w:sz w:val="18"/>
              </w:rPr>
              <w:t xml:space="preserve">,</w:t>
            </w:r>
            <w:r>
              <w:rPr>
                <w:sz w:val="18"/>
              </w:rPr>
              <w:t xml:space="preserve"> </w:t>
            </w:r>
            <w:r>
              <w:rPr>
                <w:rStyle w:val="VerbatimChar"/>
                <w:sz w:val="18"/>
              </w:rPr>
              <w:t xml:space="preserve">DLGInvocationSettled</w:t>
            </w:r>
            <w:r>
              <w:rPr>
                <w:sz w:val="18"/>
              </w:rPr>
              <w:t xml:space="preserve">,</w:t>
            </w:r>
            <w:r>
              <w:rPr>
                <w:sz w:val="18"/>
              </w:rPr>
              <w:t xml:space="preserve"> </w:t>
            </w:r>
            <w:r>
              <w:rPr>
                <w:rStyle w:val="VerbatimChar"/>
                <w:sz w:val="18"/>
              </w:rPr>
              <w:t xml:space="preserve">DLGPortfolioCoverage</w:t>
            </w:r>
          </w:p>
        </w:tc>
        <w:tc>
          <w:tcPr>
            <w:tcW w:w="5372" w:type="dxa"/>
          </w:tcPr>
          <w:p>
            <w:pPr>
              <w:pStyle w:val="Compact"/>
              <w:spacing w:after="40"/>
              <w:jc w:val="left"/>
            </w:pPr>
            <w:r>
              <w:rPr>
                <w:sz w:val="18"/>
              </w:rPr>
              <w:t xml:space="preserve">Keep Udofin’s own DLG records in U14 (Udofin is their system of record, Part 5.1) and reconcile them with the RE’s DLG ledger; reconcile cover, invocations and recoveries; feed Udofin’s accounts and monthly disclosure</w:t>
            </w:r>
          </w:p>
        </w:tc>
      </w:tr>
      <w:tr>
        <w:tc>
          <w:tcPr>
            <w:tcW w:w="934" w:type="dxa"/>
          </w:tcPr>
          <w:p>
            <w:pPr>
              <w:pStyle w:val="Compact"/>
              <w:spacing w:after="40"/>
              <w:jc w:val="left"/>
            </w:pPr>
            <w:r>
              <w:rPr>
                <w:sz w:val="18"/>
              </w:rPr>
              <w:t xml:space="preserve">Both</w:t>
            </w:r>
          </w:p>
        </w:tc>
        <w:tc>
          <w:tcPr>
            <w:tcW w:w="3332" w:type="dxa"/>
          </w:tcPr>
          <w:p>
            <w:pPr>
              <w:pStyle w:val="Compact"/>
              <w:spacing w:after="40"/>
              <w:jc w:val="left"/>
            </w:pPr>
            <w:r>
              <w:rPr>
                <w:rStyle w:val="VerbatimChar"/>
                <w:sz w:val="18"/>
              </w:rPr>
              <w:t xml:space="preserve">DailyReconciliationFile</w:t>
            </w:r>
          </w:p>
        </w:tc>
        <w:tc>
          <w:tcPr>
            <w:tcW w:w="5372" w:type="dxa"/>
          </w:tcPr>
          <w:p>
            <w:pPr>
              <w:pStyle w:val="Compact"/>
              <w:spacing w:after="40"/>
              <w:jc w:val="left"/>
            </w:pPr>
            <w:r>
              <w:rPr>
                <w:sz w:val="18"/>
              </w:rPr>
              <w:t xml:space="preserve">Exchange applications, disbursals, payments, fees, collections and DLG positions; produce break reports in the ops portal</w:t>
            </w:r>
          </w:p>
        </w:tc>
      </w:tr>
    </w:tbl>
    <w:p>
      <w:pPr>
        <w:pStyle w:val="BodyText"/>
      </w:pPr>
      <w:r>
        <w:rPr>
          <w:bCs/>
          <w:b/>
        </w:rPr>
        <w:t xml:space="preserve">Events adopted in v1.1 (formerly contract gaps).</w:t>
      </w:r>
      <w:r>
        <w:t xml:space="preserve"> </w:t>
      </w:r>
      <w:r>
        <w:t xml:space="preserve">The v1.3 Finbyx catalogue had no event for consent withdrawal or data-erasure requests passed to the RE, for Udofin security incidents notified to the RE, or for Udofin’s monthly DLG disclosure. v1.0 proposed</w:t>
      </w:r>
      <w:r>
        <w:t xml:space="preserve"> </w:t>
      </w:r>
      <w:r>
        <w:rPr>
          <w:rStyle w:val="VerbatimChar"/>
        </w:rPr>
        <w:t xml:space="preserve">ConsentWithdrawn</w:t>
      </w:r>
      <w:r>
        <w:t xml:space="preserve">,</w:t>
      </w:r>
      <w:r>
        <w:t xml:space="preserve"> </w:t>
      </w:r>
      <w:r>
        <w:rPr>
          <w:rStyle w:val="VerbatimChar"/>
        </w:rPr>
        <w:t xml:space="preserve">DataPrincipalRequest</w:t>
      </w:r>
      <w:r>
        <w:t xml:space="preserve">,</w:t>
      </w:r>
      <w:r>
        <w:t xml:space="preserve"> </w:t>
      </w:r>
      <w:r>
        <w:rPr>
          <w:rStyle w:val="VerbatimChar"/>
        </w:rPr>
        <w:t xml:space="preserve">SecurityIncidentNotified</w:t>
      </w:r>
      <w:r>
        <w:t xml:space="preserve">,</w:t>
      </w:r>
      <w:r>
        <w:t xml:space="preserve"> </w:t>
      </w:r>
      <w:r>
        <w:rPr>
          <w:rStyle w:val="VerbatimChar"/>
        </w:rPr>
        <w:t xml:space="preserve">DLGDisclosurePublished</w:t>
      </w:r>
      <w:r>
        <w:t xml:space="preserve">,</w:t>
      </w:r>
      <w:r>
        <w:t xml:space="preserve"> </w:t>
      </w:r>
      <w:r>
        <w:rPr>
          <w:rStyle w:val="VerbatimChar"/>
        </w:rPr>
        <w:t xml:space="preserve">RiskSignalRaised</w:t>
      </w:r>
      <w:r>
        <w:t xml:space="preserve"> </w:t>
      </w:r>
      <w:r>
        <w:t xml:space="preserve">(fraud and early-warning signals to the RE; 8A.9) and</w:t>
      </w:r>
      <w:r>
        <w:t xml:space="preserve"> </w:t>
      </w:r>
      <w:r>
        <w:rPr>
          <w:rStyle w:val="VerbatimChar"/>
        </w:rPr>
        <w:t xml:space="preserve">SettlementRequested</w:t>
      </w:r>
      <w:r>
        <w:t xml:space="preserve"> </w:t>
      </w:r>
      <w:r>
        <w:t xml:space="preserve">(a borrower’s settlement request relayed to the RE; 8A.13) as a contract change; the Ecosystem Integration Specification v1.0 adopts all six. Implement each in the phase that needs it (Phase 3b consent events, Phase 13 DLG disclosure, Phase 16 incidents and risk signals, Phase 12b settlement). Never invent an event silently; raise any further gap as a versioned contract change.</w:t>
      </w:r>
    </w:p>
    <w:p>
      <w:pPr>
        <w:pStyle w:val="BodyText"/>
      </w:pPr>
      <w:r>
        <w:rPr>
          <w:bCs/>
          <w:b/>
        </w:rPr>
        <w:t xml:space="preserve">New canonical event domains (v1.1).</w:t>
      </w:r>
      <w:r>
        <w:t xml:space="preserve"> </w:t>
      </w:r>
      <w:r>
        <w:t xml:space="preserve">Udofin produces only the events marked as produced; it consumes the others only where Part 7A or Part 6.4 says so, filtered by the RE’s visibility policy.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38"/>
        <w:gridCol w:w="3639"/>
        <w:gridCol w:w="4661"/>
      </w:tblGrid>
      <w:tr>
        <w:trPr>
          <w:tblHeader w:val="true"/>
          <w:tblHeader w:val="true"/>
        </w:trPr>
        <w:tc>
          <w:tcPr>
            <w:tcW w:w="1338" w:type="dxa"/>
            <w:shd w:val="clear" w:color="auto" w:fill="1F3A5F"/>
          </w:tcPr>
          <w:p>
            <w:pPr>
              <w:pStyle w:val="Compact"/>
              <w:spacing w:after="40"/>
              <w:jc w:val="left"/>
            </w:pPr>
            <w:r>
              <w:rPr>
                <w:b/>
                <w:color w:val="FFFFFF"/>
                <w:sz w:val="18"/>
              </w:rPr>
              <w:t xml:space="preserve">Domain</w:t>
            </w:r>
          </w:p>
        </w:tc>
        <w:tc>
          <w:tcPr>
            <w:tcW w:w="3639" w:type="dxa"/>
            <w:shd w:val="clear" w:color="auto" w:fill="1F3A5F"/>
          </w:tcPr>
          <w:p>
            <w:pPr>
              <w:pStyle w:val="Compact"/>
              <w:spacing w:after="40"/>
              <w:jc w:val="left"/>
            </w:pPr>
            <w:r>
              <w:rPr>
                <w:b/>
                <w:color w:val="FFFFFF"/>
                <w:sz w:val="18"/>
              </w:rPr>
              <w:t xml:space="preserve">Events</w:t>
            </w:r>
          </w:p>
        </w:tc>
        <w:tc>
          <w:tcPr>
            <w:tcW w:w="4661" w:type="dxa"/>
            <w:shd w:val="clear" w:color="auto" w:fill="1F3A5F"/>
          </w:tcPr>
          <w:p>
            <w:pPr>
              <w:pStyle w:val="Compact"/>
              <w:spacing w:after="40"/>
              <w:jc w:val="left"/>
            </w:pPr>
            <w:r>
              <w:rPr>
                <w:b/>
                <w:color w:val="FFFFFF"/>
                <w:sz w:val="18"/>
              </w:rPr>
              <w:t xml:space="preserve">Udofin role</w:t>
            </w:r>
          </w:p>
        </w:tc>
      </w:tr>
      <w:tr>
        <w:tc>
          <w:tcPr>
            <w:tcW w:w="1338" w:type="dxa"/>
          </w:tcPr>
          <w:p>
            <w:pPr>
              <w:pStyle w:val="Compact"/>
              <w:spacing w:after="40"/>
              <w:jc w:val="left"/>
            </w:pPr>
            <w:r>
              <w:rPr>
                <w:sz w:val="18"/>
              </w:rPr>
              <w:t xml:space="preserve">Collateral</w:t>
            </w:r>
          </w:p>
        </w:tc>
        <w:tc>
          <w:tcPr>
            <w:tcW w:w="3639" w:type="dxa"/>
          </w:tcPr>
          <w:p>
            <w:pPr>
              <w:pStyle w:val="Compact"/>
              <w:spacing w:after="40"/>
              <w:jc w:val="left"/>
            </w:pPr>
            <w:r>
              <w:rPr>
                <w:rStyle w:val="VerbatimChar"/>
                <w:sz w:val="18"/>
              </w:rPr>
              <w:t xml:space="preserve">CollateralPledgeRequested</w:t>
            </w:r>
            <w:r>
              <w:rPr>
                <w:sz w:val="18"/>
              </w:rPr>
              <w:t xml:space="preserve">,</w:t>
            </w:r>
            <w:r>
              <w:rPr>
                <w:sz w:val="18"/>
              </w:rPr>
              <w:t xml:space="preserve"> </w:t>
            </w:r>
            <w:r>
              <w:rPr>
                <w:rStyle w:val="VerbatimChar"/>
                <w:sz w:val="18"/>
              </w:rPr>
              <w:t xml:space="preserve">CollateralPledgeCreated</w:t>
            </w:r>
            <w:r>
              <w:rPr>
                <w:sz w:val="18"/>
              </w:rPr>
              <w:t xml:space="preserve">,</w:t>
            </w:r>
            <w:r>
              <w:rPr>
                <w:sz w:val="18"/>
              </w:rPr>
              <w:t xml:space="preserve"> </w:t>
            </w:r>
            <w:r>
              <w:rPr>
                <w:rStyle w:val="VerbatimChar"/>
                <w:sz w:val="18"/>
              </w:rPr>
              <w:t xml:space="preserve">CollateralValuationUpdated</w:t>
            </w:r>
            <w:r>
              <w:rPr>
                <w:sz w:val="18"/>
              </w:rPr>
              <w:t xml:space="preserve">,</w:t>
            </w:r>
            <w:r>
              <w:rPr>
                <w:sz w:val="18"/>
              </w:rPr>
              <w:t xml:space="preserve"> </w:t>
            </w:r>
            <w:r>
              <w:rPr>
                <w:rStyle w:val="VerbatimChar"/>
                <w:sz w:val="18"/>
              </w:rPr>
              <w:t xml:space="preserve">MarginCallRaised</w:t>
            </w:r>
            <w:r>
              <w:rPr>
                <w:sz w:val="18"/>
              </w:rPr>
              <w:t xml:space="preserve">,</w:t>
            </w:r>
            <w:r>
              <w:rPr>
                <w:sz w:val="18"/>
              </w:rPr>
              <w:t xml:space="preserve"> </w:t>
            </w:r>
            <w:r>
              <w:rPr>
                <w:rStyle w:val="VerbatimChar"/>
                <w:sz w:val="18"/>
              </w:rPr>
              <w:t xml:space="preserve">MarginCallCured</w:t>
            </w:r>
            <w:r>
              <w:rPr>
                <w:sz w:val="18"/>
              </w:rPr>
              <w:t xml:space="preserve">,</w:t>
            </w:r>
            <w:r>
              <w:rPr>
                <w:sz w:val="18"/>
              </w:rPr>
              <w:t xml:space="preserve"> </w:t>
            </w:r>
            <w:r>
              <w:rPr>
                <w:rStyle w:val="VerbatimChar"/>
                <w:sz w:val="18"/>
              </w:rPr>
              <w:t xml:space="preserve">CollateralInvoked</w:t>
            </w:r>
            <w:r>
              <w:rPr>
                <w:sz w:val="18"/>
              </w:rPr>
              <w:t xml:space="preserve">,</w:t>
            </w:r>
            <w:r>
              <w:rPr>
                <w:sz w:val="18"/>
              </w:rPr>
              <w:t xml:space="preserve"> </w:t>
            </w:r>
            <w:r>
              <w:rPr>
                <w:rStyle w:val="VerbatimChar"/>
                <w:sz w:val="18"/>
              </w:rPr>
              <w:t xml:space="preserve">CollateralReleased</w:t>
            </w:r>
          </w:p>
        </w:tc>
        <w:tc>
          <w:tcPr>
            <w:tcW w:w="4661" w:type="dxa"/>
          </w:tcPr>
          <w:p>
            <w:pPr>
              <w:pStyle w:val="Compact"/>
              <w:spacing w:after="40"/>
              <w:jc w:val="left"/>
            </w:pPr>
            <w:r>
              <w:rPr>
                <w:sz w:val="18"/>
              </w:rPr>
              <w:t xml:space="preserve">Consumes all seven from the RE (</w:t>
            </w:r>
            <w:r>
              <w:rPr>
                <w:rStyle w:val="VerbatimChar"/>
                <w:sz w:val="18"/>
              </w:rPr>
              <w:t xml:space="preserve">CollateralPledgeRequested</w:t>
            </w:r>
            <w:r>
              <w:rPr>
                <w:sz w:val="18"/>
              </w:rPr>
              <w:t xml:space="preserve"> </w:t>
            </w:r>
            <w:r>
              <w:rPr>
                <w:sz w:val="18"/>
              </w:rPr>
              <w:t xml:space="preserve">is RE → Udofin and starts the borrower’s OTP and DP or RTA steps), plus</w:t>
            </w:r>
            <w:r>
              <w:rPr>
                <w:sz w:val="18"/>
              </w:rPr>
              <w:t xml:space="preserve"> </w:t>
            </w:r>
            <w:r>
              <w:rPr>
                <w:rStyle w:val="VerbatimChar"/>
                <w:sz w:val="18"/>
              </w:rPr>
              <w:t xml:space="preserve">CollateralPledgeFailed</w:t>
            </w:r>
            <w:r>
              <w:rPr>
                <w:sz w:val="18"/>
              </w:rPr>
              <w:t xml:space="preserve">,</w:t>
            </w:r>
            <w:r>
              <w:rPr>
                <w:sz w:val="18"/>
              </w:rPr>
              <w:t xml:space="preserve"> </w:t>
            </w:r>
            <w:r>
              <w:rPr>
                <w:rStyle w:val="VerbatimChar"/>
                <w:sz w:val="18"/>
              </w:rPr>
              <w:t xml:space="preserve">CollateralChargeRegistered</w:t>
            </w:r>
            <w:r>
              <w:rPr>
                <w:sz w:val="18"/>
              </w:rPr>
              <w:t xml:space="preserve"> </w:t>
            </w:r>
            <w:r>
              <w:rPr>
                <w:sz w:val="18"/>
              </w:rPr>
              <w:t xml:space="preserve">and</w:t>
            </w:r>
            <w:r>
              <w:rPr>
                <w:sz w:val="18"/>
              </w:rPr>
              <w:t xml:space="preserve"> </w:t>
            </w:r>
            <w:r>
              <w:rPr>
                <w:rStyle w:val="VerbatimChar"/>
                <w:sz w:val="18"/>
              </w:rPr>
              <w:t xml:space="preserve">MarginCallLapsed</w:t>
            </w:r>
            <w:r>
              <w:rPr>
                <w:sz w:val="18"/>
              </w:rPr>
              <w:t xml:space="preserve">; produces only</w:t>
            </w:r>
            <w:r>
              <w:rPr>
                <w:sz w:val="18"/>
              </w:rPr>
              <w:t xml:space="preserve"> </w:t>
            </w:r>
            <w:r>
              <w:rPr>
                <w:rStyle w:val="VerbatimChar"/>
                <w:sz w:val="18"/>
              </w:rPr>
              <w:t xml:space="preserve">CollateralHoldingsShared</w:t>
            </w:r>
            <w:r>
              <w:rPr>
                <w:sz w:val="18"/>
              </w:rPr>
              <w:t xml:space="preserve"> </w:t>
            </w:r>
            <w:r>
              <w:rPr>
                <w:sz w:val="18"/>
              </w:rPr>
              <w:t xml:space="preserve">(holdings with consent reference); calls the eligibility-quote, cure-intent,</w:t>
            </w:r>
            <w:r>
              <w:rPr>
                <w:sz w:val="18"/>
              </w:rPr>
              <w:t xml:space="preserve"> </w:t>
            </w:r>
            <w:r>
              <w:rPr>
                <w:rStyle w:val="VerbatimChar"/>
                <w:sz w:val="18"/>
              </w:rPr>
              <w:t xml:space="preserve">DrawdownRequested</w:t>
            </w:r>
            <w:r>
              <w:rPr>
                <w:sz w:val="18"/>
              </w:rPr>
              <w:t xml:space="preserve"> </w:t>
            </w:r>
            <w:r>
              <w:rPr>
                <w:sz w:val="18"/>
              </w:rPr>
              <w:t xml:space="preserve">and facility-summary APIs (Integration Spec Parts 6.3, 6.5, 7.3; Part 6.5)</w:t>
            </w:r>
          </w:p>
        </w:tc>
      </w:tr>
      <w:tr>
        <w:tc>
          <w:tcPr>
            <w:tcW w:w="1338" w:type="dxa"/>
          </w:tcPr>
          <w:p>
            <w:pPr>
              <w:pStyle w:val="Compact"/>
              <w:spacing w:after="40"/>
              <w:jc w:val="left"/>
            </w:pPr>
            <w:r>
              <w:rPr>
                <w:sz w:val="18"/>
              </w:rPr>
              <w:t xml:space="preserve">Co-lending and transfer</w:t>
            </w:r>
          </w:p>
        </w:tc>
        <w:tc>
          <w:tcPr>
            <w:tcW w:w="3639" w:type="dxa"/>
          </w:tcPr>
          <w:p>
            <w:pPr>
              <w:pStyle w:val="Compact"/>
              <w:spacing w:after="40"/>
              <w:jc w:val="left"/>
            </w:pPr>
            <w:r>
              <w:rPr>
                <w:rStyle w:val="VerbatimChar"/>
                <w:sz w:val="18"/>
              </w:rPr>
              <w:t xml:space="preserve">CoLendingSplitConfirmed</w:t>
            </w:r>
            <w:r>
              <w:rPr>
                <w:sz w:val="18"/>
              </w:rPr>
              <w:t xml:space="preserve">,</w:t>
            </w:r>
            <w:r>
              <w:rPr>
                <w:sz w:val="18"/>
              </w:rPr>
              <w:t xml:space="preserve"> </w:t>
            </w:r>
            <w:r>
              <w:rPr>
                <w:rStyle w:val="VerbatimChar"/>
                <w:sz w:val="18"/>
              </w:rPr>
              <w:t xml:space="preserve">ClassificationSynced</w:t>
            </w:r>
            <w:r>
              <w:rPr>
                <w:sz w:val="18"/>
              </w:rPr>
              <w:t xml:space="preserve">,</w:t>
            </w:r>
            <w:r>
              <w:rPr>
                <w:sz w:val="18"/>
              </w:rPr>
              <w:t xml:space="preserve"> </w:t>
            </w:r>
            <w:r>
              <w:rPr>
                <w:rStyle w:val="VerbatimChar"/>
                <w:sz w:val="18"/>
              </w:rPr>
              <w:t xml:space="preserve">LoanTransferred</w:t>
            </w:r>
            <w:r>
              <w:rPr>
                <w:sz w:val="18"/>
              </w:rPr>
              <w:t xml:space="preserve">,</w:t>
            </w:r>
            <w:r>
              <w:rPr>
                <w:sz w:val="18"/>
              </w:rPr>
              <w:t xml:space="preserve"> </w:t>
            </w:r>
            <w:r>
              <w:rPr>
                <w:rStyle w:val="VerbatimChar"/>
                <w:sz w:val="18"/>
              </w:rPr>
              <w:t xml:space="preserve">ServicerChanged</w:t>
            </w:r>
          </w:p>
        </w:tc>
        <w:tc>
          <w:tcPr>
            <w:tcW w:w="4661" w:type="dxa"/>
          </w:tcPr>
          <w:p>
            <w:pPr>
              <w:pStyle w:val="Compact"/>
              <w:spacing w:after="40"/>
              <w:jc w:val="left"/>
            </w:pPr>
            <w:r>
              <w:rPr>
                <w:sz w:val="18"/>
              </w:rPr>
              <w:t xml:space="preserve">Consumes</w:t>
            </w:r>
            <w:r>
              <w:rPr>
                <w:sz w:val="18"/>
              </w:rPr>
              <w:t xml:space="preserve"> </w:t>
            </w:r>
            <w:r>
              <w:rPr>
                <w:rStyle w:val="VerbatimChar"/>
                <w:sz w:val="18"/>
              </w:rPr>
              <w:t xml:space="preserve">LoanTransferred</w:t>
            </w:r>
            <w:r>
              <w:rPr>
                <w:sz w:val="18"/>
              </w:rPr>
              <w:t xml:space="preserve"> </w:t>
            </w:r>
            <w:r>
              <w:rPr>
                <w:sz w:val="18"/>
              </w:rPr>
              <w:t xml:space="preserve">and</w:t>
            </w:r>
            <w:r>
              <w:rPr>
                <w:sz w:val="18"/>
              </w:rPr>
              <w:t xml:space="preserve"> </w:t>
            </w:r>
            <w:r>
              <w:rPr>
                <w:rStyle w:val="VerbatimChar"/>
                <w:sz w:val="18"/>
              </w:rPr>
              <w:t xml:space="preserve">ServicerChanged</w:t>
            </w:r>
            <w:r>
              <w:rPr>
                <w:sz w:val="18"/>
              </w:rPr>
              <w:t xml:space="preserve"> </w:t>
            </w:r>
            <w:r>
              <w:rPr>
                <w:sz w:val="18"/>
              </w:rPr>
              <w:t xml:space="preserve">(updates the loan mirror, payment instructions and the single point of interface: TDCR paras 104–105, 117);</w:t>
            </w:r>
            <w:r>
              <w:rPr>
                <w:sz w:val="18"/>
              </w:rPr>
              <w:t xml:space="preserve"> </w:t>
            </w:r>
            <w:r>
              <w:rPr>
                <w:rStyle w:val="VerbatimChar"/>
                <w:sz w:val="18"/>
              </w:rPr>
              <w:t xml:space="preserve">CoLendingSplitConfirmed</w:t>
            </w:r>
            <w:r>
              <w:rPr>
                <w:sz w:val="18"/>
              </w:rPr>
              <w:t xml:space="preserve"> </w:t>
            </w:r>
            <w:r>
              <w:rPr>
                <w:sz w:val="18"/>
              </w:rPr>
              <w:t xml:space="preserve">and</w:t>
            </w:r>
            <w:r>
              <w:rPr>
                <w:sz w:val="18"/>
              </w:rPr>
              <w:t xml:space="preserve"> </w:t>
            </w:r>
            <w:r>
              <w:rPr>
                <w:rStyle w:val="VerbatimChar"/>
                <w:sz w:val="18"/>
              </w:rPr>
              <w:t xml:space="preserve">ClassificationSynced</w:t>
            </w:r>
            <w:r>
              <w:rPr>
                <w:sz w:val="18"/>
              </w:rPr>
              <w:t xml:space="preserve"> </w:t>
            </w:r>
            <w:r>
              <w:rPr>
                <w:sz w:val="18"/>
              </w:rPr>
              <w:t xml:space="preserve">pass only between the co-lenders (Integration Spec 6.6), so Udofin sees their effect through</w:t>
            </w:r>
            <w:r>
              <w:rPr>
                <w:sz w:val="18"/>
              </w:rPr>
              <w:t xml:space="preserve"> </w:t>
            </w:r>
            <w:r>
              <w:rPr>
                <w:rStyle w:val="VerbatimChar"/>
                <w:sz w:val="18"/>
              </w:rPr>
              <w:t xml:space="preserve">AssetClassificationChanged</w:t>
            </w:r>
            <w:r>
              <w:rPr>
                <w:sz w:val="18"/>
              </w:rPr>
              <w:t xml:space="preserve"> </w:t>
            </w:r>
            <w:r>
              <w:rPr>
                <w:sz w:val="18"/>
              </w:rPr>
              <w:t xml:space="preserve">and the loan mirror</w:t>
            </w:r>
          </w:p>
        </w:tc>
      </w:tr>
      <w:tr>
        <w:tc>
          <w:tcPr>
            <w:tcW w:w="1338" w:type="dxa"/>
          </w:tcPr>
          <w:p>
            <w:pPr>
              <w:pStyle w:val="Compact"/>
              <w:spacing w:after="40"/>
              <w:jc w:val="left"/>
            </w:pPr>
            <w:r>
              <w:rPr>
                <w:sz w:val="18"/>
              </w:rPr>
              <w:t xml:space="preserve">Recovery</w:t>
            </w:r>
          </w:p>
        </w:tc>
        <w:tc>
          <w:tcPr>
            <w:tcW w:w="3639" w:type="dxa"/>
          </w:tcPr>
          <w:p>
            <w:pPr>
              <w:pStyle w:val="Compact"/>
              <w:spacing w:after="40"/>
              <w:jc w:val="left"/>
            </w:pPr>
            <w:r>
              <w:rPr>
                <w:rStyle w:val="VerbatimChar"/>
                <w:sz w:val="18"/>
              </w:rPr>
              <w:t xml:space="preserve">RecoveryCaseOpened</w:t>
            </w:r>
            <w:r>
              <w:rPr>
                <w:sz w:val="18"/>
              </w:rPr>
              <w:t xml:space="preserve">,</w:t>
            </w:r>
            <w:r>
              <w:rPr>
                <w:sz w:val="18"/>
              </w:rPr>
              <w:t xml:space="preserve"> </w:t>
            </w:r>
            <w:r>
              <w:rPr>
                <w:rStyle w:val="VerbatimChar"/>
                <w:sz w:val="18"/>
              </w:rPr>
              <w:t xml:space="preserve">RecoveryStrategyChanged</w:t>
            </w:r>
            <w:r>
              <w:rPr>
                <w:sz w:val="18"/>
              </w:rPr>
              <w:t xml:space="preserve">,</w:t>
            </w:r>
            <w:r>
              <w:rPr>
                <w:sz w:val="18"/>
              </w:rPr>
              <w:t xml:space="preserve"> </w:t>
            </w:r>
            <w:r>
              <w:rPr>
                <w:rStyle w:val="VerbatimChar"/>
                <w:sz w:val="18"/>
              </w:rPr>
              <w:t xml:space="preserve">LegalNoticeIssued</w:t>
            </w:r>
            <w:r>
              <w:rPr>
                <w:sz w:val="18"/>
              </w:rPr>
              <w:t xml:space="preserve">,</w:t>
            </w:r>
            <w:r>
              <w:rPr>
                <w:sz w:val="18"/>
              </w:rPr>
              <w:t xml:space="preserve"> </w:t>
            </w:r>
            <w:r>
              <w:rPr>
                <w:rStyle w:val="VerbatimChar"/>
                <w:sz w:val="18"/>
              </w:rPr>
              <w:t xml:space="preserve">NoticeServiceUpdated</w:t>
            </w:r>
            <w:r>
              <w:rPr>
                <w:sz w:val="18"/>
              </w:rPr>
              <w:t xml:space="preserve">,</w:t>
            </w:r>
            <w:r>
              <w:rPr>
                <w:sz w:val="18"/>
              </w:rPr>
              <w:t xml:space="preserve"> </w:t>
            </w:r>
            <w:r>
              <w:rPr>
                <w:rStyle w:val="VerbatimChar"/>
                <w:sz w:val="18"/>
              </w:rPr>
              <w:t xml:space="preserve">SettlementOfferIssued</w:t>
            </w:r>
            <w:r>
              <w:rPr>
                <w:sz w:val="18"/>
              </w:rPr>
              <w:t xml:space="preserve">,</w:t>
            </w:r>
            <w:r>
              <w:rPr>
                <w:sz w:val="18"/>
              </w:rPr>
              <w:t xml:space="preserve"> </w:t>
            </w:r>
            <w:r>
              <w:rPr>
                <w:rStyle w:val="VerbatimChar"/>
                <w:sz w:val="18"/>
              </w:rPr>
              <w:t xml:space="preserve">SettlementApproved</w:t>
            </w:r>
            <w:r>
              <w:rPr>
                <w:sz w:val="18"/>
              </w:rPr>
              <w:t xml:space="preserve">,</w:t>
            </w:r>
            <w:r>
              <w:rPr>
                <w:sz w:val="18"/>
              </w:rPr>
              <w:t xml:space="preserve"> </w:t>
            </w:r>
            <w:r>
              <w:rPr>
                <w:rStyle w:val="VerbatimChar"/>
                <w:sz w:val="18"/>
              </w:rPr>
              <w:t xml:space="preserve">SettlementBreached</w:t>
            </w:r>
            <w:r>
              <w:rPr>
                <w:sz w:val="18"/>
              </w:rPr>
              <w:t xml:space="preserve">,</w:t>
            </w:r>
            <w:r>
              <w:rPr>
                <w:sz w:val="18"/>
              </w:rPr>
              <w:t xml:space="preserve"> </w:t>
            </w:r>
            <w:r>
              <w:rPr>
                <w:rStyle w:val="VerbatimChar"/>
                <w:sz w:val="18"/>
              </w:rPr>
              <w:t xml:space="preserve">AssetRepossessed</w:t>
            </w:r>
            <w:r>
              <w:rPr>
                <w:sz w:val="18"/>
              </w:rPr>
              <w:t xml:space="preserve">,</w:t>
            </w:r>
            <w:r>
              <w:rPr>
                <w:sz w:val="18"/>
              </w:rPr>
              <w:t xml:space="preserve"> </w:t>
            </w:r>
            <w:r>
              <w:rPr>
                <w:rStyle w:val="VerbatimChar"/>
                <w:sz w:val="18"/>
              </w:rPr>
              <w:t xml:space="preserve">AuctionScheduled</w:t>
            </w:r>
            <w:r>
              <w:rPr>
                <w:sz w:val="18"/>
              </w:rPr>
              <w:t xml:space="preserve">,</w:t>
            </w:r>
            <w:r>
              <w:rPr>
                <w:sz w:val="18"/>
              </w:rPr>
              <w:t xml:space="preserve"> </w:t>
            </w:r>
            <w:r>
              <w:rPr>
                <w:rStyle w:val="VerbatimChar"/>
                <w:sz w:val="18"/>
              </w:rPr>
              <w:t xml:space="preserve">AuctionConcluded</w:t>
            </w:r>
            <w:r>
              <w:rPr>
                <w:sz w:val="18"/>
              </w:rPr>
              <w:t xml:space="preserve">,</w:t>
            </w:r>
            <w:r>
              <w:rPr>
                <w:sz w:val="18"/>
              </w:rPr>
              <w:t xml:space="preserve"> </w:t>
            </w:r>
            <w:r>
              <w:rPr>
                <w:rStyle w:val="VerbatimChar"/>
                <w:sz w:val="18"/>
              </w:rPr>
              <w:t xml:space="preserve">RecoveryReceiptPosted</w:t>
            </w:r>
            <w:r>
              <w:rPr>
                <w:sz w:val="18"/>
              </w:rPr>
              <w:t xml:space="preserve">,</w:t>
            </w:r>
            <w:r>
              <w:rPr>
                <w:sz w:val="18"/>
              </w:rPr>
              <w:t xml:space="preserve"> </w:t>
            </w:r>
            <w:r>
              <w:rPr>
                <w:rStyle w:val="VerbatimChar"/>
                <w:sz w:val="18"/>
              </w:rPr>
              <w:t xml:space="preserve">RecoveryCaseClosed</w:t>
            </w:r>
          </w:p>
        </w:tc>
        <w:tc>
          <w:tcPr>
            <w:tcW w:w="4661" w:type="dxa"/>
          </w:tcPr>
          <w:p>
            <w:pPr>
              <w:pStyle w:val="Compact"/>
              <w:spacing w:after="40"/>
              <w:jc w:val="left"/>
            </w:pPr>
            <w:r>
              <w:rPr>
                <w:sz w:val="18"/>
              </w:rPr>
              <w:t xml:space="preserve">Consumes (Part 7A UR1, UR3); produces</w:t>
            </w:r>
            <w:r>
              <w:rPr>
                <w:sz w:val="18"/>
              </w:rPr>
              <w:t xml:space="preserve"> </w:t>
            </w:r>
            <w:r>
              <w:rPr>
                <w:rStyle w:val="VerbatimChar"/>
                <w:sz w:val="18"/>
              </w:rPr>
              <w:t xml:space="preserve">NoticeServiceUpdated</w:t>
            </w:r>
            <w:r>
              <w:rPr>
                <w:sz w:val="18"/>
              </w:rPr>
              <w:t xml:space="preserve"> </w:t>
            </w:r>
            <w:r>
              <w:rPr>
                <w:sz w:val="18"/>
              </w:rPr>
              <w:t xml:space="preserve">only for delivery on Udofin’s own channel and</w:t>
            </w:r>
            <w:r>
              <w:rPr>
                <w:sz w:val="18"/>
              </w:rPr>
              <w:t xml:space="preserve"> </w:t>
            </w:r>
            <w:r>
              <w:rPr>
                <w:rStyle w:val="VerbatimChar"/>
                <w:sz w:val="18"/>
              </w:rPr>
              <w:t xml:space="preserve">SettlementOfferAccepted</w:t>
            </w:r>
            <w:r>
              <w:rPr>
                <w:sz w:val="18"/>
              </w:rPr>
              <w:t xml:space="preserve"> </w:t>
            </w:r>
            <w:r>
              <w:rPr>
                <w:sz w:val="18"/>
              </w:rPr>
              <w:t xml:space="preserve">(acceptance evidence); also consumes</w:t>
            </w:r>
            <w:r>
              <w:rPr>
                <w:sz w:val="18"/>
              </w:rPr>
              <w:t xml:space="preserve"> </w:t>
            </w:r>
            <w:r>
              <w:rPr>
                <w:rStyle w:val="VerbatimChar"/>
                <w:sz w:val="18"/>
              </w:rPr>
              <w:t xml:space="preserve">SurplusRefunded</w:t>
            </w:r>
            <w:r>
              <w:rPr>
                <w:sz w:val="18"/>
              </w:rPr>
              <w:t xml:space="preserve"> </w:t>
            </w:r>
            <w:r>
              <w:rPr>
                <w:sz w:val="18"/>
              </w:rPr>
              <w:t xml:space="preserve">(Integration Spec 6.8)</w:t>
            </w:r>
          </w:p>
        </w:tc>
      </w:tr>
      <w:tr>
        <w:tc>
          <w:tcPr>
            <w:tcW w:w="1338" w:type="dxa"/>
          </w:tcPr>
          <w:p>
            <w:pPr>
              <w:pStyle w:val="Compact"/>
              <w:spacing w:after="40"/>
              <w:jc w:val="left"/>
            </w:pPr>
            <w:r>
              <w:rPr>
                <w:sz w:val="18"/>
              </w:rPr>
              <w:t xml:space="preserve">ADR (Equator or another provider)</w:t>
            </w:r>
          </w:p>
        </w:tc>
        <w:tc>
          <w:tcPr>
            <w:tcW w:w="3639" w:type="dxa"/>
          </w:tcPr>
          <w:p>
            <w:pPr>
              <w:pStyle w:val="Compact"/>
              <w:spacing w:after="40"/>
              <w:jc w:val="left"/>
            </w:pPr>
            <w:r>
              <w:rPr>
                <w:rStyle w:val="VerbatimChar"/>
                <w:sz w:val="18"/>
              </w:rPr>
              <w:t xml:space="preserve">ADRReferralCreated</w:t>
            </w:r>
            <w:r>
              <w:rPr>
                <w:sz w:val="18"/>
              </w:rPr>
              <w:t xml:space="preserve">,</w:t>
            </w:r>
            <w:r>
              <w:rPr>
                <w:sz w:val="18"/>
              </w:rPr>
              <w:t xml:space="preserve"> </w:t>
            </w:r>
            <w:r>
              <w:rPr>
                <w:rStyle w:val="VerbatimChar"/>
                <w:sz w:val="18"/>
              </w:rPr>
              <w:t xml:space="preserve">ADRConsentRecorded</w:t>
            </w:r>
            <w:r>
              <w:rPr>
                <w:sz w:val="18"/>
              </w:rPr>
              <w:t xml:space="preserve">,</w:t>
            </w:r>
            <w:r>
              <w:rPr>
                <w:sz w:val="18"/>
              </w:rPr>
              <w:t xml:space="preserve"> </w:t>
            </w:r>
            <w:r>
              <w:rPr>
                <w:rStyle w:val="VerbatimChar"/>
                <w:sz w:val="18"/>
              </w:rPr>
              <w:t xml:space="preserve">ADRNeutralAppointed</w:t>
            </w:r>
            <w:r>
              <w:rPr>
                <w:sz w:val="18"/>
              </w:rPr>
              <w:t xml:space="preserve">,</w:t>
            </w:r>
            <w:r>
              <w:rPr>
                <w:sz w:val="18"/>
              </w:rPr>
              <w:t xml:space="preserve"> </w:t>
            </w:r>
            <w:r>
              <w:rPr>
                <w:rStyle w:val="VerbatimChar"/>
                <w:sz w:val="18"/>
              </w:rPr>
              <w:t xml:space="preserve">ADRHearingScheduled</w:t>
            </w:r>
            <w:r>
              <w:rPr>
                <w:sz w:val="18"/>
              </w:rPr>
              <w:t xml:space="preserve">,</w:t>
            </w:r>
            <w:r>
              <w:rPr>
                <w:sz w:val="18"/>
              </w:rPr>
              <w:t xml:space="preserve"> </w:t>
            </w:r>
            <w:r>
              <w:rPr>
                <w:rStyle w:val="VerbatimChar"/>
                <w:sz w:val="18"/>
              </w:rPr>
              <w:t xml:space="preserve">ADRCaseStatusChanged</w:t>
            </w:r>
            <w:r>
              <w:rPr>
                <w:sz w:val="18"/>
              </w:rPr>
              <w:t xml:space="preserve">,</w:t>
            </w:r>
            <w:r>
              <w:rPr>
                <w:sz w:val="18"/>
              </w:rPr>
              <w:t xml:space="preserve"> </w:t>
            </w:r>
            <w:r>
              <w:rPr>
                <w:rStyle w:val="VerbatimChar"/>
                <w:sz w:val="18"/>
              </w:rPr>
              <w:t xml:space="preserve">ADROutcomeRecorded</w:t>
            </w:r>
            <w:r>
              <w:rPr>
                <w:sz w:val="18"/>
              </w:rPr>
              <w:t xml:space="preserve">,</w:t>
            </w:r>
            <w:r>
              <w:rPr>
                <w:sz w:val="18"/>
              </w:rPr>
              <w:t xml:space="preserve"> </w:t>
            </w:r>
            <w:r>
              <w:rPr>
                <w:rStyle w:val="VerbatimChar"/>
                <w:sz w:val="18"/>
              </w:rPr>
              <w:t xml:space="preserve">ADROutcomeComplianceUpdated</w:t>
            </w:r>
          </w:p>
        </w:tc>
        <w:tc>
          <w:tcPr>
            <w:tcW w:w="4661" w:type="dxa"/>
          </w:tcPr>
          <w:p>
            <w:pPr>
              <w:pStyle w:val="Compact"/>
              <w:spacing w:after="40"/>
              <w:jc w:val="left"/>
            </w:pPr>
            <w:r>
              <w:rPr>
                <w:sz w:val="18"/>
              </w:rPr>
              <w:t xml:space="preserve">Consumes only; never holds the referral scope (Part 7A UR2)</w:t>
            </w:r>
          </w:p>
        </w:tc>
      </w:tr>
      <w:tr>
        <w:tc>
          <w:tcPr>
            <w:tcW w:w="1338" w:type="dxa"/>
          </w:tcPr>
          <w:p>
            <w:pPr>
              <w:pStyle w:val="Compact"/>
              <w:spacing w:after="40"/>
              <w:jc w:val="left"/>
            </w:pPr>
            <w:r>
              <w:rPr>
                <w:sz w:val="18"/>
              </w:rPr>
              <w:t xml:space="preserve">Litigation</w:t>
            </w:r>
          </w:p>
        </w:tc>
        <w:tc>
          <w:tcPr>
            <w:tcW w:w="3639" w:type="dxa"/>
          </w:tcPr>
          <w:p>
            <w:pPr>
              <w:pStyle w:val="Compact"/>
              <w:spacing w:after="40"/>
              <w:jc w:val="left"/>
            </w:pPr>
            <w:r>
              <w:rPr>
                <w:rStyle w:val="VerbatimChar"/>
                <w:sz w:val="18"/>
              </w:rPr>
              <w:t xml:space="preserve">LitigationCaseOpened</w:t>
            </w:r>
            <w:r>
              <w:rPr>
                <w:sz w:val="18"/>
              </w:rPr>
              <w:t xml:space="preserve">,</w:t>
            </w:r>
            <w:r>
              <w:rPr>
                <w:sz w:val="18"/>
              </w:rPr>
              <w:t xml:space="preserve"> </w:t>
            </w:r>
            <w:r>
              <w:rPr>
                <w:rStyle w:val="VerbatimChar"/>
                <w:sz w:val="18"/>
              </w:rPr>
              <w:t xml:space="preserve">LitigationCaseUpdated</w:t>
            </w:r>
            <w:r>
              <w:rPr>
                <w:sz w:val="18"/>
              </w:rPr>
              <w:t xml:space="preserve">,</w:t>
            </w:r>
            <w:r>
              <w:rPr>
                <w:sz w:val="18"/>
              </w:rPr>
              <w:t xml:space="preserve"> </w:t>
            </w:r>
            <w:r>
              <w:rPr>
                <w:rStyle w:val="VerbatimChar"/>
                <w:sz w:val="18"/>
              </w:rPr>
              <w:t xml:space="preserve">HearingScheduled</w:t>
            </w:r>
            <w:r>
              <w:rPr>
                <w:sz w:val="18"/>
              </w:rPr>
              <w:t xml:space="preserve">,</w:t>
            </w:r>
            <w:r>
              <w:rPr>
                <w:sz w:val="18"/>
              </w:rPr>
              <w:t xml:space="preserve"> </w:t>
            </w:r>
            <w:r>
              <w:rPr>
                <w:rStyle w:val="VerbatimChar"/>
                <w:sz w:val="18"/>
              </w:rPr>
              <w:t xml:space="preserve">OrderRecorded</w:t>
            </w:r>
            <w:r>
              <w:rPr>
                <w:sz w:val="18"/>
              </w:rPr>
              <w:t xml:space="preserve">,</w:t>
            </w:r>
            <w:r>
              <w:rPr>
                <w:sz w:val="18"/>
              </w:rPr>
              <w:t xml:space="preserve"> </w:t>
            </w:r>
            <w:r>
              <w:rPr>
                <w:rStyle w:val="VerbatimChar"/>
                <w:sz w:val="18"/>
              </w:rPr>
              <w:t xml:space="preserve">LitigationCaseClosed</w:t>
            </w:r>
          </w:p>
        </w:tc>
        <w:tc>
          <w:tcPr>
            <w:tcW w:w="4661" w:type="dxa"/>
          </w:tcPr>
          <w:p>
            <w:pPr>
              <w:pStyle w:val="Compact"/>
              <w:spacing w:after="40"/>
              <w:jc w:val="left"/>
            </w:pPr>
            <w:r>
              <w:rPr>
                <w:sz w:val="18"/>
              </w:rPr>
              <w:t xml:space="preserve">Consumes only, as RE-permitted projections (Part 7A UR3);</w:t>
            </w:r>
            <w:r>
              <w:rPr>
                <w:sz w:val="18"/>
              </w:rPr>
              <w:t xml:space="preserve"> </w:t>
            </w:r>
            <w:r>
              <w:rPr>
                <w:rStyle w:val="VerbatimChar"/>
                <w:sz w:val="18"/>
              </w:rPr>
              <w:t xml:space="preserve">OrderRecorded</w:t>
            </w:r>
            <w:r>
              <w:rPr>
                <w:sz w:val="18"/>
              </w:rPr>
              <w:t xml:space="preserve"> </w:t>
            </w:r>
            <w:r>
              <w:rPr>
                <w:sz w:val="18"/>
              </w:rPr>
              <w:t xml:space="preserve">is routed only to LawDocsComply (Integration Spec 6.10), so Udofin shows orders only through</w:t>
            </w:r>
            <w:r>
              <w:rPr>
                <w:sz w:val="18"/>
              </w:rPr>
              <w:t xml:space="preserve"> </w:t>
            </w:r>
            <w:r>
              <w:rPr>
                <w:rStyle w:val="VerbatimChar"/>
                <w:sz w:val="18"/>
              </w:rPr>
              <w:t xml:space="preserve">LitigationCaseUpdated</w:t>
            </w:r>
          </w:p>
        </w:tc>
      </w:tr>
      <w:tr>
        <w:tc>
          <w:tcPr>
            <w:tcW w:w="1338" w:type="dxa"/>
          </w:tcPr>
          <w:p>
            <w:pPr>
              <w:pStyle w:val="Compact"/>
              <w:spacing w:after="40"/>
              <w:jc w:val="left"/>
            </w:pPr>
            <w:r>
              <w:rPr>
                <w:sz w:val="18"/>
              </w:rPr>
              <w:t xml:space="preserve">Compliance and GRC</w:t>
            </w:r>
          </w:p>
        </w:tc>
        <w:tc>
          <w:tcPr>
            <w:tcW w:w="3639" w:type="dxa"/>
          </w:tcPr>
          <w:p>
            <w:pPr>
              <w:pStyle w:val="Compact"/>
              <w:spacing w:after="40"/>
              <w:jc w:val="left"/>
            </w:pPr>
            <w:r>
              <w:rPr>
                <w:rStyle w:val="VerbatimChar"/>
                <w:sz w:val="18"/>
              </w:rPr>
              <w:t xml:space="preserve">ObligationPublished</w:t>
            </w:r>
            <w:r>
              <w:rPr>
                <w:sz w:val="18"/>
              </w:rPr>
              <w:t xml:space="preserve">,</w:t>
            </w:r>
            <w:r>
              <w:rPr>
                <w:sz w:val="18"/>
              </w:rPr>
              <w:t xml:space="preserve"> </w:t>
            </w:r>
            <w:r>
              <w:rPr>
                <w:rStyle w:val="VerbatimChar"/>
                <w:sz w:val="18"/>
              </w:rPr>
              <w:t xml:space="preserve">ControlTestResultPublished</w:t>
            </w:r>
            <w:r>
              <w:rPr>
                <w:sz w:val="18"/>
              </w:rPr>
              <w:t xml:space="preserve">,</w:t>
            </w:r>
            <w:r>
              <w:rPr>
                <w:sz w:val="18"/>
              </w:rPr>
              <w:t xml:space="preserve"> </w:t>
            </w:r>
            <w:r>
              <w:rPr>
                <w:rStyle w:val="VerbatimChar"/>
                <w:sz w:val="18"/>
              </w:rPr>
              <w:t xml:space="preserve">EvidenceSubmitted</w:t>
            </w:r>
            <w:r>
              <w:rPr>
                <w:sz w:val="18"/>
              </w:rPr>
              <w:t xml:space="preserve">,</w:t>
            </w:r>
            <w:r>
              <w:rPr>
                <w:sz w:val="18"/>
              </w:rPr>
              <w:t xml:space="preserve"> </w:t>
            </w:r>
            <w:r>
              <w:rPr>
                <w:rStyle w:val="VerbatimChar"/>
                <w:sz w:val="18"/>
              </w:rPr>
              <w:t xml:space="preserve">ComplianceIssueRaised</w:t>
            </w:r>
            <w:r>
              <w:rPr>
                <w:sz w:val="18"/>
              </w:rPr>
              <w:t xml:space="preserve">,</w:t>
            </w:r>
            <w:r>
              <w:rPr>
                <w:sz w:val="18"/>
              </w:rPr>
              <w:t xml:space="preserve"> </w:t>
            </w:r>
            <w:r>
              <w:rPr>
                <w:rStyle w:val="VerbatimChar"/>
                <w:sz w:val="18"/>
              </w:rPr>
              <w:t xml:space="preserve">ReturnStatusUpdated</w:t>
            </w:r>
            <w:r>
              <w:rPr>
                <w:sz w:val="18"/>
              </w:rPr>
              <w:t xml:space="preserve">,</w:t>
            </w:r>
            <w:r>
              <w:rPr>
                <w:sz w:val="18"/>
              </w:rPr>
              <w:t xml:space="preserve"> </w:t>
            </w:r>
            <w:r>
              <w:rPr>
                <w:rStyle w:val="VerbatimChar"/>
                <w:sz w:val="18"/>
              </w:rPr>
              <w:t xml:space="preserve">PolicyAttested</w:t>
            </w:r>
          </w:p>
        </w:tc>
        <w:tc>
          <w:tcPr>
            <w:tcW w:w="4661" w:type="dxa"/>
          </w:tcPr>
          <w:p>
            <w:pPr>
              <w:pStyle w:val="Compact"/>
              <w:spacing w:after="40"/>
              <w:jc w:val="left"/>
            </w:pPr>
            <w:r>
              <w:rPr>
                <w:sz w:val="18"/>
              </w:rPr>
              <w:t xml:space="preserve">Produces control results, evidence, issues and attestations for LawDocsComply or a third-party GRC tool (U18); consumes obligations</w:t>
            </w:r>
          </w:p>
        </w:tc>
      </w:tr>
      <w:tr>
        <w:tc>
          <w:tcPr>
            <w:tcW w:w="1338" w:type="dxa"/>
          </w:tcPr>
          <w:p>
            <w:pPr>
              <w:pStyle w:val="Compact"/>
              <w:spacing w:after="40"/>
              <w:jc w:val="left"/>
            </w:pPr>
            <w:r>
              <w:rPr>
                <w:sz w:val="18"/>
              </w:rPr>
              <w:t xml:space="preserve">Platform</w:t>
            </w:r>
          </w:p>
        </w:tc>
        <w:tc>
          <w:tcPr>
            <w:tcW w:w="3639" w:type="dxa"/>
          </w:tcPr>
          <w:p>
            <w:pPr>
              <w:pStyle w:val="Compact"/>
              <w:spacing w:after="40"/>
              <w:jc w:val="left"/>
            </w:pPr>
            <w:r>
              <w:rPr>
                <w:rStyle w:val="VerbatimChar"/>
                <w:sz w:val="18"/>
              </w:rPr>
              <w:t xml:space="preserve">ModuleAttached</w:t>
            </w:r>
            <w:r>
              <w:rPr>
                <w:sz w:val="18"/>
              </w:rPr>
              <w:t xml:space="preserve">,</w:t>
            </w:r>
            <w:r>
              <w:rPr>
                <w:sz w:val="18"/>
              </w:rPr>
              <w:t xml:space="preserve"> </w:t>
            </w:r>
            <w:r>
              <w:rPr>
                <w:rStyle w:val="VerbatimChar"/>
                <w:sz w:val="18"/>
              </w:rPr>
              <w:t xml:space="preserve">ModuleDetached</w:t>
            </w:r>
            <w:r>
              <w:rPr>
                <w:sz w:val="18"/>
              </w:rPr>
              <w:t xml:space="preserve">,</w:t>
            </w:r>
            <w:r>
              <w:rPr>
                <w:sz w:val="18"/>
              </w:rPr>
              <w:t xml:space="preserve"> </w:t>
            </w:r>
            <w:r>
              <w:rPr>
                <w:rStyle w:val="VerbatimChar"/>
                <w:sz w:val="18"/>
              </w:rPr>
              <w:t xml:space="preserve">ConnectorCertified</w:t>
            </w:r>
          </w:p>
        </w:tc>
        <w:tc>
          <w:tcPr>
            <w:tcW w:w="4661" w:type="dxa"/>
          </w:tcPr>
          <w:p>
            <w:pPr>
              <w:pStyle w:val="Compact"/>
              <w:spacing w:after="40"/>
              <w:jc w:val="left"/>
            </w:pPr>
            <w:r>
              <w:rPr>
                <w:sz w:val="18"/>
              </w:rPr>
              <w:t xml:space="preserve">Produces and consumes (Part 7A.0; U21)</w:t>
            </w:r>
          </w:p>
        </w:tc>
      </w:tr>
    </w:tbl>
    <w:bookmarkEnd w:id="40"/>
    <w:bookmarkStart w:id="41" w:name="lender-connector-framework"/>
    <w:p>
      <w:pPr>
        <w:pStyle w:val="Heading2"/>
      </w:pPr>
      <w:r>
        <w:t xml:space="preserve">5.3 Lender connector framework</w:t>
      </w:r>
    </w:p>
    <w:p>
      <w:pPr>
        <w:numPr>
          <w:ilvl w:val="0"/>
          <w:numId w:val="1020"/>
        </w:numPr>
        <w:pStyle w:val="Compact"/>
      </w:pPr>
      <w:r>
        <w:rPr>
          <w:bCs/>
          <w:b/>
        </w:rPr>
        <w:t xml:space="preserve">Connector SPI.</w:t>
      </w:r>
      <w:r>
        <w:t xml:space="preserve"> </w:t>
      </w:r>
      <w:r>
        <w:t xml:space="preserve">One TypeScript interface per contract capability (catalogue, eligibility, application, decision, documents, execution evidence, mandate, servicing events, collections, grievance, DLG, reconciliation). Each RE connector declares which capabilities it supports and how (sync API, webhook, polling, file).</w:t>
      </w:r>
    </w:p>
    <w:p>
      <w:pPr>
        <w:numPr>
          <w:ilvl w:val="0"/>
          <w:numId w:val="1020"/>
        </w:numPr>
        <w:pStyle w:val="Compact"/>
      </w:pPr>
      <w:r>
        <w:rPr>
          <w:bCs/>
          <w:b/>
        </w:rPr>
        <w:t xml:space="preserve">Adapters:</w:t>
      </w:r>
    </w:p>
    <w:p>
      <w:pPr>
        <w:numPr>
          <w:ilvl w:val="1"/>
          <w:numId w:val="1021"/>
        </w:numPr>
        <w:pStyle w:val="Compact"/>
      </w:pPr>
      <w:r>
        <w:rPr>
          <w:bCs/>
          <w:b/>
        </w:rPr>
        <w:t xml:space="preserve">Finbyx certified connector</w:t>
      </w:r>
      <w:r>
        <w:t xml:space="preserve"> </w:t>
      </w:r>
      <w:r>
        <w:t xml:space="preserve">— native contract, no mapping layer; first to be certified.</w:t>
      </w:r>
    </w:p>
    <w:p>
      <w:pPr>
        <w:numPr>
          <w:ilvl w:val="1"/>
          <w:numId w:val="1021"/>
        </w:numPr>
        <w:pStyle w:val="Compact"/>
      </w:pPr>
      <w:r>
        <w:rPr>
          <w:bCs/>
          <w:b/>
        </w:rPr>
        <w:t xml:space="preserve">Generic REST/webhook connector</w:t>
      </w:r>
      <w:r>
        <w:t xml:space="preserve"> </w:t>
      </w:r>
      <w:r>
        <w:t xml:space="preserve">— per-RE field and code mapping (status codes, reason codes, product codes, document types) held as versioned configuration, with a mapping test harness.</w:t>
      </w:r>
    </w:p>
    <w:p>
      <w:pPr>
        <w:numPr>
          <w:ilvl w:val="1"/>
          <w:numId w:val="1021"/>
        </w:numPr>
        <w:pStyle w:val="Compact"/>
      </w:pPr>
      <w:r>
        <w:rPr>
          <w:bCs/>
          <w:b/>
        </w:rPr>
        <w:t xml:space="preserve">File-based fallback</w:t>
      </w:r>
      <w:r>
        <w:t xml:space="preserve"> </w:t>
      </w:r>
      <w:r>
        <w:t xml:space="preserve">— SFTP or secure upload of CSV/JSON files on a schedule for REs without APIs, with schema validation, checksums and acknowledgement files.</w:t>
      </w:r>
    </w:p>
    <w:p>
      <w:pPr>
        <w:numPr>
          <w:ilvl w:val="0"/>
          <w:numId w:val="1020"/>
        </w:numPr>
        <w:pStyle w:val="Compact"/>
      </w:pPr>
      <w:r>
        <w:rPr>
          <w:bCs/>
          <w:b/>
        </w:rPr>
        <w:t xml:space="preserve">Per-RE configuration:</w:t>
      </w:r>
      <w:r>
        <w:t xml:space="preserve"> </w:t>
      </w:r>
      <w:r>
        <w:t xml:space="preserve">endpoints, mTLS certificates, signing keys (rotated, stored in the secrets vault, never in the database in clear), timeouts, retry policy, rate limits, business hours, contacts for incidents.</w:t>
      </w:r>
    </w:p>
    <w:p>
      <w:pPr>
        <w:numPr>
          <w:ilvl w:val="0"/>
          <w:numId w:val="1020"/>
        </w:numPr>
        <w:pStyle w:val="Compact"/>
      </w:pPr>
      <w:r>
        <w:rPr>
          <w:bCs/>
          <w:b/>
        </w:rPr>
        <w:t xml:space="preserve">Certification test-suite</w:t>
      </w:r>
      <w:r>
        <w:t xml:space="preserve"> </w:t>
      </w:r>
      <w:r>
        <w:t xml:space="preserve">run before any RE goes live and after every connector change: contract conformance, signature and replay rejection, duplicate and out-of-order events, missing fields, slow and failed responses, reconciliation of a synthetic month, and a tenant-isolation test proving no cross-RE leakage. Store the certification report as evidence (U18).</w:t>
      </w:r>
    </w:p>
    <w:p>
      <w:pPr>
        <w:numPr>
          <w:ilvl w:val="0"/>
          <w:numId w:val="1020"/>
        </w:numPr>
        <w:pStyle w:val="Compact"/>
      </w:pPr>
      <w:r>
        <w:rPr>
          <w:bCs/>
          <w:b/>
        </w:rPr>
        <w:t xml:space="preserve">Sandbox per RE</w:t>
      </w:r>
      <w:r>
        <w:t xml:space="preserve"> </w:t>
      </w:r>
      <w:r>
        <w:t xml:space="preserve">with synthetic data, so that an RE can test without real borrowers.</w:t>
      </w:r>
    </w:p>
    <w:bookmarkEnd w:id="41"/>
    <w:bookmarkStart w:id="42" w:name="portal-only-res"/>
    <w:p>
      <w:pPr>
        <w:pStyle w:val="Heading2"/>
      </w:pPr>
      <w:r>
        <w:t xml:space="preserve">5.4 Portal-only REs</w:t>
      </w:r>
    </w:p>
    <w:p>
      <w:pPr>
        <w:pStyle w:val="FirstParagraph"/>
      </w:pPr>
      <w:r>
        <w:t xml:space="preserve">Some REs will use only the Udofin lender portal:</w:t>
      </w:r>
    </w:p>
    <w:p>
      <w:pPr>
        <w:numPr>
          <w:ilvl w:val="0"/>
          <w:numId w:val="1022"/>
        </w:numPr>
        <w:pStyle w:val="Compact"/>
      </w:pPr>
      <w:r>
        <w:t xml:space="preserve">The RE’s own staff review applications, documents, bureau and AA outputs, and take decisions in the portal. Decisions use maker-checker and record the user, authority, limit, rule version and reasons. Udofin staff cannot act in an RE’s decision queue.</w:t>
      </w:r>
    </w:p>
    <w:p>
      <w:pPr>
        <w:numPr>
          <w:ilvl w:val="0"/>
          <w:numId w:val="1022"/>
        </w:numPr>
        <w:pStyle w:val="Compact"/>
      </w:pPr>
      <w:r>
        <w:t xml:space="preserve">An RE may configure its eligibility and credit rules in the hosted rule engine (GoRules), approved by its own authorised users. The rule set is the RE’s; Udofin hosts it as an outsourced technology service and must not change it (OUT para 15).</w:t>
      </w:r>
    </w:p>
    <w:p>
      <w:pPr>
        <w:numPr>
          <w:ilvl w:val="0"/>
          <w:numId w:val="1022"/>
        </w:numPr>
        <w:pStyle w:val="Compact"/>
      </w:pPr>
      <w:r>
        <w:t xml:space="preserve">The RE still generates the KFS and sanction from its own approved templates in the portal, with its own document signer.</w:t>
      </w:r>
    </w:p>
    <w:p>
      <w:pPr>
        <w:numPr>
          <w:ilvl w:val="0"/>
          <w:numId w:val="1022"/>
        </w:numPr>
        <w:pStyle w:val="Compact"/>
      </w:pPr>
      <w:r>
        <w:t xml:space="preserve">The portal also generates the RE’s credit appraisal memo (CAM) from the RE’s CAM template and decision record, as the RE’s document stored in the RE-scoped vault (original prompt asked for CAM generation).</w:t>
      </w:r>
    </w:p>
    <w:p>
      <w:pPr>
        <w:numPr>
          <w:ilvl w:val="0"/>
          <w:numId w:val="1022"/>
        </w:numPr>
        <w:pStyle w:val="Compact"/>
      </w:pPr>
      <w:r>
        <w:t xml:space="preserve">The RE books the loan in its own LMS. Udofin is not an LMS. Servicing data returns to the loan mirror by API or file; without it, Udofin shows only the KFS schedule labelled</w:t>
      </w:r>
      <w:r>
        <w:t xml:space="preserve"> </w:t>
      </w:r>
      <w:r>
        <w:t xml:space="preserve">“</w:t>
      </w:r>
      <w:r>
        <w:t xml:space="preserve">as issued, not updated</w:t>
      </w:r>
      <w:r>
        <w:t xml:space="preserve">”</w:t>
      </w:r>
      <w:r>
        <w:t xml:space="preserve">, and the RE is told that its borrowers’ servicing view is incomplete.</w:t>
      </w:r>
    </w:p>
    <w:p>
      <w:pPr>
        <w:numPr>
          <w:ilvl w:val="0"/>
          <w:numId w:val="1022"/>
        </w:numPr>
        <w:pStyle w:val="Compact"/>
      </w:pPr>
      <w:r>
        <w:t xml:space="preserve">All portal-only obligations (DLA, grievance, CIC reporting, CIMS) remain the RE’s.</w:t>
      </w:r>
    </w:p>
    <w:bookmarkEnd w:id="42"/>
    <w:bookmarkStart w:id="43" w:name="failure-containment-and-reconciliation"/>
    <w:p>
      <w:pPr>
        <w:pStyle w:val="Heading2"/>
      </w:pPr>
      <w:r>
        <w:t xml:space="preserve">5.5 Failure containment and reconciliation</w:t>
      </w:r>
    </w:p>
    <w:p>
      <w:pPr>
        <w:numPr>
          <w:ilvl w:val="0"/>
          <w:numId w:val="1023"/>
        </w:numPr>
        <w:pStyle w:val="Compact"/>
      </w:pPr>
      <w:r>
        <w:rPr>
          <w:bCs/>
          <w:b/>
        </w:rPr>
        <w:t xml:space="preserve">Transactional outbox and inbox</w:t>
      </w:r>
      <w:r>
        <w:t xml:space="preserve"> </w:t>
      </w:r>
      <w:r>
        <w:t xml:space="preserve">with idempotency keys and per-aggregate sequence numbers; out-of-order events are parked until the gap is filled or timed out to an exception.</w:t>
      </w:r>
    </w:p>
    <w:p>
      <w:pPr>
        <w:numPr>
          <w:ilvl w:val="0"/>
          <w:numId w:val="1023"/>
        </w:numPr>
        <w:pStyle w:val="Compact"/>
      </w:pPr>
      <w:r>
        <w:rPr>
          <w:bCs/>
          <w:b/>
        </w:rPr>
        <w:t xml:space="preserve">Retries</w:t>
      </w:r>
      <w:r>
        <w:t xml:space="preserve"> </w:t>
      </w:r>
      <w:r>
        <w:t xml:space="preserve">with exponential back-off and jitter; dead-letter queues with replay from the ops portal under maker-checker; circuit breakers per RE so that one RE’s outage does not degrade others.</w:t>
      </w:r>
    </w:p>
    <w:p>
      <w:pPr>
        <w:numPr>
          <w:ilvl w:val="0"/>
          <w:numId w:val="1023"/>
        </w:numPr>
        <w:pStyle w:val="Compact"/>
      </w:pPr>
      <w:r>
        <w:rPr>
          <w:bCs/>
          <w:b/>
        </w:rPr>
        <w:t xml:space="preserve">Durable workflows</w:t>
      </w:r>
      <w:r>
        <w:t xml:space="preserve"> </w:t>
      </w:r>
      <w:r>
        <w:t xml:space="preserve">(Temporal) for long journeys: application to decision, execution, disbursal wait, mandate registration, cooling-off.</w:t>
      </w:r>
    </w:p>
    <w:p>
      <w:pPr>
        <w:numPr>
          <w:ilvl w:val="0"/>
          <w:numId w:val="1023"/>
        </w:numPr>
        <w:pStyle w:val="Compact"/>
      </w:pPr>
      <w:r>
        <w:rPr>
          <w:bCs/>
          <w:b/>
        </w:rPr>
        <w:t xml:space="preserve">Honest borrower states:</w:t>
      </w:r>
      <w:r>
        <w:t xml:space="preserve"> </w:t>
      </w:r>
      <w:r>
        <w:t xml:space="preserve">“</w:t>
      </w:r>
      <w:r>
        <w:t xml:space="preserve">submitted to [RE name]</w:t>
      </w:r>
      <w:r>
        <w:t xml:space="preserve">”</w:t>
      </w:r>
      <w:r>
        <w:t xml:space="preserve">,</w:t>
      </w:r>
      <w:r>
        <w:t xml:space="preserve"> </w:t>
      </w:r>
      <w:r>
        <w:t xml:space="preserve">“</w:t>
      </w:r>
      <w:r>
        <w:t xml:space="preserve">waiting for [RE name]</w:t>
      </w:r>
      <w:r>
        <w:t xml:space="preserve">”</w:t>
      </w:r>
      <w:r>
        <w:t xml:space="preserve">,</w:t>
      </w:r>
      <w:r>
        <w:t xml:space="preserve"> </w:t>
      </w:r>
      <w:r>
        <w:t xml:space="preserve">“</w:t>
      </w:r>
      <w:r>
        <w:t xml:space="preserve">lender system delayed — your application is saved</w:t>
      </w:r>
      <w:r>
        <w:t xml:space="preserve">”</w:t>
      </w:r>
      <w:r>
        <w:t xml:space="preserve">. Never</w:t>
      </w:r>
      <w:r>
        <w:t xml:space="preserve"> </w:t>
      </w:r>
      <w:r>
        <w:t xml:space="preserve">“</w:t>
      </w:r>
      <w:r>
        <w:t xml:space="preserve">approved</w:t>
      </w:r>
      <w:r>
        <w:t xml:space="preserve">”</w:t>
      </w:r>
      <w:r>
        <w:t xml:space="preserve"> </w:t>
      </w:r>
      <w:r>
        <w:t xml:space="preserve">or</w:t>
      </w:r>
      <w:r>
        <w:t xml:space="preserve"> </w:t>
      </w:r>
      <w:r>
        <w:t xml:space="preserve">“</w:t>
      </w:r>
      <w:r>
        <w:t xml:space="preserve">disbursed</w:t>
      </w:r>
      <w:r>
        <w:t xml:space="preserve">”</w:t>
      </w:r>
      <w:r>
        <w:t xml:space="preserve"> </w:t>
      </w:r>
      <w:r>
        <w:t xml:space="preserve">without the RE’s event.</w:t>
      </w:r>
    </w:p>
    <w:p>
      <w:pPr>
        <w:numPr>
          <w:ilvl w:val="0"/>
          <w:numId w:val="1023"/>
        </w:numPr>
        <w:pStyle w:val="Compact"/>
      </w:pPr>
      <w:r>
        <w:rPr>
          <w:bCs/>
          <w:b/>
        </w:rPr>
        <w:t xml:space="preserve">Daily reconciliation</w:t>
      </w:r>
      <w:r>
        <w:t xml:space="preserve"> </w:t>
      </w:r>
      <w:r>
        <w:t xml:space="preserve">of every RE: applications sent vs acknowledged, decisions, KFS issued vs accepted, disbursals vs mirror, payments vs mirror, fees invoiced vs confirmed, DLG positions; break reports with ageing and ownership.</w:t>
      </w:r>
    </w:p>
    <w:p>
      <w:pPr>
        <w:numPr>
          <w:ilvl w:val="0"/>
          <w:numId w:val="1023"/>
        </w:numPr>
        <w:pStyle w:val="Compact"/>
      </w:pPr>
      <w:r>
        <w:rPr>
          <w:bCs/>
          <w:b/>
        </w:rPr>
        <w:t xml:space="preserve">Incident handling:</w:t>
      </w:r>
      <w:r>
        <w:t xml:space="preserve"> </w:t>
      </w:r>
      <w:r>
        <w:t xml:space="preserve">connector failures above a threshold open an incident, notify the RE contact, and appear on the RE’s dashboard.</w:t>
      </w:r>
    </w:p>
    <w:p>
      <w:r>
        <w:pict>
          <v:rect style="width:0;height:1.5pt" o:hralign="center" o:hrstd="t" o:hr="t"/>
        </w:pict>
      </w:r>
    </w:p>
    <w:bookmarkEnd w:id="43"/>
    <w:bookmarkEnd w:id="44"/>
    <w:bookmarkStart w:id="67" w:name="Xc2fe6d031405b31db15931a0e40fce87a0e32d4"/>
    <w:p>
      <w:pPr>
        <w:pStyle w:val="Heading1"/>
      </w:pPr>
      <w:r>
        <w:t xml:space="preserve">PART 6 — LOAN PRODUCTS: COMMON FINANCING ENGINE + PRODUCT TEMPLATES</w:t>
      </w:r>
    </w:p>
    <w:bookmarkStart w:id="45" w:name="common-financing-engine"/>
    <w:p>
      <w:pPr>
        <w:pStyle w:val="Heading2"/>
      </w:pPr>
      <w:r>
        <w:t xml:space="preserve">6.1 Common financing engine</w:t>
      </w:r>
    </w:p>
    <w:p>
      <w:pPr>
        <w:pStyle w:val="FirstParagraph"/>
      </w:pPr>
      <w:r>
        <w:t xml:space="preserve">Build one common financing engine. Each product is a</w:t>
      </w:r>
      <w:r>
        <w:t xml:space="preserve"> </w:t>
      </w:r>
      <w:r>
        <w:rPr>
          <w:bCs/>
          <w:b/>
        </w:rPr>
        <w:t xml:space="preserve">product template</w:t>
      </w:r>
      <w:r>
        <w:t xml:space="preserve"> </w:t>
      </w:r>
      <w:r>
        <w:t xml:space="preserve">(journey, data requirements, consents, verification plan, document checklist, routing rules, disclosure set, execution steps, servicing views and analytics) that a partner RE switches on and configures within guard-rails. The engine provides a separate workflow for each use case covering (from the original prompt):</w:t>
      </w:r>
    </w:p>
    <w:p>
      <w:pPr>
        <w:numPr>
          <w:ilvl w:val="0"/>
          <w:numId w:val="1024"/>
        </w:numPr>
        <w:pStyle w:val="Compact"/>
      </w:pPr>
      <w:r>
        <w:t xml:space="preserve">purpose and beneficiary verification;</w:t>
      </w:r>
    </w:p>
    <w:p>
      <w:pPr>
        <w:numPr>
          <w:ilvl w:val="0"/>
          <w:numId w:val="1024"/>
        </w:numPr>
        <w:pStyle w:val="Compact"/>
      </w:pPr>
      <w:r>
        <w:t xml:space="preserve">document collection and consent;</w:t>
      </w:r>
    </w:p>
    <w:p>
      <w:pPr>
        <w:numPr>
          <w:ilvl w:val="0"/>
          <w:numId w:val="1024"/>
        </w:numPr>
        <w:pStyle w:val="Compact"/>
      </w:pPr>
      <w:r>
        <w:t xml:space="preserve">lender eligibility and affordability assessment (the RE’s decision; Udofin collects and pre-validates);</w:t>
      </w:r>
    </w:p>
    <w:p>
      <w:pPr>
        <w:numPr>
          <w:ilvl w:val="0"/>
          <w:numId w:val="1024"/>
        </w:numPr>
        <w:pStyle w:val="Compact"/>
      </w:pPr>
      <w:r>
        <w:t xml:space="preserve">loan-offer comparison and disclosures;</w:t>
      </w:r>
    </w:p>
    <w:p>
      <w:pPr>
        <w:numPr>
          <w:ilvl w:val="0"/>
          <w:numId w:val="1024"/>
        </w:numPr>
        <w:pStyle w:val="Compact"/>
      </w:pPr>
      <w:r>
        <w:t xml:space="preserve">permitted disbursement routing (CF para 10(1));</w:t>
      </w:r>
    </w:p>
    <w:p>
      <w:pPr>
        <w:numPr>
          <w:ilvl w:val="0"/>
          <w:numId w:val="1024"/>
        </w:numPr>
        <w:pStyle w:val="Compact"/>
      </w:pPr>
      <w:r>
        <w:t xml:space="preserve">repayment tracking and reminders;</w:t>
      </w:r>
    </w:p>
    <w:p>
      <w:pPr>
        <w:numPr>
          <w:ilvl w:val="0"/>
          <w:numId w:val="1024"/>
        </w:numPr>
        <w:pStyle w:val="Compact"/>
      </w:pPr>
      <w:r>
        <w:t xml:space="preserve">evidence of end use, closure or settlement completion;</w:t>
      </w:r>
    </w:p>
    <w:p>
      <w:pPr>
        <w:numPr>
          <w:ilvl w:val="0"/>
          <w:numId w:val="1024"/>
        </w:numPr>
        <w:pStyle w:val="Compact"/>
      </w:pPr>
      <w:r>
        <w:t xml:space="preserve">product-level delinquency and profitability analytics (Udofin’s funnel and unit economics; the RE’s portfolio analytics stay in its LMS);</w:t>
      </w:r>
    </w:p>
    <w:p>
      <w:pPr>
        <w:numPr>
          <w:ilvl w:val="0"/>
          <w:numId w:val="1024"/>
        </w:numPr>
        <w:pStyle w:val="Compact"/>
      </w:pPr>
      <w:r>
        <w:t xml:space="preserve">regulatory compliance (rule packs by product and RE type);</w:t>
      </w:r>
    </w:p>
    <w:p>
      <w:pPr>
        <w:numPr>
          <w:ilvl w:val="0"/>
          <w:numId w:val="1024"/>
        </w:numPr>
        <w:pStyle w:val="Compact"/>
      </w:pPr>
      <w:r>
        <w:t xml:space="preserve">audit capability;</w:t>
      </w:r>
    </w:p>
    <w:p>
      <w:pPr>
        <w:numPr>
          <w:ilvl w:val="0"/>
          <w:numId w:val="1024"/>
        </w:numPr>
        <w:pStyle w:val="Compact"/>
      </w:pPr>
      <w:r>
        <w:t xml:space="preserve">data protection and cyber-security controls.</w:t>
      </w:r>
    </w:p>
    <w:p>
      <w:pPr>
        <w:pStyle w:val="FirstParagraph"/>
      </w:pPr>
      <w:r>
        <w:rPr>
          <w:bCs/>
          <w:b/>
        </w:rPr>
        <w:t xml:space="preserve">Microfinance classifier (all products).</w:t>
      </w:r>
      <w:r>
        <w:t xml:space="preserve"> </w:t>
      </w:r>
      <w:r>
        <w:t xml:space="preserve">Every collateral-free loan to a household with annual income up to ₹3,00,000 (husband, wife and unmarried children) is a microfinance loan, whatever the product, end use or channel (CF para 51). Udofin must capture household composition and income for every collateral-free application, pass it to the RE, and apply the RE’s microfinance rule pack: repayment obligations of all household loans plus the proposed loan capped at 50% of monthly household income, and no new loan while above it (CF paras 55–57); household income reported to CICs by the RE (para 54); no prepayment charge (RBC para 81). Detail in Part 8A.1 and 8A.5.</w:t>
      </w:r>
    </w:p>
    <w:bookmarkEnd w:id="45"/>
    <w:bookmarkStart w:id="46" w:name="products-to-template"/>
    <w:p>
      <w:pPr>
        <w:pStyle w:val="Heading2"/>
      </w:pPr>
      <w:r>
        <w:t xml:space="preserve">6.2 Products to template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69"/>
        <w:gridCol w:w="1693"/>
        <w:gridCol w:w="1517"/>
        <w:gridCol w:w="4525"/>
        <w:gridCol w:w="1134"/>
      </w:tblGrid>
      <w:tr>
        <w:trPr>
          <w:tblHeader w:val="true"/>
          <w:tblHeader w:val="true"/>
        </w:trPr>
        <w:tc>
          <w:tcPr>
            <w:tcW w:w="769" w:type="dxa"/>
            <w:shd w:val="clear" w:color="auto" w:fill="1F3A5F"/>
          </w:tcPr>
          <w:p>
            <w:pPr>
              <w:pStyle w:val="Compact"/>
              <w:spacing w:after="40"/>
              <w:jc w:val="left"/>
            </w:pPr>
            <w:r>
              <w:rPr>
                <w:b/>
                <w:color w:val="FFFFFF"/>
                <w:sz w:val="18"/>
              </w:rPr>
              <w:t xml:space="preserve">#</w:t>
            </w:r>
          </w:p>
        </w:tc>
        <w:tc>
          <w:tcPr>
            <w:tcW w:w="1693" w:type="dxa"/>
            <w:shd w:val="clear" w:color="auto" w:fill="1F3A5F"/>
          </w:tcPr>
          <w:p>
            <w:pPr>
              <w:pStyle w:val="Compact"/>
              <w:spacing w:after="40"/>
              <w:jc w:val="left"/>
            </w:pPr>
            <w:r>
              <w:rPr>
                <w:b/>
                <w:color w:val="FFFFFF"/>
                <w:sz w:val="18"/>
              </w:rPr>
              <w:t xml:space="preserve">Product</w:t>
            </w:r>
          </w:p>
        </w:tc>
        <w:tc>
          <w:tcPr>
            <w:tcW w:w="1517" w:type="dxa"/>
            <w:shd w:val="clear" w:color="auto" w:fill="1F3A5F"/>
          </w:tcPr>
          <w:p>
            <w:pPr>
              <w:pStyle w:val="Compact"/>
              <w:spacing w:after="40"/>
              <w:jc w:val="left"/>
            </w:pPr>
            <w:r>
              <w:rPr>
                <w:b/>
                <w:color w:val="FFFFFF"/>
                <w:sz w:val="18"/>
              </w:rPr>
              <w:t xml:space="preserve">Security</w:t>
            </w:r>
          </w:p>
        </w:tc>
        <w:tc>
          <w:tcPr>
            <w:tcW w:w="4525" w:type="dxa"/>
            <w:shd w:val="clear" w:color="auto" w:fill="1F3A5F"/>
          </w:tcPr>
          <w:p>
            <w:pPr>
              <w:pStyle w:val="Compact"/>
              <w:spacing w:after="40"/>
              <w:jc w:val="left"/>
            </w:pPr>
            <w:r>
              <w:rPr>
                <w:b/>
                <w:color w:val="FFFFFF"/>
                <w:sz w:val="18"/>
              </w:rPr>
              <w:t xml:space="preserve">Key rules for Udofin (with cites)</w:t>
            </w:r>
          </w:p>
        </w:tc>
        <w:tc>
          <w:tcPr>
            <w:tcW w:w="1134" w:type="dxa"/>
            <w:shd w:val="clear" w:color="auto" w:fill="1F3A5F"/>
          </w:tcPr>
          <w:p>
            <w:pPr>
              <w:pStyle w:val="Compact"/>
              <w:spacing w:after="40"/>
              <w:jc w:val="left"/>
            </w:pPr>
            <w:r>
              <w:rPr>
                <w:b/>
                <w:color w:val="FFFFFF"/>
                <w:sz w:val="18"/>
              </w:rPr>
              <w:t xml:space="preserve">MVP/phase</w:t>
            </w:r>
          </w:p>
        </w:tc>
      </w:tr>
      <w:tr>
        <w:tc>
          <w:tcPr>
            <w:tcW w:w="769" w:type="dxa"/>
          </w:tcPr>
          <w:p>
            <w:pPr>
              <w:pStyle w:val="Compact"/>
              <w:spacing w:after="40"/>
              <w:jc w:val="left"/>
            </w:pPr>
            <w:r>
              <w:rPr>
                <w:sz w:val="18"/>
              </w:rPr>
              <w:t xml:space="preserve">1</w:t>
            </w:r>
          </w:p>
        </w:tc>
        <w:tc>
          <w:tcPr>
            <w:tcW w:w="1693" w:type="dxa"/>
          </w:tcPr>
          <w:p>
            <w:pPr>
              <w:pStyle w:val="Compact"/>
              <w:spacing w:after="40"/>
              <w:jc w:val="left"/>
            </w:pPr>
            <w:r>
              <w:rPr>
                <w:bCs/>
                <w:b/>
                <w:sz w:val="18"/>
              </w:rPr>
              <w:t xml:space="preserve">Personal Loan</w:t>
            </w:r>
            <w:r>
              <w:rPr>
                <w:sz w:val="18"/>
              </w:rPr>
              <w:t xml:space="preserve"> </w:t>
            </w:r>
            <w:r>
              <w:rPr>
                <w:sz w:val="18"/>
              </w:rPr>
              <w:t xml:space="preserve">(salaried and self-employed)</w:t>
            </w:r>
          </w:p>
        </w:tc>
        <w:tc>
          <w:tcPr>
            <w:tcW w:w="1517" w:type="dxa"/>
          </w:tcPr>
          <w:p>
            <w:pPr>
              <w:pStyle w:val="Compact"/>
              <w:spacing w:after="40"/>
              <w:jc w:val="left"/>
            </w:pPr>
            <w:r>
              <w:rPr>
                <w:sz w:val="18"/>
              </w:rPr>
              <w:t xml:space="preserve">Unsecured</w:t>
            </w:r>
          </w:p>
        </w:tc>
        <w:tc>
          <w:tcPr>
            <w:tcW w:w="4525" w:type="dxa"/>
          </w:tcPr>
          <w:p>
            <w:pPr>
              <w:pStyle w:val="Compact"/>
              <w:spacing w:after="40"/>
              <w:jc w:val="left"/>
            </w:pPr>
            <w:r>
              <w:rPr>
                <w:sz w:val="18"/>
              </w:rPr>
              <w:t xml:space="preserve">Age, occupation and income captured (CF para 8(1)); microfinance classifier (CF para 51); OTP-based e-KYC in non-face-to-face mode allows only term loans up to ₹60,000 in aggregate a year and needs a</w:t>
            </w:r>
            <w:r>
              <w:rPr>
                <w:sz w:val="18"/>
              </w:rPr>
              <w:t xml:space="preserve"> </w:t>
            </w:r>
            <w:r>
              <w:rPr>
                <w:sz w:val="18"/>
              </w:rPr>
              <w:t xml:space="preserve">“</w:t>
            </w:r>
            <w:r>
              <w:rPr>
                <w:sz w:val="18"/>
              </w:rPr>
              <w:t xml:space="preserve">no other OTP-e-KYC account</w:t>
            </w:r>
            <w:r>
              <w:rPr>
                <w:sz w:val="18"/>
              </w:rPr>
              <w:t xml:space="preserve">”</w:t>
            </w:r>
            <w:r>
              <w:rPr>
                <w:sz w:val="18"/>
              </w:rPr>
              <w:t xml:space="preserve"> </w:t>
            </w:r>
            <w:r>
              <w:rPr>
                <w:sz w:val="18"/>
              </w:rPr>
              <w:t xml:space="preserve">declaration (KYC para 25(5), 25(8)), so larger loans route to V-CIP or other KYC by the RE; AA and bank-statement income through the RE as FIU; KFS with APR and validity (RBC para 29); cooling-off (CF para 11)</w:t>
            </w:r>
          </w:p>
        </w:tc>
        <w:tc>
          <w:tcPr>
            <w:tcW w:w="1134" w:type="dxa"/>
          </w:tcPr>
          <w:p>
            <w:pPr>
              <w:pStyle w:val="Compact"/>
              <w:spacing w:after="40"/>
              <w:jc w:val="left"/>
            </w:pPr>
            <w:r>
              <w:rPr>
                <w:sz w:val="18"/>
              </w:rPr>
              <w:t xml:space="preserve">MVP</w:t>
            </w:r>
          </w:p>
        </w:tc>
      </w:tr>
      <w:tr>
        <w:tc>
          <w:tcPr>
            <w:tcW w:w="769" w:type="dxa"/>
          </w:tcPr>
          <w:p>
            <w:pPr>
              <w:pStyle w:val="Compact"/>
              <w:spacing w:after="40"/>
              <w:jc w:val="left"/>
            </w:pPr>
            <w:r>
              <w:rPr>
                <w:sz w:val="18"/>
              </w:rPr>
              <w:t xml:space="preserve">2</w:t>
            </w:r>
          </w:p>
        </w:tc>
        <w:tc>
          <w:tcPr>
            <w:tcW w:w="1693" w:type="dxa"/>
          </w:tcPr>
          <w:p>
            <w:pPr>
              <w:pStyle w:val="Compact"/>
              <w:spacing w:after="40"/>
              <w:jc w:val="left"/>
            </w:pPr>
            <w:r>
              <w:rPr>
                <w:bCs/>
                <w:b/>
                <w:sz w:val="18"/>
              </w:rPr>
              <w:t xml:space="preserve">Payday / short-tenure loan</w:t>
            </w:r>
          </w:p>
        </w:tc>
        <w:tc>
          <w:tcPr>
            <w:tcW w:w="1517" w:type="dxa"/>
          </w:tcPr>
          <w:p>
            <w:pPr>
              <w:pStyle w:val="Compact"/>
              <w:spacing w:after="40"/>
              <w:jc w:val="left"/>
            </w:pPr>
            <w:r>
              <w:rPr>
                <w:sz w:val="18"/>
              </w:rPr>
              <w:t xml:space="preserve">Unsecured</w:t>
            </w:r>
          </w:p>
        </w:tc>
        <w:tc>
          <w:tcPr>
            <w:tcW w:w="4525" w:type="dxa"/>
          </w:tcPr>
          <w:p>
            <w:pPr>
              <w:pStyle w:val="Compact"/>
              <w:spacing w:after="40"/>
              <w:jc w:val="left"/>
            </w:pPr>
            <w:r>
              <w:rPr>
                <w:sz w:val="18"/>
              </w:rPr>
              <w:t xml:space="preserve">Heightened conduct risk; KFS validity of one working day for tenor under 7 days (RBC para 29(2)); APR display for very short tenors; repeat-borrowing and affordability limits set by the RE; for ML/UL REs, CCO evaluation before launch and 6 months of intensive monitoring (CMP paras 15(2), 31), applied to every RE by default; microfinance classifier.</w:t>
            </w:r>
            <w:r>
              <w:rPr>
                <w:sz w:val="18"/>
              </w:rPr>
              <w:t xml:space="preserve"> </w:t>
            </w:r>
            <w:r>
              <w:rPr>
                <w:bCs/>
                <w:b/>
                <w:sz w:val="18"/>
              </w:rPr>
              <w:t xml:space="preserve">App-store gate:</w:t>
            </w:r>
            <w:r>
              <w:rPr>
                <w:sz w:val="18"/>
              </w:rPr>
              <w:t xml:space="preserve"> </w:t>
            </w:r>
            <w:r>
              <w:rPr>
                <w:sz w:val="18"/>
              </w:rPr>
              <w:t xml:space="preserve">Google Play’s Personal Loans policy does not allow apps that promote personal loans repayable in full in 60 days or less, and App Store Guideline 3.2.2(ix) bars the same and caps APR at 36% including fees; short tenors are offered only on the borrower web channel (subject to the RE’s and legal sign-off) and are filtered out of the store apps server-side and never mentioned or linked from them, never by disguising the tenor (Part 8.2; Appendix B)</w:t>
            </w:r>
          </w:p>
        </w:tc>
        <w:tc>
          <w:tcPr>
            <w:tcW w:w="1134" w:type="dxa"/>
          </w:tcPr>
          <w:p>
            <w:pPr>
              <w:pStyle w:val="Compact"/>
              <w:spacing w:after="40"/>
              <w:jc w:val="left"/>
            </w:pPr>
            <w:r>
              <w:rPr>
                <w:sz w:val="18"/>
              </w:rPr>
              <w:t xml:space="preserve">MVP, behind a launch gate</w:t>
            </w:r>
          </w:p>
        </w:tc>
      </w:tr>
      <w:tr>
        <w:tc>
          <w:tcPr>
            <w:tcW w:w="769" w:type="dxa"/>
          </w:tcPr>
          <w:p>
            <w:pPr>
              <w:pStyle w:val="Compact"/>
              <w:spacing w:after="40"/>
              <w:jc w:val="left"/>
            </w:pPr>
            <w:r>
              <w:rPr>
                <w:sz w:val="18"/>
              </w:rPr>
              <w:t xml:space="preserve">3</w:t>
            </w:r>
          </w:p>
        </w:tc>
        <w:tc>
          <w:tcPr>
            <w:tcW w:w="1693" w:type="dxa"/>
          </w:tcPr>
          <w:p>
            <w:pPr>
              <w:pStyle w:val="Compact"/>
              <w:spacing w:after="40"/>
              <w:jc w:val="left"/>
            </w:pPr>
            <w:r>
              <w:rPr>
                <w:bCs/>
                <w:b/>
                <w:sz w:val="18"/>
              </w:rPr>
              <w:t xml:space="preserve">Loan against securities</w:t>
            </w:r>
            <w:r>
              <w:rPr>
                <w:sz w:val="18"/>
              </w:rPr>
              <w:t xml:space="preserve"> </w:t>
            </w:r>
            <w:r>
              <w:rPr>
                <w:sz w:val="18"/>
              </w:rPr>
              <w:t xml:space="preserve">(listed shares, bonds, MF units)</w:t>
            </w:r>
          </w:p>
        </w:tc>
        <w:tc>
          <w:tcPr>
            <w:tcW w:w="1517" w:type="dxa"/>
          </w:tcPr>
          <w:p>
            <w:pPr>
              <w:pStyle w:val="Compact"/>
              <w:spacing w:after="40"/>
              <w:jc w:val="left"/>
            </w:pPr>
            <w:r>
              <w:rPr>
                <w:sz w:val="18"/>
              </w:rPr>
              <w:t xml:space="preserve">Pledge or lien</w:t>
            </w:r>
          </w:p>
        </w:tc>
        <w:tc>
          <w:tcPr>
            <w:tcW w:w="4525" w:type="dxa"/>
          </w:tcPr>
          <w:p>
            <w:pPr>
              <w:pStyle w:val="Compact"/>
              <w:spacing w:after="40"/>
              <w:jc w:val="left"/>
            </w:pPr>
            <w:r>
              <w:rPr>
                <w:sz w:val="18"/>
              </w:rPr>
              <w:t xml:space="preserve">Demat pledge initiated by the borrower through their DP or the depository’s online pledge (NSDL or CDSL) with OTP authorisation and accepted by the RE as pledgee through the RE’s own demat account; MF units by lien marked through the RTA (CAMS, KFintech) or MF Central in favour of the RE; invocation and release only by the RE [VERIFY API access route: RE, DP or RTA agreement]; holdings fetched only with consent; for listed-share collateral with NBFC REs of assets ≥ ₹100 crore, 50% LTV at all times with a 7-working-day cure (bond and MF-unit LTVs per the RE’s policy), Group 1 securities above ₹5 lakh for capital-market purposes (CF para 106); no lending against the RE’s own shares (para 105); IPO funding ≤ ₹1 crore per borrower (para 104); gold or silver-backed ETF and MF units blocked (para 35(2)); margin-call notices from the RE shown in the app</w:t>
            </w:r>
          </w:p>
        </w:tc>
        <w:tc>
          <w:tcPr>
            <w:tcW w:w="1134" w:type="dxa"/>
          </w:tcPr>
          <w:p>
            <w:pPr>
              <w:pStyle w:val="Compact"/>
              <w:spacing w:after="40"/>
              <w:jc w:val="left"/>
            </w:pPr>
            <w:r>
              <w:rPr>
                <w:sz w:val="18"/>
              </w:rPr>
              <w:t xml:space="preserve">Phase 18</w:t>
            </w:r>
          </w:p>
        </w:tc>
      </w:tr>
      <w:tr>
        <w:tc>
          <w:tcPr>
            <w:tcW w:w="769" w:type="dxa"/>
          </w:tcPr>
          <w:p>
            <w:pPr>
              <w:pStyle w:val="Compact"/>
              <w:spacing w:after="40"/>
              <w:jc w:val="left"/>
            </w:pPr>
            <w:r>
              <w:rPr>
                <w:sz w:val="18"/>
              </w:rPr>
              <w:t xml:space="preserve">4</w:t>
            </w:r>
          </w:p>
        </w:tc>
        <w:tc>
          <w:tcPr>
            <w:tcW w:w="1693" w:type="dxa"/>
          </w:tcPr>
          <w:p>
            <w:pPr>
              <w:pStyle w:val="Compact"/>
              <w:spacing w:after="40"/>
              <w:jc w:val="left"/>
            </w:pPr>
            <w:r>
              <w:rPr>
                <w:bCs/>
                <w:b/>
                <w:sz w:val="18"/>
              </w:rPr>
              <w:t xml:space="preserve">Home loan</w:t>
            </w:r>
          </w:p>
        </w:tc>
        <w:tc>
          <w:tcPr>
            <w:tcW w:w="1517" w:type="dxa"/>
          </w:tcPr>
          <w:p>
            <w:pPr>
              <w:pStyle w:val="Compact"/>
              <w:spacing w:after="40"/>
              <w:jc w:val="left"/>
            </w:pPr>
            <w:r>
              <w:rPr>
                <w:sz w:val="18"/>
              </w:rPr>
              <w:t xml:space="preserve">Mortgage</w:t>
            </w:r>
          </w:p>
        </w:tc>
        <w:tc>
          <w:tcPr>
            <w:tcW w:w="4525" w:type="dxa"/>
          </w:tcPr>
          <w:p>
            <w:pPr>
              <w:pStyle w:val="Compact"/>
              <w:spacing w:after="40"/>
              <w:jc w:val="left"/>
            </w:pPr>
            <w:r>
              <w:rPr>
                <w:sz w:val="18"/>
              </w:rPr>
              <w:t xml:space="preserve">Housing-finance definition (plot loan needs a declaration to construct within 3 years; CF para 4(1)(xiv)); HFC REs follow the HFC Directions [VERIFY: not supplied]; disbursal to seller or builder as end-beneficiary (CF para 10(1)); property documents, legal and technical checks by the RE’s vendors; mortgage deeds and sale agreements cannot be executed electronically (IT Act First Schedule), so the journey hands off to physical execution; document release within 30 days of closure (RBC para 35) shown in the app</w:t>
            </w:r>
          </w:p>
        </w:tc>
        <w:tc>
          <w:tcPr>
            <w:tcW w:w="1134" w:type="dxa"/>
          </w:tcPr>
          <w:p>
            <w:pPr>
              <w:pStyle w:val="Compact"/>
              <w:spacing w:after="40"/>
              <w:jc w:val="left"/>
            </w:pPr>
            <w:r>
              <w:rPr>
                <w:sz w:val="18"/>
              </w:rPr>
              <w:t xml:space="preserve">Phase 18</w:t>
            </w:r>
          </w:p>
        </w:tc>
      </w:tr>
      <w:tr>
        <w:tc>
          <w:tcPr>
            <w:tcW w:w="769" w:type="dxa"/>
          </w:tcPr>
          <w:p>
            <w:pPr>
              <w:pStyle w:val="Compact"/>
              <w:spacing w:after="40"/>
              <w:jc w:val="left"/>
            </w:pPr>
            <w:r>
              <w:rPr>
                <w:sz w:val="18"/>
              </w:rPr>
              <w:t xml:space="preserve">5</w:t>
            </w:r>
          </w:p>
        </w:tc>
        <w:tc>
          <w:tcPr>
            <w:tcW w:w="1693" w:type="dxa"/>
          </w:tcPr>
          <w:p>
            <w:pPr>
              <w:pStyle w:val="Compact"/>
              <w:spacing w:after="40"/>
              <w:jc w:val="left"/>
            </w:pPr>
            <w:r>
              <w:rPr>
                <w:bCs/>
                <w:b/>
                <w:sz w:val="18"/>
              </w:rPr>
              <w:t xml:space="preserve">Vehicle loan</w:t>
            </w:r>
            <w:r>
              <w:rPr>
                <w:sz w:val="18"/>
              </w:rPr>
              <w:t xml:space="preserve"> </w:t>
            </w:r>
            <w:r>
              <w:rPr>
                <w:sz w:val="18"/>
              </w:rPr>
              <w:t xml:space="preserve">(new and used cars, two-wheelers)</w:t>
            </w:r>
          </w:p>
        </w:tc>
        <w:tc>
          <w:tcPr>
            <w:tcW w:w="1517" w:type="dxa"/>
          </w:tcPr>
          <w:p>
            <w:pPr>
              <w:pStyle w:val="Compact"/>
              <w:spacing w:after="40"/>
              <w:jc w:val="left"/>
            </w:pPr>
            <w:r>
              <w:rPr>
                <w:sz w:val="18"/>
              </w:rPr>
              <w:t xml:space="preserve">Hypothecation</w:t>
            </w:r>
          </w:p>
        </w:tc>
        <w:tc>
          <w:tcPr>
            <w:tcW w:w="4525" w:type="dxa"/>
          </w:tcPr>
          <w:p>
            <w:pPr>
              <w:pStyle w:val="Compact"/>
              <w:spacing w:after="40"/>
              <w:jc w:val="left"/>
            </w:pPr>
            <w:r>
              <w:rPr>
                <w:sz w:val="18"/>
              </w:rPr>
              <w:t xml:space="preserve">Dealer as end-beneficiary (CF para 10(1)); Vahan RC check through an authorised channel; hypothecation endorsement on the RC at registration (Form 34) and removal with the RE’s NOC (Form 35) under MV Act s.51 tracked from the RE’s events, with the NOC delivered in the app [VERIFY Vahan e-service flow]; insurance status; top-ups against vehicles treated as unsecured by the RE (CON para 10)</w:t>
            </w:r>
          </w:p>
        </w:tc>
        <w:tc>
          <w:tcPr>
            <w:tcW w:w="1134" w:type="dxa"/>
          </w:tcPr>
          <w:p>
            <w:pPr>
              <w:pStyle w:val="Compact"/>
              <w:spacing w:after="40"/>
              <w:jc w:val="left"/>
            </w:pPr>
            <w:r>
              <w:rPr>
                <w:sz w:val="18"/>
              </w:rPr>
              <w:t xml:space="preserve">Phase 18</w:t>
            </w:r>
          </w:p>
        </w:tc>
      </w:tr>
      <w:tr>
        <w:tc>
          <w:tcPr>
            <w:tcW w:w="769" w:type="dxa"/>
          </w:tcPr>
          <w:p>
            <w:pPr>
              <w:pStyle w:val="Compact"/>
              <w:spacing w:after="40"/>
              <w:jc w:val="left"/>
            </w:pPr>
            <w:r>
              <w:rPr>
                <w:sz w:val="18"/>
              </w:rPr>
              <w:t xml:space="preserve">6</w:t>
            </w:r>
          </w:p>
        </w:tc>
        <w:tc>
          <w:tcPr>
            <w:tcW w:w="1693" w:type="dxa"/>
          </w:tcPr>
          <w:p>
            <w:pPr>
              <w:pStyle w:val="Compact"/>
              <w:spacing w:after="40"/>
              <w:jc w:val="left"/>
            </w:pPr>
            <w:r>
              <w:rPr>
                <w:bCs/>
                <w:b/>
                <w:sz w:val="18"/>
              </w:rPr>
              <w:t xml:space="preserve">Loan against property</w:t>
            </w:r>
          </w:p>
        </w:tc>
        <w:tc>
          <w:tcPr>
            <w:tcW w:w="1517" w:type="dxa"/>
          </w:tcPr>
          <w:p>
            <w:pPr>
              <w:pStyle w:val="Compact"/>
              <w:spacing w:after="40"/>
              <w:jc w:val="left"/>
            </w:pPr>
            <w:r>
              <w:rPr>
                <w:sz w:val="18"/>
              </w:rPr>
              <w:t xml:space="preserve">Mortgage</w:t>
            </w:r>
          </w:p>
        </w:tc>
        <w:tc>
          <w:tcPr>
            <w:tcW w:w="4525" w:type="dxa"/>
          </w:tcPr>
          <w:p>
            <w:pPr>
              <w:pStyle w:val="Compact"/>
              <w:spacing w:after="40"/>
              <w:jc w:val="left"/>
            </w:pPr>
            <w:r>
              <w:rPr>
                <w:sz w:val="18"/>
              </w:rPr>
              <w:t xml:space="preserve">Not housing finance (CF para 4(1)(xiv)); title, valuation and legal checks by the RE; physical mortgage execution; document release within 30 days and ₹5,000 per day where the delay is attributable to the RE (RBC paras 35, 39; Section F covers personal loans only, RBC para 6(11), so business-purpose LAP follows the RE’s policy) shown to the borrower</w:t>
            </w:r>
          </w:p>
        </w:tc>
        <w:tc>
          <w:tcPr>
            <w:tcW w:w="1134" w:type="dxa"/>
          </w:tcPr>
          <w:p>
            <w:pPr>
              <w:pStyle w:val="Compact"/>
              <w:spacing w:after="40"/>
              <w:jc w:val="left"/>
            </w:pPr>
            <w:r>
              <w:rPr>
                <w:sz w:val="18"/>
              </w:rPr>
              <w:t xml:space="preserve">Phase 18</w:t>
            </w:r>
          </w:p>
        </w:tc>
      </w:tr>
      <w:tr>
        <w:tc>
          <w:tcPr>
            <w:tcW w:w="769" w:type="dxa"/>
          </w:tcPr>
          <w:p>
            <w:pPr>
              <w:pStyle w:val="Compact"/>
              <w:spacing w:after="40"/>
              <w:jc w:val="left"/>
            </w:pPr>
            <w:r>
              <w:rPr>
                <w:sz w:val="18"/>
              </w:rPr>
              <w:t xml:space="preserve">7</w:t>
            </w:r>
          </w:p>
        </w:tc>
        <w:tc>
          <w:tcPr>
            <w:tcW w:w="1693" w:type="dxa"/>
          </w:tcPr>
          <w:p>
            <w:pPr>
              <w:pStyle w:val="Compact"/>
              <w:spacing w:after="40"/>
              <w:jc w:val="left"/>
            </w:pPr>
            <w:r>
              <w:rPr>
                <w:bCs/>
                <w:b/>
                <w:sz w:val="18"/>
              </w:rPr>
              <w:t xml:space="preserve">Resolution finance</w:t>
            </w:r>
            <w:r>
              <w:rPr>
                <w:sz w:val="18"/>
              </w:rPr>
              <w:t xml:space="preserve"> </w:t>
            </w:r>
            <w:r>
              <w:rPr>
                <w:sz w:val="18"/>
              </w:rPr>
              <w:t xml:space="preserve">(linked to Equator settlements)</w:t>
            </w:r>
          </w:p>
        </w:tc>
        <w:tc>
          <w:tcPr>
            <w:tcW w:w="1517" w:type="dxa"/>
          </w:tcPr>
          <w:p>
            <w:pPr>
              <w:pStyle w:val="Compact"/>
              <w:spacing w:after="40"/>
              <w:jc w:val="left"/>
            </w:pPr>
            <w:r>
              <w:rPr>
                <w:sz w:val="18"/>
              </w:rPr>
              <w:t xml:space="preserve">Either</w:t>
            </w:r>
          </w:p>
        </w:tc>
        <w:tc>
          <w:tcPr>
            <w:tcW w:w="4525" w:type="dxa"/>
          </w:tcPr>
          <w:p>
            <w:pPr>
              <w:pStyle w:val="Compact"/>
              <w:spacing w:after="40"/>
              <w:jc w:val="left"/>
            </w:pPr>
            <w:r>
              <w:rPr>
                <w:bCs/>
                <w:b/>
                <w:sz w:val="18"/>
              </w:rPr>
              <w:t xml:space="preserve">Feasibility-gated.</w:t>
            </w:r>
            <w:r>
              <w:rPr>
                <w:sz w:val="18"/>
              </w:rPr>
              <w:t xml:space="preserve"> </w:t>
            </w:r>
            <w:r>
              <w:rPr>
                <w:sz w:val="18"/>
              </w:rPr>
              <w:t xml:space="preserve">Funds a borrower’s settlement with an existing lender, paid directly to that lender (CF para 10(1) end use); settlement evidence from Equator; strict affordability test; where the new lender is the same RE, it is a compromise settlement or restructuring for that RE (RSA paras 89, 169), and settled borrowers face a cooling period of at least 12 months before fresh exposure from that RE (RSA para 95); measure how many borrowers qualify</w:t>
            </w:r>
          </w:p>
        </w:tc>
        <w:tc>
          <w:tcPr>
            <w:tcW w:w="1134" w:type="dxa"/>
          </w:tcPr>
          <w:p>
            <w:pPr>
              <w:pStyle w:val="Compact"/>
              <w:spacing w:after="40"/>
              <w:jc w:val="left"/>
            </w:pPr>
            <w:r>
              <w:rPr>
                <w:sz w:val="18"/>
              </w:rPr>
              <w:t xml:space="preserve">Phase 19</w:t>
            </w:r>
          </w:p>
        </w:tc>
      </w:tr>
      <w:tr>
        <w:tc>
          <w:tcPr>
            <w:tcW w:w="769" w:type="dxa"/>
          </w:tcPr>
          <w:p>
            <w:pPr>
              <w:pStyle w:val="Compact"/>
              <w:spacing w:after="40"/>
              <w:jc w:val="left"/>
            </w:pPr>
            <w:r>
              <w:rPr>
                <w:sz w:val="18"/>
              </w:rPr>
              <w:t xml:space="preserve">8</w:t>
            </w:r>
          </w:p>
        </w:tc>
        <w:tc>
          <w:tcPr>
            <w:tcW w:w="1693" w:type="dxa"/>
          </w:tcPr>
          <w:p>
            <w:pPr>
              <w:pStyle w:val="Compact"/>
              <w:spacing w:after="40"/>
              <w:jc w:val="left"/>
            </w:pPr>
            <w:r>
              <w:rPr>
                <w:bCs/>
                <w:b/>
                <w:sz w:val="18"/>
              </w:rPr>
              <w:t xml:space="preserve">Medical and insurance-premium finance</w:t>
            </w:r>
          </w:p>
        </w:tc>
        <w:tc>
          <w:tcPr>
            <w:tcW w:w="1517" w:type="dxa"/>
          </w:tcPr>
          <w:p>
            <w:pPr>
              <w:pStyle w:val="Compact"/>
              <w:spacing w:after="40"/>
              <w:jc w:val="left"/>
            </w:pPr>
            <w:r>
              <w:rPr>
                <w:sz w:val="18"/>
              </w:rPr>
              <w:t xml:space="preserve">Either</w:t>
            </w:r>
          </w:p>
        </w:tc>
        <w:tc>
          <w:tcPr>
            <w:tcW w:w="4525" w:type="dxa"/>
          </w:tcPr>
          <w:p>
            <w:pPr>
              <w:pStyle w:val="Compact"/>
              <w:spacing w:after="40"/>
              <w:jc w:val="left"/>
            </w:pPr>
            <w:r>
              <w:rPr>
                <w:bCs/>
                <w:b/>
                <w:sz w:val="18"/>
              </w:rPr>
              <w:t xml:space="preserve">Feasibility-gated.</w:t>
            </w:r>
            <w:r>
              <w:rPr>
                <w:sz w:val="18"/>
              </w:rPr>
              <w:t xml:space="preserve"> </w:t>
            </w:r>
            <w:r>
              <w:rPr>
                <w:sz w:val="18"/>
              </w:rPr>
              <w:t xml:space="preserve">Institutional partnerships with hospitals and insurers; payment direct to the provider as end-beneficiary (CF para 10(1)); health data is sensitive, so collect only the minimum and only with explicit purpose-specific consent; small number of clearly defined use cases first</w:t>
            </w:r>
          </w:p>
        </w:tc>
        <w:tc>
          <w:tcPr>
            <w:tcW w:w="1134" w:type="dxa"/>
          </w:tcPr>
          <w:p>
            <w:pPr>
              <w:pStyle w:val="Compact"/>
              <w:spacing w:after="40"/>
              <w:jc w:val="left"/>
            </w:pPr>
            <w:r>
              <w:rPr>
                <w:sz w:val="18"/>
              </w:rPr>
              <w:t xml:space="preserve">Phase 19</w:t>
            </w:r>
          </w:p>
        </w:tc>
      </w:tr>
      <w:tr>
        <w:tc>
          <w:tcPr>
            <w:tcW w:w="769" w:type="dxa"/>
          </w:tcPr>
          <w:p>
            <w:pPr>
              <w:pStyle w:val="Compact"/>
              <w:spacing w:after="40"/>
              <w:jc w:val="left"/>
            </w:pPr>
            <w:r>
              <w:rPr>
                <w:sz w:val="18"/>
              </w:rPr>
              <w:t xml:space="preserve">9</w:t>
            </w:r>
          </w:p>
        </w:tc>
        <w:tc>
          <w:tcPr>
            <w:tcW w:w="1693" w:type="dxa"/>
          </w:tcPr>
          <w:p>
            <w:pPr>
              <w:pStyle w:val="Compact"/>
              <w:spacing w:after="40"/>
              <w:jc w:val="left"/>
            </w:pPr>
            <w:r>
              <w:rPr>
                <w:bCs/>
                <w:b/>
                <w:sz w:val="18"/>
              </w:rPr>
              <w:t xml:space="preserve">Legal-expense and award-enforcement finance</w:t>
            </w:r>
          </w:p>
        </w:tc>
        <w:tc>
          <w:tcPr>
            <w:tcW w:w="1517" w:type="dxa"/>
          </w:tcPr>
          <w:p>
            <w:pPr>
              <w:pStyle w:val="Compact"/>
              <w:spacing w:after="40"/>
              <w:jc w:val="left"/>
            </w:pPr>
            <w:r>
              <w:rPr>
                <w:sz w:val="18"/>
              </w:rPr>
              <w:t xml:space="preserve">Either</w:t>
            </w:r>
          </w:p>
        </w:tc>
        <w:tc>
          <w:tcPr>
            <w:tcW w:w="4525" w:type="dxa"/>
          </w:tcPr>
          <w:p>
            <w:pPr>
              <w:pStyle w:val="Compact"/>
              <w:spacing w:after="40"/>
              <w:jc w:val="left"/>
            </w:pPr>
            <w:r>
              <w:rPr>
                <w:bCs/>
                <w:b/>
                <w:sz w:val="18"/>
              </w:rPr>
              <w:t xml:space="preserve">Feasibility-gated.</w:t>
            </w:r>
            <w:r>
              <w:rPr>
                <w:sz w:val="18"/>
              </w:rPr>
              <w:t xml:space="preserve"> </w:t>
            </w:r>
            <w:r>
              <w:rPr>
                <w:sz w:val="18"/>
              </w:rPr>
              <w:t xml:space="preserve">Ordinary repayable loans only, through the RE; non-recourse or litigation-funding cases are referred to specialist funders, not booked, and any referral fee needs a legal note (including professional-conduct rules for advocates) [VERIFY]; Equator awards as evidence only</w:t>
            </w:r>
          </w:p>
        </w:tc>
        <w:tc>
          <w:tcPr>
            <w:tcW w:w="1134" w:type="dxa"/>
          </w:tcPr>
          <w:p>
            <w:pPr>
              <w:pStyle w:val="Compact"/>
              <w:spacing w:after="40"/>
              <w:jc w:val="left"/>
            </w:pPr>
            <w:r>
              <w:rPr>
                <w:sz w:val="18"/>
              </w:rPr>
              <w:t xml:space="preserve">Phase 19</w:t>
            </w:r>
          </w:p>
        </w:tc>
      </w:tr>
      <w:tr>
        <w:tc>
          <w:tcPr>
            <w:tcW w:w="769" w:type="dxa"/>
          </w:tcPr>
          <w:p>
            <w:pPr>
              <w:pStyle w:val="Compact"/>
              <w:spacing w:after="40"/>
              <w:jc w:val="left"/>
            </w:pPr>
            <w:r>
              <w:rPr>
                <w:sz w:val="18"/>
              </w:rPr>
              <w:t xml:space="preserve">10</w:t>
            </w:r>
          </w:p>
        </w:tc>
        <w:tc>
          <w:tcPr>
            <w:tcW w:w="1693" w:type="dxa"/>
          </w:tcPr>
          <w:p>
            <w:pPr>
              <w:pStyle w:val="Compact"/>
              <w:spacing w:after="40"/>
              <w:jc w:val="left"/>
            </w:pPr>
            <w:r>
              <w:rPr>
                <w:bCs/>
                <w:b/>
                <w:sz w:val="18"/>
              </w:rPr>
              <w:t xml:space="preserve">Debt reset / consolidation</w:t>
            </w:r>
          </w:p>
        </w:tc>
        <w:tc>
          <w:tcPr>
            <w:tcW w:w="1517" w:type="dxa"/>
          </w:tcPr>
          <w:p>
            <w:pPr>
              <w:pStyle w:val="Compact"/>
              <w:spacing w:after="40"/>
              <w:jc w:val="left"/>
            </w:pPr>
            <w:r>
              <w:rPr>
                <w:sz w:val="18"/>
              </w:rPr>
              <w:t xml:space="preserve">Either</w:t>
            </w:r>
          </w:p>
        </w:tc>
        <w:tc>
          <w:tcPr>
            <w:tcW w:w="4525" w:type="dxa"/>
          </w:tcPr>
          <w:p>
            <w:pPr>
              <w:pStyle w:val="Compact"/>
              <w:spacing w:after="40"/>
              <w:jc w:val="left"/>
            </w:pPr>
            <w:r>
              <w:rPr>
                <w:bCs/>
                <w:b/>
                <w:sz w:val="18"/>
              </w:rPr>
              <w:t xml:space="preserve">Feasibility-gated.</w:t>
            </w:r>
            <w:r>
              <w:rPr>
                <w:sz w:val="18"/>
              </w:rPr>
              <w:t xml:space="preserve"> </w:t>
            </w:r>
            <w:r>
              <w:rPr>
                <w:sz w:val="18"/>
              </w:rPr>
              <w:t xml:space="preserve">A rigorous debt-closure and affordability model before refinancing stressed borrowers; payoff direct to existing lenders (CF para 10(1)); where the RE refinances its own stressed borrower it is restructuring and must pass the RE’s viability assessment (RSA para 169); microfinance household cap applies (CF paras 55–57); no marketing that targets distress</w:t>
            </w:r>
          </w:p>
        </w:tc>
        <w:tc>
          <w:tcPr>
            <w:tcW w:w="1134" w:type="dxa"/>
          </w:tcPr>
          <w:p>
            <w:pPr>
              <w:pStyle w:val="Compact"/>
              <w:spacing w:after="40"/>
              <w:jc w:val="left"/>
            </w:pPr>
            <w:r>
              <w:rPr>
                <w:sz w:val="18"/>
              </w:rPr>
              <w:t xml:space="preserve">Phase 19</w:t>
            </w:r>
          </w:p>
        </w:tc>
      </w:tr>
      <w:tr>
        <w:tc>
          <w:tcPr>
            <w:tcW w:w="769" w:type="dxa"/>
          </w:tcPr>
          <w:p>
            <w:pPr>
              <w:pStyle w:val="Compact"/>
              <w:spacing w:after="40"/>
              <w:jc w:val="left"/>
            </w:pPr>
            <w:r>
              <w:rPr>
                <w:sz w:val="18"/>
              </w:rPr>
              <w:t xml:space="preserve">11</w:t>
            </w:r>
          </w:p>
        </w:tc>
        <w:tc>
          <w:tcPr>
            <w:tcW w:w="1693" w:type="dxa"/>
          </w:tcPr>
          <w:p>
            <w:pPr>
              <w:pStyle w:val="Compact"/>
              <w:spacing w:after="40"/>
              <w:jc w:val="left"/>
            </w:pPr>
            <w:r>
              <w:rPr>
                <w:bCs/>
                <w:b/>
                <w:sz w:val="18"/>
              </w:rPr>
              <w:t xml:space="preserve">Gold loan</w:t>
            </w:r>
            <w:r>
              <w:rPr>
                <w:sz w:val="18"/>
              </w:rPr>
              <w:t xml:space="preserve"> </w:t>
            </w:r>
            <w:r>
              <w:rPr>
                <w:sz w:val="18"/>
              </w:rPr>
              <w:t xml:space="preserve">(proposed)</w:t>
            </w:r>
          </w:p>
        </w:tc>
        <w:tc>
          <w:tcPr>
            <w:tcW w:w="1517" w:type="dxa"/>
          </w:tcPr>
          <w:p>
            <w:pPr>
              <w:pStyle w:val="Compact"/>
              <w:spacing w:after="40"/>
              <w:jc w:val="left"/>
            </w:pPr>
            <w:r>
              <w:rPr>
                <w:sz w:val="18"/>
              </w:rPr>
              <w:t xml:space="preserve">Pledge of gold jewellery or coins with the RE</w:t>
            </w:r>
          </w:p>
        </w:tc>
        <w:tc>
          <w:tcPr>
            <w:tcW w:w="4525" w:type="dxa"/>
          </w:tcPr>
          <w:p>
            <w:pPr>
              <w:pStyle w:val="Compact"/>
              <w:spacing w:after="40"/>
              <w:jc w:val="left"/>
            </w:pPr>
            <w:r>
              <w:rPr>
                <w:sz w:val="18"/>
              </w:rPr>
              <w:t xml:space="preserve">Leads, indicative estimate from the RE’s published method and branch appointment only: collateral is handled and stored only in RE branches by RE employees (RBC paras 53–54); valuation and LTV per CF paras 40, 43–44; bullet loans ≤ 12 months (CF para 38); renewals and top-ups only on a formal request (CF para 34); auction rules are the RE’s (RBC paras 60–66)</w:t>
            </w:r>
          </w:p>
        </w:tc>
        <w:tc>
          <w:tcPr>
            <w:tcW w:w="1134" w:type="dxa"/>
          </w:tcPr>
          <w:p>
            <w:pPr>
              <w:pStyle w:val="Compact"/>
              <w:spacing w:after="40"/>
              <w:jc w:val="left"/>
            </w:pPr>
            <w:r>
              <w:rPr>
                <w:sz w:val="18"/>
              </w:rPr>
              <w:t xml:space="preserve">Phase 18b</w:t>
            </w:r>
          </w:p>
        </w:tc>
      </w:tr>
      <w:tr>
        <w:tc>
          <w:tcPr>
            <w:tcW w:w="769" w:type="dxa"/>
          </w:tcPr>
          <w:p>
            <w:pPr>
              <w:pStyle w:val="Compact"/>
              <w:spacing w:after="40"/>
              <w:jc w:val="left"/>
            </w:pPr>
            <w:r>
              <w:rPr>
                <w:sz w:val="18"/>
              </w:rPr>
              <w:t xml:space="preserve">12</w:t>
            </w:r>
          </w:p>
        </w:tc>
        <w:tc>
          <w:tcPr>
            <w:tcW w:w="1693" w:type="dxa"/>
          </w:tcPr>
          <w:p>
            <w:pPr>
              <w:pStyle w:val="Compact"/>
              <w:spacing w:after="40"/>
              <w:jc w:val="left"/>
            </w:pPr>
            <w:r>
              <w:rPr>
                <w:bCs/>
                <w:b/>
                <w:sz w:val="18"/>
              </w:rPr>
              <w:t xml:space="preserve">Business / MSME loan</w:t>
            </w:r>
            <w:r>
              <w:rPr>
                <w:sz w:val="18"/>
              </w:rPr>
              <w:t xml:space="preserve"> </w:t>
            </w:r>
            <w:r>
              <w:rPr>
                <w:sz w:val="18"/>
              </w:rPr>
              <w:t xml:space="preserve">(proposed)</w:t>
            </w:r>
          </w:p>
        </w:tc>
        <w:tc>
          <w:tcPr>
            <w:tcW w:w="1517" w:type="dxa"/>
          </w:tcPr>
          <w:p>
            <w:pPr>
              <w:pStyle w:val="Compact"/>
              <w:spacing w:after="40"/>
              <w:jc w:val="left"/>
            </w:pPr>
            <w:r>
              <w:rPr>
                <w:sz w:val="18"/>
              </w:rPr>
              <w:t xml:space="preserve">Either</w:t>
            </w:r>
          </w:p>
        </w:tc>
        <w:tc>
          <w:tcPr>
            <w:tcW w:w="4525" w:type="dxa"/>
          </w:tcPr>
          <w:p>
            <w:pPr>
              <w:pStyle w:val="Compact"/>
              <w:spacing w:after="40"/>
              <w:jc w:val="left"/>
            </w:pPr>
            <w:r>
              <w:rPr>
                <w:sz w:val="18"/>
              </w:rPr>
              <w:t xml:space="preserve">Entity KYC and beneficial owner; DIN or PAN of directors and guarantors (WD para 19(1)); GST, Udyam and AA data through the RE; CGTMSE-covered loans excluded from DLG (CF para 21(1)); collateral-free loans to low-income households are microfinance loans (CF para 51)</w:t>
            </w:r>
          </w:p>
        </w:tc>
        <w:tc>
          <w:tcPr>
            <w:tcW w:w="1134" w:type="dxa"/>
          </w:tcPr>
          <w:p>
            <w:pPr>
              <w:pStyle w:val="Compact"/>
              <w:spacing w:after="40"/>
              <w:jc w:val="left"/>
            </w:pPr>
            <w:r>
              <w:rPr>
                <w:sz w:val="18"/>
              </w:rPr>
              <w:t xml:space="preserve">Phase 18b</w:t>
            </w:r>
          </w:p>
        </w:tc>
      </w:tr>
      <w:tr>
        <w:tc>
          <w:tcPr>
            <w:tcW w:w="769" w:type="dxa"/>
          </w:tcPr>
          <w:p>
            <w:pPr>
              <w:pStyle w:val="Compact"/>
              <w:spacing w:after="40"/>
              <w:jc w:val="left"/>
            </w:pPr>
            <w:r>
              <w:rPr>
                <w:sz w:val="18"/>
              </w:rPr>
              <w:t xml:space="preserve">13</w:t>
            </w:r>
          </w:p>
        </w:tc>
        <w:tc>
          <w:tcPr>
            <w:tcW w:w="1693" w:type="dxa"/>
          </w:tcPr>
          <w:p>
            <w:pPr>
              <w:pStyle w:val="Compact"/>
              <w:spacing w:after="40"/>
              <w:jc w:val="left"/>
            </w:pPr>
            <w:r>
              <w:rPr>
                <w:bCs/>
                <w:b/>
                <w:sz w:val="18"/>
              </w:rPr>
              <w:t xml:space="preserve">Microfinance loan</w:t>
            </w:r>
            <w:r>
              <w:rPr>
                <w:sz w:val="18"/>
              </w:rPr>
              <w:t xml:space="preserve"> </w:t>
            </w:r>
            <w:r>
              <w:rPr>
                <w:sz w:val="18"/>
              </w:rPr>
              <w:t xml:space="preserve">(proposed)</w:t>
            </w:r>
          </w:p>
        </w:tc>
        <w:tc>
          <w:tcPr>
            <w:tcW w:w="1517" w:type="dxa"/>
          </w:tcPr>
          <w:p>
            <w:pPr>
              <w:pStyle w:val="Compact"/>
              <w:spacing w:after="40"/>
              <w:jc w:val="left"/>
            </w:pPr>
            <w:r>
              <w:rPr>
                <w:sz w:val="18"/>
              </w:rPr>
              <w:t xml:space="preserve">Unsecured</w:t>
            </w:r>
          </w:p>
        </w:tc>
        <w:tc>
          <w:tcPr>
            <w:tcW w:w="4525" w:type="dxa"/>
          </w:tcPr>
          <w:p>
            <w:pPr>
              <w:pStyle w:val="Compact"/>
              <w:spacing w:after="40"/>
              <w:jc w:val="left"/>
            </w:pPr>
            <w:r>
              <w:rPr>
                <w:sz w:val="18"/>
              </w:rPr>
              <w:t xml:space="preserve">Household income test and 50% cap (CF paras 51–57); loan card and no prepayment charge (RBC paras 78–81); recovery at a designated place and 09:00–18:00 (RBC paras 90–91, to 31 Dec 2026; then Part 7A.0.4); group processes stay with the RE</w:t>
            </w:r>
          </w:p>
        </w:tc>
        <w:tc>
          <w:tcPr>
            <w:tcW w:w="1134" w:type="dxa"/>
          </w:tcPr>
          <w:p>
            <w:pPr>
              <w:pStyle w:val="Compact"/>
              <w:spacing w:after="40"/>
              <w:jc w:val="left"/>
            </w:pPr>
            <w:r>
              <w:rPr>
                <w:sz w:val="18"/>
              </w:rPr>
              <w:t xml:space="preserve">Phase 18b</w:t>
            </w:r>
          </w:p>
        </w:tc>
      </w:tr>
      <w:tr>
        <w:tc>
          <w:tcPr>
            <w:tcW w:w="769" w:type="dxa"/>
          </w:tcPr>
          <w:p>
            <w:pPr>
              <w:pStyle w:val="Compact"/>
              <w:spacing w:after="40"/>
              <w:jc w:val="left"/>
            </w:pPr>
            <w:r>
              <w:rPr>
                <w:sz w:val="18"/>
              </w:rPr>
              <w:t xml:space="preserve">14</w:t>
            </w:r>
          </w:p>
        </w:tc>
        <w:tc>
          <w:tcPr>
            <w:tcW w:w="1693" w:type="dxa"/>
          </w:tcPr>
          <w:p>
            <w:pPr>
              <w:pStyle w:val="Compact"/>
              <w:spacing w:after="40"/>
              <w:jc w:val="left"/>
            </w:pPr>
            <w:r>
              <w:rPr>
                <w:bCs/>
                <w:b/>
                <w:sz w:val="18"/>
              </w:rPr>
              <w:t xml:space="preserve">Supply-chain / TReDS invoice finance</w:t>
            </w:r>
            <w:r>
              <w:rPr>
                <w:sz w:val="18"/>
              </w:rPr>
              <w:t xml:space="preserve"> </w:t>
            </w:r>
            <w:r>
              <w:rPr>
                <w:sz w:val="18"/>
              </w:rPr>
              <w:t xml:space="preserve">(proposed)</w:t>
            </w:r>
          </w:p>
        </w:tc>
        <w:tc>
          <w:tcPr>
            <w:tcW w:w="1517" w:type="dxa"/>
          </w:tcPr>
          <w:p>
            <w:pPr>
              <w:pStyle w:val="Compact"/>
              <w:spacing w:after="40"/>
              <w:jc w:val="left"/>
            </w:pPr>
            <w:r>
              <w:rPr>
                <w:sz w:val="18"/>
              </w:rPr>
              <w:t xml:space="preserve">Assignment of receivables</w:t>
            </w:r>
          </w:p>
        </w:tc>
        <w:tc>
          <w:tcPr>
            <w:tcW w:w="4525" w:type="dxa"/>
          </w:tcPr>
          <w:p>
            <w:pPr>
              <w:pStyle w:val="Compact"/>
              <w:spacing w:after="40"/>
              <w:jc w:val="left"/>
            </w:pPr>
            <w:r>
              <w:rPr>
                <w:sz w:val="18"/>
              </w:rPr>
              <w:t xml:space="preserve">Anchor programme with the supplier or dealer as end-beneficiary (CF para 10(1)); TReDS only as a referral to the platform with the RE as registered financier, without recourse to the MSME (RBI TReDS Directions, 23 Jun 2026) [VERIFY]</w:t>
            </w:r>
          </w:p>
        </w:tc>
        <w:tc>
          <w:tcPr>
            <w:tcW w:w="1134" w:type="dxa"/>
          </w:tcPr>
          <w:p>
            <w:pPr>
              <w:pStyle w:val="Compact"/>
              <w:spacing w:after="40"/>
              <w:jc w:val="left"/>
            </w:pPr>
            <w:r>
              <w:rPr>
                <w:sz w:val="18"/>
              </w:rPr>
              <w:t xml:space="preserve">Phase 18b</w:t>
            </w:r>
          </w:p>
        </w:tc>
      </w:tr>
      <w:tr>
        <w:tc>
          <w:tcPr>
            <w:tcW w:w="769" w:type="dxa"/>
          </w:tcPr>
          <w:p>
            <w:pPr>
              <w:pStyle w:val="Compact"/>
              <w:spacing w:after="40"/>
              <w:jc w:val="left"/>
            </w:pPr>
            <w:r>
              <w:rPr>
                <w:sz w:val="18"/>
              </w:rPr>
              <w:t xml:space="preserve">15</w:t>
            </w:r>
          </w:p>
        </w:tc>
        <w:tc>
          <w:tcPr>
            <w:tcW w:w="1693" w:type="dxa"/>
          </w:tcPr>
          <w:p>
            <w:pPr>
              <w:pStyle w:val="Compact"/>
              <w:spacing w:after="40"/>
              <w:jc w:val="left"/>
            </w:pPr>
            <w:r>
              <w:rPr>
                <w:bCs/>
                <w:b/>
                <w:sz w:val="18"/>
              </w:rPr>
              <w:t xml:space="preserve">Education loan</w:t>
            </w:r>
            <w:r>
              <w:rPr>
                <w:sz w:val="18"/>
              </w:rPr>
              <w:t xml:space="preserve"> </w:t>
            </w:r>
            <w:r>
              <w:rPr>
                <w:sz w:val="18"/>
              </w:rPr>
              <w:t xml:space="preserve">(proposed)</w:t>
            </w:r>
          </w:p>
        </w:tc>
        <w:tc>
          <w:tcPr>
            <w:tcW w:w="1517" w:type="dxa"/>
          </w:tcPr>
          <w:p>
            <w:pPr>
              <w:pStyle w:val="Compact"/>
              <w:spacing w:after="40"/>
              <w:jc w:val="left"/>
            </w:pPr>
            <w:r>
              <w:rPr>
                <w:sz w:val="18"/>
              </w:rPr>
              <w:t xml:space="preserve">Either</w:t>
            </w:r>
          </w:p>
        </w:tc>
        <w:tc>
          <w:tcPr>
            <w:tcW w:w="4525" w:type="dxa"/>
          </w:tcPr>
          <w:p>
            <w:pPr>
              <w:pStyle w:val="Compact"/>
              <w:spacing w:after="40"/>
              <w:jc w:val="left"/>
            </w:pPr>
            <w:r>
              <w:rPr>
                <w:sz w:val="18"/>
              </w:rPr>
              <w:t xml:space="preserve">Institution as end-beneficiary (CF para 10(1)); co-borrower KYC and income; moratorium in the KFS; microfinance classifier applies to collateral-free loans (CF para 51)</w:t>
            </w:r>
          </w:p>
        </w:tc>
        <w:tc>
          <w:tcPr>
            <w:tcW w:w="1134" w:type="dxa"/>
          </w:tcPr>
          <w:p>
            <w:pPr>
              <w:pStyle w:val="Compact"/>
              <w:spacing w:after="40"/>
              <w:jc w:val="left"/>
            </w:pPr>
            <w:r>
              <w:rPr>
                <w:sz w:val="18"/>
              </w:rPr>
              <w:t xml:space="preserve">Phase 18b</w:t>
            </w:r>
          </w:p>
        </w:tc>
      </w:tr>
    </w:tbl>
    <w:p>
      <w:pPr>
        <w:pStyle w:val="BodyText"/>
      </w:pPr>
      <w:r>
        <w:rPr>
          <w:bCs/>
          <w:b/>
        </w:rPr>
        <w:t xml:space="preserve">Feasibility gate for Products 7–10.</w:t>
      </w:r>
      <w:r>
        <w:t xml:space="preserve"> </w:t>
      </w:r>
      <w:r>
        <w:t xml:space="preserve">Before any workflow is built, produce a feasibility note covering legal permissibility (RBI Directions and other law), the commercial model, conduct and reputational risk, data sensitivity, partner REs willing to lend, and a pilot design with success measures. Do not assume viability.</w:t>
      </w:r>
    </w:p>
    <w:p>
      <w:pPr>
        <w:pStyle w:val="BodyText"/>
      </w:pPr>
      <w:r>
        <w:rPr>
          <w:bCs/>
          <w:b/>
        </w:rPr>
        <w:t xml:space="preserve">Revolving credit.</w:t>
      </w:r>
      <w:r>
        <w:t xml:space="preserve"> </w:t>
      </w:r>
      <w:r>
        <w:t xml:space="preserve">Build every product as a term loan. A draft CF amendment (August 2026) would confine NBFCs other than credit-card NBFCs to term loans [VERIFY final status]; keep any line-of-credit variant behind a feature flag.</w:t>
      </w:r>
    </w:p>
    <w:bookmarkEnd w:id="46"/>
    <w:bookmarkStart w:id="47" w:name="per-product-definition-checklist"/>
    <w:p>
      <w:pPr>
        <w:pStyle w:val="Heading2"/>
      </w:pPr>
      <w:r>
        <w:t xml:space="preserve">6.3 Per-product definition checklist</w:t>
      </w:r>
    </w:p>
    <w:p>
      <w:pPr>
        <w:pStyle w:val="FirstParagraph"/>
      </w:pPr>
      <w:r>
        <w:t xml:space="preserve">Every product template has a versioned specification at</w:t>
      </w:r>
      <w:r>
        <w:t xml:space="preserve"> </w:t>
      </w:r>
      <w:r>
        <w:rPr>
          <w:rStyle w:val="VerbatimChar"/>
        </w:rPr>
        <w:t xml:space="preserve">docs/products/[code].md</w:t>
      </w:r>
      <w:r>
        <w:t xml:space="preserve"> </w:t>
      </w:r>
      <w:r>
        <w:t xml:space="preserve">covering (from the original prompt):</w:t>
      </w:r>
    </w:p>
    <w:p>
      <w:pPr>
        <w:numPr>
          <w:ilvl w:val="0"/>
          <w:numId w:val="1025"/>
        </w:numPr>
        <w:pStyle w:val="Compact"/>
      </w:pPr>
      <w:r>
        <w:t xml:space="preserve">borrower and beneficiary eligibility;</w:t>
      </w:r>
    </w:p>
    <w:p>
      <w:pPr>
        <w:numPr>
          <w:ilvl w:val="0"/>
          <w:numId w:val="1025"/>
        </w:numPr>
        <w:pStyle w:val="Compact"/>
      </w:pPr>
      <w:r>
        <w:t xml:space="preserve">purpose and end-use verification;</w:t>
      </w:r>
    </w:p>
    <w:p>
      <w:pPr>
        <w:numPr>
          <w:ilvl w:val="0"/>
          <w:numId w:val="1025"/>
        </w:numPr>
        <w:pStyle w:val="Compact"/>
      </w:pPr>
      <w:r>
        <w:t xml:space="preserve">loan amount, tenure and pricing rules (the RE’s; Udofin displays);</w:t>
      </w:r>
    </w:p>
    <w:p>
      <w:pPr>
        <w:numPr>
          <w:ilvl w:val="0"/>
          <w:numId w:val="1025"/>
        </w:numPr>
        <w:pStyle w:val="Compact"/>
      </w:pPr>
      <w:r>
        <w:t xml:space="preserve">security or collateral requirements, with collateral, valuation, ownership verification, lien or pledge creation, release and exception handling as explicit workflows for secured products;</w:t>
      </w:r>
    </w:p>
    <w:p>
      <w:pPr>
        <w:numPr>
          <w:ilvl w:val="0"/>
          <w:numId w:val="1025"/>
        </w:numPr>
        <w:pStyle w:val="Compact"/>
      </w:pPr>
      <w:r>
        <w:t xml:space="preserve">documentation and verification, and the KYC route;</w:t>
      </w:r>
    </w:p>
    <w:p>
      <w:pPr>
        <w:numPr>
          <w:ilvl w:val="0"/>
          <w:numId w:val="1025"/>
        </w:numPr>
        <w:pStyle w:val="Compact"/>
      </w:pPr>
      <w:r>
        <w:t xml:space="preserve">credit appraisal and lender decisioning (who decides, on what inputs, through which connector);</w:t>
      </w:r>
    </w:p>
    <w:p>
      <w:pPr>
        <w:numPr>
          <w:ilvl w:val="0"/>
          <w:numId w:val="1025"/>
        </w:numPr>
        <w:pStyle w:val="Compact"/>
      </w:pPr>
      <w:r>
        <w:t xml:space="preserve">offer presentation and disclosures;</w:t>
      </w:r>
    </w:p>
    <w:p>
      <w:pPr>
        <w:numPr>
          <w:ilvl w:val="0"/>
          <w:numId w:val="1025"/>
        </w:numPr>
        <w:pStyle w:val="Compact"/>
      </w:pPr>
      <w:r>
        <w:t xml:space="preserve">sanction and agreement workflows, including any physical-execution hand-off;</w:t>
      </w:r>
    </w:p>
    <w:p>
      <w:pPr>
        <w:numPr>
          <w:ilvl w:val="0"/>
          <w:numId w:val="1025"/>
        </w:numPr>
        <w:pStyle w:val="Compact"/>
      </w:pPr>
      <w:r>
        <w:t xml:space="preserve">permitted disbursement routing;</w:t>
      </w:r>
    </w:p>
    <w:p>
      <w:pPr>
        <w:numPr>
          <w:ilvl w:val="0"/>
          <w:numId w:val="1025"/>
        </w:numPr>
        <w:pStyle w:val="Compact"/>
      </w:pPr>
      <w:r>
        <w:t xml:space="preserve">repayment schedule and servicing;</w:t>
      </w:r>
    </w:p>
    <w:p>
      <w:pPr>
        <w:numPr>
          <w:ilvl w:val="0"/>
          <w:numId w:val="1025"/>
        </w:numPr>
        <w:pStyle w:val="Compact"/>
      </w:pPr>
      <w:r>
        <w:t xml:space="preserve">delinquency and recovery workflows, and whether Udofin has any recovery role;</w:t>
      </w:r>
    </w:p>
    <w:p>
      <w:pPr>
        <w:numPr>
          <w:ilvl w:val="0"/>
          <w:numId w:val="1025"/>
        </w:numPr>
        <w:pStyle w:val="Compact"/>
      </w:pPr>
      <w:r>
        <w:t xml:space="preserve">closure, settlement and release of security;</w:t>
      </w:r>
    </w:p>
    <w:p>
      <w:pPr>
        <w:numPr>
          <w:ilvl w:val="0"/>
          <w:numId w:val="1025"/>
        </w:numPr>
        <w:pStyle w:val="Compact"/>
      </w:pPr>
      <w:r>
        <w:t xml:space="preserve">product-specific reporting and profitability metrics.</w:t>
      </w:r>
    </w:p>
    <w:bookmarkEnd w:id="47"/>
    <w:bookmarkStart w:id="61" w:name="product-wise-origination-workflows"/>
    <w:p>
      <w:pPr>
        <w:pStyle w:val="Heading2"/>
      </w:pPr>
      <w:r>
        <w:t xml:space="preserve">6.4 Product-wise origination workflows</w:t>
      </w:r>
    </w:p>
    <w:p>
      <w:pPr>
        <w:pStyle w:val="FirstParagraph"/>
      </w:pPr>
      <w:r>
        <w:t xml:space="preserve">Each product template (6.3) implements the workflow below.</w:t>
      </w:r>
      <w:r>
        <w:t xml:space="preserve"> </w:t>
      </w:r>
      <w:r>
        <w:rPr>
          <w:bCs/>
          <w:b/>
        </w:rPr>
        <w:t xml:space="preserve">6.4.0 is the common baseline</w:t>
      </w:r>
      <w:r>
        <w:t xml:space="preserve">; each product table states only what is added or different.</w:t>
      </w:r>
      <w:r>
        <w:t xml:space="preserve"> </w:t>
      </w:r>
      <w:r>
        <w:t xml:space="preserve">“</w:t>
      </w:r>
      <w:r>
        <w:t xml:space="preserve">RE</w:t>
      </w:r>
      <w:r>
        <w:t xml:space="preserve">”</w:t>
      </w:r>
      <w:r>
        <w:t xml:space="preserve"> </w:t>
      </w:r>
      <w:r>
        <w:t xml:space="preserve">means the partner lender; every decision named is the RE’s. Events use the canonical names of the Infrabyx Ecosystem Integration Specification. The</w:t>
      </w:r>
      <w:r>
        <w:t xml:space="preserve"> </w:t>
      </w:r>
      <w:r>
        <w:rPr>
          <w:bCs/>
          <w:b/>
        </w:rPr>
        <w:t xml:space="preserve">recovery playbook</w:t>
      </w:r>
      <w:r>
        <w:t xml:space="preserve"> </w:t>
      </w:r>
      <w:r>
        <w:t xml:space="preserve">row names the Finbyx Part 7A R16 playbook the RE runs and Udofin’s role in Part 7A; playbook codes must match Finbyx R16 [VERIFY at contract review]. The CloudEvents</w:t>
      </w:r>
      <w:r>
        <w:t xml:space="preserve"> </w:t>
      </w:r>
      <w:r>
        <w:rPr>
          <w:rStyle w:val="VerbatimChar"/>
        </w:rPr>
        <w:t xml:space="preserve">productfamily</w:t>
      </w:r>
      <w:r>
        <w:t xml:space="preserve"> </w:t>
      </w:r>
      <w:r>
        <w:t xml:space="preserve">attribute uses the specification’s codes (PL, PDL, LAS or LAMF, HL, VL, LAP, GOLD, MSME, MFI, SCF, EDU;</w:t>
      </w:r>
      <w:r>
        <w:t xml:space="preserve"> </w:t>
      </w:r>
      <w:r>
        <w:rPr>
          <w:rStyle w:val="VerbatimChar"/>
        </w:rPr>
        <w:t xml:space="preserve">CLN</w:t>
      </w:r>
      <w:r>
        <w:t xml:space="preserve"> </w:t>
      </w:r>
      <w:r>
        <w:t xml:space="preserve">for co-lent loans);</w:t>
      </w:r>
      <w:r>
        <w:t xml:space="preserve"> </w:t>
      </w:r>
      <w:r>
        <w:rPr>
          <w:rStyle w:val="VerbatimChar"/>
        </w:rPr>
        <w:t xml:space="preserve">RF</w:t>
      </w:r>
      <w:r>
        <w:t xml:space="preserve">,</w:t>
      </w:r>
      <w:r>
        <w:t xml:space="preserve"> </w:t>
      </w:r>
      <w:r>
        <w:rPr>
          <w:rStyle w:val="VerbatimChar"/>
        </w:rPr>
        <w:t xml:space="preserve">MED</w:t>
      </w:r>
      <w:r>
        <w:t xml:space="preserve">,</w:t>
      </w:r>
      <w:r>
        <w:t xml:space="preserve"> </w:t>
      </w:r>
      <w:r>
        <w:rPr>
          <w:rStyle w:val="VerbatimChar"/>
        </w:rPr>
        <w:t xml:space="preserve">LEF</w:t>
      </w:r>
      <w:r>
        <w:t xml:space="preserve"> </w:t>
      </w:r>
      <w:r>
        <w:t xml:space="preserve">and</w:t>
      </w:r>
      <w:r>
        <w:t xml:space="preserve"> </w:t>
      </w:r>
      <w:r>
        <w:rPr>
          <w:rStyle w:val="VerbatimChar"/>
        </w:rPr>
        <w:t xml:space="preserve">DR</w:t>
      </w:r>
      <w:r>
        <w:t xml:space="preserve"> </w:t>
      </w:r>
      <w:r>
        <w:t xml:space="preserve">(Products 7–10) are Finbyx and Udofin product codes not yet in the specification’s</w:t>
      </w:r>
      <w:r>
        <w:t xml:space="preserve"> </w:t>
      </w:r>
      <w:r>
        <w:rPr>
          <w:rStyle w:val="VerbatimChar"/>
        </w:rPr>
        <w:t xml:space="preserve">productfamily</w:t>
      </w:r>
      <w:r>
        <w:t xml:space="preserve"> </w:t>
      </w:r>
      <w:r>
        <w:t xml:space="preserve">list, so raise them as a versioned contract change before Phase 19. Products 11–15 are</w:t>
      </w:r>
      <w:r>
        <w:t xml:space="preserve"> </w:t>
      </w:r>
      <w:r>
        <w:rPr>
          <w:bCs/>
          <w:b/>
        </w:rPr>
        <w:t xml:space="preserve">proposed</w:t>
      </w:r>
      <w:r>
        <w:t xml:space="preserve"> </w:t>
      </w:r>
      <w:r>
        <w:t xml:space="preserve">templates built in Phase 18b, each only after an RE-approved product specification.</w:t>
      </w:r>
    </w:p>
    <w:bookmarkStart w:id="48" w:name="common-baseline-all-products"/>
    <w:p>
      <w:pPr>
        <w:pStyle w:val="Heading3"/>
      </w:pPr>
      <w:r>
        <w:t xml:space="preserve">6.4.0 Common baseline (all products)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33"/>
        <w:gridCol w:w="7905"/>
      </w:tblGrid>
      <w:tr>
        <w:trPr>
          <w:tblHeader w:val="true"/>
          <w:tblHeader w:val="true"/>
        </w:trPr>
        <w:tc>
          <w:tcPr>
            <w:tcW w:w="1733" w:type="dxa"/>
            <w:shd w:val="clear" w:color="auto" w:fill="1F3A5F"/>
          </w:tcPr>
          <w:p>
            <w:pPr>
              <w:pStyle w:val="Compact"/>
              <w:spacing w:after="40"/>
              <w:jc w:val="left"/>
            </w:pPr>
            <w:r>
              <w:rPr>
                <w:b/>
                <w:color w:val="FFFFFF"/>
                <w:sz w:val="18"/>
              </w:rPr>
              <w:t xml:space="preserve">Step</w:t>
            </w:r>
          </w:p>
        </w:tc>
        <w:tc>
          <w:tcPr>
            <w:tcW w:w="7905" w:type="dxa"/>
            <w:shd w:val="clear" w:color="auto" w:fill="1F3A5F"/>
          </w:tcPr>
          <w:p>
            <w:pPr>
              <w:pStyle w:val="Compact"/>
              <w:spacing w:after="40"/>
              <w:jc w:val="left"/>
            </w:pPr>
            <w:r>
              <w:rPr>
                <w:b/>
                <w:color w:val="FFFFFF"/>
                <w:sz w:val="18"/>
              </w:rPr>
              <w:t xml:space="preserve">Baseline</w:t>
            </w:r>
          </w:p>
        </w:tc>
      </w:tr>
      <w:tr>
        <w:tc>
          <w:tcPr>
            <w:tcW w:w="1733" w:type="dxa"/>
          </w:tcPr>
          <w:p>
            <w:pPr>
              <w:pStyle w:val="Compact"/>
              <w:spacing w:after="40"/>
              <w:jc w:val="left"/>
            </w:pPr>
            <w:r>
              <w:rPr>
                <w:sz w:val="18"/>
              </w:rPr>
              <w:t xml:space="preserve">Channel steps</w:t>
            </w:r>
          </w:p>
        </w:tc>
        <w:tc>
          <w:tcPr>
            <w:tcW w:w="7905" w:type="dxa"/>
          </w:tcPr>
          <w:p>
            <w:pPr>
              <w:pStyle w:val="Compact"/>
              <w:spacing w:after="40"/>
              <w:jc w:val="left"/>
            </w:pPr>
            <w:r>
              <w:rPr>
                <w:sz w:val="18"/>
              </w:rPr>
              <w:t xml:space="preserve">Mobile number and OTP → platform notice and consents (U4) → product, amount, tenor → minimum eligibility data (age, occupation, income; household income for collateral-free loans: CF paras 8(1), 51) →</w:t>
            </w:r>
            <w:r>
              <w:rPr>
                <w:sz w:val="18"/>
              </w:rPr>
              <w:t xml:space="preserve"> </w:t>
            </w:r>
            <w:r>
              <w:rPr>
                <w:rStyle w:val="VerbatimChar"/>
                <w:sz w:val="18"/>
              </w:rPr>
              <w:t xml:space="preserve">EligibilityCheck</w:t>
            </w:r>
            <w:r>
              <w:rPr>
                <w:sz w:val="18"/>
              </w:rPr>
              <w:t xml:space="preserve"> </w:t>
            </w:r>
            <w:r>
              <w:rPr>
                <w:sz w:val="18"/>
              </w:rPr>
              <w:t xml:space="preserve">to matching REs → offer view (CF para 7) →</w:t>
            </w:r>
            <w:r>
              <w:rPr>
                <w:sz w:val="18"/>
              </w:rPr>
              <w:t xml:space="preserve"> </w:t>
            </w:r>
            <w:r>
              <w:rPr>
                <w:rStyle w:val="VerbatimChar"/>
                <w:sz w:val="18"/>
              </w:rPr>
              <w:t xml:space="preserve">ApplicationSubmitted</w:t>
            </w:r>
            <w:r>
              <w:rPr>
                <w:sz w:val="18"/>
              </w:rPr>
              <w:t xml:space="preserve"> </w:t>
            </w:r>
            <w:r>
              <w:rPr>
                <w:sz w:val="18"/>
              </w:rPr>
              <w:t xml:space="preserve">to the chosen RE → RE decision → KFS → execution → mandate → disbursal status → servicing</w:t>
            </w:r>
          </w:p>
        </w:tc>
      </w:tr>
      <w:tr>
        <w:tc>
          <w:tcPr>
            <w:tcW w:w="1733" w:type="dxa"/>
          </w:tcPr>
          <w:p>
            <w:pPr>
              <w:pStyle w:val="Compact"/>
              <w:spacing w:after="40"/>
              <w:jc w:val="left"/>
            </w:pPr>
            <w:r>
              <w:rPr>
                <w:sz w:val="18"/>
              </w:rPr>
              <w:t xml:space="preserve">KYC route</w:t>
            </w:r>
          </w:p>
        </w:tc>
        <w:tc>
          <w:tcPr>
            <w:tcW w:w="7905" w:type="dxa"/>
          </w:tcPr>
          <w:p>
            <w:pPr>
              <w:pStyle w:val="Compact"/>
              <w:spacing w:after="40"/>
              <w:jc w:val="left"/>
            </w:pPr>
            <w:r>
              <w:rPr>
                <w:sz w:val="18"/>
              </w:rPr>
              <w:t xml:space="preserve">Per RE (Part 8A.3): CKYC identifier with consent; Aadhaar offline or DigiLocker; Aadhaar OTP e-KYC only for s.11A-notified REs and only term loans up to ₹60,000 a year (KYC para 25(5)); V-CIP as the RE’s session; PAN or Form 60. Evidence only; the RE decides (KYC para 13)</w:t>
            </w:r>
          </w:p>
        </w:tc>
      </w:tr>
      <w:tr>
        <w:tc>
          <w:tcPr>
            <w:tcW w:w="1733" w:type="dxa"/>
          </w:tcPr>
          <w:p>
            <w:pPr>
              <w:pStyle w:val="Compact"/>
              <w:spacing w:after="40"/>
              <w:jc w:val="left"/>
            </w:pPr>
            <w:r>
              <w:rPr>
                <w:sz w:val="18"/>
              </w:rPr>
              <w:t xml:space="preserve">Credit data</w:t>
            </w:r>
          </w:p>
        </w:tc>
        <w:tc>
          <w:tcPr>
            <w:tcW w:w="7905" w:type="dxa"/>
          </w:tcPr>
          <w:p>
            <w:pPr>
              <w:pStyle w:val="Compact"/>
              <w:spacing w:after="40"/>
              <w:jc w:val="left"/>
            </w:pPr>
            <w:r>
              <w:rPr>
                <w:sz w:val="18"/>
              </w:rPr>
              <w:t xml:space="preserve">Bureau under the RE’s CIC membership with consent naming the RE (CIR para 6); AA with the RE as FIU (AA para 8(12)); bank-statement analysis by the RE-approved analyser</w:t>
            </w:r>
          </w:p>
        </w:tc>
      </w:tr>
      <w:tr>
        <w:tc>
          <w:tcPr>
            <w:tcW w:w="1733" w:type="dxa"/>
          </w:tcPr>
          <w:p>
            <w:pPr>
              <w:pStyle w:val="Compact"/>
              <w:spacing w:after="40"/>
              <w:jc w:val="left"/>
            </w:pPr>
            <w:r>
              <w:rPr>
                <w:sz w:val="18"/>
              </w:rPr>
              <w:t xml:space="preserve">Documentation</w:t>
            </w:r>
          </w:p>
        </w:tc>
        <w:tc>
          <w:tcPr>
            <w:tcW w:w="7905" w:type="dxa"/>
          </w:tcPr>
          <w:p>
            <w:pPr>
              <w:pStyle w:val="Compact"/>
              <w:spacing w:after="40"/>
              <w:jc w:val="left"/>
            </w:pPr>
            <w:r>
              <w:rPr>
                <w:sz w:val="18"/>
              </w:rPr>
              <w:t xml:space="preserve">RE’s KFS with validity (RBC para 29); sanction letter; agreement with KFS summary box (RBC para 29(6)); eSign and eStamp evidence (</w:t>
            </w:r>
            <w:r>
              <w:rPr>
                <w:rStyle w:val="VerbatimChar"/>
                <w:sz w:val="18"/>
              </w:rPr>
              <w:t xml:space="preserve">ESignCompleted</w:t>
            </w:r>
            <w:r>
              <w:rPr>
                <w:sz w:val="18"/>
              </w:rPr>
              <w:t xml:space="preserve">,</w:t>
            </w:r>
            <w:r>
              <w:rPr>
                <w:sz w:val="18"/>
              </w:rPr>
              <w:t xml:space="preserve"> </w:t>
            </w:r>
            <w:r>
              <w:rPr>
                <w:rStyle w:val="VerbatimChar"/>
                <w:sz w:val="18"/>
              </w:rPr>
              <w:t xml:space="preserve">EStampCompleted</w:t>
            </w:r>
            <w:r>
              <w:rPr>
                <w:sz w:val="18"/>
              </w:rPr>
              <w:t xml:space="preserve">); physical execution for IT Act First Schedule instruments</w:t>
            </w:r>
          </w:p>
        </w:tc>
      </w:tr>
      <w:tr>
        <w:tc>
          <w:tcPr>
            <w:tcW w:w="1733" w:type="dxa"/>
          </w:tcPr>
          <w:p>
            <w:pPr>
              <w:pStyle w:val="Compact"/>
              <w:spacing w:after="40"/>
              <w:jc w:val="left"/>
            </w:pPr>
            <w:r>
              <w:rPr>
                <w:sz w:val="18"/>
              </w:rPr>
              <w:t xml:space="preserve">Disbursement</w:t>
            </w:r>
          </w:p>
        </w:tc>
        <w:tc>
          <w:tcPr>
            <w:tcW w:w="7905" w:type="dxa"/>
          </w:tcPr>
          <w:p>
            <w:pPr>
              <w:pStyle w:val="Compact"/>
              <w:spacing w:after="40"/>
              <w:jc w:val="left"/>
            </w:pPr>
            <w:r>
              <w:rPr>
                <w:sz w:val="18"/>
              </w:rPr>
              <w:t xml:space="preserve">RE account to the borrower’s verified account, or to the end-beneficiary for a specific end use (CF para 10(1)); status only (</w:t>
            </w:r>
            <w:r>
              <w:rPr>
                <w:rStyle w:val="VerbatimChar"/>
                <w:sz w:val="18"/>
              </w:rPr>
              <w:t xml:space="preserve">LoanDisbursed</w:t>
            </w:r>
            <w:r>
              <w:rPr>
                <w:sz w:val="18"/>
              </w:rPr>
              <w:t xml:space="preserve">)</w:t>
            </w:r>
          </w:p>
        </w:tc>
      </w:tr>
      <w:tr>
        <w:tc>
          <w:tcPr>
            <w:tcW w:w="1733" w:type="dxa"/>
          </w:tcPr>
          <w:p>
            <w:pPr>
              <w:pStyle w:val="Compact"/>
              <w:spacing w:after="40"/>
              <w:jc w:val="left"/>
            </w:pPr>
            <w:r>
              <w:rPr>
                <w:sz w:val="18"/>
              </w:rPr>
              <w:t xml:space="preserve">Events to the RE</w:t>
            </w:r>
          </w:p>
        </w:tc>
        <w:tc>
          <w:tcPr>
            <w:tcW w:w="7905" w:type="dxa"/>
          </w:tcPr>
          <w:p>
            <w:pPr>
              <w:pStyle w:val="Compact"/>
              <w:spacing w:after="40"/>
              <w:jc w:val="left"/>
            </w:pPr>
            <w:r>
              <w:rPr>
                <w:rStyle w:val="VerbatimChar"/>
                <w:sz w:val="18"/>
              </w:rPr>
              <w:t xml:space="preserve">ApplicationSubmitted</w:t>
            </w:r>
            <w:r>
              <w:rPr>
                <w:sz w:val="18"/>
              </w:rPr>
              <w:t xml:space="preserve">,</w:t>
            </w:r>
            <w:r>
              <w:rPr>
                <w:sz w:val="18"/>
              </w:rPr>
              <w:t xml:space="preserve"> </w:t>
            </w:r>
            <w:r>
              <w:rPr>
                <w:rStyle w:val="VerbatimChar"/>
                <w:sz w:val="18"/>
              </w:rPr>
              <w:t xml:space="preserve">BorrowerAccepted</w:t>
            </w:r>
            <w:r>
              <w:rPr>
                <w:sz w:val="18"/>
              </w:rPr>
              <w:t xml:space="preserve">,</w:t>
            </w:r>
            <w:r>
              <w:rPr>
                <w:sz w:val="18"/>
              </w:rPr>
              <w:t xml:space="preserve"> </w:t>
            </w:r>
            <w:r>
              <w:rPr>
                <w:rStyle w:val="VerbatimChar"/>
                <w:sz w:val="18"/>
              </w:rPr>
              <w:t xml:space="preserve">ESignCompleted</w:t>
            </w:r>
            <w:r>
              <w:rPr>
                <w:sz w:val="18"/>
              </w:rPr>
              <w:t xml:space="preserve">,</w:t>
            </w:r>
            <w:r>
              <w:rPr>
                <w:sz w:val="18"/>
              </w:rPr>
              <w:t xml:space="preserve"> </w:t>
            </w:r>
            <w:r>
              <w:rPr>
                <w:rStyle w:val="VerbatimChar"/>
                <w:sz w:val="18"/>
              </w:rPr>
              <w:t xml:space="preserve">EStampCompleted</w:t>
            </w:r>
            <w:r>
              <w:rPr>
                <w:sz w:val="18"/>
              </w:rPr>
              <w:t xml:space="preserve">,</w:t>
            </w:r>
            <w:r>
              <w:rPr>
                <w:sz w:val="18"/>
              </w:rPr>
              <w:t xml:space="preserve"> </w:t>
            </w:r>
            <w:r>
              <w:rPr>
                <w:rStyle w:val="VerbatimChar"/>
                <w:sz w:val="18"/>
              </w:rPr>
              <w:t xml:space="preserve">MandateRegistered</w:t>
            </w:r>
            <w:r>
              <w:rPr>
                <w:sz w:val="18"/>
              </w:rPr>
              <w:t xml:space="preserve">,</w:t>
            </w:r>
            <w:r>
              <w:rPr>
                <w:sz w:val="18"/>
              </w:rPr>
              <w:t xml:space="preserve"> </w:t>
            </w:r>
            <w:r>
              <w:rPr>
                <w:rStyle w:val="VerbatimChar"/>
                <w:sz w:val="18"/>
              </w:rPr>
              <w:t xml:space="preserve">CoolingOffExitRequested</w:t>
            </w:r>
            <w:r>
              <w:rPr>
                <w:sz w:val="18"/>
              </w:rPr>
              <w:t xml:space="preserve">,</w:t>
            </w:r>
            <w:r>
              <w:rPr>
                <w:sz w:val="18"/>
              </w:rPr>
              <w:t xml:space="preserve"> </w:t>
            </w:r>
            <w:r>
              <w:rPr>
                <w:rStyle w:val="VerbatimChar"/>
                <w:sz w:val="18"/>
              </w:rPr>
              <w:t xml:space="preserve">SettlementRequested</w:t>
            </w:r>
            <w:r>
              <w:rPr>
                <w:sz w:val="18"/>
              </w:rPr>
              <w:t xml:space="preserve">,</w:t>
            </w:r>
            <w:r>
              <w:rPr>
                <w:sz w:val="18"/>
              </w:rPr>
              <w:t xml:space="preserve"> </w:t>
            </w:r>
            <w:r>
              <w:rPr>
                <w:rStyle w:val="VerbatimChar"/>
                <w:sz w:val="18"/>
              </w:rPr>
              <w:t xml:space="preserve">SettlementOfferAccepted</w:t>
            </w:r>
            <w:r>
              <w:rPr>
                <w:sz w:val="18"/>
              </w:rPr>
              <w:t xml:space="preserve">,</w:t>
            </w:r>
            <w:r>
              <w:rPr>
                <w:sz w:val="18"/>
              </w:rPr>
              <w:t xml:space="preserve"> </w:t>
            </w:r>
            <w:r>
              <w:rPr>
                <w:rStyle w:val="VerbatimChar"/>
                <w:sz w:val="18"/>
              </w:rPr>
              <w:t xml:space="preserve">PTPCaptured</w:t>
            </w:r>
            <w:r>
              <w:rPr>
                <w:sz w:val="18"/>
              </w:rPr>
              <w:t xml:space="preserve">,</w:t>
            </w:r>
            <w:r>
              <w:rPr>
                <w:sz w:val="18"/>
              </w:rPr>
              <w:t xml:space="preserve"> </w:t>
            </w:r>
            <w:r>
              <w:rPr>
                <w:rStyle w:val="VerbatimChar"/>
                <w:sz w:val="18"/>
              </w:rPr>
              <w:t xml:space="preserve">ConsentWithdrawn</w:t>
            </w:r>
            <w:r>
              <w:rPr>
                <w:sz w:val="18"/>
              </w:rPr>
              <w:t xml:space="preserve">,</w:t>
            </w:r>
            <w:r>
              <w:rPr>
                <w:sz w:val="18"/>
              </w:rPr>
              <w:t xml:space="preserve"> </w:t>
            </w:r>
            <w:r>
              <w:rPr>
                <w:rStyle w:val="VerbatimChar"/>
                <w:sz w:val="18"/>
              </w:rPr>
              <w:t xml:space="preserve">GrievanceRaised</w:t>
            </w:r>
            <w:r>
              <w:rPr>
                <w:sz w:val="18"/>
              </w:rPr>
              <w:t xml:space="preserve">,</w:t>
            </w:r>
            <w:r>
              <w:rPr>
                <w:sz w:val="18"/>
              </w:rPr>
              <w:t xml:space="preserve"> </w:t>
            </w:r>
            <w:r>
              <w:rPr>
                <w:rStyle w:val="VerbatimChar"/>
                <w:sz w:val="18"/>
              </w:rPr>
              <w:t xml:space="preserve">RiskSignalRaised</w:t>
            </w:r>
          </w:p>
        </w:tc>
      </w:tr>
      <w:tr>
        <w:tc>
          <w:tcPr>
            <w:tcW w:w="1733" w:type="dxa"/>
          </w:tcPr>
          <w:p>
            <w:pPr>
              <w:pStyle w:val="Compact"/>
              <w:spacing w:after="40"/>
              <w:jc w:val="left"/>
            </w:pPr>
            <w:r>
              <w:rPr>
                <w:sz w:val="18"/>
              </w:rPr>
              <w:t xml:space="preserve">Events from the RE</w:t>
            </w:r>
          </w:p>
        </w:tc>
        <w:tc>
          <w:tcPr>
            <w:tcW w:w="7905" w:type="dxa"/>
          </w:tcPr>
          <w:p>
            <w:pPr>
              <w:pStyle w:val="Compact"/>
              <w:spacing w:after="40"/>
              <w:jc w:val="left"/>
            </w:pPr>
            <w:r>
              <w:rPr>
                <w:rStyle w:val="VerbatimChar"/>
                <w:sz w:val="18"/>
              </w:rPr>
              <w:t xml:space="preserve">ProductCatalogPublished</w:t>
            </w:r>
            <w:r>
              <w:rPr>
                <w:sz w:val="18"/>
              </w:rPr>
              <w:t xml:space="preserve">,</w:t>
            </w:r>
            <w:r>
              <w:rPr>
                <w:sz w:val="18"/>
              </w:rPr>
              <w:t xml:space="preserve"> </w:t>
            </w:r>
            <w:r>
              <w:rPr>
                <w:rStyle w:val="VerbatimChar"/>
                <w:sz w:val="18"/>
              </w:rPr>
              <w:t xml:space="preserve">DecisionMade</w:t>
            </w:r>
            <w:r>
              <w:rPr>
                <w:sz w:val="18"/>
              </w:rPr>
              <w:t xml:space="preserve">,</w:t>
            </w:r>
            <w:r>
              <w:rPr>
                <w:sz w:val="18"/>
              </w:rPr>
              <w:t xml:space="preserve"> </w:t>
            </w:r>
            <w:r>
              <w:rPr>
                <w:rStyle w:val="VerbatimChar"/>
                <w:sz w:val="18"/>
              </w:rPr>
              <w:t xml:space="preserve">KFSIssued</w:t>
            </w:r>
            <w:r>
              <w:rPr>
                <w:sz w:val="18"/>
              </w:rPr>
              <w:t xml:space="preserve">,</w:t>
            </w:r>
            <w:r>
              <w:rPr>
                <w:sz w:val="18"/>
              </w:rPr>
              <w:t xml:space="preserve"> </w:t>
            </w:r>
            <w:r>
              <w:rPr>
                <w:rStyle w:val="VerbatimChar"/>
                <w:sz w:val="18"/>
              </w:rPr>
              <w:t xml:space="preserve">LoanDisbursed</w:t>
            </w:r>
            <w:r>
              <w:rPr>
                <w:sz w:val="18"/>
              </w:rPr>
              <w:t xml:space="preserve">,</w:t>
            </w:r>
            <w:r>
              <w:rPr>
                <w:sz w:val="18"/>
              </w:rPr>
              <w:t xml:space="preserve"> </w:t>
            </w:r>
            <w:r>
              <w:rPr>
                <w:rStyle w:val="VerbatimChar"/>
                <w:sz w:val="18"/>
              </w:rPr>
              <w:t xml:space="preserve">ScheduleIssued</w:t>
            </w:r>
            <w:r>
              <w:rPr>
                <w:sz w:val="18"/>
              </w:rPr>
              <w:t xml:space="preserve">,</w:t>
            </w:r>
            <w:r>
              <w:rPr>
                <w:sz w:val="18"/>
              </w:rPr>
              <w:t xml:space="preserve"> </w:t>
            </w:r>
            <w:r>
              <w:rPr>
                <w:rStyle w:val="VerbatimChar"/>
                <w:sz w:val="18"/>
              </w:rPr>
              <w:t xml:space="preserve">PaymentReceived</w:t>
            </w:r>
            <w:r>
              <w:rPr>
                <w:sz w:val="18"/>
              </w:rPr>
              <w:t xml:space="preserve">,</w:t>
            </w:r>
            <w:r>
              <w:rPr>
                <w:sz w:val="18"/>
              </w:rPr>
              <w:t xml:space="preserve"> </w:t>
            </w:r>
            <w:r>
              <w:rPr>
                <w:rStyle w:val="VerbatimChar"/>
                <w:sz w:val="18"/>
              </w:rPr>
              <w:t xml:space="preserve">DPDChanged</w:t>
            </w:r>
            <w:r>
              <w:rPr>
                <w:sz w:val="18"/>
              </w:rPr>
              <w:t xml:space="preserve">,</w:t>
            </w:r>
            <w:r>
              <w:rPr>
                <w:sz w:val="18"/>
              </w:rPr>
              <w:t xml:space="preserve"> </w:t>
            </w:r>
            <w:r>
              <w:rPr>
                <w:rStyle w:val="VerbatimChar"/>
                <w:sz w:val="18"/>
              </w:rPr>
              <w:t xml:space="preserve">LoanClosed</w:t>
            </w:r>
            <w:r>
              <w:rPr>
                <w:sz w:val="18"/>
              </w:rPr>
              <w:t xml:space="preserve">,</w:t>
            </w:r>
            <w:r>
              <w:rPr>
                <w:sz w:val="18"/>
              </w:rPr>
              <w:t xml:space="preserve"> </w:t>
            </w:r>
            <w:r>
              <w:rPr>
                <w:rStyle w:val="VerbatimChar"/>
                <w:sz w:val="18"/>
              </w:rPr>
              <w:t xml:space="preserve">NOCIssued</w:t>
            </w:r>
            <w:r>
              <w:rPr>
                <w:sz w:val="18"/>
              </w:rPr>
              <w:t xml:space="preserve">; recovery, ADR and litigation events only as Part 7A permits; transferred, assigned or co-lent loans add</w:t>
            </w:r>
            <w:r>
              <w:rPr>
                <w:sz w:val="18"/>
              </w:rPr>
              <w:t xml:space="preserve"> </w:t>
            </w:r>
            <w:r>
              <w:rPr>
                <w:rStyle w:val="VerbatimChar"/>
                <w:sz w:val="18"/>
              </w:rPr>
              <w:t xml:space="preserve">LoanTransferred</w:t>
            </w:r>
            <w:r>
              <w:rPr>
                <w:sz w:val="18"/>
              </w:rPr>
              <w:t xml:space="preserve"> </w:t>
            </w:r>
            <w:r>
              <w:rPr>
                <w:sz w:val="18"/>
              </w:rPr>
              <w:t xml:space="preserve">and</w:t>
            </w:r>
            <w:r>
              <w:rPr>
                <w:sz w:val="18"/>
              </w:rPr>
              <w:t xml:space="preserve"> </w:t>
            </w:r>
            <w:r>
              <w:rPr>
                <w:rStyle w:val="VerbatimChar"/>
                <w:sz w:val="18"/>
              </w:rPr>
              <w:t xml:space="preserve">ServicerChanged</w:t>
            </w:r>
            <w:r>
              <w:rPr>
                <w:sz w:val="18"/>
              </w:rPr>
              <w:t xml:space="preserve"> </w:t>
            </w:r>
            <w:r>
              <w:rPr>
                <w:sz w:val="18"/>
              </w:rPr>
              <w:t xml:space="preserve">(</w:t>
            </w:r>
            <w:r>
              <w:rPr>
                <w:rStyle w:val="VerbatimChar"/>
                <w:sz w:val="18"/>
              </w:rPr>
              <w:t xml:space="preserve">CoLendingSplitConfirmed</w:t>
            </w:r>
            <w:r>
              <w:rPr>
                <w:sz w:val="18"/>
              </w:rPr>
              <w:t xml:space="preserve"> </w:t>
            </w:r>
            <w:r>
              <w:rPr>
                <w:sz w:val="18"/>
              </w:rPr>
              <w:t xml:space="preserve">and</w:t>
            </w:r>
            <w:r>
              <w:rPr>
                <w:sz w:val="18"/>
              </w:rPr>
              <w:t xml:space="preserve"> </w:t>
            </w:r>
            <w:r>
              <w:rPr>
                <w:rStyle w:val="VerbatimChar"/>
                <w:sz w:val="18"/>
              </w:rPr>
              <w:t xml:space="preserve">ClassificationSynced</w:t>
            </w:r>
            <w:r>
              <w:rPr>
                <w:sz w:val="18"/>
              </w:rPr>
              <w:t xml:space="preserve"> </w:t>
            </w:r>
            <w:r>
              <w:rPr>
                <w:sz w:val="18"/>
              </w:rPr>
              <w:t xml:space="preserve">pass only between co-lenders: Integration Spec 6.6)</w:t>
            </w:r>
          </w:p>
        </w:tc>
      </w:tr>
      <w:tr>
        <w:tc>
          <w:tcPr>
            <w:tcW w:w="1733" w:type="dxa"/>
          </w:tcPr>
          <w:p>
            <w:pPr>
              <w:pStyle w:val="Compact"/>
              <w:spacing w:after="40"/>
              <w:jc w:val="left"/>
            </w:pPr>
            <w:r>
              <w:rPr>
                <w:sz w:val="18"/>
              </w:rPr>
              <w:t xml:space="preserve">Recovery</w:t>
            </w:r>
          </w:p>
        </w:tc>
        <w:tc>
          <w:tcPr>
            <w:tcW w:w="7905" w:type="dxa"/>
          </w:tcPr>
          <w:p>
            <w:pPr>
              <w:pStyle w:val="Compact"/>
              <w:spacing w:after="40"/>
              <w:jc w:val="left"/>
            </w:pPr>
            <w:r>
              <w:rPr>
                <w:sz w:val="18"/>
              </w:rPr>
              <w:t xml:space="preserve">Udofin: UR1 for every RE that attaches it; UR2–UR3 per the RE’s policy; UR4 only where appointed. The RE runs Finbyx R1–R16 or its own suite</w:t>
            </w:r>
          </w:p>
        </w:tc>
      </w:tr>
    </w:tbl>
    <w:bookmarkEnd w:id="48"/>
    <w:bookmarkStart w:id="49" w:name="product-1-personal-loan-mvp"/>
    <w:p>
      <w:pPr>
        <w:pStyle w:val="Heading3"/>
      </w:pPr>
      <w:r>
        <w:t xml:space="preserve">6.4.1 Product 1 — Personal loan (MVP)</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08"/>
        <w:gridCol w:w="7730"/>
      </w:tblGrid>
      <w:tr>
        <w:trPr>
          <w:tblHeader w:val="true"/>
          <w:tblHeader w:val="true"/>
        </w:trPr>
        <w:tc>
          <w:tcPr>
            <w:tcW w:w="1908" w:type="dxa"/>
            <w:shd w:val="clear" w:color="auto" w:fill="1F3A5F"/>
          </w:tcPr>
          <w:p>
            <w:pPr>
              <w:pStyle w:val="Compact"/>
              <w:spacing w:after="40"/>
              <w:jc w:val="left"/>
            </w:pPr>
            <w:r>
              <w:rPr>
                <w:b/>
                <w:color w:val="FFFFFF"/>
                <w:sz w:val="18"/>
              </w:rPr>
              <w:t xml:space="preserve">Step</w:t>
            </w:r>
          </w:p>
        </w:tc>
        <w:tc>
          <w:tcPr>
            <w:tcW w:w="7730" w:type="dxa"/>
            <w:shd w:val="clear" w:color="auto" w:fill="1F3A5F"/>
          </w:tcPr>
          <w:p>
            <w:pPr>
              <w:pStyle w:val="Compact"/>
              <w:spacing w:after="40"/>
              <w:jc w:val="left"/>
            </w:pPr>
            <w:r>
              <w:rPr>
                <w:b/>
                <w:color w:val="FFFFFF"/>
                <w:sz w:val="18"/>
              </w:rPr>
              <w:t xml:space="preserve">Workflow</w:t>
            </w:r>
          </w:p>
        </w:tc>
      </w:tr>
      <w:tr>
        <w:tc>
          <w:tcPr>
            <w:tcW w:w="1908" w:type="dxa"/>
          </w:tcPr>
          <w:p>
            <w:pPr>
              <w:pStyle w:val="Compact"/>
              <w:spacing w:after="40"/>
              <w:jc w:val="left"/>
            </w:pPr>
            <w:r>
              <w:rPr>
                <w:sz w:val="18"/>
              </w:rPr>
              <w:t xml:space="preserve">Channel</w:t>
            </w:r>
          </w:p>
        </w:tc>
        <w:tc>
          <w:tcPr>
            <w:tcW w:w="7730" w:type="dxa"/>
          </w:tcPr>
          <w:p>
            <w:pPr>
              <w:pStyle w:val="Compact"/>
              <w:spacing w:after="40"/>
              <w:jc w:val="left"/>
            </w:pPr>
            <w:r>
              <w:rPr>
                <w:sz w:val="18"/>
              </w:rPr>
              <w:t xml:space="preserve">Baseline; app and web</w:t>
            </w:r>
          </w:p>
        </w:tc>
      </w:tr>
      <w:tr>
        <w:tc>
          <w:tcPr>
            <w:tcW w:w="1908" w:type="dxa"/>
          </w:tcPr>
          <w:p>
            <w:pPr>
              <w:pStyle w:val="Compact"/>
              <w:spacing w:after="40"/>
              <w:jc w:val="left"/>
            </w:pPr>
            <w:r>
              <w:rPr>
                <w:sz w:val="18"/>
              </w:rPr>
              <w:t xml:space="preserve">KYC</w:t>
            </w:r>
          </w:p>
        </w:tc>
        <w:tc>
          <w:tcPr>
            <w:tcW w:w="7730" w:type="dxa"/>
          </w:tcPr>
          <w:p>
            <w:pPr>
              <w:pStyle w:val="Compact"/>
              <w:spacing w:after="40"/>
              <w:jc w:val="left"/>
            </w:pPr>
            <w:r>
              <w:rPr>
                <w:sz w:val="18"/>
              </w:rPr>
              <w:t xml:space="preserve">Baseline; OTP e-KYC route capped at ₹60,000 a year, larger loans to V-CIP or other CDD</w:t>
            </w:r>
          </w:p>
        </w:tc>
      </w:tr>
      <w:tr>
        <w:tc>
          <w:tcPr>
            <w:tcW w:w="1908" w:type="dxa"/>
          </w:tcPr>
          <w:p>
            <w:pPr>
              <w:pStyle w:val="Compact"/>
              <w:spacing w:after="40"/>
              <w:jc w:val="left"/>
            </w:pPr>
            <w:r>
              <w:rPr>
                <w:sz w:val="18"/>
              </w:rPr>
              <w:t xml:space="preserve">Credit data</w:t>
            </w:r>
          </w:p>
        </w:tc>
        <w:tc>
          <w:tcPr>
            <w:tcW w:w="7730" w:type="dxa"/>
          </w:tcPr>
          <w:p>
            <w:pPr>
              <w:pStyle w:val="Compact"/>
              <w:spacing w:after="40"/>
              <w:jc w:val="left"/>
            </w:pPr>
            <w:r>
              <w:rPr>
                <w:sz w:val="18"/>
              </w:rPr>
              <w:t xml:space="preserve">Bureau and AA income; household income; microfinance flag where household income is ₹3 lakh or less (CF para 51)</w:t>
            </w:r>
          </w:p>
        </w:tc>
      </w:tr>
      <w:tr>
        <w:tc>
          <w:tcPr>
            <w:tcW w:w="1908" w:type="dxa"/>
          </w:tcPr>
          <w:p>
            <w:pPr>
              <w:pStyle w:val="Compact"/>
              <w:spacing w:after="40"/>
              <w:jc w:val="left"/>
            </w:pPr>
            <w:r>
              <w:rPr>
                <w:sz w:val="18"/>
              </w:rPr>
              <w:t xml:space="preserve">Collateral</w:t>
            </w:r>
          </w:p>
        </w:tc>
        <w:tc>
          <w:tcPr>
            <w:tcW w:w="7730" w:type="dxa"/>
          </w:tcPr>
          <w:p>
            <w:pPr>
              <w:pStyle w:val="Compact"/>
              <w:spacing w:after="40"/>
              <w:jc w:val="left"/>
            </w:pPr>
            <w:r>
              <w:rPr>
                <w:sz w:val="18"/>
              </w:rPr>
              <w:t xml:space="preserve">None</w:t>
            </w:r>
          </w:p>
        </w:tc>
      </w:tr>
      <w:tr>
        <w:tc>
          <w:tcPr>
            <w:tcW w:w="1908" w:type="dxa"/>
          </w:tcPr>
          <w:p>
            <w:pPr>
              <w:pStyle w:val="Compact"/>
              <w:spacing w:after="40"/>
              <w:jc w:val="left"/>
            </w:pPr>
            <w:r>
              <w:rPr>
                <w:sz w:val="18"/>
              </w:rPr>
              <w:t xml:space="preserve">Documentation</w:t>
            </w:r>
          </w:p>
        </w:tc>
        <w:tc>
          <w:tcPr>
            <w:tcW w:w="7730" w:type="dxa"/>
          </w:tcPr>
          <w:p>
            <w:pPr>
              <w:pStyle w:val="Compact"/>
              <w:spacing w:after="40"/>
              <w:jc w:val="left"/>
            </w:pPr>
            <w:r>
              <w:rPr>
                <w:sz w:val="18"/>
              </w:rPr>
              <w:t xml:space="preserve">Baseline; NACH mandate; no PDCs where NACH is available (MISC para 23)</w:t>
            </w:r>
          </w:p>
        </w:tc>
      </w:tr>
      <w:tr>
        <w:tc>
          <w:tcPr>
            <w:tcW w:w="1908" w:type="dxa"/>
          </w:tcPr>
          <w:p>
            <w:pPr>
              <w:pStyle w:val="Compact"/>
              <w:spacing w:after="40"/>
              <w:jc w:val="left"/>
            </w:pPr>
            <w:r>
              <w:rPr>
                <w:sz w:val="18"/>
              </w:rPr>
              <w:t xml:space="preserve">Disbursement</w:t>
            </w:r>
          </w:p>
        </w:tc>
        <w:tc>
          <w:tcPr>
            <w:tcW w:w="7730" w:type="dxa"/>
          </w:tcPr>
          <w:p>
            <w:pPr>
              <w:pStyle w:val="Compact"/>
              <w:spacing w:after="40"/>
              <w:jc w:val="left"/>
            </w:pPr>
            <w:r>
              <w:rPr>
                <w:sz w:val="18"/>
              </w:rPr>
              <w:t xml:space="preserve">Borrower’s account</w:t>
            </w:r>
          </w:p>
        </w:tc>
      </w:tr>
      <w:tr>
        <w:tc>
          <w:tcPr>
            <w:tcW w:w="1908" w:type="dxa"/>
          </w:tcPr>
          <w:p>
            <w:pPr>
              <w:pStyle w:val="Compact"/>
              <w:spacing w:after="40"/>
              <w:jc w:val="left"/>
            </w:pPr>
            <w:r>
              <w:rPr>
                <w:sz w:val="18"/>
              </w:rPr>
              <w:t xml:space="preserve">Events to the RE</w:t>
            </w:r>
          </w:p>
        </w:tc>
        <w:tc>
          <w:tcPr>
            <w:tcW w:w="7730" w:type="dxa"/>
          </w:tcPr>
          <w:p>
            <w:pPr>
              <w:pStyle w:val="Compact"/>
              <w:spacing w:after="40"/>
              <w:jc w:val="left"/>
            </w:pPr>
            <w:r>
              <w:rPr>
                <w:sz w:val="18"/>
              </w:rPr>
              <w:t xml:space="preserve">Baseline</w:t>
            </w:r>
          </w:p>
        </w:tc>
      </w:tr>
      <w:tr>
        <w:tc>
          <w:tcPr>
            <w:tcW w:w="1908" w:type="dxa"/>
          </w:tcPr>
          <w:p>
            <w:pPr>
              <w:pStyle w:val="Compact"/>
              <w:spacing w:after="40"/>
              <w:jc w:val="left"/>
            </w:pPr>
            <w:r>
              <w:rPr>
                <w:sz w:val="18"/>
              </w:rPr>
              <w:t xml:space="preserve">Recovery playbook</w:t>
            </w:r>
          </w:p>
        </w:tc>
        <w:tc>
          <w:tcPr>
            <w:tcW w:w="7730" w:type="dxa"/>
          </w:tcPr>
          <w:p>
            <w:pPr>
              <w:pStyle w:val="Compact"/>
              <w:spacing w:after="40"/>
              <w:jc w:val="left"/>
            </w:pPr>
            <w:r>
              <w:rPr>
                <w:sz w:val="18"/>
              </w:rPr>
              <w:t xml:space="preserve">Finbyx R16</w:t>
            </w:r>
            <w:r>
              <w:rPr>
                <w:sz w:val="18"/>
              </w:rPr>
              <w:t xml:space="preserve"> </w:t>
            </w:r>
            <w:r>
              <w:rPr>
                <w:rStyle w:val="VerbatimChar"/>
                <w:sz w:val="18"/>
              </w:rPr>
              <w:t xml:space="preserve">PL</w:t>
            </w:r>
            <w:r>
              <w:rPr>
                <w:sz w:val="18"/>
              </w:rPr>
              <w:t xml:space="preserve">: reminders → NI Act s.138 or PSS Act s.25 where an instrument bounced → conciliation (s.74) or Lok Adalat → arbitration only via a pre-named institution or post-dispute consent → civil or commercial suit (s.12A mediation if ₹3 lakh or more). No SARFAESI (unsecured)</w:t>
            </w:r>
          </w:p>
        </w:tc>
      </w:tr>
    </w:tbl>
    <w:bookmarkEnd w:id="49"/>
    <w:bookmarkStart w:id="50" w:name="X553013a31135660cd08fe56e25cd556052d1d00"/>
    <w:p>
      <w:pPr>
        <w:pStyle w:val="Heading3"/>
      </w:pPr>
      <w:r>
        <w:t xml:space="preserve">6.4.2 Product 2 — Payday / short-tenure loan (MVP, launch-gated)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47"/>
        <w:gridCol w:w="7291"/>
      </w:tblGrid>
      <w:tr>
        <w:trPr>
          <w:tblHeader w:val="true"/>
          <w:tblHeader w:val="true"/>
        </w:trPr>
        <w:tc>
          <w:tcPr>
            <w:tcW w:w="2347" w:type="dxa"/>
            <w:shd w:val="clear" w:color="auto" w:fill="1F3A5F"/>
          </w:tcPr>
          <w:p>
            <w:pPr>
              <w:pStyle w:val="Compact"/>
              <w:spacing w:after="40"/>
              <w:jc w:val="left"/>
            </w:pPr>
            <w:r>
              <w:rPr>
                <w:b/>
                <w:color w:val="FFFFFF"/>
                <w:sz w:val="18"/>
              </w:rPr>
              <w:t xml:space="preserve">Step</w:t>
            </w:r>
          </w:p>
        </w:tc>
        <w:tc>
          <w:tcPr>
            <w:tcW w:w="7291" w:type="dxa"/>
            <w:shd w:val="clear" w:color="auto" w:fill="1F3A5F"/>
          </w:tcPr>
          <w:p>
            <w:pPr>
              <w:pStyle w:val="Compact"/>
              <w:spacing w:after="40"/>
              <w:jc w:val="left"/>
            </w:pPr>
            <w:r>
              <w:rPr>
                <w:b/>
                <w:color w:val="FFFFFF"/>
                <w:sz w:val="18"/>
              </w:rPr>
              <w:t xml:space="preserve">Workflow</w:t>
            </w:r>
          </w:p>
        </w:tc>
      </w:tr>
      <w:tr>
        <w:tc>
          <w:tcPr>
            <w:tcW w:w="2347" w:type="dxa"/>
          </w:tcPr>
          <w:p>
            <w:pPr>
              <w:pStyle w:val="Compact"/>
              <w:spacing w:after="40"/>
              <w:jc w:val="left"/>
            </w:pPr>
            <w:r>
              <w:rPr>
                <w:sz w:val="18"/>
              </w:rPr>
              <w:t xml:space="preserve">Channel</w:t>
            </w:r>
          </w:p>
        </w:tc>
        <w:tc>
          <w:tcPr>
            <w:tcW w:w="7291" w:type="dxa"/>
          </w:tcPr>
          <w:p>
            <w:pPr>
              <w:pStyle w:val="Compact"/>
              <w:spacing w:after="40"/>
              <w:jc w:val="left"/>
            </w:pPr>
            <w:r>
              <w:rPr>
                <w:sz w:val="18"/>
              </w:rPr>
              <w:t xml:space="preserve">Borrower web only where tenor is 60 days or less; store apps never show or link it (Part 6.2)</w:t>
            </w:r>
          </w:p>
        </w:tc>
      </w:tr>
      <w:tr>
        <w:tc>
          <w:tcPr>
            <w:tcW w:w="2347" w:type="dxa"/>
          </w:tcPr>
          <w:p>
            <w:pPr>
              <w:pStyle w:val="Compact"/>
              <w:spacing w:after="40"/>
              <w:jc w:val="left"/>
            </w:pPr>
            <w:r>
              <w:rPr>
                <w:sz w:val="18"/>
              </w:rPr>
              <w:t xml:space="preserve">KYC</w:t>
            </w:r>
          </w:p>
        </w:tc>
        <w:tc>
          <w:tcPr>
            <w:tcW w:w="7291" w:type="dxa"/>
          </w:tcPr>
          <w:p>
            <w:pPr>
              <w:pStyle w:val="Compact"/>
              <w:spacing w:after="40"/>
              <w:jc w:val="left"/>
            </w:pPr>
            <w:r>
              <w:rPr>
                <w:sz w:val="18"/>
              </w:rPr>
              <w:t xml:space="preserve">As Product 1</w:t>
            </w:r>
          </w:p>
        </w:tc>
      </w:tr>
      <w:tr>
        <w:tc>
          <w:tcPr>
            <w:tcW w:w="2347" w:type="dxa"/>
          </w:tcPr>
          <w:p>
            <w:pPr>
              <w:pStyle w:val="Compact"/>
              <w:spacing w:after="40"/>
              <w:jc w:val="left"/>
            </w:pPr>
            <w:r>
              <w:rPr>
                <w:sz w:val="18"/>
              </w:rPr>
              <w:t xml:space="preserve">Credit data</w:t>
            </w:r>
          </w:p>
        </w:tc>
        <w:tc>
          <w:tcPr>
            <w:tcW w:w="7291" w:type="dxa"/>
          </w:tcPr>
          <w:p>
            <w:pPr>
              <w:pStyle w:val="Compact"/>
              <w:spacing w:after="40"/>
              <w:jc w:val="left"/>
            </w:pPr>
            <w:r>
              <w:rPr>
                <w:sz w:val="18"/>
              </w:rPr>
              <w:t xml:space="preserve">As Product 1; RE repeat-borrowing and affordability limits</w:t>
            </w:r>
          </w:p>
        </w:tc>
      </w:tr>
      <w:tr>
        <w:tc>
          <w:tcPr>
            <w:tcW w:w="2347" w:type="dxa"/>
          </w:tcPr>
          <w:p>
            <w:pPr>
              <w:pStyle w:val="Compact"/>
              <w:spacing w:after="40"/>
              <w:jc w:val="left"/>
            </w:pPr>
            <w:r>
              <w:rPr>
                <w:sz w:val="18"/>
              </w:rPr>
              <w:t xml:space="preserve">Collateral</w:t>
            </w:r>
          </w:p>
        </w:tc>
        <w:tc>
          <w:tcPr>
            <w:tcW w:w="7291" w:type="dxa"/>
          </w:tcPr>
          <w:p>
            <w:pPr>
              <w:pStyle w:val="Compact"/>
              <w:spacing w:after="40"/>
              <w:jc w:val="left"/>
            </w:pPr>
            <w:r>
              <w:rPr>
                <w:sz w:val="18"/>
              </w:rPr>
              <w:t xml:space="preserve">None</w:t>
            </w:r>
          </w:p>
        </w:tc>
      </w:tr>
      <w:tr>
        <w:tc>
          <w:tcPr>
            <w:tcW w:w="2347" w:type="dxa"/>
          </w:tcPr>
          <w:p>
            <w:pPr>
              <w:pStyle w:val="Compact"/>
              <w:spacing w:after="40"/>
              <w:jc w:val="left"/>
            </w:pPr>
            <w:r>
              <w:rPr>
                <w:sz w:val="18"/>
              </w:rPr>
              <w:t xml:space="preserve">Documentation</w:t>
            </w:r>
          </w:p>
        </w:tc>
        <w:tc>
          <w:tcPr>
            <w:tcW w:w="7291" w:type="dxa"/>
          </w:tcPr>
          <w:p>
            <w:pPr>
              <w:pStyle w:val="Compact"/>
              <w:spacing w:after="40"/>
              <w:jc w:val="left"/>
            </w:pPr>
            <w:r>
              <w:rPr>
                <w:sz w:val="18"/>
              </w:rPr>
              <w:t xml:space="preserve">KFS validity of one working day where tenor is under 7 days (RBC para 29(2))</w:t>
            </w:r>
          </w:p>
        </w:tc>
      </w:tr>
      <w:tr>
        <w:tc>
          <w:tcPr>
            <w:tcW w:w="2347" w:type="dxa"/>
          </w:tcPr>
          <w:p>
            <w:pPr>
              <w:pStyle w:val="Compact"/>
              <w:spacing w:after="40"/>
              <w:jc w:val="left"/>
            </w:pPr>
            <w:r>
              <w:rPr>
                <w:sz w:val="18"/>
              </w:rPr>
              <w:t xml:space="preserve">Disbursement</w:t>
            </w:r>
          </w:p>
        </w:tc>
        <w:tc>
          <w:tcPr>
            <w:tcW w:w="7291" w:type="dxa"/>
          </w:tcPr>
          <w:p>
            <w:pPr>
              <w:pStyle w:val="Compact"/>
              <w:spacing w:after="40"/>
              <w:jc w:val="left"/>
            </w:pPr>
            <w:r>
              <w:rPr>
                <w:sz w:val="18"/>
              </w:rPr>
              <w:t xml:space="preserve">Borrower’s account</w:t>
            </w:r>
          </w:p>
        </w:tc>
      </w:tr>
      <w:tr>
        <w:tc>
          <w:tcPr>
            <w:tcW w:w="2347" w:type="dxa"/>
          </w:tcPr>
          <w:p>
            <w:pPr>
              <w:pStyle w:val="Compact"/>
              <w:spacing w:after="40"/>
              <w:jc w:val="left"/>
            </w:pPr>
            <w:r>
              <w:rPr>
                <w:sz w:val="18"/>
              </w:rPr>
              <w:t xml:space="preserve">Events to the RE</w:t>
            </w:r>
          </w:p>
        </w:tc>
        <w:tc>
          <w:tcPr>
            <w:tcW w:w="7291" w:type="dxa"/>
          </w:tcPr>
          <w:p>
            <w:pPr>
              <w:pStyle w:val="Compact"/>
              <w:spacing w:after="40"/>
              <w:jc w:val="left"/>
            </w:pPr>
            <w:r>
              <w:rPr>
                <w:sz w:val="18"/>
              </w:rPr>
              <w:t xml:space="preserve">Baseline</w:t>
            </w:r>
          </w:p>
        </w:tc>
      </w:tr>
      <w:tr>
        <w:tc>
          <w:tcPr>
            <w:tcW w:w="2347" w:type="dxa"/>
          </w:tcPr>
          <w:p>
            <w:pPr>
              <w:pStyle w:val="Compact"/>
              <w:spacing w:after="40"/>
              <w:jc w:val="left"/>
            </w:pPr>
            <w:r>
              <w:rPr>
                <w:sz w:val="18"/>
              </w:rPr>
              <w:t xml:space="preserve">Recovery playbook</w:t>
            </w:r>
          </w:p>
        </w:tc>
        <w:tc>
          <w:tcPr>
            <w:tcW w:w="7291" w:type="dxa"/>
          </w:tcPr>
          <w:p>
            <w:pPr>
              <w:pStyle w:val="Compact"/>
              <w:spacing w:after="40"/>
              <w:jc w:val="left"/>
            </w:pPr>
            <w:r>
              <w:rPr>
                <w:sz w:val="18"/>
              </w:rPr>
              <w:t xml:space="preserve">Finbyx R16</w:t>
            </w:r>
            <w:r>
              <w:rPr>
                <w:sz w:val="18"/>
              </w:rPr>
              <w:t xml:space="preserve"> </w:t>
            </w:r>
            <w:r>
              <w:rPr>
                <w:rStyle w:val="VerbatimChar"/>
                <w:sz w:val="18"/>
              </w:rPr>
              <w:t xml:space="preserve">PDL</w:t>
            </w:r>
            <w:r>
              <w:rPr>
                <w:sz w:val="18"/>
              </w:rPr>
              <w:t xml:space="preserve">: early-bucket reminders → conciliation or Lok Adalat for small tickets → s.25 PSS Act where a NACH debit bounced. Heightened conduct monitoring (UR6)</w:t>
            </w:r>
          </w:p>
        </w:tc>
      </w:tr>
    </w:tbl>
    <w:bookmarkEnd w:id="50"/>
    <w:bookmarkStart w:id="51" w:name="X69f87cd83ce305f1b64b049bdc0ec2e5f371def"/>
    <w:p>
      <w:pPr>
        <w:pStyle w:val="Heading3"/>
      </w:pPr>
      <w:r>
        <w:t xml:space="preserve">6.4.3 Product 3 — Loan against securities (Phase 18)</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68"/>
        <w:gridCol w:w="7670"/>
      </w:tblGrid>
      <w:tr>
        <w:trPr>
          <w:tblHeader w:val="true"/>
          <w:tblHeader w:val="true"/>
        </w:trPr>
        <w:tc>
          <w:tcPr>
            <w:tcW w:w="1968" w:type="dxa"/>
            <w:shd w:val="clear" w:color="auto" w:fill="1F3A5F"/>
          </w:tcPr>
          <w:p>
            <w:pPr>
              <w:pStyle w:val="Compact"/>
              <w:spacing w:after="40"/>
              <w:jc w:val="left"/>
            </w:pPr>
            <w:r>
              <w:rPr>
                <w:b/>
                <w:color w:val="FFFFFF"/>
                <w:sz w:val="18"/>
              </w:rPr>
              <w:t xml:space="preserve">Step</w:t>
            </w:r>
          </w:p>
        </w:tc>
        <w:tc>
          <w:tcPr>
            <w:tcW w:w="7670" w:type="dxa"/>
            <w:shd w:val="clear" w:color="auto" w:fill="1F3A5F"/>
          </w:tcPr>
          <w:p>
            <w:pPr>
              <w:pStyle w:val="Compact"/>
              <w:spacing w:after="40"/>
              <w:jc w:val="left"/>
            </w:pPr>
            <w:r>
              <w:rPr>
                <w:b/>
                <w:color w:val="FFFFFF"/>
                <w:sz w:val="18"/>
              </w:rPr>
              <w:t xml:space="preserve">Workflow</w:t>
            </w:r>
          </w:p>
        </w:tc>
      </w:tr>
      <w:tr>
        <w:tc>
          <w:tcPr>
            <w:tcW w:w="1968" w:type="dxa"/>
          </w:tcPr>
          <w:p>
            <w:pPr>
              <w:pStyle w:val="Compact"/>
              <w:spacing w:after="40"/>
              <w:jc w:val="left"/>
            </w:pPr>
            <w:r>
              <w:rPr>
                <w:sz w:val="18"/>
              </w:rPr>
              <w:t xml:space="preserve">Channel</w:t>
            </w:r>
          </w:p>
        </w:tc>
        <w:tc>
          <w:tcPr>
            <w:tcW w:w="7670" w:type="dxa"/>
          </w:tcPr>
          <w:p>
            <w:pPr>
              <w:pStyle w:val="Compact"/>
              <w:spacing w:after="40"/>
              <w:jc w:val="left"/>
            </w:pPr>
            <w:r>
              <w:rPr>
                <w:sz w:val="18"/>
              </w:rPr>
              <w:t xml:space="preserve">Baseline plus holdings consent and pledge or lien authorisation; full journey in 6.5</w:t>
            </w:r>
          </w:p>
        </w:tc>
      </w:tr>
      <w:tr>
        <w:tc>
          <w:tcPr>
            <w:tcW w:w="1968" w:type="dxa"/>
          </w:tcPr>
          <w:p>
            <w:pPr>
              <w:pStyle w:val="Compact"/>
              <w:spacing w:after="40"/>
              <w:jc w:val="left"/>
            </w:pPr>
            <w:r>
              <w:rPr>
                <w:sz w:val="18"/>
              </w:rPr>
              <w:t xml:space="preserve">KYC</w:t>
            </w:r>
          </w:p>
        </w:tc>
        <w:tc>
          <w:tcPr>
            <w:tcW w:w="7670" w:type="dxa"/>
          </w:tcPr>
          <w:p>
            <w:pPr>
              <w:pStyle w:val="Compact"/>
              <w:spacing w:after="40"/>
              <w:jc w:val="left"/>
            </w:pPr>
            <w:r>
              <w:rPr>
                <w:sz w:val="18"/>
              </w:rPr>
              <w:t xml:space="preserve">Baseline; demat and folio holder must match the borrower</w:t>
            </w:r>
          </w:p>
        </w:tc>
      </w:tr>
      <w:tr>
        <w:tc>
          <w:tcPr>
            <w:tcW w:w="1968" w:type="dxa"/>
          </w:tcPr>
          <w:p>
            <w:pPr>
              <w:pStyle w:val="Compact"/>
              <w:spacing w:after="40"/>
              <w:jc w:val="left"/>
            </w:pPr>
            <w:r>
              <w:rPr>
                <w:sz w:val="18"/>
              </w:rPr>
              <w:t xml:space="preserve">Credit data</w:t>
            </w:r>
          </w:p>
        </w:tc>
        <w:tc>
          <w:tcPr>
            <w:tcW w:w="7670" w:type="dxa"/>
          </w:tcPr>
          <w:p>
            <w:pPr>
              <w:pStyle w:val="Compact"/>
              <w:spacing w:after="40"/>
              <w:jc w:val="left"/>
            </w:pPr>
            <w:r>
              <w:rPr>
                <w:sz w:val="18"/>
              </w:rPr>
              <w:t xml:space="preserve">Holdings via CDSL LAS consent, NSDL CAS or MF Central and RTA (with consent); bureau per RE policy</w:t>
            </w:r>
          </w:p>
        </w:tc>
      </w:tr>
      <w:tr>
        <w:tc>
          <w:tcPr>
            <w:tcW w:w="1968" w:type="dxa"/>
          </w:tcPr>
          <w:p>
            <w:pPr>
              <w:pStyle w:val="Compact"/>
              <w:spacing w:after="40"/>
              <w:jc w:val="left"/>
            </w:pPr>
            <w:r>
              <w:rPr>
                <w:sz w:val="18"/>
              </w:rPr>
              <w:t xml:space="preserve">Collateral</w:t>
            </w:r>
          </w:p>
        </w:tc>
        <w:tc>
          <w:tcPr>
            <w:tcW w:w="7670" w:type="dxa"/>
          </w:tcPr>
          <w:p>
            <w:pPr>
              <w:pStyle w:val="Compact"/>
              <w:spacing w:after="40"/>
              <w:jc w:val="left"/>
            </w:pPr>
            <w:r>
              <w:rPr>
                <w:sz w:val="18"/>
              </w:rPr>
              <w:t xml:space="preserve">Pledge (NSDL, CDSL) or MF lien (CAMS, KFintech, MF Central) in favour of the RE; RE values daily; 50% LTV for listed shares, 7-working-day cure (CF para 106(1)); no RE own shares (para 105); no ETF or MF units backed by primary gold or silver (CF para 35(2))</w:t>
            </w:r>
          </w:p>
        </w:tc>
      </w:tr>
      <w:tr>
        <w:tc>
          <w:tcPr>
            <w:tcW w:w="1968" w:type="dxa"/>
          </w:tcPr>
          <w:p>
            <w:pPr>
              <w:pStyle w:val="Compact"/>
              <w:spacing w:after="40"/>
              <w:jc w:val="left"/>
            </w:pPr>
            <w:r>
              <w:rPr>
                <w:sz w:val="18"/>
              </w:rPr>
              <w:t xml:space="preserve">Documentation</w:t>
            </w:r>
          </w:p>
        </w:tc>
        <w:tc>
          <w:tcPr>
            <w:tcW w:w="7670" w:type="dxa"/>
          </w:tcPr>
          <w:p>
            <w:pPr>
              <w:pStyle w:val="Compact"/>
              <w:spacing w:after="40"/>
              <w:jc w:val="left"/>
            </w:pPr>
            <w:r>
              <w:rPr>
                <w:sz w:val="18"/>
              </w:rPr>
              <w:t xml:space="preserve">Baseline; pledge form carrying the pledgee’s reasonable-notice undertaking (SEBI circular of 5 Feb 2026) [VERIFY: circular number]</w:t>
            </w:r>
          </w:p>
        </w:tc>
      </w:tr>
      <w:tr>
        <w:tc>
          <w:tcPr>
            <w:tcW w:w="1968" w:type="dxa"/>
          </w:tcPr>
          <w:p>
            <w:pPr>
              <w:pStyle w:val="Compact"/>
              <w:spacing w:after="40"/>
              <w:jc w:val="left"/>
            </w:pPr>
            <w:r>
              <w:rPr>
                <w:sz w:val="18"/>
              </w:rPr>
              <w:t xml:space="preserve">Disbursement</w:t>
            </w:r>
          </w:p>
        </w:tc>
        <w:tc>
          <w:tcPr>
            <w:tcW w:w="7670" w:type="dxa"/>
          </w:tcPr>
          <w:p>
            <w:pPr>
              <w:pStyle w:val="Compact"/>
              <w:spacing w:after="40"/>
              <w:jc w:val="left"/>
            </w:pPr>
            <w:r>
              <w:rPr>
                <w:sz w:val="18"/>
              </w:rPr>
              <w:t xml:space="preserve">Borrower’s account only after</w:t>
            </w:r>
            <w:r>
              <w:rPr>
                <w:sz w:val="18"/>
              </w:rPr>
              <w:t xml:space="preserve"> </w:t>
            </w:r>
            <w:r>
              <w:rPr>
                <w:rStyle w:val="VerbatimChar"/>
                <w:sz w:val="18"/>
              </w:rPr>
              <w:t xml:space="preserve">CollateralPledgeCreated</w:t>
            </w:r>
          </w:p>
        </w:tc>
      </w:tr>
      <w:tr>
        <w:tc>
          <w:tcPr>
            <w:tcW w:w="1968" w:type="dxa"/>
          </w:tcPr>
          <w:p>
            <w:pPr>
              <w:pStyle w:val="Compact"/>
              <w:spacing w:after="40"/>
              <w:jc w:val="left"/>
            </w:pPr>
            <w:r>
              <w:rPr>
                <w:sz w:val="18"/>
              </w:rPr>
              <w:t xml:space="preserve">Events to the RE</w:t>
            </w:r>
          </w:p>
        </w:tc>
        <w:tc>
          <w:tcPr>
            <w:tcW w:w="7670" w:type="dxa"/>
          </w:tcPr>
          <w:p>
            <w:pPr>
              <w:pStyle w:val="Compact"/>
              <w:spacing w:after="40"/>
              <w:jc w:val="left"/>
            </w:pPr>
            <w:r>
              <w:rPr>
                <w:sz w:val="18"/>
              </w:rPr>
              <w:t xml:space="preserve">Baseline plus</w:t>
            </w:r>
            <w:r>
              <w:rPr>
                <w:sz w:val="18"/>
              </w:rPr>
              <w:t xml:space="preserve"> </w:t>
            </w:r>
            <w:r>
              <w:rPr>
                <w:rStyle w:val="VerbatimChar"/>
                <w:sz w:val="18"/>
              </w:rPr>
              <w:t xml:space="preserve">CollateralHoldingsShared</w:t>
            </w:r>
            <w:r>
              <w:rPr>
                <w:sz w:val="18"/>
              </w:rPr>
              <w:t xml:space="preserve">; OD drawdown through the</w:t>
            </w:r>
            <w:r>
              <w:rPr>
                <w:sz w:val="18"/>
              </w:rPr>
              <w:t xml:space="preserve"> </w:t>
            </w:r>
            <w:r>
              <w:rPr>
                <w:rStyle w:val="VerbatimChar"/>
                <w:sz w:val="18"/>
              </w:rPr>
              <w:t xml:space="preserve">DrawdownRequested</w:t>
            </w:r>
            <w:r>
              <w:rPr>
                <w:sz w:val="18"/>
              </w:rPr>
              <w:t xml:space="preserve"> </w:t>
            </w:r>
            <w:r>
              <w:rPr>
                <w:sz w:val="18"/>
              </w:rPr>
              <w:t xml:space="preserve">API (FAPI 2.0; Integration Spec 6.3). From the RE:</w:t>
            </w:r>
            <w:r>
              <w:rPr>
                <w:sz w:val="18"/>
              </w:rPr>
              <w:t xml:space="preserve"> </w:t>
            </w:r>
            <w:r>
              <w:rPr>
                <w:rStyle w:val="VerbatimChar"/>
                <w:sz w:val="18"/>
              </w:rPr>
              <w:t xml:space="preserve">CollateralPledgeRequested</w:t>
            </w:r>
            <w:r>
              <w:rPr>
                <w:sz w:val="18"/>
              </w:rPr>
              <w:t xml:space="preserve">, then</w:t>
            </w:r>
            <w:r>
              <w:rPr>
                <w:sz w:val="18"/>
              </w:rPr>
              <w:t xml:space="preserve"> </w:t>
            </w:r>
            <w:r>
              <w:rPr>
                <w:rStyle w:val="VerbatimChar"/>
                <w:sz w:val="18"/>
              </w:rPr>
              <w:t xml:space="preserve">CollateralPledgeCreated</w:t>
            </w:r>
            <w:r>
              <w:rPr>
                <w:sz w:val="18"/>
              </w:rPr>
              <w:t xml:space="preserve"> </w:t>
            </w:r>
            <w:r>
              <w:rPr>
                <w:sz w:val="18"/>
              </w:rPr>
              <w:t xml:space="preserve">or</w:t>
            </w:r>
            <w:r>
              <w:rPr>
                <w:sz w:val="18"/>
              </w:rPr>
              <w:t xml:space="preserve"> </w:t>
            </w:r>
            <w:r>
              <w:rPr>
                <w:rStyle w:val="VerbatimChar"/>
                <w:sz w:val="18"/>
              </w:rPr>
              <w:t xml:space="preserve">CollateralPledgeFailed</w:t>
            </w:r>
            <w:r>
              <w:rPr>
                <w:sz w:val="18"/>
              </w:rPr>
              <w:t xml:space="preserve"> </w:t>
            </w:r>
            <w:r>
              <w:rPr>
                <w:sz w:val="18"/>
              </w:rPr>
              <w:t xml:space="preserve">(6.5)</w:t>
            </w:r>
          </w:p>
        </w:tc>
      </w:tr>
      <w:tr>
        <w:tc>
          <w:tcPr>
            <w:tcW w:w="1968" w:type="dxa"/>
          </w:tcPr>
          <w:p>
            <w:pPr>
              <w:pStyle w:val="Compact"/>
              <w:spacing w:after="40"/>
              <w:jc w:val="left"/>
            </w:pPr>
            <w:r>
              <w:rPr>
                <w:sz w:val="18"/>
              </w:rPr>
              <w:t xml:space="preserve">Recovery playbook</w:t>
            </w:r>
          </w:p>
        </w:tc>
        <w:tc>
          <w:tcPr>
            <w:tcW w:w="7670" w:type="dxa"/>
          </w:tcPr>
          <w:p>
            <w:pPr>
              <w:pStyle w:val="Compact"/>
              <w:spacing w:after="40"/>
              <w:jc w:val="left"/>
            </w:pPr>
            <w:r>
              <w:rPr>
                <w:sz w:val="18"/>
              </w:rPr>
              <w:t xml:space="preserve">Finbyx R16</w:t>
            </w:r>
            <w:r>
              <w:rPr>
                <w:sz w:val="18"/>
              </w:rPr>
              <w:t xml:space="preserve"> </w:t>
            </w:r>
            <w:r>
              <w:rPr>
                <w:rStyle w:val="VerbatimChar"/>
                <w:sz w:val="18"/>
              </w:rPr>
              <w:t xml:space="preserve">LAS</w:t>
            </w:r>
            <w:r>
              <w:rPr>
                <w:sz w:val="18"/>
              </w:rPr>
              <w:t xml:space="preserve">: margin call → reasonable notice → pledge invocation (ICA s.176) → sale under Board policy → shortfall by civil suit or pre-agreed arbitration. SARFAESI excluded (s.31(b)); NBFCs generally cannot use DRT</w:t>
            </w:r>
          </w:p>
        </w:tc>
      </w:tr>
    </w:tbl>
    <w:bookmarkEnd w:id="51"/>
    <w:bookmarkStart w:id="52" w:name="product-4-home-loan-phase-18"/>
    <w:p>
      <w:pPr>
        <w:pStyle w:val="Heading3"/>
      </w:pPr>
      <w:r>
        <w:t xml:space="preserve">6.4.4 Product 4 — Home loan (Phase 18)</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14"/>
        <w:gridCol w:w="7824"/>
      </w:tblGrid>
      <w:tr>
        <w:trPr>
          <w:tblHeader w:val="true"/>
          <w:tblHeader w:val="true"/>
        </w:trPr>
        <w:tc>
          <w:tcPr>
            <w:tcW w:w="1814" w:type="dxa"/>
            <w:shd w:val="clear" w:color="auto" w:fill="1F3A5F"/>
          </w:tcPr>
          <w:p>
            <w:pPr>
              <w:pStyle w:val="Compact"/>
              <w:spacing w:after="40"/>
              <w:jc w:val="left"/>
            </w:pPr>
            <w:r>
              <w:rPr>
                <w:b/>
                <w:color w:val="FFFFFF"/>
                <w:sz w:val="18"/>
              </w:rPr>
              <w:t xml:space="preserve">Step</w:t>
            </w:r>
          </w:p>
        </w:tc>
        <w:tc>
          <w:tcPr>
            <w:tcW w:w="7824" w:type="dxa"/>
            <w:shd w:val="clear" w:color="auto" w:fill="1F3A5F"/>
          </w:tcPr>
          <w:p>
            <w:pPr>
              <w:pStyle w:val="Compact"/>
              <w:spacing w:after="40"/>
              <w:jc w:val="left"/>
            </w:pPr>
            <w:r>
              <w:rPr>
                <w:b/>
                <w:color w:val="FFFFFF"/>
                <w:sz w:val="18"/>
              </w:rPr>
              <w:t xml:space="preserve">Workflow</w:t>
            </w:r>
          </w:p>
        </w:tc>
      </w:tr>
      <w:tr>
        <w:tc>
          <w:tcPr>
            <w:tcW w:w="1814" w:type="dxa"/>
          </w:tcPr>
          <w:p>
            <w:pPr>
              <w:pStyle w:val="Compact"/>
              <w:spacing w:after="40"/>
              <w:jc w:val="left"/>
            </w:pPr>
            <w:r>
              <w:rPr>
                <w:sz w:val="18"/>
              </w:rPr>
              <w:t xml:space="preserve">Channel</w:t>
            </w:r>
          </w:p>
        </w:tc>
        <w:tc>
          <w:tcPr>
            <w:tcW w:w="7824" w:type="dxa"/>
          </w:tcPr>
          <w:p>
            <w:pPr>
              <w:pStyle w:val="Compact"/>
              <w:spacing w:after="40"/>
              <w:jc w:val="left"/>
            </w:pPr>
            <w:r>
              <w:rPr>
                <w:sz w:val="18"/>
              </w:rPr>
              <w:t xml:space="preserve">Baseline plus property and builder details; hand-off to physical execution</w:t>
            </w:r>
          </w:p>
        </w:tc>
      </w:tr>
      <w:tr>
        <w:tc>
          <w:tcPr>
            <w:tcW w:w="1814" w:type="dxa"/>
          </w:tcPr>
          <w:p>
            <w:pPr>
              <w:pStyle w:val="Compact"/>
              <w:spacing w:after="40"/>
              <w:jc w:val="left"/>
            </w:pPr>
            <w:r>
              <w:rPr>
                <w:sz w:val="18"/>
              </w:rPr>
              <w:t xml:space="preserve">KYC</w:t>
            </w:r>
          </w:p>
        </w:tc>
        <w:tc>
          <w:tcPr>
            <w:tcW w:w="7824" w:type="dxa"/>
          </w:tcPr>
          <w:p>
            <w:pPr>
              <w:pStyle w:val="Compact"/>
              <w:spacing w:after="40"/>
              <w:jc w:val="left"/>
            </w:pPr>
            <w:r>
              <w:rPr>
                <w:sz w:val="18"/>
              </w:rPr>
              <w:t xml:space="preserve">Baseline for all co-applicants</w:t>
            </w:r>
          </w:p>
        </w:tc>
      </w:tr>
      <w:tr>
        <w:tc>
          <w:tcPr>
            <w:tcW w:w="1814" w:type="dxa"/>
          </w:tcPr>
          <w:p>
            <w:pPr>
              <w:pStyle w:val="Compact"/>
              <w:spacing w:after="40"/>
              <w:jc w:val="left"/>
            </w:pPr>
            <w:r>
              <w:rPr>
                <w:sz w:val="18"/>
              </w:rPr>
              <w:t xml:space="preserve">Credit data</w:t>
            </w:r>
          </w:p>
        </w:tc>
        <w:tc>
          <w:tcPr>
            <w:tcW w:w="7824" w:type="dxa"/>
          </w:tcPr>
          <w:p>
            <w:pPr>
              <w:pStyle w:val="Compact"/>
              <w:spacing w:after="40"/>
              <w:jc w:val="left"/>
            </w:pPr>
            <w:r>
              <w:rPr>
                <w:sz w:val="18"/>
              </w:rPr>
              <w:t xml:space="preserve">Bureau and AA; income of co-applicants</w:t>
            </w:r>
          </w:p>
        </w:tc>
      </w:tr>
      <w:tr>
        <w:tc>
          <w:tcPr>
            <w:tcW w:w="1814" w:type="dxa"/>
          </w:tcPr>
          <w:p>
            <w:pPr>
              <w:pStyle w:val="Compact"/>
              <w:spacing w:after="40"/>
              <w:jc w:val="left"/>
            </w:pPr>
            <w:r>
              <w:rPr>
                <w:sz w:val="18"/>
              </w:rPr>
              <w:t xml:space="preserve">Collateral</w:t>
            </w:r>
          </w:p>
        </w:tc>
        <w:tc>
          <w:tcPr>
            <w:tcW w:w="7824" w:type="dxa"/>
          </w:tcPr>
          <w:p>
            <w:pPr>
              <w:pStyle w:val="Compact"/>
              <w:spacing w:after="40"/>
              <w:jc w:val="left"/>
            </w:pPr>
            <w:r>
              <w:rPr>
                <w:sz w:val="18"/>
              </w:rPr>
              <w:t xml:space="preserve">Mortgage created by the RE; title, valuation and legal checks by the RE’s vendors; CERSAI registration by the RE (SARFAESI s.26D bars enforcement without it)</w:t>
            </w:r>
          </w:p>
        </w:tc>
      </w:tr>
      <w:tr>
        <w:tc>
          <w:tcPr>
            <w:tcW w:w="1814" w:type="dxa"/>
          </w:tcPr>
          <w:p>
            <w:pPr>
              <w:pStyle w:val="Compact"/>
              <w:spacing w:after="40"/>
              <w:jc w:val="left"/>
            </w:pPr>
            <w:r>
              <w:rPr>
                <w:sz w:val="18"/>
              </w:rPr>
              <w:t xml:space="preserve">Documentation</w:t>
            </w:r>
          </w:p>
        </w:tc>
        <w:tc>
          <w:tcPr>
            <w:tcW w:w="7824" w:type="dxa"/>
          </w:tcPr>
          <w:p>
            <w:pPr>
              <w:pStyle w:val="Compact"/>
              <w:spacing w:after="40"/>
              <w:jc w:val="left"/>
            </w:pPr>
            <w:r>
              <w:rPr>
                <w:sz w:val="18"/>
              </w:rPr>
              <w:t xml:space="preserve">Mortgage deed and sale agreement cannot be executed electronically (IT Act First Schedule); RE checklist; plot loans need a declaration to construct within 3 years (CF para 4(1)(xiv))</w:t>
            </w:r>
          </w:p>
        </w:tc>
      </w:tr>
      <w:tr>
        <w:tc>
          <w:tcPr>
            <w:tcW w:w="1814" w:type="dxa"/>
          </w:tcPr>
          <w:p>
            <w:pPr>
              <w:pStyle w:val="Compact"/>
              <w:spacing w:after="40"/>
              <w:jc w:val="left"/>
            </w:pPr>
            <w:r>
              <w:rPr>
                <w:sz w:val="18"/>
              </w:rPr>
              <w:t xml:space="preserve">Disbursement</w:t>
            </w:r>
          </w:p>
        </w:tc>
        <w:tc>
          <w:tcPr>
            <w:tcW w:w="7824" w:type="dxa"/>
          </w:tcPr>
          <w:p>
            <w:pPr>
              <w:pStyle w:val="Compact"/>
              <w:spacing w:after="40"/>
              <w:jc w:val="left"/>
            </w:pPr>
            <w:r>
              <w:rPr>
                <w:sz w:val="18"/>
              </w:rPr>
              <w:t xml:space="preserve">Seller or builder as end-beneficiary, in tranches by construction stage (CF para 10(1)); revised schedule per tranche (MSD para 7)</w:t>
            </w:r>
          </w:p>
        </w:tc>
      </w:tr>
      <w:tr>
        <w:tc>
          <w:tcPr>
            <w:tcW w:w="1814" w:type="dxa"/>
          </w:tcPr>
          <w:p>
            <w:pPr>
              <w:pStyle w:val="Compact"/>
              <w:spacing w:after="40"/>
              <w:jc w:val="left"/>
            </w:pPr>
            <w:r>
              <w:rPr>
                <w:sz w:val="18"/>
              </w:rPr>
              <w:t xml:space="preserve">Events to the RE</w:t>
            </w:r>
          </w:p>
        </w:tc>
        <w:tc>
          <w:tcPr>
            <w:tcW w:w="7824" w:type="dxa"/>
          </w:tcPr>
          <w:p>
            <w:pPr>
              <w:pStyle w:val="Compact"/>
              <w:spacing w:after="40"/>
              <w:jc w:val="left"/>
            </w:pPr>
            <w:r>
              <w:rPr>
                <w:sz w:val="18"/>
              </w:rPr>
              <w:t xml:space="preserve">Baseline plus property document references;</w:t>
            </w:r>
            <w:r>
              <w:rPr>
                <w:sz w:val="18"/>
              </w:rPr>
              <w:t xml:space="preserve"> </w:t>
            </w:r>
            <w:r>
              <w:rPr>
                <w:rStyle w:val="VerbatimChar"/>
                <w:sz w:val="18"/>
              </w:rPr>
              <w:t xml:space="preserve">CollateralChargeRegistered</w:t>
            </w:r>
            <w:r>
              <w:rPr>
                <w:sz w:val="18"/>
              </w:rPr>
              <w:t xml:space="preserve"> </w:t>
            </w:r>
            <w:r>
              <w:rPr>
                <w:sz w:val="18"/>
              </w:rPr>
              <w:t xml:space="preserve">(CERSAI) and</w:t>
            </w:r>
            <w:r>
              <w:rPr>
                <w:sz w:val="18"/>
              </w:rPr>
              <w:t xml:space="preserve"> </w:t>
            </w:r>
            <w:r>
              <w:rPr>
                <w:rStyle w:val="VerbatimChar"/>
                <w:sz w:val="18"/>
              </w:rPr>
              <w:t xml:space="preserve">CollateralReleased</w:t>
            </w:r>
            <w:r>
              <w:rPr>
                <w:sz w:val="18"/>
              </w:rPr>
              <w:t xml:space="preserve"> </w:t>
            </w:r>
            <w:r>
              <w:rPr>
                <w:sz w:val="18"/>
              </w:rPr>
              <w:t xml:space="preserve">from the RE (mortgage;</w:t>
            </w:r>
            <w:r>
              <w:rPr>
                <w:sz w:val="18"/>
              </w:rPr>
              <w:t xml:space="preserve"> </w:t>
            </w:r>
            <w:r>
              <w:rPr>
                <w:rStyle w:val="VerbatimChar"/>
                <w:sz w:val="18"/>
              </w:rPr>
              <w:t xml:space="preserve">CollateralPledgeCreated</w:t>
            </w:r>
            <w:r>
              <w:rPr>
                <w:sz w:val="18"/>
              </w:rPr>
              <w:t xml:space="preserve"> </w:t>
            </w:r>
            <w:r>
              <w:rPr>
                <w:sz w:val="18"/>
              </w:rPr>
              <w:t xml:space="preserve">is only for pledges and liens)</w:t>
            </w:r>
          </w:p>
        </w:tc>
      </w:tr>
      <w:tr>
        <w:tc>
          <w:tcPr>
            <w:tcW w:w="1814" w:type="dxa"/>
          </w:tcPr>
          <w:p>
            <w:pPr>
              <w:pStyle w:val="Compact"/>
              <w:spacing w:after="40"/>
              <w:jc w:val="left"/>
            </w:pPr>
            <w:r>
              <w:rPr>
                <w:sz w:val="18"/>
              </w:rPr>
              <w:t xml:space="preserve">Recovery playbook</w:t>
            </w:r>
          </w:p>
        </w:tc>
        <w:tc>
          <w:tcPr>
            <w:tcW w:w="7824" w:type="dxa"/>
          </w:tcPr>
          <w:p>
            <w:pPr>
              <w:pStyle w:val="Compact"/>
              <w:spacing w:after="40"/>
              <w:jc w:val="left"/>
            </w:pPr>
            <w:r>
              <w:rPr>
                <w:sz w:val="18"/>
              </w:rPr>
              <w:t xml:space="preserve">Finbyx R16</w:t>
            </w:r>
            <w:r>
              <w:rPr>
                <w:sz w:val="18"/>
              </w:rPr>
              <w:t xml:space="preserve"> </w:t>
            </w:r>
            <w:r>
              <w:rPr>
                <w:rStyle w:val="VerbatimChar"/>
                <w:sz w:val="18"/>
              </w:rPr>
              <w:t xml:space="preserve">HL</w:t>
            </w:r>
            <w:r>
              <w:rPr>
                <w:sz w:val="18"/>
              </w:rPr>
              <w:t xml:space="preserve">: SARFAESI where the RE is eligible (NBFC: assets ₹100 crore or more and debt ₹20 lakh or more, S.O. 652(E) of 12 Feb 2021; HFCs are notified FIs without the NBFC floor) → s.13(2), s.13(4), Rules 8–9 auction; agricultural land excluded (s.31(i)); document release within 30 days of closure (RBC para 35)</w:t>
            </w:r>
          </w:p>
        </w:tc>
      </w:tr>
    </w:tbl>
    <w:bookmarkEnd w:id="52"/>
    <w:bookmarkStart w:id="53" w:name="product-5-vehicle-loan-phase-18"/>
    <w:p>
      <w:pPr>
        <w:pStyle w:val="Heading3"/>
      </w:pPr>
      <w:r>
        <w:t xml:space="preserve">6.4.5 Product 5 — Vehicle loan (Phase 18)</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47"/>
        <w:gridCol w:w="7691"/>
      </w:tblGrid>
      <w:tr>
        <w:trPr>
          <w:tblHeader w:val="true"/>
          <w:tblHeader w:val="true"/>
        </w:trPr>
        <w:tc>
          <w:tcPr>
            <w:tcW w:w="1947" w:type="dxa"/>
            <w:shd w:val="clear" w:color="auto" w:fill="1F3A5F"/>
          </w:tcPr>
          <w:p>
            <w:pPr>
              <w:pStyle w:val="Compact"/>
              <w:spacing w:after="40"/>
              <w:jc w:val="left"/>
            </w:pPr>
            <w:r>
              <w:rPr>
                <w:b/>
                <w:color w:val="FFFFFF"/>
                <w:sz w:val="18"/>
              </w:rPr>
              <w:t xml:space="preserve">Step</w:t>
            </w:r>
          </w:p>
        </w:tc>
        <w:tc>
          <w:tcPr>
            <w:tcW w:w="7691" w:type="dxa"/>
            <w:shd w:val="clear" w:color="auto" w:fill="1F3A5F"/>
          </w:tcPr>
          <w:p>
            <w:pPr>
              <w:pStyle w:val="Compact"/>
              <w:spacing w:after="40"/>
              <w:jc w:val="left"/>
            </w:pPr>
            <w:r>
              <w:rPr>
                <w:b/>
                <w:color w:val="FFFFFF"/>
                <w:sz w:val="18"/>
              </w:rPr>
              <w:t xml:space="preserve">Workflow</w:t>
            </w:r>
          </w:p>
        </w:tc>
      </w:tr>
      <w:tr>
        <w:tc>
          <w:tcPr>
            <w:tcW w:w="1947" w:type="dxa"/>
          </w:tcPr>
          <w:p>
            <w:pPr>
              <w:pStyle w:val="Compact"/>
              <w:spacing w:after="40"/>
              <w:jc w:val="left"/>
            </w:pPr>
            <w:r>
              <w:rPr>
                <w:sz w:val="18"/>
              </w:rPr>
              <w:t xml:space="preserve">Channel</w:t>
            </w:r>
          </w:p>
        </w:tc>
        <w:tc>
          <w:tcPr>
            <w:tcW w:w="7691" w:type="dxa"/>
          </w:tcPr>
          <w:p>
            <w:pPr>
              <w:pStyle w:val="Compact"/>
              <w:spacing w:after="40"/>
              <w:jc w:val="left"/>
            </w:pPr>
            <w:r>
              <w:rPr>
                <w:sz w:val="18"/>
              </w:rPr>
              <w:t xml:space="preserve">Baseline plus dealer quotation; dealer-assisted journey allowed with borrower OTP consent</w:t>
            </w:r>
          </w:p>
        </w:tc>
      </w:tr>
      <w:tr>
        <w:tc>
          <w:tcPr>
            <w:tcW w:w="1947" w:type="dxa"/>
          </w:tcPr>
          <w:p>
            <w:pPr>
              <w:pStyle w:val="Compact"/>
              <w:spacing w:after="40"/>
              <w:jc w:val="left"/>
            </w:pPr>
            <w:r>
              <w:rPr>
                <w:sz w:val="18"/>
              </w:rPr>
              <w:t xml:space="preserve">KYC</w:t>
            </w:r>
          </w:p>
        </w:tc>
        <w:tc>
          <w:tcPr>
            <w:tcW w:w="7691" w:type="dxa"/>
          </w:tcPr>
          <w:p>
            <w:pPr>
              <w:pStyle w:val="Compact"/>
              <w:spacing w:after="40"/>
              <w:jc w:val="left"/>
            </w:pPr>
            <w:r>
              <w:rPr>
                <w:sz w:val="18"/>
              </w:rPr>
              <w:t xml:space="preserve">Baseline</w:t>
            </w:r>
          </w:p>
        </w:tc>
      </w:tr>
      <w:tr>
        <w:tc>
          <w:tcPr>
            <w:tcW w:w="1947" w:type="dxa"/>
          </w:tcPr>
          <w:p>
            <w:pPr>
              <w:pStyle w:val="Compact"/>
              <w:spacing w:after="40"/>
              <w:jc w:val="left"/>
            </w:pPr>
            <w:r>
              <w:rPr>
                <w:sz w:val="18"/>
              </w:rPr>
              <w:t xml:space="preserve">Credit data</w:t>
            </w:r>
          </w:p>
        </w:tc>
        <w:tc>
          <w:tcPr>
            <w:tcW w:w="7691" w:type="dxa"/>
          </w:tcPr>
          <w:p>
            <w:pPr>
              <w:pStyle w:val="Compact"/>
              <w:spacing w:after="40"/>
              <w:jc w:val="left"/>
            </w:pPr>
            <w:r>
              <w:rPr>
                <w:sz w:val="18"/>
              </w:rPr>
              <w:t xml:space="preserve">Bureau; Vahan RC check through an authorised channel [VERIFY]</w:t>
            </w:r>
          </w:p>
        </w:tc>
      </w:tr>
      <w:tr>
        <w:tc>
          <w:tcPr>
            <w:tcW w:w="1947" w:type="dxa"/>
          </w:tcPr>
          <w:p>
            <w:pPr>
              <w:pStyle w:val="Compact"/>
              <w:spacing w:after="40"/>
              <w:jc w:val="left"/>
            </w:pPr>
            <w:r>
              <w:rPr>
                <w:sz w:val="18"/>
              </w:rPr>
              <w:t xml:space="preserve">Collateral</w:t>
            </w:r>
          </w:p>
        </w:tc>
        <w:tc>
          <w:tcPr>
            <w:tcW w:w="7691" w:type="dxa"/>
          </w:tcPr>
          <w:p>
            <w:pPr>
              <w:pStyle w:val="Compact"/>
              <w:spacing w:after="40"/>
              <w:jc w:val="left"/>
            </w:pPr>
            <w:r>
              <w:rPr>
                <w:sz w:val="18"/>
              </w:rPr>
              <w:t xml:space="preserve">Hypothecation endorsed on the RC; terminated with the RE’s NOC (Form 35, MV Act s.51)</w:t>
            </w:r>
          </w:p>
        </w:tc>
      </w:tr>
      <w:tr>
        <w:tc>
          <w:tcPr>
            <w:tcW w:w="1947" w:type="dxa"/>
          </w:tcPr>
          <w:p>
            <w:pPr>
              <w:pStyle w:val="Compact"/>
              <w:spacing w:after="40"/>
              <w:jc w:val="left"/>
            </w:pPr>
            <w:r>
              <w:rPr>
                <w:sz w:val="18"/>
              </w:rPr>
              <w:t xml:space="preserve">Documentation</w:t>
            </w:r>
          </w:p>
        </w:tc>
        <w:tc>
          <w:tcPr>
            <w:tcW w:w="7691" w:type="dxa"/>
          </w:tcPr>
          <w:p>
            <w:pPr>
              <w:pStyle w:val="Compact"/>
              <w:spacing w:after="40"/>
              <w:jc w:val="left"/>
            </w:pPr>
            <w:r>
              <w:rPr>
                <w:sz w:val="18"/>
              </w:rPr>
              <w:t xml:space="preserve">Agreement with an enforceable repossession clause: notice period, waiver, procedure, final chance to pay, redelivery and sale (RBC para 26)</w:t>
            </w:r>
          </w:p>
        </w:tc>
      </w:tr>
      <w:tr>
        <w:tc>
          <w:tcPr>
            <w:tcW w:w="1947" w:type="dxa"/>
          </w:tcPr>
          <w:p>
            <w:pPr>
              <w:pStyle w:val="Compact"/>
              <w:spacing w:after="40"/>
              <w:jc w:val="left"/>
            </w:pPr>
            <w:r>
              <w:rPr>
                <w:sz w:val="18"/>
              </w:rPr>
              <w:t xml:space="preserve">Disbursement</w:t>
            </w:r>
          </w:p>
        </w:tc>
        <w:tc>
          <w:tcPr>
            <w:tcW w:w="7691" w:type="dxa"/>
          </w:tcPr>
          <w:p>
            <w:pPr>
              <w:pStyle w:val="Compact"/>
              <w:spacing w:after="40"/>
              <w:jc w:val="left"/>
            </w:pPr>
            <w:r>
              <w:rPr>
                <w:sz w:val="18"/>
              </w:rPr>
              <w:t xml:space="preserve">Dealer as end-beneficiary (CF para 10(1))</w:t>
            </w:r>
          </w:p>
        </w:tc>
      </w:tr>
      <w:tr>
        <w:tc>
          <w:tcPr>
            <w:tcW w:w="1947" w:type="dxa"/>
          </w:tcPr>
          <w:p>
            <w:pPr>
              <w:pStyle w:val="Compact"/>
              <w:spacing w:after="40"/>
              <w:jc w:val="left"/>
            </w:pPr>
            <w:r>
              <w:rPr>
                <w:sz w:val="18"/>
              </w:rPr>
              <w:t xml:space="preserve">Events to the RE</w:t>
            </w:r>
          </w:p>
        </w:tc>
        <w:tc>
          <w:tcPr>
            <w:tcW w:w="7691" w:type="dxa"/>
          </w:tcPr>
          <w:p>
            <w:pPr>
              <w:pStyle w:val="Compact"/>
              <w:spacing w:after="40"/>
              <w:jc w:val="left"/>
            </w:pPr>
            <w:r>
              <w:rPr>
                <w:sz w:val="18"/>
              </w:rPr>
              <w:t xml:space="preserve">Baseline plus dealer invoice and RC references;</w:t>
            </w:r>
            <w:r>
              <w:rPr>
                <w:sz w:val="18"/>
              </w:rPr>
              <w:t xml:space="preserve"> </w:t>
            </w:r>
            <w:r>
              <w:rPr>
                <w:rStyle w:val="VerbatimChar"/>
                <w:sz w:val="18"/>
              </w:rPr>
              <w:t xml:space="preserve">CollateralChargeRegistered</w:t>
            </w:r>
            <w:r>
              <w:rPr>
                <w:sz w:val="18"/>
              </w:rPr>
              <w:t xml:space="preserve"> </w:t>
            </w:r>
            <w:r>
              <w:rPr>
                <w:sz w:val="18"/>
              </w:rPr>
              <w:t xml:space="preserve">(VAHAN),</w:t>
            </w:r>
            <w:r>
              <w:rPr>
                <w:sz w:val="18"/>
              </w:rPr>
              <w:t xml:space="preserve"> </w:t>
            </w:r>
            <w:r>
              <w:rPr>
                <w:rStyle w:val="VerbatimChar"/>
                <w:sz w:val="18"/>
              </w:rPr>
              <w:t xml:space="preserve">CollateralReleased</w:t>
            </w:r>
            <w:r>
              <w:rPr>
                <w:sz w:val="18"/>
              </w:rPr>
              <w:t xml:space="preserve"> </w:t>
            </w:r>
            <w:r>
              <w:rPr>
                <w:sz w:val="18"/>
              </w:rPr>
              <w:t xml:space="preserve">from the RE</w:t>
            </w:r>
          </w:p>
        </w:tc>
      </w:tr>
      <w:tr>
        <w:tc>
          <w:tcPr>
            <w:tcW w:w="1947" w:type="dxa"/>
          </w:tcPr>
          <w:p>
            <w:pPr>
              <w:pStyle w:val="Compact"/>
              <w:spacing w:after="40"/>
              <w:jc w:val="left"/>
            </w:pPr>
            <w:r>
              <w:rPr>
                <w:sz w:val="18"/>
              </w:rPr>
              <w:t xml:space="preserve">Recovery playbook</w:t>
            </w:r>
          </w:p>
        </w:tc>
        <w:tc>
          <w:tcPr>
            <w:tcW w:w="7691" w:type="dxa"/>
          </w:tcPr>
          <w:p>
            <w:pPr>
              <w:pStyle w:val="Compact"/>
              <w:spacing w:after="40"/>
              <w:jc w:val="left"/>
            </w:pPr>
            <w:r>
              <w:rPr>
                <w:sz w:val="18"/>
              </w:rPr>
              <w:t xml:space="preserve">Finbyx R16</w:t>
            </w:r>
            <w:r>
              <w:rPr>
                <w:sz w:val="18"/>
              </w:rPr>
              <w:t xml:space="preserve"> </w:t>
            </w:r>
            <w:r>
              <w:rPr>
                <w:rStyle w:val="VerbatimChar"/>
                <w:sz w:val="18"/>
              </w:rPr>
              <w:t xml:space="preserve">VL</w:t>
            </w:r>
            <w:r>
              <w:rPr>
                <w:sz w:val="18"/>
              </w:rPr>
              <w:t xml:space="preserve">: notice under the contract → final chance → daytime repossession by the RE’s authorised agent with possession memo and inventory (</w:t>
            </w:r>
            <w:r>
              <w:rPr>
                <w:iCs/>
                <w:i/>
                <w:sz w:val="18"/>
              </w:rPr>
              <w:t xml:space="preserve">Hari Dutta Sharma v State of UP</w:t>
            </w:r>
            <w:r>
              <w:rPr>
                <w:sz w:val="18"/>
              </w:rPr>
              <w:t xml:space="preserve">, SC, 16 Sep 2026) → fresh RC in Form 36 (MV Act s.51(5)) → sale. Udofin never repossesses</w:t>
            </w:r>
          </w:p>
        </w:tc>
      </w:tr>
    </w:tbl>
    <w:bookmarkEnd w:id="53"/>
    <w:bookmarkStart w:id="54" w:name="product-6-loan-against-property-phase-18"/>
    <w:p>
      <w:pPr>
        <w:pStyle w:val="Heading3"/>
      </w:pPr>
      <w:r>
        <w:t xml:space="preserve">6.4.6 Product 6 — Loan against property (Phase 18)</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38"/>
        <w:gridCol w:w="7100"/>
      </w:tblGrid>
      <w:tr>
        <w:trPr>
          <w:tblHeader w:val="true"/>
          <w:tblHeader w:val="true"/>
        </w:trPr>
        <w:tc>
          <w:tcPr>
            <w:tcW w:w="2538" w:type="dxa"/>
            <w:shd w:val="clear" w:color="auto" w:fill="1F3A5F"/>
          </w:tcPr>
          <w:p>
            <w:pPr>
              <w:pStyle w:val="Compact"/>
              <w:spacing w:after="40"/>
              <w:jc w:val="left"/>
            </w:pPr>
            <w:r>
              <w:rPr>
                <w:b/>
                <w:color w:val="FFFFFF"/>
                <w:sz w:val="18"/>
              </w:rPr>
              <w:t xml:space="preserve">Step</w:t>
            </w:r>
          </w:p>
        </w:tc>
        <w:tc>
          <w:tcPr>
            <w:tcW w:w="7100" w:type="dxa"/>
            <w:shd w:val="clear" w:color="auto" w:fill="1F3A5F"/>
          </w:tcPr>
          <w:p>
            <w:pPr>
              <w:pStyle w:val="Compact"/>
              <w:spacing w:after="40"/>
              <w:jc w:val="left"/>
            </w:pPr>
            <w:r>
              <w:rPr>
                <w:b/>
                <w:color w:val="FFFFFF"/>
                <w:sz w:val="18"/>
              </w:rPr>
              <w:t xml:space="preserve">Workflow</w:t>
            </w:r>
          </w:p>
        </w:tc>
      </w:tr>
      <w:tr>
        <w:tc>
          <w:tcPr>
            <w:tcW w:w="2538" w:type="dxa"/>
          </w:tcPr>
          <w:p>
            <w:pPr>
              <w:pStyle w:val="Compact"/>
              <w:spacing w:after="40"/>
              <w:jc w:val="left"/>
            </w:pPr>
            <w:r>
              <w:rPr>
                <w:sz w:val="18"/>
              </w:rPr>
              <w:t xml:space="preserve">Channel</w:t>
            </w:r>
          </w:p>
        </w:tc>
        <w:tc>
          <w:tcPr>
            <w:tcW w:w="7100" w:type="dxa"/>
          </w:tcPr>
          <w:p>
            <w:pPr>
              <w:pStyle w:val="Compact"/>
              <w:spacing w:after="40"/>
              <w:jc w:val="left"/>
            </w:pPr>
            <w:r>
              <w:rPr>
                <w:sz w:val="18"/>
              </w:rPr>
              <w:t xml:space="preserve">As Product 4</w:t>
            </w:r>
          </w:p>
        </w:tc>
      </w:tr>
      <w:tr>
        <w:tc>
          <w:tcPr>
            <w:tcW w:w="2538" w:type="dxa"/>
          </w:tcPr>
          <w:p>
            <w:pPr>
              <w:pStyle w:val="Compact"/>
              <w:spacing w:after="40"/>
              <w:jc w:val="left"/>
            </w:pPr>
            <w:r>
              <w:rPr>
                <w:sz w:val="18"/>
              </w:rPr>
              <w:t xml:space="preserve">KYC</w:t>
            </w:r>
          </w:p>
        </w:tc>
        <w:tc>
          <w:tcPr>
            <w:tcW w:w="7100" w:type="dxa"/>
          </w:tcPr>
          <w:p>
            <w:pPr>
              <w:pStyle w:val="Compact"/>
              <w:spacing w:after="40"/>
              <w:jc w:val="left"/>
            </w:pPr>
            <w:r>
              <w:rPr>
                <w:sz w:val="18"/>
              </w:rPr>
              <w:t xml:space="preserve">Baseline; entity KYC where the owner is a firm or company</w:t>
            </w:r>
          </w:p>
        </w:tc>
      </w:tr>
      <w:tr>
        <w:tc>
          <w:tcPr>
            <w:tcW w:w="2538" w:type="dxa"/>
          </w:tcPr>
          <w:p>
            <w:pPr>
              <w:pStyle w:val="Compact"/>
              <w:spacing w:after="40"/>
              <w:jc w:val="left"/>
            </w:pPr>
            <w:r>
              <w:rPr>
                <w:sz w:val="18"/>
              </w:rPr>
              <w:t xml:space="preserve">Credit data</w:t>
            </w:r>
          </w:p>
        </w:tc>
        <w:tc>
          <w:tcPr>
            <w:tcW w:w="7100" w:type="dxa"/>
          </w:tcPr>
          <w:p>
            <w:pPr>
              <w:pStyle w:val="Compact"/>
              <w:spacing w:after="40"/>
              <w:jc w:val="left"/>
            </w:pPr>
            <w:r>
              <w:rPr>
                <w:sz w:val="18"/>
              </w:rPr>
              <w:t xml:space="preserve">Bureau, AA, GST and ITR for business purpose</w:t>
            </w:r>
          </w:p>
        </w:tc>
      </w:tr>
      <w:tr>
        <w:tc>
          <w:tcPr>
            <w:tcW w:w="2538" w:type="dxa"/>
          </w:tcPr>
          <w:p>
            <w:pPr>
              <w:pStyle w:val="Compact"/>
              <w:spacing w:after="40"/>
              <w:jc w:val="left"/>
            </w:pPr>
            <w:r>
              <w:rPr>
                <w:sz w:val="18"/>
              </w:rPr>
              <w:t xml:space="preserve">Collateral</w:t>
            </w:r>
          </w:p>
        </w:tc>
        <w:tc>
          <w:tcPr>
            <w:tcW w:w="7100" w:type="dxa"/>
          </w:tcPr>
          <w:p>
            <w:pPr>
              <w:pStyle w:val="Compact"/>
              <w:spacing w:after="40"/>
              <w:jc w:val="left"/>
            </w:pPr>
            <w:r>
              <w:rPr>
                <w:sz w:val="18"/>
              </w:rPr>
              <w:t xml:space="preserve">Mortgage by the RE with CERSAI registration; valuation by the RE’s panel</w:t>
            </w:r>
          </w:p>
        </w:tc>
      </w:tr>
      <w:tr>
        <w:tc>
          <w:tcPr>
            <w:tcW w:w="2538" w:type="dxa"/>
          </w:tcPr>
          <w:p>
            <w:pPr>
              <w:pStyle w:val="Compact"/>
              <w:spacing w:after="40"/>
              <w:jc w:val="left"/>
            </w:pPr>
            <w:r>
              <w:rPr>
                <w:sz w:val="18"/>
              </w:rPr>
              <w:t xml:space="preserve">Documentation</w:t>
            </w:r>
          </w:p>
        </w:tc>
        <w:tc>
          <w:tcPr>
            <w:tcW w:w="7100" w:type="dxa"/>
          </w:tcPr>
          <w:p>
            <w:pPr>
              <w:pStyle w:val="Compact"/>
              <w:spacing w:after="40"/>
              <w:jc w:val="left"/>
            </w:pPr>
            <w:r>
              <w:rPr>
                <w:sz w:val="18"/>
              </w:rPr>
              <w:t xml:space="preserve">Physical mortgage execution; end-use undertaking</w:t>
            </w:r>
          </w:p>
        </w:tc>
      </w:tr>
      <w:tr>
        <w:tc>
          <w:tcPr>
            <w:tcW w:w="2538" w:type="dxa"/>
          </w:tcPr>
          <w:p>
            <w:pPr>
              <w:pStyle w:val="Compact"/>
              <w:spacing w:after="40"/>
              <w:jc w:val="left"/>
            </w:pPr>
            <w:r>
              <w:rPr>
                <w:sz w:val="18"/>
              </w:rPr>
              <w:t xml:space="preserve">Disbursement</w:t>
            </w:r>
          </w:p>
        </w:tc>
        <w:tc>
          <w:tcPr>
            <w:tcW w:w="7100" w:type="dxa"/>
          </w:tcPr>
          <w:p>
            <w:pPr>
              <w:pStyle w:val="Compact"/>
              <w:spacing w:after="40"/>
              <w:jc w:val="left"/>
            </w:pPr>
            <w:r>
              <w:rPr>
                <w:sz w:val="18"/>
              </w:rPr>
              <w:t xml:space="preserve">Borrower’s account, or existing lender for a takeover</w:t>
            </w:r>
          </w:p>
        </w:tc>
      </w:tr>
      <w:tr>
        <w:tc>
          <w:tcPr>
            <w:tcW w:w="2538" w:type="dxa"/>
          </w:tcPr>
          <w:p>
            <w:pPr>
              <w:pStyle w:val="Compact"/>
              <w:spacing w:after="40"/>
              <w:jc w:val="left"/>
            </w:pPr>
            <w:r>
              <w:rPr>
                <w:sz w:val="18"/>
              </w:rPr>
              <w:t xml:space="preserve">Events to the RE</w:t>
            </w:r>
          </w:p>
        </w:tc>
        <w:tc>
          <w:tcPr>
            <w:tcW w:w="7100" w:type="dxa"/>
          </w:tcPr>
          <w:p>
            <w:pPr>
              <w:pStyle w:val="Compact"/>
              <w:spacing w:after="40"/>
              <w:jc w:val="left"/>
            </w:pPr>
            <w:r>
              <w:rPr>
                <w:sz w:val="18"/>
              </w:rPr>
              <w:t xml:space="preserve">As Product 4</w:t>
            </w:r>
          </w:p>
        </w:tc>
      </w:tr>
      <w:tr>
        <w:tc>
          <w:tcPr>
            <w:tcW w:w="2538" w:type="dxa"/>
          </w:tcPr>
          <w:p>
            <w:pPr>
              <w:pStyle w:val="Compact"/>
              <w:spacing w:after="40"/>
              <w:jc w:val="left"/>
            </w:pPr>
            <w:r>
              <w:rPr>
                <w:sz w:val="18"/>
              </w:rPr>
              <w:t xml:space="preserve">Recovery playbook</w:t>
            </w:r>
          </w:p>
        </w:tc>
        <w:tc>
          <w:tcPr>
            <w:tcW w:w="7100" w:type="dxa"/>
          </w:tcPr>
          <w:p>
            <w:pPr>
              <w:pStyle w:val="Compact"/>
              <w:spacing w:after="40"/>
              <w:jc w:val="left"/>
            </w:pPr>
            <w:r>
              <w:rPr>
                <w:sz w:val="18"/>
              </w:rPr>
              <w:t xml:space="preserve">Finbyx R16</w:t>
            </w:r>
            <w:r>
              <w:rPr>
                <w:sz w:val="18"/>
              </w:rPr>
              <w:t xml:space="preserve"> </w:t>
            </w:r>
            <w:r>
              <w:rPr>
                <w:rStyle w:val="VerbatimChar"/>
                <w:sz w:val="18"/>
              </w:rPr>
              <w:t xml:space="preserve">LAP</w:t>
            </w:r>
            <w:r>
              <w:rPr>
                <w:sz w:val="18"/>
              </w:rPr>
              <w:t xml:space="preserve">: as</w:t>
            </w:r>
            <w:r>
              <w:rPr>
                <w:sz w:val="18"/>
              </w:rPr>
              <w:t xml:space="preserve"> </w:t>
            </w:r>
            <w:r>
              <w:rPr>
                <w:rStyle w:val="VerbatimChar"/>
                <w:sz w:val="18"/>
              </w:rPr>
              <w:t xml:space="preserve">HL</w:t>
            </w:r>
            <w:r>
              <w:rPr>
                <w:sz w:val="18"/>
              </w:rPr>
              <w:t xml:space="preserve">; IBC s.7 against a corporate debtor with default of ₹1 crore or more; personal-guarantor insolvency at the NCLT</w:t>
            </w:r>
          </w:p>
        </w:tc>
      </w:tr>
    </w:tbl>
    <w:bookmarkEnd w:id="54"/>
    <w:bookmarkStart w:id="55" w:name="X4236f31e8947665ba9b3d9f057773d056d3748d"/>
    <w:p>
      <w:pPr>
        <w:pStyle w:val="Heading3"/>
      </w:pPr>
      <w:r>
        <w:t xml:space="preserve">6.4.7 Products 7–10 — Specialist products (Phase 19, feasibility-gated)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84"/>
        <w:gridCol w:w="3246"/>
        <w:gridCol w:w="2303"/>
        <w:gridCol w:w="2305"/>
      </w:tblGrid>
      <w:tr>
        <w:trPr>
          <w:tblHeader w:val="true"/>
          <w:tblHeader w:val="true"/>
        </w:trPr>
        <w:tc>
          <w:tcPr>
            <w:tcW w:w="1784" w:type="dxa"/>
            <w:shd w:val="clear" w:color="auto" w:fill="1F3A5F"/>
          </w:tcPr>
          <w:p>
            <w:pPr>
              <w:pStyle w:val="Compact"/>
              <w:spacing w:after="40"/>
              <w:jc w:val="left"/>
            </w:pPr>
            <w:r>
              <w:rPr>
                <w:b/>
                <w:color w:val="FFFFFF"/>
                <w:sz w:val="18"/>
              </w:rPr>
              <w:t xml:space="preserve">Product</w:t>
            </w:r>
          </w:p>
        </w:tc>
        <w:tc>
          <w:tcPr>
            <w:tcW w:w="3246" w:type="dxa"/>
            <w:shd w:val="clear" w:color="auto" w:fill="1F3A5F"/>
          </w:tcPr>
          <w:p>
            <w:pPr>
              <w:pStyle w:val="Compact"/>
              <w:spacing w:after="40"/>
              <w:jc w:val="left"/>
            </w:pPr>
            <w:r>
              <w:rPr>
                <w:b/>
                <w:color w:val="FFFFFF"/>
                <w:sz w:val="18"/>
              </w:rPr>
              <w:t xml:space="preserve">Origination differences</w:t>
            </w:r>
          </w:p>
        </w:tc>
        <w:tc>
          <w:tcPr>
            <w:tcW w:w="2303" w:type="dxa"/>
            <w:shd w:val="clear" w:color="auto" w:fill="1F3A5F"/>
          </w:tcPr>
          <w:p>
            <w:pPr>
              <w:pStyle w:val="Compact"/>
              <w:spacing w:after="40"/>
              <w:jc w:val="left"/>
            </w:pPr>
            <w:r>
              <w:rPr>
                <w:b/>
                <w:color w:val="FFFFFF"/>
                <w:sz w:val="18"/>
              </w:rPr>
              <w:t xml:space="preserve">Disbursement</w:t>
            </w:r>
          </w:p>
        </w:tc>
        <w:tc>
          <w:tcPr>
            <w:tcW w:w="2305" w:type="dxa"/>
            <w:shd w:val="clear" w:color="auto" w:fill="1F3A5F"/>
          </w:tcPr>
          <w:p>
            <w:pPr>
              <w:pStyle w:val="Compact"/>
              <w:spacing w:after="40"/>
              <w:jc w:val="left"/>
            </w:pPr>
            <w:r>
              <w:rPr>
                <w:b/>
                <w:color w:val="FFFFFF"/>
                <w:sz w:val="18"/>
              </w:rPr>
              <w:t xml:space="preserve">Recovery playbook</w:t>
            </w:r>
          </w:p>
        </w:tc>
      </w:tr>
      <w:tr>
        <w:tc>
          <w:tcPr>
            <w:tcW w:w="1784" w:type="dxa"/>
          </w:tcPr>
          <w:p>
            <w:pPr>
              <w:pStyle w:val="Compact"/>
              <w:spacing w:after="40"/>
              <w:jc w:val="left"/>
            </w:pPr>
            <w:r>
              <w:rPr>
                <w:sz w:val="18"/>
              </w:rPr>
              <w:t xml:space="preserve">7 Resolution finance</w:t>
            </w:r>
          </w:p>
        </w:tc>
        <w:tc>
          <w:tcPr>
            <w:tcW w:w="3246" w:type="dxa"/>
          </w:tcPr>
          <w:p>
            <w:pPr>
              <w:pStyle w:val="Compact"/>
              <w:spacing w:after="40"/>
              <w:jc w:val="left"/>
            </w:pPr>
            <w:r>
              <w:rPr>
                <w:sz w:val="18"/>
              </w:rPr>
              <w:t xml:space="preserve">Settlement evidence from the existing lender or Equator; strict affordability; same-RE refinance is a settlement or restructuring (RSA paras 89, 169)</w:t>
            </w:r>
          </w:p>
        </w:tc>
        <w:tc>
          <w:tcPr>
            <w:tcW w:w="2303" w:type="dxa"/>
          </w:tcPr>
          <w:p>
            <w:pPr>
              <w:pStyle w:val="Compact"/>
              <w:spacing w:after="40"/>
              <w:jc w:val="left"/>
            </w:pPr>
            <w:r>
              <w:rPr>
                <w:sz w:val="18"/>
              </w:rPr>
              <w:t xml:space="preserve">Existing lender as end-beneficiary</w:t>
            </w:r>
          </w:p>
        </w:tc>
        <w:tc>
          <w:tcPr>
            <w:tcW w:w="2305" w:type="dxa"/>
          </w:tcPr>
          <w:p>
            <w:pPr>
              <w:pStyle w:val="Compact"/>
              <w:spacing w:after="40"/>
              <w:jc w:val="left"/>
            </w:pPr>
            <w:r>
              <w:rPr>
                <w:sz w:val="18"/>
              </w:rPr>
              <w:t xml:space="preserve">Finbyx R16</w:t>
            </w:r>
            <w:r>
              <w:rPr>
                <w:sz w:val="18"/>
              </w:rPr>
              <w:t xml:space="preserve"> </w:t>
            </w:r>
            <w:r>
              <w:rPr>
                <w:rStyle w:val="VerbatimChar"/>
                <w:sz w:val="18"/>
              </w:rPr>
              <w:t xml:space="preserve">RF</w:t>
            </w:r>
            <w:r>
              <w:rPr>
                <w:sz w:val="18"/>
              </w:rPr>
              <w:t xml:space="preserve">; settled borrowers face the RE’s cooling period (RSA para 95)</w:t>
            </w:r>
          </w:p>
        </w:tc>
      </w:tr>
      <w:tr>
        <w:tc>
          <w:tcPr>
            <w:tcW w:w="1784" w:type="dxa"/>
          </w:tcPr>
          <w:p>
            <w:pPr>
              <w:pStyle w:val="Compact"/>
              <w:spacing w:after="40"/>
              <w:jc w:val="left"/>
            </w:pPr>
            <w:r>
              <w:rPr>
                <w:sz w:val="18"/>
              </w:rPr>
              <w:t xml:space="preserve">8 Medical and insurance-premium finance</w:t>
            </w:r>
          </w:p>
        </w:tc>
        <w:tc>
          <w:tcPr>
            <w:tcW w:w="3246" w:type="dxa"/>
          </w:tcPr>
          <w:p>
            <w:pPr>
              <w:pStyle w:val="Compact"/>
              <w:spacing w:after="40"/>
              <w:jc w:val="left"/>
            </w:pPr>
            <w:r>
              <w:rPr>
                <w:sz w:val="18"/>
              </w:rPr>
              <w:t xml:space="preserve">Minimum health data with purpose-specific consent; institutional partner verification</w:t>
            </w:r>
          </w:p>
        </w:tc>
        <w:tc>
          <w:tcPr>
            <w:tcW w:w="2303" w:type="dxa"/>
          </w:tcPr>
          <w:p>
            <w:pPr>
              <w:pStyle w:val="Compact"/>
              <w:spacing w:after="40"/>
              <w:jc w:val="left"/>
            </w:pPr>
            <w:r>
              <w:rPr>
                <w:sz w:val="18"/>
              </w:rPr>
              <w:t xml:space="preserve">Hospital or insurer as end-beneficiary</w:t>
            </w:r>
          </w:p>
        </w:tc>
        <w:tc>
          <w:tcPr>
            <w:tcW w:w="2305" w:type="dxa"/>
          </w:tcPr>
          <w:p>
            <w:pPr>
              <w:pStyle w:val="Compact"/>
              <w:spacing w:after="40"/>
              <w:jc w:val="left"/>
            </w:pPr>
            <w:r>
              <w:rPr>
                <w:sz w:val="18"/>
              </w:rPr>
              <w:t xml:space="preserve">Finbyx R16</w:t>
            </w:r>
            <w:r>
              <w:rPr>
                <w:sz w:val="18"/>
              </w:rPr>
              <w:t xml:space="preserve"> </w:t>
            </w:r>
            <w:r>
              <w:rPr>
                <w:rStyle w:val="VerbatimChar"/>
                <w:sz w:val="18"/>
              </w:rPr>
              <w:t xml:space="preserve">MED</w:t>
            </w:r>
            <w:r>
              <w:rPr>
                <w:sz w:val="18"/>
              </w:rPr>
              <w:t xml:space="preserve">, as</w:t>
            </w:r>
            <w:r>
              <w:rPr>
                <w:sz w:val="18"/>
              </w:rPr>
              <w:t xml:space="preserve"> </w:t>
            </w:r>
            <w:r>
              <w:rPr>
                <w:rStyle w:val="VerbatimChar"/>
                <w:sz w:val="18"/>
              </w:rPr>
              <w:t xml:space="preserve">PL</w:t>
            </w:r>
          </w:p>
        </w:tc>
      </w:tr>
      <w:tr>
        <w:tc>
          <w:tcPr>
            <w:tcW w:w="1784" w:type="dxa"/>
          </w:tcPr>
          <w:p>
            <w:pPr>
              <w:pStyle w:val="Compact"/>
              <w:spacing w:after="40"/>
              <w:jc w:val="left"/>
            </w:pPr>
            <w:r>
              <w:rPr>
                <w:sz w:val="18"/>
              </w:rPr>
              <w:t xml:space="preserve">9 Legal-expense and award-enforcement finance</w:t>
            </w:r>
          </w:p>
        </w:tc>
        <w:tc>
          <w:tcPr>
            <w:tcW w:w="3246" w:type="dxa"/>
          </w:tcPr>
          <w:p>
            <w:pPr>
              <w:pStyle w:val="Compact"/>
              <w:spacing w:after="40"/>
              <w:jc w:val="left"/>
            </w:pPr>
            <w:r>
              <w:rPr>
                <w:sz w:val="18"/>
              </w:rPr>
              <w:t xml:space="preserve">Ordinary repayable loans only; non-recourse cases referred out</w:t>
            </w:r>
          </w:p>
        </w:tc>
        <w:tc>
          <w:tcPr>
            <w:tcW w:w="2303" w:type="dxa"/>
          </w:tcPr>
          <w:p>
            <w:pPr>
              <w:pStyle w:val="Compact"/>
              <w:spacing w:after="40"/>
              <w:jc w:val="left"/>
            </w:pPr>
            <w:r>
              <w:rPr>
                <w:sz w:val="18"/>
              </w:rPr>
              <w:t xml:space="preserve">Borrower or counsel as end-beneficiary [VERIFY: professional-conduct rules]</w:t>
            </w:r>
          </w:p>
        </w:tc>
        <w:tc>
          <w:tcPr>
            <w:tcW w:w="2305" w:type="dxa"/>
          </w:tcPr>
          <w:p>
            <w:pPr>
              <w:pStyle w:val="Compact"/>
              <w:spacing w:after="40"/>
              <w:jc w:val="left"/>
            </w:pPr>
            <w:r>
              <w:rPr>
                <w:sz w:val="18"/>
              </w:rPr>
              <w:t xml:space="preserve">Finbyx R16</w:t>
            </w:r>
            <w:r>
              <w:rPr>
                <w:sz w:val="18"/>
              </w:rPr>
              <w:t xml:space="preserve"> </w:t>
            </w:r>
            <w:r>
              <w:rPr>
                <w:rStyle w:val="VerbatimChar"/>
                <w:sz w:val="18"/>
              </w:rPr>
              <w:t xml:space="preserve">LEF</w:t>
            </w:r>
            <w:r>
              <w:rPr>
                <w:sz w:val="18"/>
              </w:rPr>
              <w:t xml:space="preserve">, as</w:t>
            </w:r>
            <w:r>
              <w:rPr>
                <w:sz w:val="18"/>
              </w:rPr>
              <w:t xml:space="preserve"> </w:t>
            </w:r>
            <w:r>
              <w:rPr>
                <w:rStyle w:val="VerbatimChar"/>
                <w:sz w:val="18"/>
              </w:rPr>
              <w:t xml:space="preserve">PL</w:t>
            </w:r>
          </w:p>
        </w:tc>
      </w:tr>
      <w:tr>
        <w:tc>
          <w:tcPr>
            <w:tcW w:w="1784" w:type="dxa"/>
          </w:tcPr>
          <w:p>
            <w:pPr>
              <w:pStyle w:val="Compact"/>
              <w:spacing w:after="40"/>
              <w:jc w:val="left"/>
            </w:pPr>
            <w:r>
              <w:rPr>
                <w:sz w:val="18"/>
              </w:rPr>
              <w:t xml:space="preserve">10 Debt reset / consolidation</w:t>
            </w:r>
          </w:p>
        </w:tc>
        <w:tc>
          <w:tcPr>
            <w:tcW w:w="3246" w:type="dxa"/>
          </w:tcPr>
          <w:p>
            <w:pPr>
              <w:pStyle w:val="Compact"/>
              <w:spacing w:after="40"/>
              <w:jc w:val="left"/>
            </w:pPr>
            <w:r>
              <w:rPr>
                <w:sz w:val="18"/>
              </w:rPr>
              <w:t xml:space="preserve">Debt-closure model; microfinance household cap (CF paras 55–57)</w:t>
            </w:r>
          </w:p>
        </w:tc>
        <w:tc>
          <w:tcPr>
            <w:tcW w:w="2303" w:type="dxa"/>
          </w:tcPr>
          <w:p>
            <w:pPr>
              <w:pStyle w:val="Compact"/>
              <w:spacing w:after="40"/>
              <w:jc w:val="left"/>
            </w:pPr>
            <w:r>
              <w:rPr>
                <w:sz w:val="18"/>
              </w:rPr>
              <w:t xml:space="preserve">Existing lenders as end-beneficiaries</w:t>
            </w:r>
          </w:p>
        </w:tc>
        <w:tc>
          <w:tcPr>
            <w:tcW w:w="2305" w:type="dxa"/>
          </w:tcPr>
          <w:p>
            <w:pPr>
              <w:pStyle w:val="Compact"/>
              <w:spacing w:after="40"/>
              <w:jc w:val="left"/>
            </w:pPr>
            <w:r>
              <w:rPr>
                <w:sz w:val="18"/>
              </w:rPr>
              <w:t xml:space="preserve">Finbyx R16</w:t>
            </w:r>
            <w:r>
              <w:rPr>
                <w:sz w:val="18"/>
              </w:rPr>
              <w:t xml:space="preserve"> </w:t>
            </w:r>
            <w:r>
              <w:rPr>
                <w:rStyle w:val="VerbatimChar"/>
                <w:sz w:val="18"/>
              </w:rPr>
              <w:t xml:space="preserve">DR</w:t>
            </w:r>
            <w:r>
              <w:rPr>
                <w:sz w:val="18"/>
              </w:rPr>
              <w:t xml:space="preserve">, as</w:t>
            </w:r>
            <w:r>
              <w:rPr>
                <w:sz w:val="18"/>
              </w:rPr>
              <w:t xml:space="preserve"> </w:t>
            </w:r>
            <w:r>
              <w:rPr>
                <w:rStyle w:val="VerbatimChar"/>
                <w:sz w:val="18"/>
              </w:rPr>
              <w:t xml:space="preserve">PL</w:t>
            </w:r>
            <w:r>
              <w:rPr>
                <w:sz w:val="18"/>
              </w:rPr>
              <w:t xml:space="preserve"> </w:t>
            </w:r>
            <w:r>
              <w:rPr>
                <w:sz w:val="18"/>
              </w:rPr>
              <w:t xml:space="preserve">or secured playbook</w:t>
            </w:r>
          </w:p>
        </w:tc>
      </w:tr>
    </w:tbl>
    <w:bookmarkEnd w:id="55"/>
    <w:bookmarkStart w:id="56" w:name="product-11-gold-loan-proposed-phase-18b"/>
    <w:p>
      <w:pPr>
        <w:pStyle w:val="Heading3"/>
      </w:pPr>
      <w:r>
        <w:t xml:space="preserve">6.4.8 Product 11 — Gold loan (proposed, Phase 18b)</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47"/>
        <w:gridCol w:w="7991"/>
      </w:tblGrid>
      <w:tr>
        <w:trPr>
          <w:tblHeader w:val="true"/>
          <w:tblHeader w:val="true"/>
        </w:trPr>
        <w:tc>
          <w:tcPr>
            <w:tcW w:w="1647" w:type="dxa"/>
            <w:shd w:val="clear" w:color="auto" w:fill="1F3A5F"/>
          </w:tcPr>
          <w:p>
            <w:pPr>
              <w:pStyle w:val="Compact"/>
              <w:spacing w:after="40"/>
              <w:jc w:val="left"/>
            </w:pPr>
            <w:r>
              <w:rPr>
                <w:b/>
                <w:color w:val="FFFFFF"/>
                <w:sz w:val="18"/>
              </w:rPr>
              <w:t xml:space="preserve">Step</w:t>
            </w:r>
          </w:p>
        </w:tc>
        <w:tc>
          <w:tcPr>
            <w:tcW w:w="7991" w:type="dxa"/>
            <w:shd w:val="clear" w:color="auto" w:fill="1F3A5F"/>
          </w:tcPr>
          <w:p>
            <w:pPr>
              <w:pStyle w:val="Compact"/>
              <w:spacing w:after="40"/>
              <w:jc w:val="left"/>
            </w:pPr>
            <w:r>
              <w:rPr>
                <w:b/>
                <w:color w:val="FFFFFF"/>
                <w:sz w:val="18"/>
              </w:rPr>
              <w:t xml:space="preserve">Workflow</w:t>
            </w:r>
          </w:p>
        </w:tc>
      </w:tr>
      <w:tr>
        <w:tc>
          <w:tcPr>
            <w:tcW w:w="1647" w:type="dxa"/>
          </w:tcPr>
          <w:p>
            <w:pPr>
              <w:pStyle w:val="Compact"/>
              <w:spacing w:after="40"/>
              <w:jc w:val="left"/>
            </w:pPr>
            <w:r>
              <w:rPr>
                <w:sz w:val="18"/>
              </w:rPr>
              <w:t xml:space="preserve">Channel</w:t>
            </w:r>
          </w:p>
        </w:tc>
        <w:tc>
          <w:tcPr>
            <w:tcW w:w="7991" w:type="dxa"/>
          </w:tcPr>
          <w:p>
            <w:pPr>
              <w:pStyle w:val="Compact"/>
              <w:spacing w:after="40"/>
              <w:jc w:val="left"/>
            </w:pPr>
            <w:r>
              <w:rPr>
                <w:sz w:val="18"/>
              </w:rPr>
              <w:t xml:space="preserve">Lead, indicative estimate from the RE’s published gold price and LTV method (RBC para 45), and appointment at an RE branch.</w:t>
            </w:r>
            <w:r>
              <w:rPr>
                <w:sz w:val="18"/>
              </w:rPr>
              <w:t xml:space="preserve"> </w:t>
            </w:r>
            <w:r>
              <w:rPr>
                <w:bCs/>
                <w:b/>
                <w:sz w:val="18"/>
              </w:rPr>
              <w:t xml:space="preserve">Gold is handled and stored only in RE branches by RE employees</w:t>
            </w:r>
            <w:r>
              <w:rPr>
                <w:sz w:val="18"/>
              </w:rPr>
              <w:t xml:space="preserve"> </w:t>
            </w:r>
            <w:r>
              <w:rPr>
                <w:sz w:val="18"/>
              </w:rPr>
              <w:t xml:space="preserve">(RBC paras 53–54), so Udofin offers no doorstep pickup and never touches collateral</w:t>
            </w:r>
          </w:p>
        </w:tc>
      </w:tr>
      <w:tr>
        <w:tc>
          <w:tcPr>
            <w:tcW w:w="1647" w:type="dxa"/>
          </w:tcPr>
          <w:p>
            <w:pPr>
              <w:pStyle w:val="Compact"/>
              <w:spacing w:after="40"/>
              <w:jc w:val="left"/>
            </w:pPr>
            <w:r>
              <w:rPr>
                <w:sz w:val="18"/>
              </w:rPr>
              <w:t xml:space="preserve">KYC</w:t>
            </w:r>
          </w:p>
        </w:tc>
        <w:tc>
          <w:tcPr>
            <w:tcW w:w="7991" w:type="dxa"/>
          </w:tcPr>
          <w:p>
            <w:pPr>
              <w:pStyle w:val="Compact"/>
              <w:spacing w:after="40"/>
              <w:jc w:val="left"/>
            </w:pPr>
            <w:r>
              <w:rPr>
                <w:sz w:val="18"/>
              </w:rPr>
              <w:t xml:space="preserve">Completed by the RE in branch, or pre-filled digitally with the borrower’s consent</w:t>
            </w:r>
          </w:p>
        </w:tc>
      </w:tr>
      <w:tr>
        <w:tc>
          <w:tcPr>
            <w:tcW w:w="1647" w:type="dxa"/>
          </w:tcPr>
          <w:p>
            <w:pPr>
              <w:pStyle w:val="Compact"/>
              <w:spacing w:after="40"/>
              <w:jc w:val="left"/>
            </w:pPr>
            <w:r>
              <w:rPr>
                <w:sz w:val="18"/>
              </w:rPr>
              <w:t xml:space="preserve">Credit data</w:t>
            </w:r>
          </w:p>
        </w:tc>
        <w:tc>
          <w:tcPr>
            <w:tcW w:w="7991" w:type="dxa"/>
          </w:tcPr>
          <w:p>
            <w:pPr>
              <w:pStyle w:val="Compact"/>
              <w:spacing w:after="40"/>
              <w:jc w:val="left"/>
            </w:pPr>
            <w:r>
              <w:rPr>
                <w:sz w:val="18"/>
              </w:rPr>
              <w:t xml:space="preserve">Detailed credit assessment above ₹2.5 lakh (CF para 33); bureau per RE policy</w:t>
            </w:r>
          </w:p>
        </w:tc>
      </w:tr>
      <w:tr>
        <w:tc>
          <w:tcPr>
            <w:tcW w:w="1647" w:type="dxa"/>
          </w:tcPr>
          <w:p>
            <w:pPr>
              <w:pStyle w:val="Compact"/>
              <w:spacing w:after="40"/>
              <w:jc w:val="left"/>
            </w:pPr>
            <w:r>
              <w:rPr>
                <w:sz w:val="18"/>
              </w:rPr>
              <w:t xml:space="preserve">Collateral</w:t>
            </w:r>
          </w:p>
        </w:tc>
        <w:tc>
          <w:tcPr>
            <w:tcW w:w="7991" w:type="dxa"/>
          </w:tcPr>
          <w:p>
            <w:pPr>
              <w:pStyle w:val="Compact"/>
              <w:spacing w:after="40"/>
              <w:jc w:val="left"/>
            </w:pPr>
            <w:r>
              <w:rPr>
                <w:sz w:val="18"/>
              </w:rPr>
              <w:t xml:space="preserve">Assay in the borrower’s presence (RBC para 46); valuation at the lower of the 30-day average and previous-day close from IBJA or a SEBI-regulated exchange (CF para 40); LTV 85%, 80% or 75% by ticket, maintained throughout (CF paras 43–44); weight caps (CF para 39); assay certificate (RBC para 50)</w:t>
            </w:r>
          </w:p>
        </w:tc>
      </w:tr>
      <w:tr>
        <w:tc>
          <w:tcPr>
            <w:tcW w:w="1647" w:type="dxa"/>
          </w:tcPr>
          <w:p>
            <w:pPr>
              <w:pStyle w:val="Compact"/>
              <w:spacing w:after="40"/>
              <w:jc w:val="left"/>
            </w:pPr>
            <w:r>
              <w:rPr>
                <w:sz w:val="18"/>
              </w:rPr>
              <w:t xml:space="preserve">Documentation</w:t>
            </w:r>
          </w:p>
        </w:tc>
        <w:tc>
          <w:tcPr>
            <w:tcW w:w="7991" w:type="dxa"/>
          </w:tcPr>
          <w:p>
            <w:pPr>
              <w:pStyle w:val="Compact"/>
              <w:spacing w:after="40"/>
              <w:jc w:val="left"/>
            </w:pPr>
            <w:r>
              <w:rPr>
                <w:sz w:val="18"/>
              </w:rPr>
              <w:t xml:space="preserve">KFS and agreement covering auction procedure and notice period (RBC para 49); bullet loans capped at 12 months (CF para 38); no loan to buy gold (CF para 35(1))</w:t>
            </w:r>
          </w:p>
        </w:tc>
      </w:tr>
      <w:tr>
        <w:tc>
          <w:tcPr>
            <w:tcW w:w="1647" w:type="dxa"/>
          </w:tcPr>
          <w:p>
            <w:pPr>
              <w:pStyle w:val="Compact"/>
              <w:spacing w:after="40"/>
              <w:jc w:val="left"/>
            </w:pPr>
            <w:r>
              <w:rPr>
                <w:sz w:val="18"/>
              </w:rPr>
              <w:t xml:space="preserve">Disbursement</w:t>
            </w:r>
          </w:p>
        </w:tc>
        <w:tc>
          <w:tcPr>
            <w:tcW w:w="7991" w:type="dxa"/>
          </w:tcPr>
          <w:p>
            <w:pPr>
              <w:pStyle w:val="Compact"/>
              <w:spacing w:after="40"/>
              <w:jc w:val="left"/>
            </w:pPr>
            <w:r>
              <w:rPr>
                <w:sz w:val="18"/>
              </w:rPr>
              <w:t xml:space="preserve">Borrower’s account (CF paras 46–47)</w:t>
            </w:r>
          </w:p>
        </w:tc>
      </w:tr>
      <w:tr>
        <w:tc>
          <w:tcPr>
            <w:tcW w:w="1647" w:type="dxa"/>
          </w:tcPr>
          <w:p>
            <w:pPr>
              <w:pStyle w:val="Compact"/>
              <w:spacing w:after="40"/>
              <w:jc w:val="left"/>
            </w:pPr>
            <w:r>
              <w:rPr>
                <w:sz w:val="18"/>
              </w:rPr>
              <w:t xml:space="preserve">Events to the RE</w:t>
            </w:r>
          </w:p>
        </w:tc>
        <w:tc>
          <w:tcPr>
            <w:tcW w:w="7991" w:type="dxa"/>
          </w:tcPr>
          <w:p>
            <w:pPr>
              <w:pStyle w:val="Compact"/>
              <w:spacing w:after="40"/>
              <w:jc w:val="left"/>
            </w:pPr>
            <w:r>
              <w:rPr>
                <w:sz w:val="18"/>
              </w:rPr>
              <w:t xml:space="preserve">Baseline; renewals and top-ups only on a formal borrower request (CF para 34); release scheduling after closure</w:t>
            </w:r>
          </w:p>
        </w:tc>
      </w:tr>
      <w:tr>
        <w:tc>
          <w:tcPr>
            <w:tcW w:w="1647" w:type="dxa"/>
          </w:tcPr>
          <w:p>
            <w:pPr>
              <w:pStyle w:val="Compact"/>
              <w:spacing w:after="40"/>
              <w:jc w:val="left"/>
            </w:pPr>
            <w:r>
              <w:rPr>
                <w:sz w:val="18"/>
              </w:rPr>
              <w:t xml:space="preserve">Recovery playbook</w:t>
            </w:r>
          </w:p>
        </w:tc>
        <w:tc>
          <w:tcPr>
            <w:tcW w:w="7991" w:type="dxa"/>
          </w:tcPr>
          <w:p>
            <w:pPr>
              <w:pStyle w:val="Compact"/>
              <w:spacing w:after="40"/>
              <w:jc w:val="left"/>
            </w:pPr>
            <w:r>
              <w:rPr>
                <w:sz w:val="18"/>
              </w:rPr>
              <w:t xml:space="preserve">Finbyx R16</w:t>
            </w:r>
            <w:r>
              <w:rPr>
                <w:sz w:val="18"/>
              </w:rPr>
              <w:t xml:space="preserve"> </w:t>
            </w:r>
            <w:r>
              <w:rPr>
                <w:rStyle w:val="VerbatimChar"/>
                <w:sz w:val="18"/>
              </w:rPr>
              <w:t xml:space="preserve">GOLD</w:t>
            </w:r>
            <w:r>
              <w:rPr>
                <w:sz w:val="18"/>
              </w:rPr>
              <w:t xml:space="preserve">: adequate notice (public notice plus 1 month if untraceable: RBC para 60) → auction advertised in two newspapers (para 61) → reserve at least 90% of current value, 85% after two failures (para 63) → first auction physical in the district (para 64) → surplus within 7 working days (para 66); release within 7 working days of closure, ₹5,000 a day for delay (paras 58, 69). SARFAESI excluded (s.31(b)). Udofin shows RE notices (UR3)</w:t>
            </w:r>
          </w:p>
        </w:tc>
      </w:tr>
    </w:tbl>
    <w:bookmarkEnd w:id="56"/>
    <w:bookmarkStart w:id="57" w:name="Xada282b099b47b7a8705c91f4f99f91b3c393ac"/>
    <w:p>
      <w:pPr>
        <w:pStyle w:val="Heading3"/>
      </w:pPr>
      <w:r>
        <w:t xml:space="preserve">6.4.9 Product 12 — Business / MSME loan (proposed, Phase 18b)</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61"/>
        <w:gridCol w:w="7877"/>
      </w:tblGrid>
      <w:tr>
        <w:trPr>
          <w:tblHeader w:val="true"/>
          <w:tblHeader w:val="true"/>
        </w:trPr>
        <w:tc>
          <w:tcPr>
            <w:tcW w:w="1761" w:type="dxa"/>
            <w:shd w:val="clear" w:color="auto" w:fill="1F3A5F"/>
          </w:tcPr>
          <w:p>
            <w:pPr>
              <w:pStyle w:val="Compact"/>
              <w:spacing w:after="40"/>
              <w:jc w:val="left"/>
            </w:pPr>
            <w:r>
              <w:rPr>
                <w:b/>
                <w:color w:val="FFFFFF"/>
                <w:sz w:val="18"/>
              </w:rPr>
              <w:t xml:space="preserve">Step</w:t>
            </w:r>
          </w:p>
        </w:tc>
        <w:tc>
          <w:tcPr>
            <w:tcW w:w="7877" w:type="dxa"/>
            <w:shd w:val="clear" w:color="auto" w:fill="1F3A5F"/>
          </w:tcPr>
          <w:p>
            <w:pPr>
              <w:pStyle w:val="Compact"/>
              <w:spacing w:after="40"/>
              <w:jc w:val="left"/>
            </w:pPr>
            <w:r>
              <w:rPr>
                <w:b/>
                <w:color w:val="FFFFFF"/>
                <w:sz w:val="18"/>
              </w:rPr>
              <w:t xml:space="preserve">Workflow</w:t>
            </w:r>
          </w:p>
        </w:tc>
      </w:tr>
      <w:tr>
        <w:tc>
          <w:tcPr>
            <w:tcW w:w="1761" w:type="dxa"/>
          </w:tcPr>
          <w:p>
            <w:pPr>
              <w:pStyle w:val="Compact"/>
              <w:spacing w:after="40"/>
              <w:jc w:val="left"/>
            </w:pPr>
            <w:r>
              <w:rPr>
                <w:sz w:val="18"/>
              </w:rPr>
              <w:t xml:space="preserve">Channel</w:t>
            </w:r>
          </w:p>
        </w:tc>
        <w:tc>
          <w:tcPr>
            <w:tcW w:w="7877" w:type="dxa"/>
          </w:tcPr>
          <w:p>
            <w:pPr>
              <w:pStyle w:val="Compact"/>
              <w:spacing w:after="40"/>
              <w:jc w:val="left"/>
            </w:pPr>
            <w:r>
              <w:rPr>
                <w:sz w:val="18"/>
              </w:rPr>
              <w:t xml:space="preserve">Baseline plus business profile; journey for proprietors, partnerships and companies</w:t>
            </w:r>
          </w:p>
        </w:tc>
      </w:tr>
      <w:tr>
        <w:tc>
          <w:tcPr>
            <w:tcW w:w="1761" w:type="dxa"/>
          </w:tcPr>
          <w:p>
            <w:pPr>
              <w:pStyle w:val="Compact"/>
              <w:spacing w:after="40"/>
              <w:jc w:val="left"/>
            </w:pPr>
            <w:r>
              <w:rPr>
                <w:sz w:val="18"/>
              </w:rPr>
              <w:t xml:space="preserve">KYC</w:t>
            </w:r>
          </w:p>
        </w:tc>
        <w:tc>
          <w:tcPr>
            <w:tcW w:w="7877" w:type="dxa"/>
          </w:tcPr>
          <w:p>
            <w:pPr>
              <w:pStyle w:val="Compact"/>
              <w:spacing w:after="40"/>
              <w:jc w:val="left"/>
            </w:pPr>
            <w:r>
              <w:rPr>
                <w:sz w:val="18"/>
              </w:rPr>
              <w:t xml:space="preserve">Individual KYC for proprietors; entity KYC and beneficial-owner identification for firms and companies; PAN of applicants and guarantors and DIN or PAN of directors (WD para 19(1))</w:t>
            </w:r>
          </w:p>
        </w:tc>
      </w:tr>
      <w:tr>
        <w:tc>
          <w:tcPr>
            <w:tcW w:w="1761" w:type="dxa"/>
          </w:tcPr>
          <w:p>
            <w:pPr>
              <w:pStyle w:val="Compact"/>
              <w:spacing w:after="40"/>
              <w:jc w:val="left"/>
            </w:pPr>
            <w:r>
              <w:rPr>
                <w:sz w:val="18"/>
              </w:rPr>
              <w:t xml:space="preserve">Credit data</w:t>
            </w:r>
          </w:p>
        </w:tc>
        <w:tc>
          <w:tcPr>
            <w:tcW w:w="7877" w:type="dxa"/>
          </w:tcPr>
          <w:p>
            <w:pPr>
              <w:pStyle w:val="Compact"/>
              <w:spacing w:after="40"/>
              <w:jc w:val="left"/>
            </w:pPr>
            <w:r>
              <w:rPr>
                <w:sz w:val="18"/>
              </w:rPr>
              <w:t xml:space="preserve">Bureau (commercial and consumer), GST and bank data through AA where the RE is FIU, ITR, Udyam; LWD check (WD para 19(1)) and wilful-defaulter covenant (WD para 7(4))</w:t>
            </w:r>
          </w:p>
        </w:tc>
      </w:tr>
      <w:tr>
        <w:tc>
          <w:tcPr>
            <w:tcW w:w="1761" w:type="dxa"/>
          </w:tcPr>
          <w:p>
            <w:pPr>
              <w:pStyle w:val="Compact"/>
              <w:spacing w:after="40"/>
              <w:jc w:val="left"/>
            </w:pPr>
            <w:r>
              <w:rPr>
                <w:sz w:val="18"/>
              </w:rPr>
              <w:t xml:space="preserve">Collateral</w:t>
            </w:r>
          </w:p>
        </w:tc>
        <w:tc>
          <w:tcPr>
            <w:tcW w:w="7877" w:type="dxa"/>
          </w:tcPr>
          <w:p>
            <w:pPr>
              <w:pStyle w:val="Compact"/>
              <w:spacing w:after="40"/>
              <w:jc w:val="left"/>
            </w:pPr>
            <w:r>
              <w:rPr>
                <w:sz w:val="18"/>
              </w:rPr>
              <w:t xml:space="preserve">Unsecured, or hypothecation or mortgage by the RE; CGTMSE cover flagged (blocks DLG: CF para 21(1)); collateral-free MSME loans to households with income of ₹3 lakh or less are microfinance loans (CF para 51)</w:t>
            </w:r>
          </w:p>
        </w:tc>
      </w:tr>
      <w:tr>
        <w:tc>
          <w:tcPr>
            <w:tcW w:w="1761" w:type="dxa"/>
          </w:tcPr>
          <w:p>
            <w:pPr>
              <w:pStyle w:val="Compact"/>
              <w:spacing w:after="40"/>
              <w:jc w:val="left"/>
            </w:pPr>
            <w:r>
              <w:rPr>
                <w:sz w:val="18"/>
              </w:rPr>
              <w:t xml:space="preserve">Documentation</w:t>
            </w:r>
          </w:p>
        </w:tc>
        <w:tc>
          <w:tcPr>
            <w:tcW w:w="7877" w:type="dxa"/>
          </w:tcPr>
          <w:p>
            <w:pPr>
              <w:pStyle w:val="Compact"/>
              <w:spacing w:after="40"/>
              <w:jc w:val="left"/>
            </w:pPr>
            <w:r>
              <w:rPr>
                <w:sz w:val="18"/>
              </w:rPr>
              <w:t xml:space="preserve">Baseline; guarantee agreements; end-use certificate (WD para 19(2))</w:t>
            </w:r>
          </w:p>
        </w:tc>
      </w:tr>
      <w:tr>
        <w:tc>
          <w:tcPr>
            <w:tcW w:w="1761" w:type="dxa"/>
          </w:tcPr>
          <w:p>
            <w:pPr>
              <w:pStyle w:val="Compact"/>
              <w:spacing w:after="40"/>
              <w:jc w:val="left"/>
            </w:pPr>
            <w:r>
              <w:rPr>
                <w:sz w:val="18"/>
              </w:rPr>
              <w:t xml:space="preserve">Disbursement</w:t>
            </w:r>
          </w:p>
        </w:tc>
        <w:tc>
          <w:tcPr>
            <w:tcW w:w="7877" w:type="dxa"/>
          </w:tcPr>
          <w:p>
            <w:pPr>
              <w:pStyle w:val="Compact"/>
              <w:spacing w:after="40"/>
              <w:jc w:val="left"/>
            </w:pPr>
            <w:r>
              <w:rPr>
                <w:sz w:val="18"/>
              </w:rPr>
              <w:t xml:space="preserve">Borrower’s business account or suppliers as end-beneficiaries</w:t>
            </w:r>
          </w:p>
        </w:tc>
      </w:tr>
      <w:tr>
        <w:tc>
          <w:tcPr>
            <w:tcW w:w="1761" w:type="dxa"/>
          </w:tcPr>
          <w:p>
            <w:pPr>
              <w:pStyle w:val="Compact"/>
              <w:spacing w:after="40"/>
              <w:jc w:val="left"/>
            </w:pPr>
            <w:r>
              <w:rPr>
                <w:sz w:val="18"/>
              </w:rPr>
              <w:t xml:space="preserve">Events to the RE</w:t>
            </w:r>
          </w:p>
        </w:tc>
        <w:tc>
          <w:tcPr>
            <w:tcW w:w="7877" w:type="dxa"/>
          </w:tcPr>
          <w:p>
            <w:pPr>
              <w:pStyle w:val="Compact"/>
              <w:spacing w:after="40"/>
              <w:jc w:val="left"/>
            </w:pPr>
            <w:r>
              <w:rPr>
                <w:sz w:val="18"/>
              </w:rPr>
              <w:t xml:space="preserve">Baseline plus GST, AA and Udyam references and guarantor KYC evidence</w:t>
            </w:r>
          </w:p>
        </w:tc>
      </w:tr>
      <w:tr>
        <w:tc>
          <w:tcPr>
            <w:tcW w:w="1761" w:type="dxa"/>
          </w:tcPr>
          <w:p>
            <w:pPr>
              <w:pStyle w:val="Compact"/>
              <w:spacing w:after="40"/>
              <w:jc w:val="left"/>
            </w:pPr>
            <w:r>
              <w:rPr>
                <w:sz w:val="18"/>
              </w:rPr>
              <w:t xml:space="preserve">Recovery playbook</w:t>
            </w:r>
          </w:p>
        </w:tc>
        <w:tc>
          <w:tcPr>
            <w:tcW w:w="7877" w:type="dxa"/>
          </w:tcPr>
          <w:p>
            <w:pPr>
              <w:pStyle w:val="Compact"/>
              <w:spacing w:after="40"/>
              <w:jc w:val="left"/>
            </w:pPr>
            <w:r>
              <w:rPr>
                <w:sz w:val="18"/>
              </w:rPr>
              <w:t xml:space="preserve">Finbyx R16</w:t>
            </w:r>
            <w:r>
              <w:rPr>
                <w:sz w:val="18"/>
              </w:rPr>
              <w:t xml:space="preserve"> </w:t>
            </w:r>
            <w:r>
              <w:rPr>
                <w:rStyle w:val="VerbatimChar"/>
                <w:sz w:val="18"/>
              </w:rPr>
              <w:t xml:space="preserve">MSME</w:t>
            </w:r>
            <w:r>
              <w:rPr>
                <w:sz w:val="18"/>
              </w:rPr>
              <w:t xml:space="preserve">: s.138 or s.25 → SARFAESI if secured and eligible → CGTMSE claim (first instalment after legal action; legal action waived up to ₹10 lakh) [VERIFY: current scheme terms] → IBC s.7 (corporate debtor, ₹1 crore) or PPIRP → personal-guarantor insolvency at the NCLT. Prepayment-charge limits for MSE floating loans (RBC para 34)</w:t>
            </w:r>
          </w:p>
        </w:tc>
      </w:tr>
    </w:tbl>
    <w:bookmarkEnd w:id="57"/>
    <w:bookmarkStart w:id="58" w:name="Xb77688befe3033747ffa95139a2c8a1bdbf87dc"/>
    <w:p>
      <w:pPr>
        <w:pStyle w:val="Heading3"/>
      </w:pPr>
      <w:r>
        <w:t xml:space="preserve">6.4.10 Product 13 — Microfinance loan (proposed, Phase 18b)</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47"/>
        <w:gridCol w:w="7991"/>
      </w:tblGrid>
      <w:tr>
        <w:trPr>
          <w:tblHeader w:val="true"/>
          <w:tblHeader w:val="true"/>
        </w:trPr>
        <w:tc>
          <w:tcPr>
            <w:tcW w:w="1647" w:type="dxa"/>
            <w:shd w:val="clear" w:color="auto" w:fill="1F3A5F"/>
          </w:tcPr>
          <w:p>
            <w:pPr>
              <w:pStyle w:val="Compact"/>
              <w:spacing w:after="40"/>
              <w:jc w:val="left"/>
            </w:pPr>
            <w:r>
              <w:rPr>
                <w:b/>
                <w:color w:val="FFFFFF"/>
                <w:sz w:val="18"/>
              </w:rPr>
              <w:t xml:space="preserve">Step</w:t>
            </w:r>
          </w:p>
        </w:tc>
        <w:tc>
          <w:tcPr>
            <w:tcW w:w="7991" w:type="dxa"/>
            <w:shd w:val="clear" w:color="auto" w:fill="1F3A5F"/>
          </w:tcPr>
          <w:p>
            <w:pPr>
              <w:pStyle w:val="Compact"/>
              <w:spacing w:after="40"/>
              <w:jc w:val="left"/>
            </w:pPr>
            <w:r>
              <w:rPr>
                <w:b/>
                <w:color w:val="FFFFFF"/>
                <w:sz w:val="18"/>
              </w:rPr>
              <w:t xml:space="preserve">Workflow</w:t>
            </w:r>
          </w:p>
        </w:tc>
      </w:tr>
      <w:tr>
        <w:tc>
          <w:tcPr>
            <w:tcW w:w="1647" w:type="dxa"/>
          </w:tcPr>
          <w:p>
            <w:pPr>
              <w:pStyle w:val="Compact"/>
              <w:spacing w:after="40"/>
              <w:jc w:val="left"/>
            </w:pPr>
            <w:r>
              <w:rPr>
                <w:sz w:val="18"/>
              </w:rPr>
              <w:t xml:space="preserve">Channel</w:t>
            </w:r>
          </w:p>
        </w:tc>
        <w:tc>
          <w:tcPr>
            <w:tcW w:w="7991" w:type="dxa"/>
          </w:tcPr>
          <w:p>
            <w:pPr>
              <w:pStyle w:val="Compact"/>
              <w:spacing w:after="40"/>
              <w:jc w:val="left"/>
            </w:pPr>
            <w:r>
              <w:rPr>
                <w:sz w:val="18"/>
              </w:rPr>
              <w:t xml:space="preserve">Digital application for individual loans; group (JLG or SHG) processes stay with the RE’s field staff; assisted mode through U22 only with borrower OTP consent</w:t>
            </w:r>
          </w:p>
        </w:tc>
      </w:tr>
      <w:tr>
        <w:tc>
          <w:tcPr>
            <w:tcW w:w="1647" w:type="dxa"/>
          </w:tcPr>
          <w:p>
            <w:pPr>
              <w:pStyle w:val="Compact"/>
              <w:spacing w:after="40"/>
              <w:jc w:val="left"/>
            </w:pPr>
            <w:r>
              <w:rPr>
                <w:sz w:val="18"/>
              </w:rPr>
              <w:t xml:space="preserve">KYC</w:t>
            </w:r>
          </w:p>
        </w:tc>
        <w:tc>
          <w:tcPr>
            <w:tcW w:w="7991" w:type="dxa"/>
          </w:tcPr>
          <w:p>
            <w:pPr>
              <w:pStyle w:val="Compact"/>
              <w:spacing w:after="40"/>
              <w:jc w:val="left"/>
            </w:pPr>
            <w:r>
              <w:rPr>
                <w:sz w:val="18"/>
              </w:rPr>
              <w:t xml:space="preserve">Baseline; digital KYC only as the RE’s authenticated application (KYC para 24)</w:t>
            </w:r>
          </w:p>
        </w:tc>
      </w:tr>
      <w:tr>
        <w:tc>
          <w:tcPr>
            <w:tcW w:w="1647" w:type="dxa"/>
          </w:tcPr>
          <w:p>
            <w:pPr>
              <w:pStyle w:val="Compact"/>
              <w:spacing w:after="40"/>
              <w:jc w:val="left"/>
            </w:pPr>
            <w:r>
              <w:rPr>
                <w:sz w:val="18"/>
              </w:rPr>
              <w:t xml:space="preserve">Credit data</w:t>
            </w:r>
          </w:p>
        </w:tc>
        <w:tc>
          <w:tcPr>
            <w:tcW w:w="7991" w:type="dxa"/>
          </w:tcPr>
          <w:p>
            <w:pPr>
              <w:pStyle w:val="Compact"/>
              <w:spacing w:after="40"/>
              <w:jc w:val="left"/>
            </w:pPr>
            <w:r>
              <w:rPr>
                <w:sz w:val="18"/>
              </w:rPr>
              <w:t xml:space="preserve">Household composition and income questionnaire (CF para 52); all household obligations from bureau and declaration; 50% cap (CF paras 55–57); the RE reports household income (CF para 54)</w:t>
            </w:r>
          </w:p>
        </w:tc>
      </w:tr>
      <w:tr>
        <w:tc>
          <w:tcPr>
            <w:tcW w:w="1647" w:type="dxa"/>
          </w:tcPr>
          <w:p>
            <w:pPr>
              <w:pStyle w:val="Compact"/>
              <w:spacing w:after="40"/>
              <w:jc w:val="left"/>
            </w:pPr>
            <w:r>
              <w:rPr>
                <w:sz w:val="18"/>
              </w:rPr>
              <w:t xml:space="preserve">Collateral</w:t>
            </w:r>
          </w:p>
        </w:tc>
        <w:tc>
          <w:tcPr>
            <w:tcW w:w="7991" w:type="dxa"/>
          </w:tcPr>
          <w:p>
            <w:pPr>
              <w:pStyle w:val="Compact"/>
              <w:spacing w:after="40"/>
              <w:jc w:val="left"/>
            </w:pPr>
            <w:r>
              <w:rPr>
                <w:sz w:val="18"/>
              </w:rPr>
              <w:t xml:space="preserve">None by definition (CF para 51)</w:t>
            </w:r>
          </w:p>
        </w:tc>
      </w:tr>
      <w:tr>
        <w:tc>
          <w:tcPr>
            <w:tcW w:w="1647" w:type="dxa"/>
          </w:tcPr>
          <w:p>
            <w:pPr>
              <w:pStyle w:val="Compact"/>
              <w:spacing w:after="40"/>
              <w:jc w:val="left"/>
            </w:pPr>
            <w:r>
              <w:rPr>
                <w:sz w:val="18"/>
              </w:rPr>
              <w:t xml:space="preserve">Documentation</w:t>
            </w:r>
          </w:p>
        </w:tc>
        <w:tc>
          <w:tcPr>
            <w:tcW w:w="7991" w:type="dxa"/>
          </w:tcPr>
          <w:p>
            <w:pPr>
              <w:pStyle w:val="Compact"/>
              <w:spacing w:after="40"/>
              <w:jc w:val="left"/>
            </w:pPr>
            <w:r>
              <w:rPr>
                <w:sz w:val="18"/>
              </w:rPr>
              <w:t xml:space="preserve">Standard microfinance agreement and loan card in the borrower’s language (RBC paras 77–79); no prepayment charge (RBC para 81); pricing ceiling (CF paras 60–61)</w:t>
            </w:r>
          </w:p>
        </w:tc>
      </w:tr>
      <w:tr>
        <w:tc>
          <w:tcPr>
            <w:tcW w:w="1647" w:type="dxa"/>
          </w:tcPr>
          <w:p>
            <w:pPr>
              <w:pStyle w:val="Compact"/>
              <w:spacing w:after="40"/>
              <w:jc w:val="left"/>
            </w:pPr>
            <w:r>
              <w:rPr>
                <w:sz w:val="18"/>
              </w:rPr>
              <w:t xml:space="preserve">Disbursement</w:t>
            </w:r>
          </w:p>
        </w:tc>
        <w:tc>
          <w:tcPr>
            <w:tcW w:w="7991" w:type="dxa"/>
          </w:tcPr>
          <w:p>
            <w:pPr>
              <w:pStyle w:val="Compact"/>
              <w:spacing w:after="40"/>
              <w:jc w:val="left"/>
            </w:pPr>
            <w:r>
              <w:rPr>
                <w:sz w:val="18"/>
              </w:rPr>
              <w:t xml:space="preserve">Borrower’s account; recovery-grievance mechanism in the disbursal notice (RBC para 92)</w:t>
            </w:r>
          </w:p>
        </w:tc>
      </w:tr>
      <w:tr>
        <w:tc>
          <w:tcPr>
            <w:tcW w:w="1647" w:type="dxa"/>
          </w:tcPr>
          <w:p>
            <w:pPr>
              <w:pStyle w:val="Compact"/>
              <w:spacing w:after="40"/>
              <w:jc w:val="left"/>
            </w:pPr>
            <w:r>
              <w:rPr>
                <w:sz w:val="18"/>
              </w:rPr>
              <w:t xml:space="preserve">Events to the RE</w:t>
            </w:r>
          </w:p>
        </w:tc>
        <w:tc>
          <w:tcPr>
            <w:tcW w:w="7991" w:type="dxa"/>
          </w:tcPr>
          <w:p>
            <w:pPr>
              <w:pStyle w:val="Compact"/>
              <w:spacing w:after="40"/>
              <w:jc w:val="left"/>
            </w:pPr>
            <w:r>
              <w:rPr>
                <w:sz w:val="18"/>
              </w:rPr>
              <w:t xml:space="preserve">Baseline plus household profile and obligation estimate</w:t>
            </w:r>
          </w:p>
        </w:tc>
      </w:tr>
      <w:tr>
        <w:tc>
          <w:tcPr>
            <w:tcW w:w="1647" w:type="dxa"/>
          </w:tcPr>
          <w:p>
            <w:pPr>
              <w:pStyle w:val="Compact"/>
              <w:spacing w:after="40"/>
              <w:jc w:val="left"/>
            </w:pPr>
            <w:r>
              <w:rPr>
                <w:sz w:val="18"/>
              </w:rPr>
              <w:t xml:space="preserve">Recovery playbook</w:t>
            </w:r>
          </w:p>
        </w:tc>
        <w:tc>
          <w:tcPr>
            <w:tcW w:w="7991" w:type="dxa"/>
          </w:tcPr>
          <w:p>
            <w:pPr>
              <w:pStyle w:val="Compact"/>
              <w:spacing w:after="40"/>
              <w:jc w:val="left"/>
            </w:pPr>
            <w:r>
              <w:rPr>
                <w:sz w:val="18"/>
              </w:rPr>
              <w:t xml:space="preserve">Finbyx R16</w:t>
            </w:r>
            <w:r>
              <w:rPr>
                <w:sz w:val="18"/>
              </w:rPr>
              <w:t xml:space="preserve"> </w:t>
            </w:r>
            <w:r>
              <w:rPr>
                <w:rStyle w:val="VerbatimChar"/>
                <w:sz w:val="18"/>
              </w:rPr>
              <w:t xml:space="preserve">MFI</w:t>
            </w:r>
            <w:r>
              <w:rPr>
                <w:sz w:val="18"/>
              </w:rPr>
              <w:t xml:space="preserve">: designated-place collection, home or work visit only after two missed appearances (RBC para 90); no calls before 09:00 or after 18:00 (para 91(2)) until 31 Dec 2026; paras 89–100 are replaced on 1 Jan 2027 by the Third Amendment (pack B), so from that date the Third Amendment rule pack applies to microfinance loans, and an RE may only narrow the window (7A.0.4; Part 7E MG2.8); state overlays (7A.0.4); conciliation or Lok Adalat; no coercive steps. Udofin reminders only within the microfinance window</w:t>
            </w:r>
          </w:p>
        </w:tc>
      </w:tr>
    </w:tbl>
    <w:bookmarkEnd w:id="58"/>
    <w:bookmarkStart w:id="59" w:name="X4fb43b33802ff50fa692bd84e05e2bcb1dbb212"/>
    <w:p>
      <w:pPr>
        <w:pStyle w:val="Heading3"/>
      </w:pPr>
      <w:r>
        <w:t xml:space="preserve">6.4.11 Product 14 — Supply-chain and TReDS invoice finance (proposed, Phase 18b)</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76"/>
        <w:gridCol w:w="7762"/>
      </w:tblGrid>
      <w:tr>
        <w:trPr>
          <w:tblHeader w:val="true"/>
          <w:tblHeader w:val="true"/>
        </w:trPr>
        <w:tc>
          <w:tcPr>
            <w:tcW w:w="1876" w:type="dxa"/>
            <w:shd w:val="clear" w:color="auto" w:fill="1F3A5F"/>
          </w:tcPr>
          <w:p>
            <w:pPr>
              <w:pStyle w:val="Compact"/>
              <w:spacing w:after="40"/>
              <w:jc w:val="left"/>
            </w:pPr>
            <w:r>
              <w:rPr>
                <w:b/>
                <w:color w:val="FFFFFF"/>
                <w:sz w:val="18"/>
              </w:rPr>
              <w:t xml:space="preserve">Step</w:t>
            </w:r>
          </w:p>
        </w:tc>
        <w:tc>
          <w:tcPr>
            <w:tcW w:w="7762" w:type="dxa"/>
            <w:shd w:val="clear" w:color="auto" w:fill="1F3A5F"/>
          </w:tcPr>
          <w:p>
            <w:pPr>
              <w:pStyle w:val="Compact"/>
              <w:spacing w:after="40"/>
              <w:jc w:val="left"/>
            </w:pPr>
            <w:r>
              <w:rPr>
                <w:b/>
                <w:color w:val="FFFFFF"/>
                <w:sz w:val="18"/>
              </w:rPr>
              <w:t xml:space="preserve">Workflow</w:t>
            </w:r>
          </w:p>
        </w:tc>
      </w:tr>
      <w:tr>
        <w:tc>
          <w:tcPr>
            <w:tcW w:w="1876" w:type="dxa"/>
          </w:tcPr>
          <w:p>
            <w:pPr>
              <w:pStyle w:val="Compact"/>
              <w:spacing w:after="40"/>
              <w:jc w:val="left"/>
            </w:pPr>
            <w:r>
              <w:rPr>
                <w:sz w:val="18"/>
              </w:rPr>
              <w:t xml:space="preserve">Channel</w:t>
            </w:r>
          </w:p>
        </w:tc>
        <w:tc>
          <w:tcPr>
            <w:tcW w:w="7762" w:type="dxa"/>
          </w:tcPr>
          <w:p>
            <w:pPr>
              <w:pStyle w:val="Compact"/>
              <w:spacing w:after="40"/>
              <w:jc w:val="left"/>
            </w:pPr>
            <w:r>
              <w:rPr>
                <w:sz w:val="18"/>
              </w:rPr>
              <w:t xml:space="preserve">Anchor-led dealer or vendor finance: the anchor nominates; the MSME applies in Udofin. TReDS: the RE bids as a registered financier on the TReDS platform; Udofin only refers the MSME to the platform and shows the RE’s status (RBI TReDS Directions, RBI/DPSS/2026-27/406, 23 Jun 2026) [VERIFY]</w:t>
            </w:r>
          </w:p>
        </w:tc>
      </w:tr>
      <w:tr>
        <w:tc>
          <w:tcPr>
            <w:tcW w:w="1876" w:type="dxa"/>
          </w:tcPr>
          <w:p>
            <w:pPr>
              <w:pStyle w:val="Compact"/>
              <w:spacing w:after="40"/>
              <w:jc w:val="left"/>
            </w:pPr>
            <w:r>
              <w:rPr>
                <w:sz w:val="18"/>
              </w:rPr>
              <w:t xml:space="preserve">KYC</w:t>
            </w:r>
          </w:p>
        </w:tc>
        <w:tc>
          <w:tcPr>
            <w:tcW w:w="7762" w:type="dxa"/>
          </w:tcPr>
          <w:p>
            <w:pPr>
              <w:pStyle w:val="Compact"/>
              <w:spacing w:after="40"/>
              <w:jc w:val="left"/>
            </w:pPr>
            <w:r>
              <w:rPr>
                <w:sz w:val="18"/>
              </w:rPr>
              <w:t xml:space="preserve">Entity KYC as Product 12; anchor KYC by the RE</w:t>
            </w:r>
          </w:p>
        </w:tc>
      </w:tr>
      <w:tr>
        <w:tc>
          <w:tcPr>
            <w:tcW w:w="1876" w:type="dxa"/>
          </w:tcPr>
          <w:p>
            <w:pPr>
              <w:pStyle w:val="Compact"/>
              <w:spacing w:after="40"/>
              <w:jc w:val="left"/>
            </w:pPr>
            <w:r>
              <w:rPr>
                <w:sz w:val="18"/>
              </w:rPr>
              <w:t xml:space="preserve">Credit data</w:t>
            </w:r>
          </w:p>
        </w:tc>
        <w:tc>
          <w:tcPr>
            <w:tcW w:w="7762" w:type="dxa"/>
          </w:tcPr>
          <w:p>
            <w:pPr>
              <w:pStyle w:val="Compact"/>
              <w:spacing w:after="40"/>
              <w:jc w:val="left"/>
            </w:pPr>
            <w:r>
              <w:rPr>
                <w:sz w:val="18"/>
              </w:rPr>
              <w:t xml:space="preserve">Anchor programme limits, invoice and GST data, Udyam; bureau of the MSME and promoters</w:t>
            </w:r>
          </w:p>
        </w:tc>
      </w:tr>
      <w:tr>
        <w:tc>
          <w:tcPr>
            <w:tcW w:w="1876" w:type="dxa"/>
          </w:tcPr>
          <w:p>
            <w:pPr>
              <w:pStyle w:val="Compact"/>
              <w:spacing w:after="40"/>
              <w:jc w:val="left"/>
            </w:pPr>
            <w:r>
              <w:rPr>
                <w:sz w:val="18"/>
              </w:rPr>
              <w:t xml:space="preserve">Collateral</w:t>
            </w:r>
          </w:p>
        </w:tc>
        <w:tc>
          <w:tcPr>
            <w:tcW w:w="7762" w:type="dxa"/>
          </w:tcPr>
          <w:p>
            <w:pPr>
              <w:pStyle w:val="Compact"/>
              <w:spacing w:after="40"/>
              <w:jc w:val="left"/>
            </w:pPr>
            <w:r>
              <w:rPr>
                <w:sz w:val="18"/>
              </w:rPr>
              <w:t xml:space="preserve">Assignment of receivables; for TReDS, the accepted factoring unit is without recourse to the MSME and the platform registers the assignment with CERSAI</w:t>
            </w:r>
          </w:p>
        </w:tc>
      </w:tr>
      <w:tr>
        <w:tc>
          <w:tcPr>
            <w:tcW w:w="1876" w:type="dxa"/>
          </w:tcPr>
          <w:p>
            <w:pPr>
              <w:pStyle w:val="Compact"/>
              <w:spacing w:after="40"/>
              <w:jc w:val="left"/>
            </w:pPr>
            <w:r>
              <w:rPr>
                <w:sz w:val="18"/>
              </w:rPr>
              <w:t xml:space="preserve">Documentation</w:t>
            </w:r>
          </w:p>
        </w:tc>
        <w:tc>
          <w:tcPr>
            <w:tcW w:w="7762" w:type="dxa"/>
          </w:tcPr>
          <w:p>
            <w:pPr>
              <w:pStyle w:val="Compact"/>
              <w:spacing w:after="40"/>
              <w:jc w:val="left"/>
            </w:pPr>
            <w:r>
              <w:rPr>
                <w:sz w:val="18"/>
              </w:rPr>
              <w:t xml:space="preserve">Programme agreement with the anchor; invoice and acceptance evidence; no-other-financier undertaking for TReDS units</w:t>
            </w:r>
          </w:p>
        </w:tc>
      </w:tr>
      <w:tr>
        <w:tc>
          <w:tcPr>
            <w:tcW w:w="1876" w:type="dxa"/>
          </w:tcPr>
          <w:p>
            <w:pPr>
              <w:pStyle w:val="Compact"/>
              <w:spacing w:after="40"/>
              <w:jc w:val="left"/>
            </w:pPr>
            <w:r>
              <w:rPr>
                <w:sz w:val="18"/>
              </w:rPr>
              <w:t xml:space="preserve">Disbursement</w:t>
            </w:r>
          </w:p>
        </w:tc>
        <w:tc>
          <w:tcPr>
            <w:tcW w:w="7762" w:type="dxa"/>
          </w:tcPr>
          <w:p>
            <w:pPr>
              <w:pStyle w:val="Compact"/>
              <w:spacing w:after="40"/>
              <w:jc w:val="left"/>
            </w:pPr>
            <w:r>
              <w:rPr>
                <w:sz w:val="18"/>
              </w:rPr>
              <w:t xml:space="preserve">Seller’s account, or the supplier as end-beneficiary for dealer finance (CF para 10(1)); TReDS settlement through the platform’s mechanism [VERIFY: fit with CF para 10(1)]</w:t>
            </w:r>
          </w:p>
        </w:tc>
      </w:tr>
      <w:tr>
        <w:tc>
          <w:tcPr>
            <w:tcW w:w="1876" w:type="dxa"/>
          </w:tcPr>
          <w:p>
            <w:pPr>
              <w:pStyle w:val="Compact"/>
              <w:spacing w:after="40"/>
              <w:jc w:val="left"/>
            </w:pPr>
            <w:r>
              <w:rPr>
                <w:sz w:val="18"/>
              </w:rPr>
              <w:t xml:space="preserve">Events to the RE</w:t>
            </w:r>
          </w:p>
        </w:tc>
        <w:tc>
          <w:tcPr>
            <w:tcW w:w="7762" w:type="dxa"/>
          </w:tcPr>
          <w:p>
            <w:pPr>
              <w:pStyle w:val="Compact"/>
              <w:spacing w:after="40"/>
              <w:jc w:val="left"/>
            </w:pPr>
            <w:r>
              <w:rPr>
                <w:sz w:val="18"/>
              </w:rPr>
              <w:t xml:space="preserve">Baseline plus invoice and factoring-unit references</w:t>
            </w:r>
          </w:p>
        </w:tc>
      </w:tr>
      <w:tr>
        <w:tc>
          <w:tcPr>
            <w:tcW w:w="1876" w:type="dxa"/>
          </w:tcPr>
          <w:p>
            <w:pPr>
              <w:pStyle w:val="Compact"/>
              <w:spacing w:after="40"/>
              <w:jc w:val="left"/>
            </w:pPr>
            <w:r>
              <w:rPr>
                <w:sz w:val="18"/>
              </w:rPr>
              <w:t xml:space="preserve">Recovery playbook</w:t>
            </w:r>
          </w:p>
        </w:tc>
        <w:tc>
          <w:tcPr>
            <w:tcW w:w="7762" w:type="dxa"/>
          </w:tcPr>
          <w:p>
            <w:pPr>
              <w:pStyle w:val="Compact"/>
              <w:spacing w:after="40"/>
              <w:jc w:val="left"/>
            </w:pPr>
            <w:r>
              <w:rPr>
                <w:sz w:val="18"/>
              </w:rPr>
              <w:t xml:space="preserve">Finbyx R16</w:t>
            </w:r>
            <w:r>
              <w:rPr>
                <w:sz w:val="18"/>
              </w:rPr>
              <w:t xml:space="preserve"> </w:t>
            </w:r>
            <w:r>
              <w:rPr>
                <w:rStyle w:val="VerbatimChar"/>
                <w:sz w:val="18"/>
              </w:rPr>
              <w:t xml:space="preserve">SCF</w:t>
            </w:r>
            <w:r>
              <w:rPr>
                <w:sz w:val="18"/>
              </w:rPr>
              <w:t xml:space="preserve">: TReDS buyer default → claim against the buyer, no recourse to the MSME; dealer finance → recovery from the dealer per programme terms and anchor support</w:t>
            </w:r>
          </w:p>
        </w:tc>
      </w:tr>
    </w:tbl>
    <w:bookmarkEnd w:id="59"/>
    <w:bookmarkStart w:id="60" w:name="X512293027e6851dd460ee2d15cb067bd8ea24ee"/>
    <w:p>
      <w:pPr>
        <w:pStyle w:val="Heading3"/>
      </w:pPr>
      <w:r>
        <w:t xml:space="preserve">6.4.12 Product 15 — Education loan (proposed, Phase 18b)</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74"/>
        <w:gridCol w:w="7264"/>
      </w:tblGrid>
      <w:tr>
        <w:trPr>
          <w:tblHeader w:val="true"/>
          <w:tblHeader w:val="true"/>
        </w:trPr>
        <w:tc>
          <w:tcPr>
            <w:tcW w:w="2374" w:type="dxa"/>
            <w:shd w:val="clear" w:color="auto" w:fill="1F3A5F"/>
          </w:tcPr>
          <w:p>
            <w:pPr>
              <w:pStyle w:val="Compact"/>
              <w:spacing w:after="40"/>
              <w:jc w:val="left"/>
            </w:pPr>
            <w:r>
              <w:rPr>
                <w:b/>
                <w:color w:val="FFFFFF"/>
                <w:sz w:val="18"/>
              </w:rPr>
              <w:t xml:space="preserve">Step</w:t>
            </w:r>
          </w:p>
        </w:tc>
        <w:tc>
          <w:tcPr>
            <w:tcW w:w="7264" w:type="dxa"/>
            <w:shd w:val="clear" w:color="auto" w:fill="1F3A5F"/>
          </w:tcPr>
          <w:p>
            <w:pPr>
              <w:pStyle w:val="Compact"/>
              <w:spacing w:after="40"/>
              <w:jc w:val="left"/>
            </w:pPr>
            <w:r>
              <w:rPr>
                <w:b/>
                <w:color w:val="FFFFFF"/>
                <w:sz w:val="18"/>
              </w:rPr>
              <w:t xml:space="preserve">Workflow</w:t>
            </w:r>
          </w:p>
        </w:tc>
      </w:tr>
      <w:tr>
        <w:tc>
          <w:tcPr>
            <w:tcW w:w="2374" w:type="dxa"/>
          </w:tcPr>
          <w:p>
            <w:pPr>
              <w:pStyle w:val="Compact"/>
              <w:spacing w:after="40"/>
              <w:jc w:val="left"/>
            </w:pPr>
            <w:r>
              <w:rPr>
                <w:sz w:val="18"/>
              </w:rPr>
              <w:t xml:space="preserve">Channel</w:t>
            </w:r>
          </w:p>
        </w:tc>
        <w:tc>
          <w:tcPr>
            <w:tcW w:w="7264" w:type="dxa"/>
          </w:tcPr>
          <w:p>
            <w:pPr>
              <w:pStyle w:val="Compact"/>
              <w:spacing w:after="40"/>
              <w:jc w:val="left"/>
            </w:pPr>
            <w:r>
              <w:rPr>
                <w:sz w:val="18"/>
              </w:rPr>
              <w:t xml:space="preserve">Baseline plus admission letter, course, fee schedule and co-borrower (parent or guardian)</w:t>
            </w:r>
          </w:p>
        </w:tc>
      </w:tr>
      <w:tr>
        <w:tc>
          <w:tcPr>
            <w:tcW w:w="2374" w:type="dxa"/>
          </w:tcPr>
          <w:p>
            <w:pPr>
              <w:pStyle w:val="Compact"/>
              <w:spacing w:after="40"/>
              <w:jc w:val="left"/>
            </w:pPr>
            <w:r>
              <w:rPr>
                <w:sz w:val="18"/>
              </w:rPr>
              <w:t xml:space="preserve">KYC</w:t>
            </w:r>
          </w:p>
        </w:tc>
        <w:tc>
          <w:tcPr>
            <w:tcW w:w="7264" w:type="dxa"/>
          </w:tcPr>
          <w:p>
            <w:pPr>
              <w:pStyle w:val="Compact"/>
              <w:spacing w:after="40"/>
              <w:jc w:val="left"/>
            </w:pPr>
            <w:r>
              <w:rPr>
                <w:sz w:val="18"/>
              </w:rPr>
              <w:t xml:space="preserve">Baseline for the student and co-borrower</w:t>
            </w:r>
          </w:p>
        </w:tc>
      </w:tr>
      <w:tr>
        <w:tc>
          <w:tcPr>
            <w:tcW w:w="2374" w:type="dxa"/>
          </w:tcPr>
          <w:p>
            <w:pPr>
              <w:pStyle w:val="Compact"/>
              <w:spacing w:after="40"/>
              <w:jc w:val="left"/>
            </w:pPr>
            <w:r>
              <w:rPr>
                <w:sz w:val="18"/>
              </w:rPr>
              <w:t xml:space="preserve">Credit data</w:t>
            </w:r>
          </w:p>
        </w:tc>
        <w:tc>
          <w:tcPr>
            <w:tcW w:w="7264" w:type="dxa"/>
          </w:tcPr>
          <w:p>
            <w:pPr>
              <w:pStyle w:val="Compact"/>
              <w:spacing w:after="40"/>
              <w:jc w:val="left"/>
            </w:pPr>
            <w:r>
              <w:rPr>
                <w:sz w:val="18"/>
              </w:rPr>
              <w:t xml:space="preserve">Co-borrower bureau and income; collateral-free loans to households with income of ₹3 lakh or less are microfinance loans (CF para 51)</w:t>
            </w:r>
          </w:p>
        </w:tc>
      </w:tr>
      <w:tr>
        <w:tc>
          <w:tcPr>
            <w:tcW w:w="2374" w:type="dxa"/>
          </w:tcPr>
          <w:p>
            <w:pPr>
              <w:pStyle w:val="Compact"/>
              <w:spacing w:after="40"/>
              <w:jc w:val="left"/>
            </w:pPr>
            <w:r>
              <w:rPr>
                <w:sz w:val="18"/>
              </w:rPr>
              <w:t xml:space="preserve">Collateral</w:t>
            </w:r>
          </w:p>
        </w:tc>
        <w:tc>
          <w:tcPr>
            <w:tcW w:w="7264" w:type="dxa"/>
          </w:tcPr>
          <w:p>
            <w:pPr>
              <w:pStyle w:val="Compact"/>
              <w:spacing w:after="40"/>
              <w:jc w:val="left"/>
            </w:pPr>
            <w:r>
              <w:rPr>
                <w:sz w:val="18"/>
              </w:rPr>
              <w:t xml:space="preserve">Unsecured, or third-party mortgage or deposit lien above the RE’s threshold</w:t>
            </w:r>
          </w:p>
        </w:tc>
      </w:tr>
      <w:tr>
        <w:tc>
          <w:tcPr>
            <w:tcW w:w="2374" w:type="dxa"/>
          </w:tcPr>
          <w:p>
            <w:pPr>
              <w:pStyle w:val="Compact"/>
              <w:spacing w:after="40"/>
              <w:jc w:val="left"/>
            </w:pPr>
            <w:r>
              <w:rPr>
                <w:sz w:val="18"/>
              </w:rPr>
              <w:t xml:space="preserve">Documentation</w:t>
            </w:r>
          </w:p>
        </w:tc>
        <w:tc>
          <w:tcPr>
            <w:tcW w:w="7264" w:type="dxa"/>
          </w:tcPr>
          <w:p>
            <w:pPr>
              <w:pStyle w:val="Compact"/>
              <w:spacing w:after="40"/>
              <w:jc w:val="left"/>
            </w:pPr>
            <w:r>
              <w:rPr>
                <w:sz w:val="18"/>
              </w:rPr>
              <w:t xml:space="preserve">Moratorium (course period plus grace) and repayment start stated in the KFS; institution verification</w:t>
            </w:r>
          </w:p>
        </w:tc>
      </w:tr>
      <w:tr>
        <w:tc>
          <w:tcPr>
            <w:tcW w:w="2374" w:type="dxa"/>
          </w:tcPr>
          <w:p>
            <w:pPr>
              <w:pStyle w:val="Compact"/>
              <w:spacing w:after="40"/>
              <w:jc w:val="left"/>
            </w:pPr>
            <w:r>
              <w:rPr>
                <w:sz w:val="18"/>
              </w:rPr>
              <w:t xml:space="preserve">Disbursement</w:t>
            </w:r>
          </w:p>
        </w:tc>
        <w:tc>
          <w:tcPr>
            <w:tcW w:w="7264" w:type="dxa"/>
          </w:tcPr>
          <w:p>
            <w:pPr>
              <w:pStyle w:val="Compact"/>
              <w:spacing w:after="40"/>
              <w:jc w:val="left"/>
            </w:pPr>
            <w:r>
              <w:rPr>
                <w:sz w:val="18"/>
              </w:rPr>
              <w:t xml:space="preserve">Institution as end-beneficiary per fee schedule (CF para 10(1)); overseas fees only through the RE’s authorised dealer bank</w:t>
            </w:r>
          </w:p>
        </w:tc>
      </w:tr>
      <w:tr>
        <w:tc>
          <w:tcPr>
            <w:tcW w:w="2374" w:type="dxa"/>
          </w:tcPr>
          <w:p>
            <w:pPr>
              <w:pStyle w:val="Compact"/>
              <w:spacing w:after="40"/>
              <w:jc w:val="left"/>
            </w:pPr>
            <w:r>
              <w:rPr>
                <w:sz w:val="18"/>
              </w:rPr>
              <w:t xml:space="preserve">Events to the RE</w:t>
            </w:r>
          </w:p>
        </w:tc>
        <w:tc>
          <w:tcPr>
            <w:tcW w:w="7264" w:type="dxa"/>
          </w:tcPr>
          <w:p>
            <w:pPr>
              <w:pStyle w:val="Compact"/>
              <w:spacing w:after="40"/>
              <w:jc w:val="left"/>
            </w:pPr>
            <w:r>
              <w:rPr>
                <w:sz w:val="18"/>
              </w:rPr>
              <w:t xml:space="preserve">Baseline plus admission and institution references</w:t>
            </w:r>
          </w:p>
        </w:tc>
      </w:tr>
      <w:tr>
        <w:tc>
          <w:tcPr>
            <w:tcW w:w="2374" w:type="dxa"/>
          </w:tcPr>
          <w:p>
            <w:pPr>
              <w:pStyle w:val="Compact"/>
              <w:spacing w:after="40"/>
              <w:jc w:val="left"/>
            </w:pPr>
            <w:r>
              <w:rPr>
                <w:sz w:val="18"/>
              </w:rPr>
              <w:t xml:space="preserve">Recovery playbook</w:t>
            </w:r>
          </w:p>
        </w:tc>
        <w:tc>
          <w:tcPr>
            <w:tcW w:w="7264" w:type="dxa"/>
          </w:tcPr>
          <w:p>
            <w:pPr>
              <w:pStyle w:val="Compact"/>
              <w:spacing w:after="40"/>
              <w:jc w:val="left"/>
            </w:pPr>
            <w:r>
              <w:rPr>
                <w:sz w:val="18"/>
              </w:rPr>
              <w:t xml:space="preserve">Finbyx R16</w:t>
            </w:r>
            <w:r>
              <w:rPr>
                <w:sz w:val="18"/>
              </w:rPr>
              <w:t xml:space="preserve"> </w:t>
            </w:r>
            <w:r>
              <w:rPr>
                <w:rStyle w:val="VerbatimChar"/>
                <w:sz w:val="18"/>
              </w:rPr>
              <w:t xml:space="preserve">EDU</w:t>
            </w:r>
            <w:r>
              <w:rPr>
                <w:sz w:val="18"/>
              </w:rPr>
              <w:t xml:space="preserve">: reminders to student and co-borrower after the grace period → Lok Adalat or conciliation → civil suit; SARFAESI only where secured and eligible</w:t>
            </w:r>
          </w:p>
        </w:tc>
      </w:tr>
    </w:tbl>
    <w:bookmarkEnd w:id="60"/>
    <w:bookmarkEnd w:id="61"/>
    <w:bookmarkStart w:id="66" w:name="Xb8c4848ff6a503f017cb41b5bdeee33fda2da7a"/>
    <w:p>
      <w:pPr>
        <w:pStyle w:val="Heading2"/>
      </w:pPr>
      <w:r>
        <w:t xml:space="preserve">6.5 Loan Against Securities — end-to-end journey</w:t>
      </w:r>
    </w:p>
    <w:p>
      <w:pPr>
        <w:pStyle w:val="FirstParagraph"/>
      </w:pPr>
      <w:r>
        <w:t xml:space="preserve">This section corrects the Udofin × Finbyx LAS proposal (15 Oct 2026) and is binding for Product 3. Default build:</w:t>
      </w:r>
      <w:r>
        <w:t xml:space="preserve"> </w:t>
      </w:r>
      <w:r>
        <w:rPr>
          <w:bCs/>
          <w:b/>
        </w:rPr>
        <w:t xml:space="preserve">term loan</w:t>
      </w:r>
      <w:r>
        <w:t xml:space="preserve">; the overdraft (OD) variant sits behind the RE’s feature flag</w:t>
      </w:r>
      <w:r>
        <w:t xml:space="preserve"> </w:t>
      </w:r>
      <w:r>
        <w:rPr>
          <w:rStyle w:val="VerbatimChar"/>
        </w:rPr>
        <w:t xml:space="preserve">mod.las.revolving</w:t>
      </w:r>
      <w:r>
        <w:t xml:space="preserve"> </w:t>
      </w:r>
      <w:r>
        <w:t xml:space="preserve">(Integration Spec 11.1; Finbyx Part 6.4), off by default, until the August 2026 draft CF amendment on revolving credit is final [VERIFY].</w:t>
      </w:r>
    </w:p>
    <w:bookmarkStart w:id="62" w:name="who-does-what"/>
    <w:p>
      <w:pPr>
        <w:pStyle w:val="Heading3"/>
      </w:pPr>
      <w:r>
        <w:t xml:space="preserve">6.5.1 Who does what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507"/>
        <w:gridCol w:w="2452"/>
        <w:gridCol w:w="3679"/>
      </w:tblGrid>
      <w:tr>
        <w:trPr>
          <w:tblHeader w:val="true"/>
          <w:tblHeader w:val="true"/>
        </w:trPr>
        <w:tc>
          <w:tcPr>
            <w:tcW w:w="3507" w:type="dxa"/>
            <w:shd w:val="clear" w:color="auto" w:fill="1F3A5F"/>
          </w:tcPr>
          <w:p>
            <w:pPr>
              <w:pStyle w:val="Compact"/>
              <w:spacing w:after="40"/>
              <w:jc w:val="left"/>
            </w:pPr>
            <w:r>
              <w:rPr>
                <w:b/>
                <w:color w:val="FFFFFF"/>
                <w:sz w:val="18"/>
              </w:rPr>
              <w:t xml:space="preserve">Function</w:t>
            </w:r>
          </w:p>
        </w:tc>
        <w:tc>
          <w:tcPr>
            <w:tcW w:w="2452" w:type="dxa"/>
            <w:shd w:val="clear" w:color="auto" w:fill="1F3A5F"/>
          </w:tcPr>
          <w:p>
            <w:pPr>
              <w:pStyle w:val="Compact"/>
              <w:spacing w:after="40"/>
              <w:jc w:val="left"/>
            </w:pPr>
            <w:r>
              <w:rPr>
                <w:b/>
                <w:color w:val="FFFFFF"/>
                <w:sz w:val="18"/>
              </w:rPr>
              <w:t xml:space="preserve">Owner</w:t>
            </w:r>
          </w:p>
        </w:tc>
        <w:tc>
          <w:tcPr>
            <w:tcW w:w="3679" w:type="dxa"/>
            <w:shd w:val="clear" w:color="auto" w:fill="1F3A5F"/>
          </w:tcPr>
          <w:p>
            <w:pPr>
              <w:pStyle w:val="Compact"/>
              <w:spacing w:after="40"/>
              <w:jc w:val="left"/>
            </w:pPr>
            <w:r>
              <w:rPr>
                <w:b/>
                <w:color w:val="FFFFFF"/>
                <w:sz w:val="18"/>
              </w:rPr>
              <w:t xml:space="preserve">Udofin role</w:t>
            </w:r>
          </w:p>
        </w:tc>
      </w:tr>
      <w:tr>
        <w:tc>
          <w:tcPr>
            <w:tcW w:w="3507" w:type="dxa"/>
          </w:tcPr>
          <w:p>
            <w:pPr>
              <w:pStyle w:val="Compact"/>
              <w:spacing w:after="40"/>
              <w:jc w:val="left"/>
            </w:pPr>
            <w:r>
              <w:rPr>
                <w:sz w:val="18"/>
              </w:rPr>
              <w:t xml:space="preserve">Eligible-security list, haircuts, LTV, margin-call and invocation thresholds, cure periods</w:t>
            </w:r>
          </w:p>
        </w:tc>
        <w:tc>
          <w:tcPr>
            <w:tcW w:w="2452" w:type="dxa"/>
          </w:tcPr>
          <w:p>
            <w:pPr>
              <w:pStyle w:val="Compact"/>
              <w:spacing w:after="40"/>
              <w:jc w:val="left"/>
            </w:pPr>
            <w:r>
              <w:rPr>
                <w:sz w:val="18"/>
              </w:rPr>
              <w:t xml:space="preserve">RE (published in</w:t>
            </w:r>
            <w:r>
              <w:rPr>
                <w:sz w:val="18"/>
              </w:rPr>
              <w:t xml:space="preserve"> </w:t>
            </w:r>
            <w:r>
              <w:rPr>
                <w:rStyle w:val="VerbatimChar"/>
                <w:sz w:val="18"/>
              </w:rPr>
              <w:t xml:space="preserve">ProductCatalogPublished</w:t>
            </w:r>
            <w:r>
              <w:rPr>
                <w:sz w:val="18"/>
              </w:rPr>
              <w:t xml:space="preserve">)</w:t>
            </w:r>
          </w:p>
        </w:tc>
        <w:tc>
          <w:tcPr>
            <w:tcW w:w="3679" w:type="dxa"/>
          </w:tcPr>
          <w:p>
            <w:pPr>
              <w:pStyle w:val="Compact"/>
              <w:spacing w:after="40"/>
              <w:jc w:val="left"/>
            </w:pPr>
            <w:r>
              <w:rPr>
                <w:sz w:val="18"/>
              </w:rPr>
              <w:t xml:space="preserve">Displays; computes only an indicative figure from the RE’s published haircuts, labelled non-binding</w:t>
            </w:r>
          </w:p>
        </w:tc>
      </w:tr>
      <w:tr>
        <w:tc>
          <w:tcPr>
            <w:tcW w:w="3507" w:type="dxa"/>
          </w:tcPr>
          <w:p>
            <w:pPr>
              <w:pStyle w:val="Compact"/>
              <w:spacing w:after="40"/>
              <w:jc w:val="left"/>
            </w:pPr>
            <w:r>
              <w:rPr>
                <w:sz w:val="18"/>
              </w:rPr>
              <w:t xml:space="preserve">Valuation, drawing power, freezes</w:t>
            </w:r>
          </w:p>
        </w:tc>
        <w:tc>
          <w:tcPr>
            <w:tcW w:w="2452" w:type="dxa"/>
          </w:tcPr>
          <w:p>
            <w:pPr>
              <w:pStyle w:val="Compact"/>
              <w:spacing w:after="40"/>
              <w:jc w:val="left"/>
            </w:pPr>
            <w:r>
              <w:rPr>
                <w:sz w:val="18"/>
              </w:rPr>
              <w:t xml:space="preserve">RE (Finbyx or its LMS)</w:t>
            </w:r>
          </w:p>
        </w:tc>
        <w:tc>
          <w:tcPr>
            <w:tcW w:w="3679" w:type="dxa"/>
          </w:tcPr>
          <w:p>
            <w:pPr>
              <w:pStyle w:val="Compact"/>
              <w:spacing w:after="40"/>
              <w:jc w:val="left"/>
            </w:pPr>
            <w:r>
              <w:rPr>
                <w:sz w:val="18"/>
              </w:rPr>
              <w:t xml:space="preserve">Displays</w:t>
            </w:r>
            <w:r>
              <w:rPr>
                <w:sz w:val="18"/>
              </w:rPr>
              <w:t xml:space="preserve"> </w:t>
            </w:r>
            <w:r>
              <w:rPr>
                <w:rStyle w:val="VerbatimChar"/>
                <w:sz w:val="18"/>
              </w:rPr>
              <w:t xml:space="preserve">CollateralValuationUpdated</w:t>
            </w:r>
          </w:p>
        </w:tc>
      </w:tr>
      <w:tr>
        <w:tc>
          <w:tcPr>
            <w:tcW w:w="3507" w:type="dxa"/>
          </w:tcPr>
          <w:p>
            <w:pPr>
              <w:pStyle w:val="Compact"/>
              <w:spacing w:after="40"/>
              <w:jc w:val="left"/>
            </w:pPr>
            <w:r>
              <w:rPr>
                <w:sz w:val="18"/>
              </w:rPr>
              <w:t xml:space="preserve">Pledgee or lienholder; contracts with DP, CDSL LAS API, NSDL and RTA or MF Central</w:t>
            </w:r>
          </w:p>
        </w:tc>
        <w:tc>
          <w:tcPr>
            <w:tcW w:w="2452" w:type="dxa"/>
          </w:tcPr>
          <w:p>
            <w:pPr>
              <w:pStyle w:val="Compact"/>
              <w:spacing w:after="40"/>
              <w:jc w:val="left"/>
            </w:pPr>
            <w:r>
              <w:rPr>
                <w:sz w:val="18"/>
              </w:rPr>
              <w:t xml:space="preserve">RE [VERIFY: direct or through an aggregator]</w:t>
            </w:r>
          </w:p>
        </w:tc>
        <w:tc>
          <w:tcPr>
            <w:tcW w:w="3679" w:type="dxa"/>
          </w:tcPr>
          <w:p>
            <w:pPr>
              <w:pStyle w:val="Compact"/>
              <w:spacing w:after="40"/>
              <w:jc w:val="left"/>
            </w:pPr>
            <w:r>
              <w:rPr>
                <w:sz w:val="18"/>
              </w:rPr>
              <w:t xml:space="preserve">Runs the adapters as the RE’s technology provider, on RE credentials (Part 9.1)</w:t>
            </w:r>
          </w:p>
        </w:tc>
      </w:tr>
      <w:tr>
        <w:tc>
          <w:tcPr>
            <w:tcW w:w="3507" w:type="dxa"/>
          </w:tcPr>
          <w:p>
            <w:pPr>
              <w:pStyle w:val="Compact"/>
              <w:spacing w:after="40"/>
              <w:jc w:val="left"/>
            </w:pPr>
            <w:r>
              <w:rPr>
                <w:sz w:val="18"/>
              </w:rPr>
              <w:t xml:space="preserve">Sanction, disbursal, drawdown authorisation, invocation, release</w:t>
            </w:r>
          </w:p>
        </w:tc>
        <w:tc>
          <w:tcPr>
            <w:tcW w:w="2452" w:type="dxa"/>
          </w:tcPr>
          <w:p>
            <w:pPr>
              <w:pStyle w:val="Compact"/>
              <w:spacing w:after="40"/>
              <w:jc w:val="left"/>
            </w:pPr>
            <w:r>
              <w:rPr>
                <w:sz w:val="18"/>
              </w:rPr>
              <w:t xml:space="preserve">RE</w:t>
            </w:r>
          </w:p>
        </w:tc>
        <w:tc>
          <w:tcPr>
            <w:tcW w:w="3679" w:type="dxa"/>
          </w:tcPr>
          <w:p>
            <w:pPr>
              <w:pStyle w:val="Compact"/>
              <w:spacing w:after="40"/>
              <w:jc w:val="left"/>
            </w:pPr>
            <w:r>
              <w:rPr>
                <w:sz w:val="18"/>
              </w:rPr>
              <w:t xml:space="preserve">Orchestrates borrower steps and shows status</w:t>
            </w:r>
          </w:p>
        </w:tc>
      </w:tr>
      <w:tr>
        <w:tc>
          <w:tcPr>
            <w:tcW w:w="3507" w:type="dxa"/>
          </w:tcPr>
          <w:p>
            <w:pPr>
              <w:pStyle w:val="Compact"/>
              <w:spacing w:after="40"/>
              <w:jc w:val="left"/>
            </w:pPr>
            <w:r>
              <w:rPr>
                <w:sz w:val="18"/>
              </w:rPr>
              <w:t xml:space="preserve">Ledger and OD balances</w:t>
            </w:r>
          </w:p>
        </w:tc>
        <w:tc>
          <w:tcPr>
            <w:tcW w:w="2452" w:type="dxa"/>
          </w:tcPr>
          <w:p>
            <w:pPr>
              <w:pStyle w:val="Compact"/>
              <w:spacing w:after="40"/>
              <w:jc w:val="left"/>
            </w:pPr>
            <w:r>
              <w:rPr>
                <w:sz w:val="18"/>
              </w:rPr>
              <w:t xml:space="preserve">RE’s core</w:t>
            </w:r>
          </w:p>
        </w:tc>
        <w:tc>
          <w:tcPr>
            <w:tcW w:w="3679" w:type="dxa"/>
          </w:tcPr>
          <w:p>
            <w:pPr>
              <w:pStyle w:val="Compact"/>
              <w:spacing w:after="40"/>
              <w:jc w:val="left"/>
            </w:pPr>
            <w:r>
              <w:rPr>
                <w:sz w:val="18"/>
              </w:rPr>
              <w:t xml:space="preserve">None; no shadow ledger</w:t>
            </w:r>
          </w:p>
        </w:tc>
      </w:tr>
    </w:tbl>
    <w:bookmarkEnd w:id="62"/>
    <w:bookmarkStart w:id="63" w:name="rails"/>
    <w:p>
      <w:pPr>
        <w:pStyle w:val="Heading3"/>
      </w:pPr>
      <w:r>
        <w:t xml:space="preserve">6.5.2 Rails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41"/>
        <w:gridCol w:w="3218"/>
        <w:gridCol w:w="1844"/>
        <w:gridCol w:w="1947"/>
        <w:gridCol w:w="1288"/>
      </w:tblGrid>
      <w:tr>
        <w:trPr>
          <w:tblHeader w:val="true"/>
          <w:tblHeader w:val="true"/>
        </w:trPr>
        <w:tc>
          <w:tcPr>
            <w:tcW w:w="1341" w:type="dxa"/>
            <w:shd w:val="clear" w:color="auto" w:fill="1F3A5F"/>
          </w:tcPr>
          <w:p>
            <w:pPr>
              <w:pStyle w:val="Compact"/>
              <w:spacing w:after="40"/>
              <w:jc w:val="left"/>
            </w:pPr>
            <w:r>
              <w:rPr>
                <w:b/>
                <w:color w:val="FFFFFF"/>
                <w:sz w:val="18"/>
              </w:rPr>
              <w:t xml:space="preserve">Rail</w:t>
            </w:r>
          </w:p>
        </w:tc>
        <w:tc>
          <w:tcPr>
            <w:tcW w:w="3218" w:type="dxa"/>
            <w:shd w:val="clear" w:color="auto" w:fill="1F3A5F"/>
          </w:tcPr>
          <w:p>
            <w:pPr>
              <w:pStyle w:val="Compact"/>
              <w:spacing w:after="40"/>
              <w:jc w:val="left"/>
            </w:pPr>
            <w:r>
              <w:rPr>
                <w:b/>
                <w:color w:val="FFFFFF"/>
                <w:sz w:val="18"/>
              </w:rPr>
              <w:t xml:space="preserve">Creation</w:t>
            </w:r>
          </w:p>
        </w:tc>
        <w:tc>
          <w:tcPr>
            <w:tcW w:w="1844" w:type="dxa"/>
            <w:shd w:val="clear" w:color="auto" w:fill="1F3A5F"/>
          </w:tcPr>
          <w:p>
            <w:pPr>
              <w:pStyle w:val="Compact"/>
              <w:spacing w:after="40"/>
              <w:jc w:val="left"/>
            </w:pPr>
            <w:r>
              <w:rPr>
                <w:b/>
                <w:color w:val="FFFFFF"/>
                <w:sz w:val="18"/>
              </w:rPr>
              <w:t xml:space="preserve">Confirmation</w:t>
            </w:r>
          </w:p>
        </w:tc>
        <w:tc>
          <w:tcPr>
            <w:tcW w:w="1947" w:type="dxa"/>
            <w:shd w:val="clear" w:color="auto" w:fill="1F3A5F"/>
          </w:tcPr>
          <w:p>
            <w:pPr>
              <w:pStyle w:val="Compact"/>
              <w:spacing w:after="40"/>
              <w:jc w:val="left"/>
            </w:pPr>
            <w:r>
              <w:rPr>
                <w:b/>
                <w:color w:val="FFFFFF"/>
                <w:sz w:val="18"/>
              </w:rPr>
              <w:t xml:space="preserve">Invocation</w:t>
            </w:r>
          </w:p>
        </w:tc>
        <w:tc>
          <w:tcPr>
            <w:tcW w:w="1288" w:type="dxa"/>
            <w:shd w:val="clear" w:color="auto" w:fill="1F3A5F"/>
          </w:tcPr>
          <w:p>
            <w:pPr>
              <w:pStyle w:val="Compact"/>
              <w:spacing w:after="40"/>
              <w:jc w:val="left"/>
            </w:pPr>
            <w:r>
              <w:rPr>
                <w:b/>
                <w:color w:val="FFFFFF"/>
                <w:sz w:val="18"/>
              </w:rPr>
              <w:t xml:space="preserve">Release</w:t>
            </w:r>
          </w:p>
        </w:tc>
      </w:tr>
      <w:tr>
        <w:tc>
          <w:tcPr>
            <w:tcW w:w="1341" w:type="dxa"/>
          </w:tcPr>
          <w:p>
            <w:pPr>
              <w:pStyle w:val="Compact"/>
              <w:spacing w:after="40"/>
              <w:jc w:val="left"/>
            </w:pPr>
            <w:r>
              <w:rPr>
                <w:sz w:val="18"/>
              </w:rPr>
              <w:t xml:space="preserve">CDSL demat pledge (LAS module)</w:t>
            </w:r>
          </w:p>
        </w:tc>
        <w:tc>
          <w:tcPr>
            <w:tcW w:w="3218" w:type="dxa"/>
          </w:tcPr>
          <w:p>
            <w:pPr>
              <w:pStyle w:val="Compact"/>
              <w:spacing w:after="40"/>
              <w:jc w:val="left"/>
            </w:pPr>
            <w:r>
              <w:rPr>
                <w:sz w:val="18"/>
              </w:rPr>
              <w:t xml:space="preserve">Borrower’s Aadhaar eSign consent to share holdings; holdings by PAN-BOID; OTP on CDSL; pledgor DP approves the same day, auto-approval allowed, rejection reasons required (CDSL/OPS/DP/POLICY/2026/468, 15 Jul 2026)</w:t>
            </w:r>
          </w:p>
        </w:tc>
        <w:tc>
          <w:tcPr>
            <w:tcW w:w="1844" w:type="dxa"/>
          </w:tcPr>
          <w:p>
            <w:pPr>
              <w:pStyle w:val="Compact"/>
              <w:spacing w:after="40"/>
              <w:jc w:val="left"/>
            </w:pPr>
            <w:r>
              <w:rPr>
                <w:sz w:val="18"/>
              </w:rPr>
              <w:t xml:space="preserve">CDSL confirms to the pledgee</w:t>
            </w:r>
          </w:p>
        </w:tc>
        <w:tc>
          <w:tcPr>
            <w:tcW w:w="1947" w:type="dxa"/>
          </w:tcPr>
          <w:p>
            <w:pPr>
              <w:pStyle w:val="Compact"/>
              <w:spacing w:after="40"/>
              <w:jc w:val="left"/>
            </w:pPr>
            <w:r>
              <w:rPr>
                <w:sz w:val="18"/>
              </w:rPr>
              <w:t xml:space="preserve">Pledgee instructs its DP</w:t>
            </w:r>
          </w:p>
        </w:tc>
        <w:tc>
          <w:tcPr>
            <w:tcW w:w="1288" w:type="dxa"/>
          </w:tcPr>
          <w:p>
            <w:pPr>
              <w:pStyle w:val="Compact"/>
              <w:spacing w:after="40"/>
              <w:jc w:val="left"/>
            </w:pPr>
            <w:r>
              <w:rPr>
                <w:sz w:val="18"/>
              </w:rPr>
              <w:t xml:space="preserve">Pledge closure through the DPs</w:t>
            </w:r>
          </w:p>
        </w:tc>
      </w:tr>
      <w:tr>
        <w:tc>
          <w:tcPr>
            <w:tcW w:w="1341" w:type="dxa"/>
          </w:tcPr>
          <w:p>
            <w:pPr>
              <w:pStyle w:val="Compact"/>
              <w:spacing w:after="40"/>
              <w:jc w:val="left"/>
            </w:pPr>
            <w:r>
              <w:rPr>
                <w:sz w:val="18"/>
              </w:rPr>
              <w:t xml:space="preserve">NSDL demat pledge</w:t>
            </w:r>
          </w:p>
        </w:tc>
        <w:tc>
          <w:tcPr>
            <w:tcW w:w="3218" w:type="dxa"/>
          </w:tcPr>
          <w:p>
            <w:pPr>
              <w:pStyle w:val="Compact"/>
              <w:spacing w:after="40"/>
              <w:jc w:val="left"/>
            </w:pPr>
            <w:r>
              <w:rPr>
                <w:sz w:val="18"/>
              </w:rPr>
              <w:t xml:space="preserve">Pledgor’s instruction through its DP with agreement number, closure date and pledgee</w:t>
            </w:r>
          </w:p>
        </w:tc>
        <w:tc>
          <w:tcPr>
            <w:tcW w:w="1844" w:type="dxa"/>
          </w:tcPr>
          <w:p>
            <w:pPr>
              <w:pStyle w:val="Compact"/>
              <w:spacing w:after="40"/>
              <w:jc w:val="left"/>
            </w:pPr>
            <w:r>
              <w:rPr>
                <w:sz w:val="18"/>
              </w:rPr>
              <w:t xml:space="preserve">Pledgee accepts through its DP; pledgor cannot cancel after acceptance</w:t>
            </w:r>
          </w:p>
        </w:tc>
        <w:tc>
          <w:tcPr>
            <w:tcW w:w="1947" w:type="dxa"/>
          </w:tcPr>
          <w:p>
            <w:pPr>
              <w:pStyle w:val="Compact"/>
              <w:spacing w:after="40"/>
              <w:jc w:val="left"/>
            </w:pPr>
            <w:r>
              <w:rPr>
                <w:sz w:val="18"/>
              </w:rPr>
              <w:t xml:space="preserve">Pledgee’s DP; status</w:t>
            </w:r>
            <w:r>
              <w:rPr>
                <w:sz w:val="18"/>
              </w:rPr>
              <w:t xml:space="preserve"> </w:t>
            </w:r>
            <w:r>
              <w:rPr>
                <w:sz w:val="18"/>
              </w:rPr>
              <w:t xml:space="preserve">“</w:t>
            </w:r>
            <w:r>
              <w:rPr>
                <w:sz w:val="18"/>
              </w:rPr>
              <w:t xml:space="preserve">Closed, Invoked</w:t>
            </w:r>
            <w:r>
              <w:rPr>
                <w:sz w:val="18"/>
              </w:rPr>
              <w:t xml:space="preserve">”</w:t>
            </w:r>
            <w:r>
              <w:rPr>
                <w:sz w:val="18"/>
              </w:rPr>
              <w:t xml:space="preserve">; locked-in securities cannot be invoked</w:t>
            </w:r>
          </w:p>
        </w:tc>
        <w:tc>
          <w:tcPr>
            <w:tcW w:w="1288" w:type="dxa"/>
          </w:tcPr>
          <w:p>
            <w:pPr>
              <w:pStyle w:val="Compact"/>
              <w:spacing w:after="40"/>
              <w:jc w:val="left"/>
            </w:pPr>
            <w:r>
              <w:rPr>
                <w:sz w:val="18"/>
              </w:rPr>
              <w:t xml:space="preserve">Pledgor initiates, pledgee accepts</w:t>
            </w:r>
          </w:p>
        </w:tc>
      </w:tr>
      <w:tr>
        <w:tc>
          <w:tcPr>
            <w:tcW w:w="1341" w:type="dxa"/>
          </w:tcPr>
          <w:p>
            <w:pPr>
              <w:pStyle w:val="Compact"/>
              <w:spacing w:after="40"/>
              <w:jc w:val="left"/>
            </w:pPr>
            <w:r>
              <w:rPr>
                <w:sz w:val="18"/>
              </w:rPr>
              <w:t xml:space="preserve">MF units held in statement of account</w:t>
            </w:r>
          </w:p>
        </w:tc>
        <w:tc>
          <w:tcPr>
            <w:tcW w:w="3218" w:type="dxa"/>
          </w:tcPr>
          <w:p>
            <w:pPr>
              <w:pStyle w:val="Compact"/>
              <w:spacing w:after="40"/>
              <w:jc w:val="left"/>
            </w:pPr>
            <w:r>
              <w:rPr>
                <w:sz w:val="18"/>
              </w:rPr>
              <w:t xml:space="preserve">Lien request through CAMS or KFintech or MF Central with borrower OTP; units cannot be redeemed or switched</w:t>
            </w:r>
          </w:p>
        </w:tc>
        <w:tc>
          <w:tcPr>
            <w:tcW w:w="1844" w:type="dxa"/>
          </w:tcPr>
          <w:p>
            <w:pPr>
              <w:pStyle w:val="Compact"/>
              <w:spacing w:after="40"/>
              <w:jc w:val="left"/>
            </w:pPr>
            <w:r>
              <w:rPr>
                <w:sz w:val="18"/>
              </w:rPr>
              <w:t xml:space="preserve">RTA confirms the lien</w:t>
            </w:r>
          </w:p>
        </w:tc>
        <w:tc>
          <w:tcPr>
            <w:tcW w:w="1947" w:type="dxa"/>
          </w:tcPr>
          <w:p>
            <w:pPr>
              <w:pStyle w:val="Compact"/>
              <w:spacing w:after="40"/>
              <w:jc w:val="left"/>
            </w:pPr>
            <w:r>
              <w:rPr>
                <w:sz w:val="18"/>
              </w:rPr>
              <w:t xml:space="preserve">RE invokes; units redeemed to the RE</w:t>
            </w:r>
          </w:p>
        </w:tc>
        <w:tc>
          <w:tcPr>
            <w:tcW w:w="1288" w:type="dxa"/>
          </w:tcPr>
          <w:p>
            <w:pPr>
              <w:pStyle w:val="Compact"/>
              <w:spacing w:after="40"/>
              <w:jc w:val="left"/>
            </w:pPr>
            <w:r>
              <w:rPr>
                <w:sz w:val="18"/>
              </w:rPr>
              <w:t xml:space="preserve">RE revokes the lien</w:t>
            </w:r>
          </w:p>
        </w:tc>
      </w:tr>
      <w:tr>
        <w:tc>
          <w:tcPr>
            <w:tcW w:w="1341" w:type="dxa"/>
          </w:tcPr>
          <w:p>
            <w:pPr>
              <w:pStyle w:val="Compact"/>
              <w:spacing w:after="40"/>
              <w:jc w:val="left"/>
            </w:pPr>
            <w:r>
              <w:rPr>
                <w:sz w:val="18"/>
              </w:rPr>
              <w:t xml:space="preserve">MF units in demat</w:t>
            </w:r>
          </w:p>
        </w:tc>
        <w:tc>
          <w:tcPr>
            <w:tcW w:w="3218" w:type="dxa"/>
          </w:tcPr>
          <w:p>
            <w:pPr>
              <w:pStyle w:val="Compact"/>
              <w:spacing w:after="40"/>
              <w:jc w:val="left"/>
            </w:pPr>
            <w:r>
              <w:rPr>
                <w:sz w:val="18"/>
              </w:rPr>
              <w:t xml:space="preserve">As the depository pledge</w:t>
            </w:r>
          </w:p>
        </w:tc>
        <w:tc>
          <w:tcPr>
            <w:tcW w:w="1844" w:type="dxa"/>
          </w:tcPr>
          <w:p>
            <w:pPr>
              <w:pStyle w:val="Compact"/>
              <w:spacing w:after="40"/>
              <w:jc w:val="left"/>
            </w:pPr>
            <w:r>
              <w:rPr>
                <w:sz w:val="18"/>
              </w:rPr>
              <w:t xml:space="preserve">As depository</w:t>
            </w:r>
          </w:p>
        </w:tc>
        <w:tc>
          <w:tcPr>
            <w:tcW w:w="1947" w:type="dxa"/>
          </w:tcPr>
          <w:p>
            <w:pPr>
              <w:pStyle w:val="Compact"/>
              <w:spacing w:after="40"/>
              <w:jc w:val="left"/>
            </w:pPr>
            <w:r>
              <w:rPr>
                <w:sz w:val="18"/>
              </w:rPr>
              <w:t xml:space="preserve">As depository</w:t>
            </w:r>
          </w:p>
        </w:tc>
        <w:tc>
          <w:tcPr>
            <w:tcW w:w="1288" w:type="dxa"/>
          </w:tcPr>
          <w:p>
            <w:pPr>
              <w:pStyle w:val="Compact"/>
              <w:spacing w:after="40"/>
              <w:jc w:val="left"/>
            </w:pPr>
            <w:r>
              <w:rPr>
                <w:sz w:val="18"/>
              </w:rPr>
              <w:t xml:space="preserve">As depository</w:t>
            </w:r>
          </w:p>
        </w:tc>
      </w:tr>
    </w:tbl>
    <w:p>
      <w:pPr>
        <w:pStyle w:val="BodyText"/>
      </w:pPr>
      <w:r>
        <w:t xml:space="preserve">For every demat pledge the pledge form carries the pledgee’s undertaking to give</w:t>
      </w:r>
      <w:r>
        <w:t xml:space="preserve"> </w:t>
      </w:r>
      <w:r>
        <w:rPr>
          <w:bCs/>
          <w:b/>
        </w:rPr>
        <w:t xml:space="preserve">reasonable notice</w:t>
      </w:r>
      <w:r>
        <w:t xml:space="preserve"> </w:t>
      </w:r>
      <w:r>
        <w:t xml:space="preserve">to the pledgor before invocation, and the depository notifies both parties on invocation (SEBI circular of 5 Feb 2026, implemented by 6 Apr 2026; ICA ss.176–177; SEBI (Depositories and Participants) Regulations, 2018, reg. 79(8)) [VERIFY: circular number]. The SEBI margin-pledge framework (25 Feb 2020) is for broker margin and is</w:t>
      </w:r>
      <w:r>
        <w:t xml:space="preserve"> </w:t>
      </w:r>
      <w:r>
        <w:rPr>
          <w:bCs/>
          <w:b/>
        </w:rPr>
        <w:t xml:space="preserve">not</w:t>
      </w:r>
      <w:r>
        <w:t xml:space="preserve"> </w:t>
      </w:r>
      <w:r>
        <w:t xml:space="preserve">an LAS rail.</w:t>
      </w:r>
    </w:p>
    <w:bookmarkEnd w:id="63"/>
    <w:bookmarkStart w:id="64" w:name="journey"/>
    <w:p>
      <w:pPr>
        <w:pStyle w:val="Heading3"/>
      </w:pPr>
      <w:r>
        <w:t xml:space="preserve">6.5.3 Journey</w:t>
      </w:r>
    </w:p>
    <w:p>
      <w:pPr>
        <w:numPr>
          <w:ilvl w:val="0"/>
          <w:numId w:val="1026"/>
        </w:numPr>
        <w:pStyle w:val="Compact"/>
      </w:pPr>
      <w:r>
        <w:rPr>
          <w:bCs/>
          <w:b/>
        </w:rPr>
        <w:t xml:space="preserve">Indicative eligibility (Udofin).</w:t>
      </w:r>
      <w:r>
        <w:t xml:space="preserve"> </w:t>
      </w:r>
      <w:r>
        <w:t xml:space="preserve">From the RE’s published list: Σ units × last price × (1 − haircut), capped at the product limit; excludes the RE’s own shares (CF para 105), ETF and MF units backed by primary gold or silver (para 35(2)) and, for capital-market purposes above ₹5 lakh, non-Group 1 shares (para 106(2)(i)); IPO funding at most ₹1 crore (para 104). Labelled</w:t>
      </w:r>
      <w:r>
        <w:t xml:space="preserve"> </w:t>
      </w:r>
      <w:r>
        <w:t xml:space="preserve">“</w:t>
      </w:r>
      <w:r>
        <w:t xml:space="preserve">indicative; [RE name] decides</w:t>
      </w:r>
      <w:r>
        <w:t xml:space="preserve">”</w:t>
      </w:r>
      <w:r>
        <w:t xml:space="preserve">.</w:t>
      </w:r>
    </w:p>
    <w:p>
      <w:pPr>
        <w:numPr>
          <w:ilvl w:val="0"/>
          <w:numId w:val="1026"/>
        </w:numPr>
        <w:pStyle w:val="Compact"/>
      </w:pPr>
      <w:r>
        <w:rPr>
          <w:bCs/>
          <w:b/>
        </w:rPr>
        <w:t xml:space="preserve">Consent and holdings.</w:t>
      </w:r>
      <w:r>
        <w:t xml:space="preserve"> </w:t>
      </w:r>
      <w:r>
        <w:t xml:space="preserve">CDSL LAS eSign consent, NSDL CAS or MF Central or RTA OTP; holdings go to the RE as</w:t>
      </w:r>
      <w:r>
        <w:t xml:space="preserve"> </w:t>
      </w:r>
      <w:r>
        <w:rPr>
          <w:rStyle w:val="VerbatimChar"/>
        </w:rPr>
        <w:t xml:space="preserve">CollateralHoldingsShared</w:t>
      </w:r>
      <w:r>
        <w:t xml:space="preserve"> </w:t>
      </w:r>
      <w:r>
        <w:t xml:space="preserve">with the consent reference (</w:t>
      </w:r>
      <w:r>
        <w:rPr>
          <w:rStyle w:val="VerbatimChar"/>
        </w:rPr>
        <w:t xml:space="preserve">ConsentRecorded</w:t>
      </w:r>
      <w:r>
        <w:t xml:space="preserve">) and are referenced in</w:t>
      </w:r>
      <w:r>
        <w:t xml:space="preserve"> </w:t>
      </w:r>
      <w:r>
        <w:rPr>
          <w:rStyle w:val="VerbatimChar"/>
        </w:rPr>
        <w:t xml:space="preserve">EligibilityCheck</w:t>
      </w:r>
      <w:r>
        <w:t xml:space="preserve"> </w:t>
      </w:r>
      <w:r>
        <w:t xml:space="preserve">and</w:t>
      </w:r>
      <w:r>
        <w:t xml:space="preserve"> </w:t>
      </w:r>
      <w:r>
        <w:rPr>
          <w:rStyle w:val="VerbatimChar"/>
        </w:rPr>
        <w:t xml:space="preserve">ApplicationSubmitted</w:t>
      </w:r>
      <w:r>
        <w:t xml:space="preserve">; Udofin keeps only a transient copy (CF para 14(1)).</w:t>
      </w:r>
    </w:p>
    <w:p>
      <w:pPr>
        <w:numPr>
          <w:ilvl w:val="0"/>
          <w:numId w:val="1026"/>
        </w:numPr>
        <w:pStyle w:val="Compact"/>
      </w:pPr>
      <w:r>
        <w:rPr>
          <w:bCs/>
          <w:b/>
        </w:rPr>
        <w:t xml:space="preserve">Application, KYC and bureau</w:t>
      </w:r>
      <w:r>
        <w:t xml:space="preserve"> </w:t>
      </w:r>
      <w:r>
        <w:t xml:space="preserve">per 6.4.0.</w:t>
      </w:r>
    </w:p>
    <w:p>
      <w:pPr>
        <w:numPr>
          <w:ilvl w:val="0"/>
          <w:numId w:val="1026"/>
        </w:numPr>
        <w:pStyle w:val="Compact"/>
      </w:pPr>
      <w:r>
        <w:rPr>
          <w:bCs/>
          <w:b/>
        </w:rPr>
        <w:t xml:space="preserve">Sanction (RE).</w:t>
      </w:r>
      <w:r>
        <w:t xml:space="preserve"> </w:t>
      </w:r>
      <w:r>
        <w:rPr>
          <w:rStyle w:val="VerbatimChar"/>
        </w:rPr>
        <w:t xml:space="preserve">DecisionMade</w:t>
      </w:r>
      <w:r>
        <w:t xml:space="preserve"> </w:t>
      </w:r>
      <w:r>
        <w:t xml:space="preserve">carries limit, eligible list, haircuts, LTV trigger, margin-call and invocation thresholds, cure period (7 working days for listed shares under CF para 106(1) where the RE has assets of ₹100 crore or more; RE policy for MF units and bonds) and facility type.</w:t>
      </w:r>
    </w:p>
    <w:p>
      <w:pPr>
        <w:numPr>
          <w:ilvl w:val="0"/>
          <w:numId w:val="1026"/>
        </w:numPr>
        <w:pStyle w:val="Compact"/>
      </w:pPr>
      <w:r>
        <w:rPr>
          <w:bCs/>
          <w:b/>
        </w:rPr>
        <w:t xml:space="preserve">KFS and execution.</w:t>
      </w:r>
      <w:r>
        <w:t xml:space="preserve"> </w:t>
      </w:r>
      <w:r>
        <w:rPr>
          <w:rStyle w:val="VerbatimChar"/>
        </w:rPr>
        <w:t xml:space="preserve">KFSIssued</w:t>
      </w:r>
      <w:r>
        <w:t xml:space="preserve">; agreement and pledge form eSigned; evidence events.</w:t>
      </w:r>
    </w:p>
    <w:p>
      <w:pPr>
        <w:numPr>
          <w:ilvl w:val="0"/>
          <w:numId w:val="1026"/>
        </w:numPr>
        <w:pStyle w:val="Compact"/>
      </w:pPr>
      <w:r>
        <w:rPr>
          <w:bCs/>
          <w:b/>
        </w:rPr>
        <w:t xml:space="preserve">Pledge or lien.</w:t>
      </w:r>
      <w:r>
        <w:t xml:space="preserve"> </w:t>
      </w:r>
      <w:r>
        <w:t xml:space="preserve">On the RE’s</w:t>
      </w:r>
      <w:r>
        <w:t xml:space="preserve"> </w:t>
      </w:r>
      <w:r>
        <w:rPr>
          <w:rStyle w:val="VerbatimChar"/>
        </w:rPr>
        <w:t xml:space="preserve">CollateralPledgeRequested</w:t>
      </w:r>
      <w:r>
        <w:t xml:space="preserve"> </w:t>
      </w:r>
      <w:r>
        <w:t xml:space="preserve">(securities, quantities, pledgee DP or RTA, agreement number, deadline), Udofin orchestrates the borrower’s OTP and DP or RTA steps under the scope</w:t>
      </w:r>
      <w:r>
        <w:t xml:space="preserve"> </w:t>
      </w:r>
      <w:r>
        <w:rPr>
          <w:rStyle w:val="VerbatimChar"/>
        </w:rPr>
        <w:t xml:space="preserve">collateral.pledge:orchestrate</w:t>
      </w:r>
      <w:r>
        <w:t xml:space="preserve"> </w:t>
      </w:r>
      <w:r>
        <w:t xml:space="preserve">and returns the authorisation evidence to the RE. The provider confirms to the RE; the RE emits</w:t>
      </w:r>
      <w:r>
        <w:t xml:space="preserve"> </w:t>
      </w:r>
      <w:r>
        <w:rPr>
          <w:rStyle w:val="VerbatimChar"/>
        </w:rPr>
        <w:t xml:space="preserve">CollateralPledgeCreated</w:t>
      </w:r>
      <w:r>
        <w:t xml:space="preserve"> </w:t>
      </w:r>
      <w:r>
        <w:t xml:space="preserve">(reference, quantity, evidence hash). Udofin never shows</w:t>
      </w:r>
      <w:r>
        <w:t xml:space="preserve"> </w:t>
      </w:r>
      <w:r>
        <w:t xml:space="preserve">“</w:t>
      </w:r>
      <w:r>
        <w:t xml:space="preserve">pledged</w:t>
      </w:r>
      <w:r>
        <w:t xml:space="preserve">”</w:t>
      </w:r>
      <w:r>
        <w:t xml:space="preserve"> </w:t>
      </w:r>
      <w:r>
        <w:t xml:space="preserve">without it; a partial confirmation is shown as partial and the RE recomputes; a rejection, OTP failure or expiry arrives as</w:t>
      </w:r>
      <w:r>
        <w:t xml:space="preserve"> </w:t>
      </w:r>
      <w:r>
        <w:rPr>
          <w:rStyle w:val="VerbatimChar"/>
        </w:rPr>
        <w:t xml:space="preserve">CollateralPledgeFailed</w:t>
      </w:r>
      <w:r>
        <w:t xml:space="preserve"> </w:t>
      </w:r>
      <w:r>
        <w:t xml:space="preserve">and sets</w:t>
      </w:r>
      <w:r>
        <w:t xml:space="preserve"> </w:t>
      </w:r>
      <w:r>
        <w:rPr>
          <w:rStyle w:val="VerbatimChar"/>
        </w:rPr>
        <w:t xml:space="preserve">PLEDGE_FAILED</w:t>
      </w:r>
      <w:r>
        <w:t xml:space="preserve">.</w:t>
      </w:r>
    </w:p>
    <w:p>
      <w:pPr>
        <w:numPr>
          <w:ilvl w:val="0"/>
          <w:numId w:val="1026"/>
        </w:numPr>
        <w:pStyle w:val="Compact"/>
      </w:pPr>
      <w:r>
        <w:rPr>
          <w:bCs/>
          <w:b/>
        </w:rPr>
        <w:t xml:space="preserve">Disbursal.</w:t>
      </w:r>
      <w:r>
        <w:t xml:space="preserve"> </w:t>
      </w:r>
      <w:r>
        <w:t xml:space="preserve">Only after</w:t>
      </w:r>
      <w:r>
        <w:t xml:space="preserve"> </w:t>
      </w:r>
      <w:r>
        <w:rPr>
          <w:rStyle w:val="VerbatimChar"/>
        </w:rPr>
        <w:t xml:space="preserve">CollateralPledgeCreated</w:t>
      </w:r>
      <w:r>
        <w:t xml:space="preserve"> </w:t>
      </w:r>
      <w:r>
        <w:t xml:space="preserve">and documentation; RE account to the borrower’s own account (CF para 10(1));</w:t>
      </w:r>
      <w:r>
        <w:t xml:space="preserve"> </w:t>
      </w:r>
      <w:r>
        <w:rPr>
          <w:rStyle w:val="VerbatimChar"/>
        </w:rPr>
        <w:t xml:space="preserve">LoanDisbursed</w:t>
      </w:r>
      <w:r>
        <w:t xml:space="preserve"> </w:t>
      </w:r>
      <w:r>
        <w:t xml:space="preserve">with UTR.</w:t>
      </w:r>
    </w:p>
    <w:p>
      <w:pPr>
        <w:numPr>
          <w:ilvl w:val="0"/>
          <w:numId w:val="1026"/>
        </w:numPr>
        <w:pStyle w:val="Compact"/>
      </w:pPr>
      <w:r>
        <w:rPr>
          <w:bCs/>
          <w:b/>
        </w:rPr>
        <w:t xml:space="preserve">Daily valuation (RE).</w:t>
      </w:r>
      <w:r>
        <w:t xml:space="preserve"> </w:t>
      </w:r>
      <w:r>
        <w:t xml:space="preserve">T−1 exchange bhavcopy or AMFI NAV; data more than one business day old freezes drawdowns; corporate actions credited to pledged balances;</w:t>
      </w:r>
      <w:r>
        <w:t xml:space="preserve"> </w:t>
      </w:r>
      <w:r>
        <w:rPr>
          <w:rStyle w:val="VerbatimChar"/>
        </w:rPr>
        <w:t xml:space="preserve">CollateralValuationUpdated</w:t>
      </w:r>
      <w:r>
        <w:t xml:space="preserve"> </w:t>
      </w:r>
      <w:r>
        <w:t xml:space="preserve">(eligible value, drawing power, LTV, price source, as-of, freeze flag).</w:t>
      </w:r>
    </w:p>
    <w:p>
      <w:pPr>
        <w:numPr>
          <w:ilvl w:val="0"/>
          <w:numId w:val="1026"/>
        </w:numPr>
        <w:pStyle w:val="Compact"/>
      </w:pPr>
      <w:r>
        <w:rPr>
          <w:bCs/>
          <w:b/>
        </w:rPr>
        <w:t xml:space="preserve">Drawdown (OD variant only).</w:t>
      </w:r>
      <w:r>
        <w:t xml:space="preserve"> </w:t>
      </w:r>
      <w:r>
        <w:t xml:space="preserve">The borrower asks in Udofin; Udofin shows the available amount returned by the RE’s</w:t>
      </w:r>
      <w:r>
        <w:t xml:space="preserve"> </w:t>
      </w:r>
      <w:r>
        <w:rPr>
          <w:rStyle w:val="VerbatimChar"/>
        </w:rPr>
        <w:t xml:space="preserve">GET /v1/facilities/{loan_id}/summary</w:t>
      </w:r>
      <w:r>
        <w:t xml:space="preserve"> </w:t>
      </w:r>
      <w:r>
        <w:t xml:space="preserve">(the RE computes min(limit, drawing power) − utilised − reserved − dues; Udofin never recomputes it); it sends the request through the</w:t>
      </w:r>
      <w:r>
        <w:t xml:space="preserve"> </w:t>
      </w:r>
      <w:r>
        <w:rPr>
          <w:rStyle w:val="VerbatimChar"/>
        </w:rPr>
        <w:t xml:space="preserve">DrawdownRequested</w:t>
      </w:r>
      <w:r>
        <w:t xml:space="preserve"> </w:t>
      </w:r>
      <w:r>
        <w:t xml:space="preserve">API (Integration Spec 6.3; FAPI 2.0 with</w:t>
      </w:r>
      <w:r>
        <w:t xml:space="preserve"> </w:t>
      </w:r>
      <w:r>
        <w:rPr>
          <w:rStyle w:val="VerbatimChar"/>
        </w:rPr>
        <w:t xml:space="preserve">acr</w:t>
      </w:r>
      <w:r>
        <w:t xml:space="preserve"> </w:t>
      </w:r>
      <w:r>
        <w:t xml:space="preserve">and</w:t>
      </w:r>
      <w:r>
        <w:t xml:space="preserve"> </w:t>
      </w:r>
      <w:r>
        <w:rPr>
          <w:rStyle w:val="VerbatimChar"/>
        </w:rPr>
        <w:t xml:space="preserve">auth_time</w:t>
      </w:r>
      <w:r>
        <w:t xml:space="preserve">) with an</w:t>
      </w:r>
      <w:r>
        <w:t xml:space="preserve"> </w:t>
      </w:r>
      <w:r>
        <w:rPr>
          <w:rStyle w:val="VerbatimChar"/>
        </w:rPr>
        <w:t xml:space="preserve">Idempotency-Key</w:t>
      </w:r>
      <w:r>
        <w:t xml:space="preserve">; the RE authorises and pays the borrower’s account;</w:t>
      </w:r>
      <w:r>
        <w:t xml:space="preserve"> </w:t>
      </w:r>
      <w:r>
        <w:rPr>
          <w:rStyle w:val="VerbatimChar"/>
        </w:rPr>
        <w:t xml:space="preserve">LoanDisbursed</w:t>
      </w:r>
      <w:r>
        <w:t xml:space="preserve"> </w:t>
      </w:r>
      <w:r>
        <w:t xml:space="preserve">(tranche). An uncertain bank status is never re-sent; Udofin shows</w:t>
      </w:r>
      <w:r>
        <w:t xml:space="preserve"> </w:t>
      </w:r>
      <w:r>
        <w:t xml:space="preserve">“</w:t>
      </w:r>
      <w:r>
        <w:t xml:space="preserve">pending with [RE name]</w:t>
      </w:r>
      <w:r>
        <w:t xml:space="preserve">”</w:t>
      </w:r>
      <w:r>
        <w:t xml:space="preserve">. In the term-loan variant a top-up is a new, explicit borrower request (CF para 8(2)).</w:t>
      </w:r>
    </w:p>
    <w:p>
      <w:pPr>
        <w:numPr>
          <w:ilvl w:val="0"/>
          <w:numId w:val="1026"/>
        </w:numPr>
        <w:pStyle w:val="Compact"/>
      </w:pPr>
      <w:r>
        <w:rPr>
          <w:bCs/>
          <w:b/>
        </w:rPr>
        <w:t xml:space="preserve">Margin call.</w:t>
      </w:r>
      <w:r>
        <w:t xml:space="preserve"> </w:t>
      </w:r>
      <w:r>
        <w:t xml:space="preserve">The RE emits</w:t>
      </w:r>
      <w:r>
        <w:t xml:space="preserve"> </w:t>
      </w:r>
      <w:r>
        <w:rPr>
          <w:rStyle w:val="VerbatimChar"/>
        </w:rPr>
        <w:t xml:space="preserve">MarginCallRaised</w:t>
      </w:r>
      <w:r>
        <w:t xml:space="preserve"> </w:t>
      </w:r>
      <w:r>
        <w:t xml:space="preserve">(shortfall, options: pay down or pledge more, deadline). Udofin notifies through U16 in the borrower’s language, shows a working-day countdown on the RE’s holiday calendar, records the borrower’s chosen cure through the RE’s cure-intent API (</w:t>
      </w:r>
      <w:r>
        <w:rPr>
          <w:rStyle w:val="VerbatimChar"/>
        </w:rPr>
        <w:t xml:space="preserve">POST /v1/margin-calls/{id}/cure-intents</w:t>
      </w:r>
      <w:r>
        <w:t xml:space="preserve">: top-up, part payment or sell-to-cure) and offers the RE’s payment link or, on the RE’s</w:t>
      </w:r>
      <w:r>
        <w:t xml:space="preserve"> </w:t>
      </w:r>
      <w:r>
        <w:rPr>
          <w:rStyle w:val="VerbatimChar"/>
        </w:rPr>
        <w:t xml:space="preserve">CollateralPledgeRequested</w:t>
      </w:r>
      <w:r>
        <w:t xml:space="preserve">, the top-up pledge flow. The RE emits</w:t>
      </w:r>
      <w:r>
        <w:t xml:space="preserve"> </w:t>
      </w:r>
      <w:r>
        <w:rPr>
          <w:rStyle w:val="VerbatimChar"/>
        </w:rPr>
        <w:t xml:space="preserve">MarginCallCured</w:t>
      </w:r>
      <w:r>
        <w:t xml:space="preserve">, or</w:t>
      </w:r>
      <w:r>
        <w:t xml:space="preserve"> </w:t>
      </w:r>
      <w:r>
        <w:rPr>
          <w:rStyle w:val="VerbatimChar"/>
        </w:rPr>
        <w:t xml:space="preserve">MarginCallLapsed</w:t>
      </w:r>
      <w:r>
        <w:t xml:space="preserve"> </w:t>
      </w:r>
      <w:r>
        <w:t xml:space="preserve">at the deadline, after which Udofin shows</w:t>
      </w:r>
      <w:r>
        <w:t xml:space="preserve"> </w:t>
      </w:r>
      <w:r>
        <w:t xml:space="preserve">“</w:t>
      </w:r>
      <w:r>
        <w:t xml:space="preserve">[RE name] will contact you</w:t>
      </w:r>
      <w:r>
        <w:t xml:space="preserve">”</w:t>
      </w:r>
      <w:r>
        <w:t xml:space="preserve"> </w:t>
      </w:r>
      <w:r>
        <w:t xml:space="preserve">and waits for the RE’s next event.</w:t>
      </w:r>
    </w:p>
    <w:p>
      <w:pPr>
        <w:numPr>
          <w:ilvl w:val="0"/>
          <w:numId w:val="1026"/>
        </w:numPr>
        <w:pStyle w:val="Compact"/>
      </w:pPr>
      <w:r>
        <w:rPr>
          <w:bCs/>
          <w:b/>
        </w:rPr>
        <w:t xml:space="preserve">Invocation (RE only).</w:t>
      </w:r>
      <w:r>
        <w:t xml:space="preserve"> </w:t>
      </w:r>
      <w:r>
        <w:t xml:space="preserve">The RE gives reasonable notice under the pledge undertaking (</w:t>
      </w:r>
      <w:r>
        <w:rPr>
          <w:rStyle w:val="VerbatimChar"/>
        </w:rPr>
        <w:t xml:space="preserve">LegalNoticeIssued</w:t>
      </w:r>
      <w:r>
        <w:t xml:space="preserve">, instrument pledge invocation; shown in UR3), invokes through its DP or the RTA, and emits</w:t>
      </w:r>
      <w:r>
        <w:t xml:space="preserve"> </w:t>
      </w:r>
      <w:r>
        <w:rPr>
          <w:rStyle w:val="VerbatimChar"/>
        </w:rPr>
        <w:t xml:space="preserve">CollateralInvoked</w:t>
      </w:r>
      <w:r>
        <w:t xml:space="preserve"> </w:t>
      </w:r>
      <w:r>
        <w:t xml:space="preserve">(quantity, proceeds, date). Sale follows the RE’s Board policy; SEBI SAST and PIT disclosures are the RE’s where thresholds are crossed [VERIFY]; surplus is refunded to the borrower; any shortfall follows Finbyx R16</w:t>
      </w:r>
      <w:r>
        <w:t xml:space="preserve"> </w:t>
      </w:r>
      <w:r>
        <w:rPr>
          <w:rStyle w:val="VerbatimChar"/>
        </w:rPr>
        <w:t xml:space="preserve">LAS</w:t>
      </w:r>
      <w:r>
        <w:t xml:space="preserve">.</w:t>
      </w:r>
    </w:p>
    <w:p>
      <w:pPr>
        <w:numPr>
          <w:ilvl w:val="0"/>
          <w:numId w:val="1026"/>
        </w:numPr>
        <w:pStyle w:val="Compact"/>
      </w:pPr>
      <w:r>
        <w:rPr>
          <w:bCs/>
          <w:b/>
        </w:rPr>
        <w:t xml:space="preserve">Closure and release.</w:t>
      </w:r>
      <w:r>
        <w:t xml:space="preserve"> </w:t>
      </w:r>
      <w:r>
        <w:rPr>
          <w:rStyle w:val="VerbatimChar"/>
        </w:rPr>
        <w:t xml:space="preserve">LoanClosed</w:t>
      </w:r>
      <w:r>
        <w:t xml:space="preserve"> </w:t>
      </w:r>
      <w:r>
        <w:t xml:space="preserve">→ the RE starts release (NSDL closure needs the pledgor’s initiation, which Udofin orchestrates; lien revocation by the RE through the RTA) →</w:t>
      </w:r>
      <w:r>
        <w:t xml:space="preserve"> </w:t>
      </w:r>
      <w:r>
        <w:rPr>
          <w:rStyle w:val="VerbatimChar"/>
        </w:rPr>
        <w:t xml:space="preserve">CollateralReleased</w:t>
      </w:r>
      <w:r>
        <w:t xml:space="preserve"> </w:t>
      </w:r>
      <w:r>
        <w:t xml:space="preserve">→</w:t>
      </w:r>
      <w:r>
        <w:t xml:space="preserve"> </w:t>
      </w:r>
      <w:r>
        <w:rPr>
          <w:rStyle w:val="VerbatimChar"/>
        </w:rPr>
        <w:t xml:space="preserve">NOCIssued</w:t>
      </w:r>
      <w:r>
        <w:t xml:space="preserve">. No release while a legal, settlement or set-off hold exists. Release timing follows the RE’s policy; within 2 working days of closure [REC] (Finbyx Part 6.4.8; Integration Spec 7.3 step 10).</w:t>
      </w:r>
    </w:p>
    <w:p>
      <w:pPr>
        <w:numPr>
          <w:ilvl w:val="0"/>
          <w:numId w:val="1026"/>
        </w:numPr>
        <w:pStyle w:val="Compact"/>
      </w:pPr>
      <w:r>
        <w:rPr>
          <w:bCs/>
          <w:b/>
        </w:rPr>
        <w:t xml:space="preserve">Ongoing (RE).</w:t>
      </w:r>
      <w:r>
        <w:t xml:space="preserve"> </w:t>
      </w:r>
      <w:r>
        <w:t xml:space="preserve">Quarterly report of pledged shares to the stock exchanges (CF para 106(2)(ii)); daily reconciliation of pledge positions with the depository and RTA; Udofin reconciles its mirror.</w:t>
      </w:r>
    </w:p>
    <w:p>
      <w:pPr>
        <w:pStyle w:val="FirstParagraph"/>
      </w:pPr>
      <w:r>
        <w:rPr>
          <w:bCs/>
          <w:b/>
        </w:rPr>
        <w:t xml:space="preserve">Mirror states (Udofin):</w:t>
      </w:r>
      <w:r>
        <w:t xml:space="preserve"> </w:t>
      </w:r>
      <w:r>
        <w:rPr>
          <w:rStyle w:val="VerbatimChar"/>
        </w:rPr>
        <w:t xml:space="preserve">ELIGIBILITY_SHOWN → APPLIED → SANCTIONED → PLEDGE_REQUESTED → {PLEDGE_CREATED | PLEDGE_PARTIAL | PLEDGE_FAILED} → DISBURSED → ACTIVE ⇄ MARGIN_CALL → {CURED | LAPSED → INVOKED} → CLOSURE_PENDING → RELEASED → CLOSED</w:t>
      </w:r>
      <w:r>
        <w:t xml:space="preserve">;</w:t>
      </w:r>
      <w:r>
        <w:t xml:space="preserve"> </w:t>
      </w:r>
      <w:r>
        <w:rPr>
          <w:rStyle w:val="VerbatimChar"/>
        </w:rPr>
        <w:t xml:space="preserve">FROZEN</w:t>
      </w:r>
      <w:r>
        <w:t xml:space="preserve"> </w:t>
      </w:r>
      <w:r>
        <w:t xml:space="preserve">is a flag on</w:t>
      </w:r>
      <w:r>
        <w:t xml:space="preserve"> </w:t>
      </w:r>
      <w:r>
        <w:rPr>
          <w:rStyle w:val="VerbatimChar"/>
        </w:rPr>
        <w:t xml:space="preserve">ACTIVE</w:t>
      </w:r>
      <w:r>
        <w:t xml:space="preserve">, set only from</w:t>
      </w:r>
      <w:r>
        <w:t xml:space="preserve"> </w:t>
      </w:r>
      <w:r>
        <w:rPr>
          <w:rStyle w:val="VerbatimChar"/>
        </w:rPr>
        <w:t xml:space="preserve">CollateralValuationUpdated</w:t>
      </w:r>
      <w:r>
        <w:t xml:space="preserve">.</w:t>
      </w:r>
    </w:p>
    <w:bookmarkEnd w:id="64"/>
    <w:bookmarkStart w:id="65" w:name="corrections-to-the-las-proposal"/>
    <w:p>
      <w:pPr>
        <w:pStyle w:val="Heading3"/>
      </w:pPr>
      <w:r>
        <w:t xml:space="preserve">6.5.4 Corrections to the LAS proposal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192"/>
        <w:gridCol w:w="4333"/>
        <w:gridCol w:w="2113"/>
      </w:tblGrid>
      <w:tr>
        <w:trPr>
          <w:tblHeader w:val="true"/>
          <w:tblHeader w:val="true"/>
        </w:trPr>
        <w:tc>
          <w:tcPr>
            <w:tcW w:w="3192" w:type="dxa"/>
            <w:shd w:val="clear" w:color="auto" w:fill="1F3A5F"/>
          </w:tcPr>
          <w:p>
            <w:pPr>
              <w:pStyle w:val="Compact"/>
              <w:spacing w:after="40"/>
              <w:jc w:val="left"/>
            </w:pPr>
            <w:r>
              <w:rPr>
                <w:b/>
                <w:color w:val="FFFFFF"/>
                <w:sz w:val="18"/>
              </w:rPr>
              <w:t xml:space="preserve">Proposal said</w:t>
            </w:r>
          </w:p>
        </w:tc>
        <w:tc>
          <w:tcPr>
            <w:tcW w:w="4333" w:type="dxa"/>
            <w:shd w:val="clear" w:color="auto" w:fill="1F3A5F"/>
          </w:tcPr>
          <w:p>
            <w:pPr>
              <w:pStyle w:val="Compact"/>
              <w:spacing w:after="40"/>
              <w:jc w:val="left"/>
            </w:pPr>
            <w:r>
              <w:rPr>
                <w:b/>
                <w:color w:val="FFFFFF"/>
                <w:sz w:val="18"/>
              </w:rPr>
              <w:t xml:space="preserve">v1.1 says</w:t>
            </w:r>
          </w:p>
        </w:tc>
        <w:tc>
          <w:tcPr>
            <w:tcW w:w="2113" w:type="dxa"/>
            <w:shd w:val="clear" w:color="auto" w:fill="1F3A5F"/>
          </w:tcPr>
          <w:p>
            <w:pPr>
              <w:pStyle w:val="Compact"/>
              <w:spacing w:after="40"/>
              <w:jc w:val="left"/>
            </w:pPr>
            <w:r>
              <w:rPr>
                <w:b/>
                <w:color w:val="FFFFFF"/>
                <w:sz w:val="18"/>
              </w:rPr>
              <w:t xml:space="preserve">Basis</w:t>
            </w:r>
          </w:p>
        </w:tc>
      </w:tr>
      <w:tr>
        <w:tc>
          <w:tcPr>
            <w:tcW w:w="3192" w:type="dxa"/>
          </w:tcPr>
          <w:p>
            <w:pPr>
              <w:pStyle w:val="Compact"/>
              <w:spacing w:after="40"/>
              <w:jc w:val="left"/>
            </w:pPr>
            <w:r>
              <w:rPr>
                <w:sz w:val="18"/>
              </w:rPr>
              <w:t xml:space="preserve">“</w:t>
            </w:r>
            <w:r>
              <w:rPr>
                <w:sz w:val="18"/>
              </w:rPr>
              <w:t xml:space="preserve">LAS risk / DP engine</w:t>
            </w:r>
            <w:r>
              <w:rPr>
                <w:sz w:val="18"/>
              </w:rPr>
              <w:t xml:space="preserve">”</w:t>
            </w:r>
            <w:r>
              <w:rPr>
                <w:sz w:val="18"/>
              </w:rPr>
              <w:t xml:space="preserve"> </w:t>
            </w:r>
            <w:r>
              <w:rPr>
                <w:sz w:val="18"/>
              </w:rPr>
              <w:t xml:space="preserve">(BE-11) and drawable-amount computation in Udofin</w:t>
            </w:r>
          </w:p>
        </w:tc>
        <w:tc>
          <w:tcPr>
            <w:tcW w:w="4333" w:type="dxa"/>
          </w:tcPr>
          <w:p>
            <w:pPr>
              <w:pStyle w:val="Compact"/>
              <w:spacing w:after="40"/>
              <w:jc w:val="left"/>
            </w:pPr>
            <w:r>
              <w:rPr>
                <w:sz w:val="18"/>
              </w:rPr>
              <w:t xml:space="preserve">Drawing power, LTV, margin calls and freezes are computed by the RE; Udofin shows indicative figures only</w:t>
            </w:r>
          </w:p>
        </w:tc>
        <w:tc>
          <w:tcPr>
            <w:tcW w:w="2113" w:type="dxa"/>
          </w:tcPr>
          <w:p>
            <w:pPr>
              <w:pStyle w:val="Compact"/>
              <w:spacing w:after="40"/>
              <w:jc w:val="left"/>
            </w:pPr>
            <w:r>
              <w:rPr>
                <w:sz w:val="18"/>
              </w:rPr>
              <w:t xml:space="preserve">CF para 106; OUT para 15</w:t>
            </w:r>
          </w:p>
        </w:tc>
      </w:tr>
      <w:tr>
        <w:tc>
          <w:tcPr>
            <w:tcW w:w="3192" w:type="dxa"/>
          </w:tcPr>
          <w:p>
            <w:pPr>
              <w:pStyle w:val="Compact"/>
              <w:spacing w:after="40"/>
              <w:jc w:val="left"/>
            </w:pPr>
            <w:r>
              <w:rPr>
                <w:sz w:val="18"/>
              </w:rPr>
              <w:t xml:space="preserve">Margin-call deadline per agreement, T+1 to T+3 (Udolex)</w:t>
            </w:r>
          </w:p>
        </w:tc>
        <w:tc>
          <w:tcPr>
            <w:tcW w:w="4333" w:type="dxa"/>
          </w:tcPr>
          <w:p>
            <w:pPr>
              <w:pStyle w:val="Compact"/>
              <w:spacing w:after="40"/>
              <w:jc w:val="left"/>
            </w:pPr>
            <w:r>
              <w:rPr>
                <w:sz w:val="18"/>
              </w:rPr>
              <w:t xml:space="preserve">7 working days for listed shares at NBFCs with assets of ₹100 crore or more; RE policy otherwise</w:t>
            </w:r>
          </w:p>
        </w:tc>
        <w:tc>
          <w:tcPr>
            <w:tcW w:w="2113" w:type="dxa"/>
          </w:tcPr>
          <w:p>
            <w:pPr>
              <w:pStyle w:val="Compact"/>
              <w:spacing w:after="40"/>
              <w:jc w:val="left"/>
            </w:pPr>
            <w:r>
              <w:rPr>
                <w:sz w:val="18"/>
              </w:rPr>
              <w:t xml:space="preserve">CF para 106(1)</w:t>
            </w:r>
          </w:p>
        </w:tc>
      </w:tr>
      <w:tr>
        <w:tc>
          <w:tcPr>
            <w:tcW w:w="3192" w:type="dxa"/>
          </w:tcPr>
          <w:p>
            <w:pPr>
              <w:pStyle w:val="Compact"/>
              <w:spacing w:after="40"/>
              <w:jc w:val="left"/>
            </w:pPr>
            <w:r>
              <w:rPr>
                <w:sz w:val="18"/>
              </w:rPr>
              <w:t xml:space="preserve">OD facility as the product</w:t>
            </w:r>
          </w:p>
        </w:tc>
        <w:tc>
          <w:tcPr>
            <w:tcW w:w="4333" w:type="dxa"/>
          </w:tcPr>
          <w:p>
            <w:pPr>
              <w:pStyle w:val="Compact"/>
              <w:spacing w:after="40"/>
              <w:jc w:val="left"/>
            </w:pPr>
            <w:r>
              <w:rPr>
                <w:sz w:val="18"/>
              </w:rPr>
              <w:t xml:space="preserve">Term loan by default; OD behind a flag pending the revolving-credit draft</w:t>
            </w:r>
          </w:p>
        </w:tc>
        <w:tc>
          <w:tcPr>
            <w:tcW w:w="2113" w:type="dxa"/>
          </w:tcPr>
          <w:p>
            <w:pPr>
              <w:pStyle w:val="Compact"/>
              <w:spacing w:after="40"/>
              <w:jc w:val="left"/>
            </w:pPr>
            <w:r>
              <w:rPr>
                <w:sz w:val="18"/>
              </w:rPr>
              <w:t xml:space="preserve">Part 6.2 [VERIFY]</w:t>
            </w:r>
          </w:p>
        </w:tc>
      </w:tr>
      <w:tr>
        <w:tc>
          <w:tcPr>
            <w:tcW w:w="3192" w:type="dxa"/>
          </w:tcPr>
          <w:p>
            <w:pPr>
              <w:pStyle w:val="Compact"/>
              <w:spacing w:after="40"/>
              <w:jc w:val="left"/>
            </w:pPr>
            <w:r>
              <w:rPr>
                <w:sz w:val="18"/>
              </w:rPr>
              <w:t xml:space="preserve">“</w:t>
            </w:r>
            <w:r>
              <w:rPr>
                <w:sz w:val="18"/>
              </w:rPr>
              <w:t xml:space="preserve">RBI Digital Lending Directions, 2025</w:t>
            </w:r>
            <w:r>
              <w:rPr>
                <w:sz w:val="18"/>
              </w:rPr>
              <w:t xml:space="preserve">”</w:t>
            </w:r>
          </w:p>
        </w:tc>
        <w:tc>
          <w:tcPr>
            <w:tcW w:w="4333" w:type="dxa"/>
          </w:tcPr>
          <w:p>
            <w:pPr>
              <w:pStyle w:val="Compact"/>
              <w:spacing w:after="40"/>
              <w:jc w:val="left"/>
            </w:pPr>
            <w:r>
              <w:rPr>
                <w:sz w:val="18"/>
              </w:rPr>
              <w:t xml:space="preserve">CF Chapter III (paras 6–30), which consolidated them on 28 Nov 2025</w:t>
            </w:r>
          </w:p>
        </w:tc>
        <w:tc>
          <w:tcPr>
            <w:tcW w:w="2113" w:type="dxa"/>
          </w:tcPr>
          <w:p>
            <w:pPr>
              <w:pStyle w:val="Compact"/>
              <w:spacing w:after="40"/>
              <w:jc w:val="left"/>
            </w:pPr>
            <w:r>
              <w:rPr>
                <w:sz w:val="18"/>
              </w:rPr>
              <w:t xml:space="preserve">CF</w:t>
            </w:r>
          </w:p>
        </w:tc>
      </w:tr>
      <w:tr>
        <w:tc>
          <w:tcPr>
            <w:tcW w:w="3192" w:type="dxa"/>
          </w:tcPr>
          <w:p>
            <w:pPr>
              <w:pStyle w:val="Compact"/>
              <w:spacing w:after="40"/>
              <w:jc w:val="left"/>
            </w:pPr>
            <w:r>
              <w:rPr>
                <w:sz w:val="18"/>
              </w:rPr>
              <w:t xml:space="preserve">Liquidation as a</w:t>
            </w:r>
            <w:r>
              <w:rPr>
                <w:sz w:val="18"/>
              </w:rPr>
              <w:t xml:space="preserve"> </w:t>
            </w:r>
            <w:r>
              <w:rPr>
                <w:sz w:val="18"/>
              </w:rPr>
              <w:t xml:space="preserve">“</w:t>
            </w:r>
            <w:r>
              <w:rPr>
                <w:sz w:val="18"/>
              </w:rPr>
              <w:t xml:space="preserve">separate legal workflow</w:t>
            </w:r>
            <w:r>
              <w:rPr>
                <w:sz w:val="18"/>
              </w:rPr>
              <w:t xml:space="preserve">”</w:t>
            </w:r>
          </w:p>
        </w:tc>
        <w:tc>
          <w:tcPr>
            <w:tcW w:w="4333" w:type="dxa"/>
          </w:tcPr>
          <w:p>
            <w:pPr>
              <w:pStyle w:val="Compact"/>
              <w:spacing w:after="40"/>
              <w:jc w:val="left"/>
            </w:pPr>
            <w:r>
              <w:rPr>
                <w:sz w:val="18"/>
              </w:rPr>
              <w:t xml:space="preserve">RE-only invocation after reasonable notice under the pledge undertaking</w:t>
            </w:r>
          </w:p>
        </w:tc>
        <w:tc>
          <w:tcPr>
            <w:tcW w:w="2113" w:type="dxa"/>
          </w:tcPr>
          <w:p>
            <w:pPr>
              <w:pStyle w:val="Compact"/>
              <w:spacing w:after="40"/>
              <w:jc w:val="left"/>
            </w:pPr>
            <w:r>
              <w:rPr>
                <w:sz w:val="18"/>
              </w:rPr>
              <w:t xml:space="preserve">SEBI circular, 5 Feb 2026; ICA s.176</w:t>
            </w:r>
          </w:p>
        </w:tc>
      </w:tr>
      <w:tr>
        <w:tc>
          <w:tcPr>
            <w:tcW w:w="3192" w:type="dxa"/>
          </w:tcPr>
          <w:p>
            <w:pPr>
              <w:pStyle w:val="Compact"/>
              <w:spacing w:after="40"/>
              <w:jc w:val="left"/>
            </w:pPr>
            <w:r>
              <w:rPr>
                <w:sz w:val="18"/>
              </w:rPr>
              <w:t xml:space="preserve">Udolex: LODR disclosure on sale; DRT OA for the shortfall; CERSAI pledge satisfaction</w:t>
            </w:r>
          </w:p>
        </w:tc>
        <w:tc>
          <w:tcPr>
            <w:tcW w:w="4333" w:type="dxa"/>
          </w:tcPr>
          <w:p>
            <w:pPr>
              <w:pStyle w:val="Compact"/>
              <w:spacing w:after="40"/>
              <w:jc w:val="left"/>
            </w:pPr>
            <w:r>
              <w:rPr>
                <w:sz w:val="18"/>
              </w:rPr>
              <w:t xml:space="preserve">SAST or PIT disclosures by the RE; NBFCs are generally not RDB financial institutions (</w:t>
            </w:r>
            <w:r>
              <w:rPr>
                <w:iCs/>
                <w:i/>
                <w:sz w:val="18"/>
              </w:rPr>
              <w:t xml:space="preserve">Tata Motors Finance v Naushad Khan</w:t>
            </w:r>
            <w:r>
              <w:rPr>
                <w:sz w:val="18"/>
              </w:rPr>
              <w:t xml:space="preserve">, Bom HC 2023;</w:t>
            </w:r>
            <w:r>
              <w:rPr>
                <w:sz w:val="18"/>
              </w:rPr>
              <w:t xml:space="preserve"> </w:t>
            </w:r>
            <w:r>
              <w:rPr>
                <w:iCs/>
                <w:i/>
                <w:sz w:val="18"/>
              </w:rPr>
              <w:t xml:space="preserve">Aditya Birla Finance v Anjali Nag</w:t>
            </w:r>
            <w:r>
              <w:rPr>
                <w:sz w:val="18"/>
              </w:rPr>
              <w:t xml:space="preserve">, Del HC 2024); pledges are outside SARFAESI (s.31(b))</w:t>
            </w:r>
          </w:p>
        </w:tc>
        <w:tc>
          <w:tcPr>
            <w:tcW w:w="2113" w:type="dxa"/>
          </w:tcPr>
          <w:p>
            <w:pPr>
              <w:pStyle w:val="Compact"/>
              <w:spacing w:after="40"/>
              <w:jc w:val="left"/>
            </w:pPr>
            <w:r>
              <w:rPr>
                <w:sz w:val="18"/>
              </w:rPr>
              <w:t xml:space="preserve">Research A [VERIFY: CERSAI registrability of pledges]</w:t>
            </w:r>
          </w:p>
        </w:tc>
      </w:tr>
      <w:tr>
        <w:tc>
          <w:tcPr>
            <w:tcW w:w="3192" w:type="dxa"/>
          </w:tcPr>
          <w:p>
            <w:pPr>
              <w:pStyle w:val="Compact"/>
              <w:spacing w:after="40"/>
              <w:jc w:val="left"/>
            </w:pPr>
            <w:r>
              <w:rPr>
                <w:sz w:val="18"/>
              </w:rPr>
              <w:t xml:space="preserve">Event names</w:t>
            </w:r>
            <w:r>
              <w:rPr>
                <w:sz w:val="18"/>
              </w:rPr>
              <w:t xml:space="preserve"> </w:t>
            </w:r>
            <w:r>
              <w:rPr>
                <w:rStyle w:val="VerbatimChar"/>
                <w:sz w:val="18"/>
              </w:rPr>
              <w:t xml:space="preserve">CollateralLienRequested</w:t>
            </w:r>
            <w:r>
              <w:rPr>
                <w:sz w:val="18"/>
              </w:rPr>
              <w:t xml:space="preserve">,</w:t>
            </w:r>
            <w:r>
              <w:rPr>
                <w:sz w:val="18"/>
              </w:rPr>
              <w:t xml:space="preserve"> </w:t>
            </w:r>
            <w:r>
              <w:rPr>
                <w:rStyle w:val="VerbatimChar"/>
                <w:sz w:val="18"/>
              </w:rPr>
              <w:t xml:space="preserve">CollateralConfirmed</w:t>
            </w:r>
            <w:r>
              <w:rPr>
                <w:sz w:val="18"/>
              </w:rPr>
              <w:t xml:space="preserve">,</w:t>
            </w:r>
            <w:r>
              <w:rPr>
                <w:sz w:val="18"/>
              </w:rPr>
              <w:t xml:space="preserve"> </w:t>
            </w:r>
            <w:r>
              <w:rPr>
                <w:rStyle w:val="VerbatimChar"/>
                <w:sz w:val="18"/>
              </w:rPr>
              <w:t xml:space="preserve">MarginShortfallRaised</w:t>
            </w:r>
            <w:r>
              <w:rPr>
                <w:sz w:val="18"/>
              </w:rPr>
              <w:t xml:space="preserve">,</w:t>
            </w:r>
            <w:r>
              <w:rPr>
                <w:sz w:val="18"/>
              </w:rPr>
              <w:t xml:space="preserve"> </w:t>
            </w:r>
            <w:r>
              <w:rPr>
                <w:rStyle w:val="VerbatimChar"/>
                <w:sz w:val="18"/>
              </w:rPr>
              <w:t xml:space="preserve">DrawingPowerRecalculated</w:t>
            </w:r>
            <w:r>
              <w:rPr>
                <w:sz w:val="18"/>
              </w:rPr>
              <w:t xml:space="preserve">,</w:t>
            </w:r>
            <w:r>
              <w:rPr>
                <w:sz w:val="18"/>
              </w:rPr>
              <w:t xml:space="preserve"> </w:t>
            </w:r>
            <w:r>
              <w:rPr>
                <w:rStyle w:val="VerbatimChar"/>
                <w:sz w:val="18"/>
              </w:rPr>
              <w:t xml:space="preserve">FacilityFrozen</w:t>
            </w:r>
          </w:p>
        </w:tc>
        <w:tc>
          <w:tcPr>
            <w:tcW w:w="4333" w:type="dxa"/>
          </w:tcPr>
          <w:p>
            <w:pPr>
              <w:pStyle w:val="Compact"/>
              <w:spacing w:after="40"/>
              <w:jc w:val="left"/>
            </w:pPr>
            <w:r>
              <w:rPr>
                <w:rStyle w:val="VerbatimChar"/>
                <w:sz w:val="18"/>
              </w:rPr>
              <w:t xml:space="preserve">CollateralPledgeRequested</w:t>
            </w:r>
            <w:r>
              <w:rPr>
                <w:sz w:val="18"/>
              </w:rPr>
              <w:t xml:space="preserve">,</w:t>
            </w:r>
            <w:r>
              <w:rPr>
                <w:sz w:val="18"/>
              </w:rPr>
              <w:t xml:space="preserve"> </w:t>
            </w:r>
            <w:r>
              <w:rPr>
                <w:rStyle w:val="VerbatimChar"/>
                <w:sz w:val="18"/>
              </w:rPr>
              <w:t xml:space="preserve">CollateralPledgeCreated</w:t>
            </w:r>
            <w:r>
              <w:rPr>
                <w:sz w:val="18"/>
              </w:rPr>
              <w:t xml:space="preserve">,</w:t>
            </w:r>
            <w:r>
              <w:rPr>
                <w:sz w:val="18"/>
              </w:rPr>
              <w:t xml:space="preserve"> </w:t>
            </w:r>
            <w:r>
              <w:rPr>
                <w:rStyle w:val="VerbatimChar"/>
                <w:sz w:val="18"/>
              </w:rPr>
              <w:t xml:space="preserve">MarginCallRaised</w:t>
            </w:r>
            <w:r>
              <w:rPr>
                <w:sz w:val="18"/>
              </w:rPr>
              <w:t xml:space="preserve">,</w:t>
            </w:r>
            <w:r>
              <w:rPr>
                <w:sz w:val="18"/>
              </w:rPr>
              <w:t xml:space="preserve"> </w:t>
            </w:r>
            <w:r>
              <w:rPr>
                <w:rStyle w:val="VerbatimChar"/>
                <w:sz w:val="18"/>
              </w:rPr>
              <w:t xml:space="preserve">CollateralValuationUpdated</w:t>
            </w:r>
            <w:r>
              <w:rPr>
                <w:sz w:val="18"/>
              </w:rPr>
              <w:t xml:space="preserve"> </w:t>
            </w:r>
            <w:r>
              <w:rPr>
                <w:sz w:val="18"/>
              </w:rPr>
              <w:t xml:space="preserve">(with freeze flag)</w:t>
            </w:r>
          </w:p>
        </w:tc>
        <w:tc>
          <w:tcPr>
            <w:tcW w:w="2113" w:type="dxa"/>
          </w:tcPr>
          <w:p>
            <w:pPr>
              <w:pStyle w:val="Compact"/>
              <w:spacing w:after="40"/>
              <w:jc w:val="left"/>
            </w:pPr>
            <w:r>
              <w:rPr>
                <w:sz w:val="18"/>
              </w:rPr>
              <w:t xml:space="preserve">Ecosystem Integration Specification</w:t>
            </w:r>
          </w:p>
        </w:tc>
      </w:tr>
    </w:tbl>
    <w:p>
      <w:pPr>
        <w:pStyle w:val="BodyText"/>
      </w:pPr>
      <w:r>
        <w:rPr>
          <w:bCs/>
          <w:b/>
        </w:rPr>
        <w:t xml:space="preserve">Tests:</w:t>
      </w:r>
      <w:r>
        <w:t xml:space="preserve"> </w:t>
      </w:r>
      <w:r>
        <w:t xml:space="preserve">pledge always names the RE as pledgee or lienholder; no disbursal or</w:t>
      </w:r>
      <w:r>
        <w:t xml:space="preserve"> </w:t>
      </w:r>
      <w:r>
        <w:t xml:space="preserve">“</w:t>
      </w:r>
      <w:r>
        <w:t xml:space="preserve">pledged</w:t>
      </w:r>
      <w:r>
        <w:t xml:space="preserve">”</w:t>
      </w:r>
      <w:r>
        <w:t xml:space="preserve"> </w:t>
      </w:r>
      <w:r>
        <w:t xml:space="preserve">status before</w:t>
      </w:r>
      <w:r>
        <w:t xml:space="preserve"> </w:t>
      </w:r>
      <w:r>
        <w:rPr>
          <w:rStyle w:val="VerbatimChar"/>
        </w:rPr>
        <w:t xml:space="preserve">CollateralPledgeCreated</w:t>
      </w:r>
      <w:r>
        <w:t xml:space="preserve">; RE own shares and gold-backed units excluded from indicative eligibility; stale valuation freezes drawdown display; duplicate drawdown request with the same</w:t>
      </w:r>
      <w:r>
        <w:t xml:space="preserve"> </w:t>
      </w:r>
      <w:r>
        <w:rPr>
          <w:rStyle w:val="VerbatimChar"/>
        </w:rPr>
        <w:t xml:space="preserve">Idempotency-Key</w:t>
      </w:r>
      <w:r>
        <w:t xml:space="preserve"> </w:t>
      </w:r>
      <w:r>
        <w:t xml:space="preserve">creates one request; margin-call countdown uses working days; invocation status appears only after</w:t>
      </w:r>
      <w:r>
        <w:t xml:space="preserve"> </w:t>
      </w:r>
      <w:r>
        <w:rPr>
          <w:rStyle w:val="VerbatimChar"/>
        </w:rPr>
        <w:t xml:space="preserve">CollateralInvoked</w:t>
      </w:r>
      <w:r>
        <w:t xml:space="preserve">; release blocked while a hold exists; OD screens hidden while</w:t>
      </w:r>
      <w:r>
        <w:t xml:space="preserve"> </w:t>
      </w:r>
      <w:r>
        <w:rPr>
          <w:rStyle w:val="VerbatimChar"/>
        </w:rPr>
        <w:t xml:space="preserve">mod.las.revolving</w:t>
      </w:r>
      <w:r>
        <w:t xml:space="preserve"> </w:t>
      </w:r>
      <w:r>
        <w:t xml:space="preserve">is off.</w:t>
      </w:r>
    </w:p>
    <w:p>
      <w:r>
        <w:pict>
          <v:rect style="width:0;height:1.5pt" o:hralign="center" o:hrstd="t" o:hr="t"/>
        </w:pict>
      </w:r>
    </w:p>
    <w:bookmarkEnd w:id="65"/>
    <w:bookmarkEnd w:id="66"/>
    <w:bookmarkEnd w:id="67"/>
    <w:bookmarkStart w:id="93" w:name="part-7-functional-module-specification"/>
    <w:p>
      <w:pPr>
        <w:pStyle w:val="Heading1"/>
      </w:pPr>
      <w:r>
        <w:t xml:space="preserve">PART 7 — FUNCTIONAL MODULE SPECIFICATION</w:t>
      </w:r>
    </w:p>
    <w:p>
      <w:pPr>
        <w:pStyle w:val="FirstParagraph"/>
      </w:pPr>
      <w:r>
        <w:t xml:space="preserve">Each module below is a domain module in the NestJS modular monolith. Each one owns its tables, exposes an internal API and publishes events. Build each one only after its specification is approved (Part 11).</w:t>
      </w:r>
      <w:r>
        <w:t xml:space="preserve"> </w:t>
      </w:r>
      <w:r>
        <w:t xml:space="preserve">“</w:t>
      </w:r>
      <w:r>
        <w:t xml:space="preserve">Mobile</w:t>
      </w:r>
      <w:r>
        <w:t xml:space="preserve">”</w:t>
      </w:r>
      <w:r>
        <w:t xml:space="preserve"> </w:t>
      </w:r>
      <w:r>
        <w:t xml:space="preserve">means channels A and E;</w:t>
      </w:r>
      <w:r>
        <w:t xml:space="preserve"> </w:t>
      </w:r>
      <w:r>
        <w:t xml:space="preserve">“</w:t>
      </w:r>
      <w:r>
        <w:t xml:space="preserve">web</w:t>
      </w:r>
      <w:r>
        <w:t xml:space="preserve">”</w:t>
      </w:r>
      <w:r>
        <w:t xml:space="preserve"> </w:t>
      </w:r>
      <w:r>
        <w:t xml:space="preserve">means channels B, C, D and F.</w:t>
      </w:r>
    </w:p>
    <w:bookmarkStart w:id="68" w:name="Xd70b1adea93598f67246644b074fdde0a89ab11"/>
    <w:p>
      <w:pPr>
        <w:pStyle w:val="Heading2"/>
      </w:pPr>
      <w:r>
        <w:t xml:space="preserve">U1. Tenancy, lender (RE) onboarding and LSP agreement registry</w:t>
      </w:r>
    </w:p>
    <w:p>
      <w:pPr>
        <w:pStyle w:val="FirstParagraph"/>
      </w:pPr>
      <w:r>
        <w:t xml:space="preserve">Purpose: onboard each partner RE as an isolated tenant and record exactly what Udofin is contracted to do for it.</w:t>
      </w:r>
    </w:p>
    <w:p>
      <w:pPr>
        <w:numPr>
          <w:ilvl w:val="0"/>
          <w:numId w:val="1027"/>
        </w:numPr>
        <w:pStyle w:val="Compact"/>
      </w:pPr>
      <w:r>
        <w:rPr>
          <w:bCs/>
          <w:b/>
        </w:rPr>
        <w:t xml:space="preserve">Tenant model:</w:t>
      </w:r>
      <w:r>
        <w:t xml:space="preserve"> </w:t>
      </w:r>
      <w:r>
        <w:t xml:space="preserve">platform → RE tenant (</w:t>
      </w:r>
      <w:r>
        <w:rPr>
          <w:rStyle w:val="VerbatimChar"/>
        </w:rPr>
        <w:t xml:space="preserve">lender_tenant</w:t>
      </w:r>
      <w:r>
        <w:t xml:space="preserve">) → legal entity → products. RE type (NBFC layer, HFC, NBFC-MFI, bank), CoR number, CIC memberships, AA FIU status, website disclosure URL, GRO and nodal-officer contacts, Internal Ombudsman applicability.</w:t>
      </w:r>
    </w:p>
    <w:p>
      <w:pPr>
        <w:numPr>
          <w:ilvl w:val="0"/>
          <w:numId w:val="1027"/>
        </w:numPr>
        <w:pStyle w:val="Compact"/>
      </w:pPr>
      <w:r>
        <w:rPr>
          <w:bCs/>
          <w:b/>
        </w:rPr>
        <w:t xml:space="preserve">Enhanced due-diligence support:</w:t>
      </w:r>
      <w:r>
        <w:t xml:space="preserve"> </w:t>
      </w:r>
      <w:r>
        <w:t xml:space="preserve">Udofin’s own evidence pack for each RE’s LSP due diligence (technical capability, privacy and storage, conduct, past record, compliance; CF para 6(2)) and DLG provider declarations (U14).</w:t>
      </w:r>
    </w:p>
    <w:p>
      <w:pPr>
        <w:numPr>
          <w:ilvl w:val="0"/>
          <w:numId w:val="1027"/>
        </w:numPr>
        <w:pStyle w:val="Compact"/>
      </w:pPr>
      <w:r>
        <w:rPr>
          <w:bCs/>
          <w:b/>
        </w:rPr>
        <w:t xml:space="preserve">LSP agreement registry (</w:t>
      </w:r>
      <w:r>
        <w:rPr>
          <w:rStyle w:val="VerbatimChar"/>
          <w:bCs/>
          <w:b/>
        </w:rPr>
        <w:t xml:space="preserve">lsp_agreement</w:t>
      </w:r>
      <w:r>
        <w:rPr>
          <w:bCs/>
          <w:b/>
        </w:rPr>
        <w:t xml:space="preserve">):</w:t>
      </w:r>
      <w:r>
        <w:t xml:space="preserve"> </w:t>
      </w:r>
      <w:r>
        <w:t xml:space="preserve">versioned, effective-dated record of the activities Udofin performs (sourcing, KYC technology, servicing support, reminders, recovery agent, DLG), fees and who pays them, data shared, sub-contractors approved by the RE (OUT para 34(iv)), audit and RBI access rights (OUT para 34(vii)–(ix)), incident timelines, termination and exit.</w:t>
      </w:r>
    </w:p>
    <w:p>
      <w:pPr>
        <w:numPr>
          <w:ilvl w:val="0"/>
          <w:numId w:val="1027"/>
        </w:numPr>
        <w:pStyle w:val="Compact"/>
      </w:pPr>
      <w:r>
        <w:rPr>
          <w:bCs/>
          <w:b/>
        </w:rPr>
        <w:t xml:space="preserve">Activity gate:</w:t>
      </w:r>
      <w:r>
        <w:t xml:space="preserve"> </w:t>
      </w:r>
      <w:r>
        <w:t xml:space="preserve">every runtime action that needs a contractual basis (for example accepting</w:t>
      </w:r>
      <w:r>
        <w:t xml:space="preserve"> </w:t>
      </w:r>
      <w:r>
        <w:rPr>
          <w:rStyle w:val="VerbatimChar"/>
        </w:rPr>
        <w:t xml:space="preserve">CollectionAllocated</w:t>
      </w:r>
      <w:r>
        <w:t xml:space="preserve">) checks the active agreement and scope.</w:t>
      </w:r>
    </w:p>
    <w:p>
      <w:pPr>
        <w:numPr>
          <w:ilvl w:val="0"/>
          <w:numId w:val="1027"/>
        </w:numPr>
        <w:pStyle w:val="Compact"/>
      </w:pPr>
      <w:r>
        <w:rPr>
          <w:bCs/>
          <w:b/>
        </w:rPr>
        <w:t xml:space="preserve">Onboarding workflow:</w:t>
      </w:r>
      <w:r>
        <w:t xml:space="preserve"> </w:t>
      </w:r>
      <w:r>
        <w:t xml:space="preserve">maker-checker, connector certification (Part 5.3), DLA register lines (U18), product approval (U2), go-live checklist.</w:t>
      </w:r>
    </w:p>
    <w:p>
      <w:pPr>
        <w:numPr>
          <w:ilvl w:val="0"/>
          <w:numId w:val="1027"/>
        </w:numPr>
        <w:pStyle w:val="Compact"/>
      </w:pPr>
      <w:r>
        <w:rPr>
          <w:bCs/>
          <w:b/>
        </w:rPr>
        <w:t xml:space="preserve">Isolation:</w:t>
      </w:r>
      <w:r>
        <w:t xml:space="preserve"> </w:t>
      </w:r>
      <w:r>
        <w:t xml:space="preserve">tenant ID on every RE-scoped row; server-side authorisation plus Postgres RLS; tests prove no cross-RE access.</w:t>
      </w:r>
    </w:p>
    <w:p>
      <w:pPr>
        <w:numPr>
          <w:ilvl w:val="0"/>
          <w:numId w:val="1027"/>
        </w:numPr>
        <w:pStyle w:val="Compact"/>
      </w:pPr>
      <w:r>
        <w:rPr>
          <w:bCs/>
          <w:b/>
        </w:rPr>
        <w:t xml:space="preserve">v1.2:</w:t>
      </w:r>
      <w:r>
        <w:t xml:space="preserve"> </w:t>
      </w:r>
      <w:r>
        <w:t xml:space="preserve">partner onboarding, two-way due diligence, the deal state machine and the pilot gate are Part 7B UP1; per-deal configuration (commercials, products and scope, RE rule hooks, KFS and document templates, data-sharing scope, SLAs, branding, recovery and DLG options, grievance contacts, DLA listing, modules) is UP2; credit co-operative societies onboard through the non-RE track UP4 (</w:t>
      </w:r>
      <w:r>
        <w:rPr>
          <w:rStyle w:val="VerbatimChar"/>
        </w:rPr>
        <w:t xml:space="preserve">lender_class = NON_RE_COOP</w:t>
      </w:r>
      <w:r>
        <w:t xml:space="preserve">); suspension, exit and portability are UP5. Where Part 7B and U1 differ, Part 7B prevails.</w:t>
      </w:r>
    </w:p>
    <w:bookmarkEnd w:id="68"/>
    <w:bookmarkStart w:id="69" w:name="X0146f22e943d14d3fa3ff50dda2d2e81ff2aada"/>
    <w:p>
      <w:pPr>
        <w:pStyle w:val="Heading2"/>
      </w:pPr>
      <w:r>
        <w:t xml:space="preserve">U2. Lender product catalogue and configuration</w:t>
      </w:r>
    </w:p>
    <w:p>
      <w:pPr>
        <w:pStyle w:val="FirstParagraph"/>
      </w:pPr>
      <w:r>
        <w:t xml:space="preserve">Purpose: hold each RE’s approved products as published by the RE, and Udofin’s journey configuration around them.</w:t>
      </w:r>
    </w:p>
    <w:p>
      <w:pPr>
        <w:numPr>
          <w:ilvl w:val="0"/>
          <w:numId w:val="1028"/>
        </w:numPr>
        <w:pStyle w:val="Compact"/>
      </w:pPr>
      <w:r>
        <w:rPr>
          <w:bCs/>
          <w:b/>
        </w:rPr>
        <w:t xml:space="preserve">Product-offer versions (</w:t>
      </w:r>
      <w:r>
        <w:rPr>
          <w:rStyle w:val="VerbatimChar"/>
          <w:bCs/>
          <w:b/>
        </w:rPr>
        <w:t xml:space="preserve">product_offer_version</w:t>
      </w:r>
      <w:r>
        <w:rPr>
          <w:bCs/>
          <w:b/>
        </w:rPr>
        <w:t xml:space="preserve">):</w:t>
      </w:r>
      <w:r>
        <w:t xml:space="preserve"> </w:t>
      </w:r>
      <w:r>
        <w:t xml:space="preserve">immutable copies of</w:t>
      </w:r>
      <w:r>
        <w:t xml:space="preserve"> </w:t>
      </w:r>
      <w:r>
        <w:rPr>
          <w:rStyle w:val="VerbatimChar"/>
        </w:rPr>
        <w:t xml:space="preserve">ProductCatalogPublished</w:t>
      </w:r>
      <w:r>
        <w:t xml:space="preserve"> </w:t>
      </w:r>
      <w:r>
        <w:t xml:space="preserve">(eligibility parameters, pricing grids, charges, penal charges, KFS template version, cooling-off period, grievance contacts, DLA disclosures), with effective dates.</w:t>
      </w:r>
    </w:p>
    <w:p>
      <w:pPr>
        <w:numPr>
          <w:ilvl w:val="0"/>
          <w:numId w:val="1028"/>
        </w:numPr>
        <w:pStyle w:val="Compact"/>
      </w:pPr>
      <w:r>
        <w:rPr>
          <w:bCs/>
          <w:b/>
        </w:rPr>
        <w:t xml:space="preserve">Udofin layer:</w:t>
      </w:r>
      <w:r>
        <w:t xml:space="preserve"> </w:t>
      </w:r>
      <w:r>
        <w:t xml:space="preserve">journey template, document checklist, verification plan, consent set, communications set, routing rules, product template link (Part 6).</w:t>
      </w:r>
    </w:p>
    <w:p>
      <w:pPr>
        <w:numPr>
          <w:ilvl w:val="0"/>
          <w:numId w:val="1028"/>
        </w:numPr>
        <w:pStyle w:val="Compact"/>
      </w:pPr>
      <w:r>
        <w:rPr>
          <w:bCs/>
          <w:b/>
        </w:rPr>
        <w:t xml:space="preserve">Guard-rail validation</w:t>
      </w:r>
      <w:r>
        <w:t xml:space="preserve"> </w:t>
      </w:r>
      <w:r>
        <w:t xml:space="preserve">on publication: cooling-off at least one day, KFS template present, APR inputs complete, grievance contacts present, no borrower-paid LSP fee, microfinance flag logic, store-policy gate by channel (tenor of 60 days or less on both stores; APR above 36% including fees on the App Store).</w:t>
      </w:r>
    </w:p>
    <w:p>
      <w:pPr>
        <w:numPr>
          <w:ilvl w:val="0"/>
          <w:numId w:val="1028"/>
        </w:numPr>
        <w:pStyle w:val="Compact"/>
      </w:pPr>
      <w:r>
        <w:rPr>
          <w:bCs/>
          <w:b/>
        </w:rPr>
        <w:t xml:space="preserve">Approval:</w:t>
      </w:r>
      <w:r>
        <w:t xml:space="preserve"> </w:t>
      </w:r>
      <w:r>
        <w:t xml:space="preserve">platform-approved and legal-review layers (Part 3.4); no product goes live without both the RE’s publication and Udofin’s approval.</w:t>
      </w:r>
    </w:p>
    <w:p>
      <w:pPr>
        <w:numPr>
          <w:ilvl w:val="0"/>
          <w:numId w:val="1028"/>
        </w:numPr>
        <w:pStyle w:val="Compact"/>
      </w:pPr>
      <w:r>
        <w:rPr>
          <w:bCs/>
          <w:b/>
        </w:rPr>
        <w:t xml:space="preserve">Lender portal:</w:t>
      </w:r>
      <w:r>
        <w:t xml:space="preserve"> </w:t>
      </w:r>
      <w:r>
        <w:t xml:space="preserve">the RE sees and requests changes to its own products; portal-only REs maintain their products here.</w:t>
      </w:r>
    </w:p>
    <w:bookmarkEnd w:id="69"/>
    <w:bookmarkStart w:id="70" w:name="Xdbf1a355f3055ef2c1d94982b8d92753b26edc2"/>
    <w:p>
      <w:pPr>
        <w:pStyle w:val="Heading2"/>
      </w:pPr>
      <w:r>
        <w:t xml:space="preserve">U3. Borrower identity, registration, authentication and device binding (app and web)</w:t>
      </w:r>
    </w:p>
    <w:p>
      <w:pPr>
        <w:pStyle w:val="FirstParagraph"/>
      </w:pPr>
      <w:r>
        <w:t xml:space="preserve">Purpose: give each borrower one secure Udofin account, separate from any RE’s customer record.</w:t>
      </w:r>
    </w:p>
    <w:p>
      <w:pPr>
        <w:numPr>
          <w:ilvl w:val="0"/>
          <w:numId w:val="1029"/>
        </w:numPr>
        <w:pStyle w:val="Compact"/>
      </w:pPr>
      <w:r>
        <w:rPr>
          <w:bCs/>
          <w:b/>
        </w:rPr>
        <w:t xml:space="preserve">Registration:</w:t>
      </w:r>
      <w:r>
        <w:t xml:space="preserve"> </w:t>
      </w:r>
      <w:r>
        <w:t xml:space="preserve">mobile number + OTP; no password by default; optional email verification; platform notice and consent (U4) before any data is processed; an age check (18 or over) before any further data is collected, because a minor cannot contract (Indian Contract Act s.11) and a child’s data would need verifiable parental consent (DPDP s.9, from 13 May 2027).</w:t>
      </w:r>
    </w:p>
    <w:p>
      <w:pPr>
        <w:numPr>
          <w:ilvl w:val="0"/>
          <w:numId w:val="1029"/>
        </w:numPr>
        <w:pStyle w:val="Compact"/>
      </w:pPr>
      <w:r>
        <w:rPr>
          <w:bCs/>
          <w:b/>
        </w:rPr>
        <w:t xml:space="preserve">Authentication:</w:t>
      </w:r>
      <w:r>
        <w:t xml:space="preserve"> </w:t>
      </w:r>
      <w:r>
        <w:t xml:space="preserve">Supabase Auth behind an OIDC abstraction; OTP rate limits and lockouts; step-up authentication (OTP or passkey) for KFS acceptance, eSign, mandate set-up, bank-account change, contact-detail change and data-rights requests.</w:t>
      </w:r>
    </w:p>
    <w:p>
      <w:pPr>
        <w:numPr>
          <w:ilvl w:val="0"/>
          <w:numId w:val="1029"/>
        </w:numPr>
        <w:pStyle w:val="Compact"/>
      </w:pPr>
      <w:r>
        <w:rPr>
          <w:bCs/>
          <w:b/>
        </w:rPr>
        <w:t xml:space="preserve">Device binding (mobile):</w:t>
      </w:r>
      <w:r>
        <w:t xml:space="preserve"> </w:t>
      </w:r>
      <w:r>
        <w:t xml:space="preserve">hardware-backed key pair generated in the Android Keystore or iOS Secure Enclave; Play Integrity and App Attest checks; device register with the borrower’s ability to see and remove devices; alerts on every new device on more than one channel; re-authentication at launch and after inactivity. DPS para 68 is used as the baseline by policy (DPS applies directly only to credit-card-issuing NBFCs, DPS para 3; Part 8A.11).</w:t>
      </w:r>
    </w:p>
    <w:p>
      <w:pPr>
        <w:numPr>
          <w:ilvl w:val="0"/>
          <w:numId w:val="1029"/>
        </w:numPr>
        <w:pStyle w:val="Compact"/>
      </w:pPr>
      <w:r>
        <w:rPr>
          <w:bCs/>
          <w:b/>
        </w:rPr>
        <w:t xml:space="preserve">Web:</w:t>
      </w:r>
      <w:r>
        <w:t xml:space="preserve"> </w:t>
      </w:r>
      <w:r>
        <w:t xml:space="preserve">passkeys (WebAuthn; usually synced across the borrower’s devices, so they are a strong authenticator but not a device binding); short sessions with inactivity timeout; strong CAPTCHA or equivalent against brute force (DPS para 67(1) baseline).</w:t>
      </w:r>
    </w:p>
    <w:p>
      <w:pPr>
        <w:numPr>
          <w:ilvl w:val="0"/>
          <w:numId w:val="1029"/>
        </w:numPr>
        <w:pStyle w:val="Compact"/>
      </w:pPr>
      <w:r>
        <w:rPr>
          <w:bCs/>
          <w:b/>
        </w:rPr>
        <w:t xml:space="preserve">Version control:</w:t>
      </w:r>
      <w:r>
        <w:t xml:space="preserve"> </w:t>
      </w:r>
      <w:r>
        <w:t xml:space="preserve">server-side minimum-version check; one live version per platform with older versions retired within six months (DPS para 68(2)(iii) baseline); forced update for incompatible versions.</w:t>
      </w:r>
    </w:p>
    <w:p>
      <w:pPr>
        <w:numPr>
          <w:ilvl w:val="0"/>
          <w:numId w:val="1029"/>
        </w:numPr>
        <w:pStyle w:val="Compact"/>
      </w:pPr>
      <w:r>
        <w:rPr>
          <w:bCs/>
          <w:b/>
        </w:rPr>
        <w:t xml:space="preserve">Account lifecycle:</w:t>
      </w:r>
      <w:r>
        <w:t xml:space="preserve"> </w:t>
      </w:r>
      <w:r>
        <w:t xml:space="preserve">mobile-number change with strong re-verification; account closure; dormant-account handling; deceased-borrower process routed to the RE.</w:t>
      </w:r>
    </w:p>
    <w:p>
      <w:pPr>
        <w:numPr>
          <w:ilvl w:val="0"/>
          <w:numId w:val="1029"/>
        </w:numPr>
        <w:pStyle w:val="Compact"/>
      </w:pPr>
      <w:r>
        <w:rPr>
          <w:bCs/>
          <w:b/>
        </w:rPr>
        <w:t xml:space="preserve">No telephony binding:</w:t>
      </w:r>
      <w:r>
        <w:t xml:space="preserve"> </w:t>
      </w:r>
      <w:r>
        <w:t xml:space="preserve">no SIM binding by outbound SMS and no phone-state read (Part 4.5).</w:t>
      </w:r>
    </w:p>
    <w:bookmarkEnd w:id="70"/>
    <w:bookmarkStart w:id="71" w:name="u4.-consent-privacy-and-data-lifecycle"/>
    <w:p>
      <w:pPr>
        <w:pStyle w:val="Heading2"/>
      </w:pPr>
      <w:r>
        <w:t xml:space="preserve">U4. Consent, privacy and data lifecycle</w:t>
      </w:r>
    </w:p>
    <w:p>
      <w:pPr>
        <w:pStyle w:val="FirstParagraph"/>
      </w:pPr>
      <w:r>
        <w:t xml:space="preserve">Purpose: prove what the borrower agreed to, for which lender and purpose, and honour withdrawal, retention and deletion.</w:t>
      </w:r>
    </w:p>
    <w:p>
      <w:pPr>
        <w:numPr>
          <w:ilvl w:val="0"/>
          <w:numId w:val="1030"/>
        </w:numPr>
        <w:pStyle w:val="Compact"/>
      </w:pPr>
      <w:r>
        <w:rPr>
          <w:bCs/>
          <w:b/>
        </w:rPr>
        <w:t xml:space="preserve">Consent artefact (</w:t>
      </w:r>
      <w:r>
        <w:rPr>
          <w:rStyle w:val="VerbatimChar"/>
          <w:bCs/>
          <w:b/>
        </w:rPr>
        <w:t xml:space="preserve">consent_artefact</w:t>
      </w:r>
      <w:r>
        <w:rPr>
          <w:bCs/>
          <w:b/>
        </w:rPr>
        <w:t xml:space="preserve">):</w:t>
      </w:r>
      <w:r>
        <w:t xml:space="preserve"> </w:t>
      </w:r>
      <w:r>
        <w:t xml:space="preserve">purpose, data items, recipient (Udofin, a named RE, a named provider), legal basis, notice text version and language, channel, timestamp, device and IP, expiry, and the screen version shown. Separate artefacts for platform use, each RE eligibility check, each RE application, bureau, AA (reference to the AA’s own artefact), CKYC download by the RE, DigiLocker, marketing, and Equator referral.</w:t>
      </w:r>
    </w:p>
    <w:p>
      <w:pPr>
        <w:numPr>
          <w:ilvl w:val="0"/>
          <w:numId w:val="1030"/>
        </w:numPr>
        <w:pStyle w:val="Compact"/>
      </w:pPr>
      <w:r>
        <w:rPr>
          <w:bCs/>
          <w:b/>
        </w:rPr>
        <w:t xml:space="preserve">Purpose disclosed at each stage</w:t>
      </w:r>
      <w:r>
        <w:t xml:space="preserve"> </w:t>
      </w:r>
      <w:r>
        <w:t xml:space="preserve">(CF para 13(3)); explicit consent before sharing with any third party (para 13(4)).</w:t>
      </w:r>
    </w:p>
    <w:p>
      <w:pPr>
        <w:numPr>
          <w:ilvl w:val="0"/>
          <w:numId w:val="1030"/>
        </w:numPr>
        <w:pStyle w:val="Compact"/>
      </w:pPr>
      <w:r>
        <w:rPr>
          <w:bCs/>
          <w:b/>
        </w:rPr>
        <w:t xml:space="preserve">Borrower controls:</w:t>
      </w:r>
      <w:r>
        <w:t xml:space="preserve"> </w:t>
      </w:r>
      <w:r>
        <w:t xml:space="preserve">view, give, deny, restrict, revoke, and request deletion (CF para 13(2)); a privacy dashboard in app and web; data-principal rights requests and grievances with clocks (DPDP Rules: response within 90 days, from 13 May 2027; a shorter RE or RBI clock wins).</w:t>
      </w:r>
    </w:p>
    <w:p>
      <w:pPr>
        <w:numPr>
          <w:ilvl w:val="0"/>
          <w:numId w:val="1030"/>
        </w:numPr>
        <w:pStyle w:val="Compact"/>
      </w:pPr>
      <w:r>
        <w:rPr>
          <w:bCs/>
          <w:b/>
        </w:rPr>
        <w:t xml:space="preserve">Withdrawal effects:</w:t>
      </w:r>
      <w:r>
        <w:t xml:space="preserve"> </w:t>
      </w:r>
      <w:r>
        <w:t xml:space="preserve">stop future processing; tell affected REs (</w:t>
      </w:r>
      <w:r>
        <w:rPr>
          <w:rStyle w:val="VerbatimChar"/>
        </w:rPr>
        <w:t xml:space="preserve">ConsentWithdrawn</w:t>
      </w:r>
      <w:r>
        <w:t xml:space="preserve">,</w:t>
      </w:r>
      <w:r>
        <w:t xml:space="preserve"> </w:t>
      </w:r>
      <w:r>
        <w:rPr>
          <w:rStyle w:val="VerbatimChar"/>
        </w:rPr>
        <w:t xml:space="preserve">DataPrincipalRequest</w:t>
      </w:r>
      <w:r>
        <w:t xml:space="preserve">; adopted in v1.1, Part 5.2); keep only what law requires.</w:t>
      </w:r>
    </w:p>
    <w:p>
      <w:pPr>
        <w:numPr>
          <w:ilvl w:val="0"/>
          <w:numId w:val="1030"/>
        </w:numPr>
        <w:pStyle w:val="Compact"/>
      </w:pPr>
      <w:r>
        <w:rPr>
          <w:bCs/>
          <w:b/>
        </w:rPr>
        <w:t xml:space="preserve">Retention engine:</w:t>
      </w:r>
      <w:r>
        <w:t xml:space="preserve"> </w:t>
      </w:r>
      <w:r>
        <w:t xml:space="preserve">per data class, the longest legally required period wins (PMLA/KYC records are the RE’s; Udofin keeps its evidence copies only as the agreement and law require); minimal data only (CF para 14(1)); secure destruction with certificates.</w:t>
      </w:r>
    </w:p>
    <w:p>
      <w:pPr>
        <w:numPr>
          <w:ilvl w:val="0"/>
          <w:numId w:val="1030"/>
        </w:numPr>
        <w:pStyle w:val="Compact"/>
      </w:pPr>
      <w:r>
        <w:rPr>
          <w:bCs/>
          <w:b/>
        </w:rPr>
        <w:t xml:space="preserve">Data map:</w:t>
      </w:r>
      <w:r>
        <w:t xml:space="preserve"> </w:t>
      </w:r>
      <w:r>
        <w:t xml:space="preserve">every field tagged with owner, purpose, recipients, storage location (India only; CF para 14(4)), retention and sensitivity; generated privacy-policy annex of third parties (CF para 15(2)).</w:t>
      </w:r>
    </w:p>
    <w:p>
      <w:pPr>
        <w:numPr>
          <w:ilvl w:val="0"/>
          <w:numId w:val="1030"/>
        </w:numPr>
        <w:pStyle w:val="Compact"/>
      </w:pPr>
      <w:r>
        <w:rPr>
          <w:bCs/>
          <w:b/>
        </w:rPr>
        <w:t xml:space="preserve">Breach handling</w:t>
      </w:r>
      <w:r>
        <w:t xml:space="preserve"> </w:t>
      </w:r>
      <w:r>
        <w:t xml:space="preserve">links to U24.</w:t>
      </w:r>
    </w:p>
    <w:p>
      <w:pPr>
        <w:numPr>
          <w:ilvl w:val="0"/>
          <w:numId w:val="1030"/>
        </w:numPr>
        <w:pStyle w:val="Compact"/>
      </w:pPr>
      <w:r>
        <w:rPr>
          <w:bCs/>
          <w:b/>
        </w:rPr>
        <w:t xml:space="preserve">Consent Managers:</w:t>
      </w:r>
      <w:r>
        <w:t xml:space="preserve"> </w:t>
      </w:r>
      <w:r>
        <w:t xml:space="preserve">accept consent given, reviewed or withdrawn through a Consent Manager registered with the Data Protection Board (DPDP s.6(7)–(9); registration rules in force from 13 Nov 2026) [VERIFY interoperability standard].</w:t>
      </w:r>
    </w:p>
    <w:p>
      <w:pPr>
        <w:numPr>
          <w:ilvl w:val="0"/>
          <w:numId w:val="1030"/>
        </w:numPr>
        <w:pStyle w:val="Compact"/>
      </w:pPr>
      <w:r>
        <w:rPr>
          <w:bCs/>
          <w:b/>
        </w:rPr>
        <w:t xml:space="preserve">v1.2 consent additions:</w:t>
      </w:r>
      <w:r>
        <w:t xml:space="preserve"> </w:t>
      </w:r>
      <w:r>
        <w:t xml:space="preserve">(a) every non-loan product (insurance and any later distribution product) has its own product-specific consent artefact, separate from loan consent, defaulting to</w:t>
      </w:r>
      <w:r>
        <w:t xml:space="preserve"> </w:t>
      </w:r>
      <w:r>
        <w:t xml:space="preserve">“</w:t>
      </w:r>
      <w:r>
        <w:t xml:space="preserve">No</w:t>
      </w:r>
      <w:r>
        <w:t xml:space="preserve">”</w:t>
      </w:r>
      <w:r>
        <w:t xml:space="preserve">, as easy to withdraw as to give, and kept for at least 1 year after the contract ends (RBC Second Amendment paras 101G, 101I, 101M, effective 1 Jan 2027; applied by Udofin as policy from v1.2) [VERIFY: final NBFC text and numbering]; (b) the wellness tools (Part 7D) have stand-alone DPDP notices and consents held in the separate</w:t>
      </w:r>
      <w:r>
        <w:t xml:space="preserve"> </w:t>
      </w:r>
      <w:r>
        <w:rPr>
          <w:rStyle w:val="VerbatimChar"/>
        </w:rPr>
        <w:t xml:space="preserve">wellness</w:t>
      </w:r>
      <w:r>
        <w:t xml:space="preserve"> </w:t>
      </w:r>
      <w:r>
        <w:t xml:space="preserve">store, never bundled with platform, loan, bureau, AA or marketing consents and never shared with an RE (FW4); (c) society and group members receive consent artefacts that name the lender and its class (RE or non-RE society), with the low-literacy consent method of Part 7E MG4.4; (d) the borrower’s own data download and export are Part 7C UB1; the 90-day period of DPDP Rules r.14(3) applies to grievances, and whether it also bounds s.11–12 access, correction and erasure requests is [VERIFY] (Udofin targets 30 days).</w:t>
      </w:r>
    </w:p>
    <w:bookmarkEnd w:id="71"/>
    <w:bookmarkStart w:id="72" w:name="u5.-kyc-and-verification"/>
    <w:p>
      <w:pPr>
        <w:pStyle w:val="Heading2"/>
      </w:pPr>
      <w:r>
        <w:t xml:space="preserve">U5. KYC and verification</w:t>
      </w:r>
    </w:p>
    <w:p>
      <w:pPr>
        <w:pStyle w:val="FirstParagraph"/>
      </w:pPr>
      <w:r>
        <w:t xml:space="preserve">Purpose: run KYC technology for the RE and hand the RE complete, verifiable evidence; never take the KYC decision.</w:t>
      </w:r>
    </w:p>
    <w:p>
      <w:pPr>
        <w:numPr>
          <w:ilvl w:val="0"/>
          <w:numId w:val="1031"/>
        </w:numPr>
        <w:pStyle w:val="Compact"/>
      </w:pPr>
      <w:r>
        <w:rPr>
          <w:bCs/>
          <w:b/>
        </w:rPr>
        <w:t xml:space="preserve">Routes, configured per RE (Part 8A.3):</w:t>
      </w:r>
    </w:p>
    <w:p>
      <w:pPr>
        <w:numPr>
          <w:ilvl w:val="1"/>
          <w:numId w:val="1032"/>
        </w:numPr>
        <w:pStyle w:val="Compact"/>
      </w:pPr>
      <w:r>
        <w:t xml:space="preserve">CKYC: capture the KYC Identifier and the borrower’s explicit consent for the RE to download (KYC para 23(4)); the RE performs the CKYCR search and download [VERIFY Udofin access as the RE’s agent].</w:t>
      </w:r>
    </w:p>
    <w:p>
      <w:pPr>
        <w:numPr>
          <w:ilvl w:val="1"/>
          <w:numId w:val="1032"/>
        </w:numPr>
        <w:pStyle w:val="Compact"/>
      </w:pPr>
      <w:r>
        <w:t xml:space="preserve">Aadhaar: offline verification (XML or QR) or DigiLocker as proof of possession (KYC para 23(2) and proviso (ii)); Aadhaar OTP e-KYC authentication only where the RE is notified under the first proviso to s.11A(1) of the PML Act and through its own licence (KYC para 23 proviso (i)); never store a full Aadhaar number; mask it everywhere; no Aadhaar in logs.</w:t>
      </w:r>
    </w:p>
    <w:p>
      <w:pPr>
        <w:numPr>
          <w:ilvl w:val="1"/>
          <w:numId w:val="1032"/>
        </w:numPr>
        <w:pStyle w:val="Compact"/>
      </w:pPr>
      <w:r>
        <w:t xml:space="preserve">OTP-based e-KYC in non-face-to-face mode: specific consent (KYC para 25(1)), declaration of no other such account (25(8)), and the ₹60,000 per year term-loan limit (25(5)) enforced in routing.</w:t>
      </w:r>
    </w:p>
    <w:p>
      <w:pPr>
        <w:numPr>
          <w:ilvl w:val="1"/>
          <w:numId w:val="1032"/>
        </w:numPr>
        <w:pStyle w:val="Compact"/>
      </w:pPr>
      <w:r>
        <w:t xml:space="preserve">V-CIP: launched from app and web into the RE’s own V-CIP web session (Udofin hosts no V-CIP component); the RE’s infrastructure and authorised official; India-only IP, geo-tag, liveness (KYC para 27); Udofin as technology provider retains no V-CIP data (KYC para 27(1)(i)).</w:t>
      </w:r>
    </w:p>
    <w:p>
      <w:pPr>
        <w:numPr>
          <w:ilvl w:val="1"/>
          <w:numId w:val="1032"/>
        </w:numPr>
        <w:pStyle w:val="Compact"/>
      </w:pPr>
      <w:r>
        <w:t xml:space="preserve">PAN or Form 60 (KYC para 23(5)), verified through an authorised provider; equivalent e-documents verified by digital signature with a live photo (KYC para 23 proviso (iii)).</w:t>
      </w:r>
    </w:p>
    <w:p>
      <w:pPr>
        <w:numPr>
          <w:ilvl w:val="0"/>
          <w:numId w:val="1031"/>
        </w:numPr>
        <w:pStyle w:val="Compact"/>
      </w:pPr>
      <w:r>
        <w:rPr>
          <w:bCs/>
          <w:b/>
        </w:rPr>
        <w:t xml:space="preserve">Capture:</w:t>
      </w:r>
      <w:r>
        <w:t xml:space="preserve"> </w:t>
      </w:r>
      <w:r>
        <w:t xml:space="preserve">camera document scan with edge detection, glare and blur checks, compression and on-device redaction of the Aadhaar number; selfie and liveness; OCR with human-verifiable extraction.</w:t>
      </w:r>
    </w:p>
    <w:p>
      <w:pPr>
        <w:numPr>
          <w:ilvl w:val="0"/>
          <w:numId w:val="1031"/>
        </w:numPr>
        <w:pStyle w:val="Compact"/>
      </w:pPr>
      <w:r>
        <w:rPr>
          <w:bCs/>
          <w:b/>
        </w:rPr>
        <w:t xml:space="preserve">Evidence (</w:t>
      </w:r>
      <w:r>
        <w:rPr>
          <w:rStyle w:val="VerbatimChar"/>
          <w:bCs/>
          <w:b/>
        </w:rPr>
        <w:t xml:space="preserve">kyc_evidence</w:t>
      </w:r>
      <w:r>
        <w:rPr>
          <w:bCs/>
          <w:b/>
        </w:rPr>
        <w:t xml:space="preserve">):</w:t>
      </w:r>
      <w:r>
        <w:t xml:space="preserve"> </w:t>
      </w:r>
      <w:r>
        <w:t xml:space="preserve">provider, request and response hashes, timestamps, document hashes, liveness scores, the consent reference and the step version. Passed to the RE with</w:t>
      </w:r>
      <w:r>
        <w:t xml:space="preserve"> </w:t>
      </w:r>
      <w:r>
        <w:rPr>
          <w:rStyle w:val="VerbatimChar"/>
        </w:rPr>
        <w:t xml:space="preserve">ApplicationSubmitted</w:t>
      </w:r>
      <w:r>
        <w:t xml:space="preserve">.</w:t>
      </w:r>
    </w:p>
    <w:p>
      <w:pPr>
        <w:numPr>
          <w:ilvl w:val="0"/>
          <w:numId w:val="1031"/>
        </w:numPr>
        <w:pStyle w:val="Compact"/>
      </w:pPr>
      <w:r>
        <w:rPr>
          <w:bCs/>
          <w:b/>
        </w:rPr>
        <w:t xml:space="preserve">Reuse across lenders:</w:t>
      </w:r>
      <w:r>
        <w:t xml:space="preserve"> </w:t>
      </w:r>
      <w:r>
        <w:t xml:space="preserve">a document held in one RE’s vault is never copied to another RE (Part 10.2 principle 20); for a second RE the borrower re-fetches from DigiLocker, re-uploads, or authorises use of a copy Udofin is itself permitted to retain under its own agreement, each time with fresh consent naming that RE; each RE performs its own CDD.</w:t>
      </w:r>
    </w:p>
    <w:p>
      <w:pPr>
        <w:numPr>
          <w:ilvl w:val="0"/>
          <w:numId w:val="1031"/>
        </w:numPr>
        <w:pStyle w:val="Compact"/>
      </w:pPr>
      <w:r>
        <w:rPr>
          <w:bCs/>
          <w:b/>
        </w:rPr>
        <w:t xml:space="preserve">Fraud signals</w:t>
      </w:r>
      <w:r>
        <w:t xml:space="preserve"> </w:t>
      </w:r>
      <w:r>
        <w:t xml:space="preserve">to U24: tampered document, face mismatch, velocity, device risk.</w:t>
      </w:r>
    </w:p>
    <w:bookmarkEnd w:id="72"/>
    <w:bookmarkStart w:id="73" w:name="u6.-credit-data-income-and-affordability"/>
    <w:p>
      <w:pPr>
        <w:pStyle w:val="Heading2"/>
      </w:pPr>
      <w:r>
        <w:t xml:space="preserve">U6. Credit data, income and affordability</w:t>
      </w:r>
    </w:p>
    <w:p>
      <w:pPr>
        <w:pStyle w:val="FirstParagraph"/>
      </w:pPr>
      <w:r>
        <w:t xml:space="preserve">Purpose: obtain credit and income data lawfully through the RE and present it for the RE’s assessment.</w:t>
      </w:r>
    </w:p>
    <w:p>
      <w:pPr>
        <w:numPr>
          <w:ilvl w:val="0"/>
          <w:numId w:val="1033"/>
        </w:numPr>
        <w:pStyle w:val="Compact"/>
      </w:pPr>
      <w:r>
        <w:rPr>
          <w:bCs/>
          <w:b/>
        </w:rPr>
        <w:t xml:space="preserve">Bureau:</w:t>
      </w:r>
      <w:r>
        <w:t xml:space="preserve"> </w:t>
      </w:r>
      <w:r>
        <w:t xml:space="preserve">Udofin is not a credit institution member of any CIC; CIR para 6 membership belongs to the RE. Bureau consent (</w:t>
      </w:r>
      <w:r>
        <w:rPr>
          <w:rStyle w:val="VerbatimChar"/>
        </w:rPr>
        <w:t xml:space="preserve">bureau_consent</w:t>
      </w:r>
      <w:r>
        <w:t xml:space="preserve">) names the RE and purpose. Modes, selected per RE after legal review: (a) the RE pulls through its own membership via its connector; (b) Udofin calls the CIC or an aggregator with the RE’s credentials as the RE’s agent; (c) a borrower-consented own-report flow [VERIFY all three against CICRA s.2(l)</w:t>
      </w:r>
      <w:r>
        <w:t xml:space="preserve"> </w:t>
      </w:r>
      <w:r>
        <w:t xml:space="preserve">“</w:t>
      </w:r>
      <w:r>
        <w:t xml:space="preserve">specified user</w:t>
      </w:r>
      <w:r>
        <w:t xml:space="preserve">”</w:t>
      </w:r>
      <w:r>
        <w:t xml:space="preserve">, CIC Regulations reg. 3 and the provider’s authorisations]. A fourth mode, Udofin becoming a specified user under reg. 3 (as amended 10 Nov 2021) on RBI’s criteria, is not available at launch (Part 8.2). The original</w:t>
      </w:r>
      <w:r>
        <w:t xml:space="preserve"> </w:t>
      </w:r>
      <w:r>
        <w:t xml:space="preserve">“</w:t>
      </w:r>
      <w:r>
        <w:t xml:space="preserve">Udofin soft-pulls CIBIL via Surepass</w:t>
      </w:r>
      <w:r>
        <w:t xml:space="preserve">”</w:t>
      </w:r>
      <w:r>
        <w:t xml:space="preserve"> </w:t>
      </w:r>
      <w:r>
        <w:t xml:space="preserve">is not adopted until verified (Appendix E).</w:t>
      </w:r>
    </w:p>
    <w:p>
      <w:pPr>
        <w:numPr>
          <w:ilvl w:val="0"/>
          <w:numId w:val="1033"/>
        </w:numPr>
        <w:pStyle w:val="Compact"/>
      </w:pPr>
      <w:r>
        <w:rPr>
          <w:bCs/>
          <w:b/>
        </w:rPr>
        <w:t xml:space="preserve">Multiple enquiries:</w:t>
      </w:r>
      <w:r>
        <w:t xml:space="preserve"> </w:t>
      </w:r>
      <w:r>
        <w:t xml:space="preserve">avoid one hard enquiry per matching RE; use the RE-approved pre-qualification mode and pull for the chosen RE only [VERIFY CIC enquiry classification].</w:t>
      </w:r>
    </w:p>
    <w:p>
      <w:pPr>
        <w:numPr>
          <w:ilvl w:val="0"/>
          <w:numId w:val="1033"/>
        </w:numPr>
        <w:pStyle w:val="Compact"/>
      </w:pPr>
      <w:r>
        <w:rPr>
          <w:bCs/>
          <w:b/>
        </w:rPr>
        <w:t xml:space="preserve">New-to-credit:</w:t>
      </w:r>
      <w:r>
        <w:t xml:space="preserve"> </w:t>
      </w:r>
      <w:r>
        <w:t xml:space="preserve">routing must not exclude a borrower only for lack of credit history unless the RE’s rule says so (CIR para 38(5)).</w:t>
      </w:r>
    </w:p>
    <w:p>
      <w:pPr>
        <w:numPr>
          <w:ilvl w:val="0"/>
          <w:numId w:val="1033"/>
        </w:numPr>
        <w:pStyle w:val="Compact"/>
      </w:pPr>
      <w:r>
        <w:rPr>
          <w:bCs/>
          <w:b/>
        </w:rPr>
        <w:t xml:space="preserve">AA:</w:t>
      </w:r>
      <w:r>
        <w:t xml:space="preserve"> </w:t>
      </w:r>
      <w:r>
        <w:t xml:space="preserve">the RE is the FIU (AA para 8(12)); Udofin launches the AA consent journey as the RE’s technology service provider and receives data only as the consent artefact allows (AA para 28); store</w:t>
      </w:r>
      <w:r>
        <w:t xml:space="preserve"> </w:t>
      </w:r>
      <w:r>
        <w:rPr>
          <w:rStyle w:val="VerbatimChar"/>
        </w:rPr>
        <w:t xml:space="preserve">aa_consent_reference</w:t>
      </w:r>
      <w:r>
        <w:t xml:space="preserve"> </w:t>
      </w:r>
      <w:r>
        <w:t xml:space="preserve">only.</w:t>
      </w:r>
    </w:p>
    <w:p>
      <w:pPr>
        <w:numPr>
          <w:ilvl w:val="0"/>
          <w:numId w:val="1033"/>
        </w:numPr>
        <w:pStyle w:val="Compact"/>
      </w:pPr>
      <w:r>
        <w:rPr>
          <w:bCs/>
          <w:b/>
        </w:rPr>
        <w:t xml:space="preserve">Income and affordability inputs:</w:t>
      </w:r>
      <w:r>
        <w:t xml:space="preserve"> </w:t>
      </w:r>
      <w:r>
        <w:t xml:space="preserve">declared income, employer, AA or bank-statement analysis output (RE-approved analyser), household composition and income for the microfinance test (CF paras 51, 55–57).</w:t>
      </w:r>
    </w:p>
    <w:p>
      <w:pPr>
        <w:numPr>
          <w:ilvl w:val="0"/>
          <w:numId w:val="1033"/>
        </w:numPr>
        <w:pStyle w:val="Compact"/>
      </w:pPr>
      <w:r>
        <w:rPr>
          <w:bCs/>
          <w:b/>
        </w:rPr>
        <w:t xml:space="preserve">Display:</w:t>
      </w:r>
      <w:r>
        <w:t xml:space="preserve"> </w:t>
      </w:r>
      <w:r>
        <w:t xml:space="preserve">the borrower sees their own data where the RE allows and a plain explanation of what was used.</w:t>
      </w:r>
    </w:p>
    <w:p>
      <w:pPr>
        <w:numPr>
          <w:ilvl w:val="0"/>
          <w:numId w:val="1033"/>
        </w:numPr>
        <w:pStyle w:val="Compact"/>
      </w:pPr>
      <w:r>
        <w:rPr>
          <w:bCs/>
          <w:b/>
        </w:rPr>
        <w:t xml:space="preserve">v1.2:</w:t>
      </w:r>
      <w:r>
        <w:t xml:space="preserve"> </w:t>
      </w:r>
      <w:r>
        <w:t xml:space="preserve">credit reports a consumer obtains through the wellness tools (Part 7D FW1) live in a separate store and never feed mode (c), pre-qualification, routing or any RE; the only permitted flow is the borrower downloading their own report and choosing to attach it to an application as a supporting document (FW4).</w:t>
      </w:r>
    </w:p>
    <w:bookmarkEnd w:id="73"/>
    <w:bookmarkStart w:id="74" w:name="X84f7e84b8947af4df7196a2db83b19ae0936a96"/>
    <w:p>
      <w:pPr>
        <w:pStyle w:val="Heading2"/>
      </w:pPr>
      <w:r>
        <w:t xml:space="preserve">U7. Application, eligibility and lender routing (multi-lender rules)</w:t>
      </w:r>
    </w:p>
    <w:p>
      <w:pPr>
        <w:pStyle w:val="FirstParagraph"/>
      </w:pPr>
      <w:r>
        <w:t xml:space="preserve">Purpose: turn a borrower request into eligibility checks with matching REs, consistently and neutrally.</w:t>
      </w:r>
    </w:p>
    <w:p>
      <w:pPr>
        <w:numPr>
          <w:ilvl w:val="0"/>
          <w:numId w:val="1034"/>
        </w:numPr>
        <w:pStyle w:val="Compact"/>
      </w:pPr>
      <w:r>
        <w:rPr>
          <w:bCs/>
          <w:b/>
        </w:rPr>
        <w:t xml:space="preserve">Application (</w:t>
      </w:r>
      <w:r>
        <w:rPr>
          <w:rStyle w:val="VerbatimChar"/>
          <w:bCs/>
          <w:b/>
        </w:rPr>
        <w:t xml:space="preserve">application</w:t>
      </w:r>
      <w:r>
        <w:rPr>
          <w:bCs/>
          <w:b/>
        </w:rPr>
        <w:t xml:space="preserve">):</w:t>
      </w:r>
      <w:r>
        <w:t xml:space="preserve"> </w:t>
      </w:r>
      <w:r>
        <w:t xml:space="preserve">product, amount, tenor, purpose, applicant data, state machine with allowed transitions, failure states, timeouts and human overrides (original</w:t>
      </w:r>
      <w:r>
        <w:t xml:space="preserve"> </w:t>
      </w:r>
      <w:r>
        <w:t xml:space="preserve">“</w:t>
      </w:r>
      <w:r>
        <w:t xml:space="preserve">important addition</w:t>
      </w:r>
      <w:r>
        <w:t xml:space="preserve">”</w:t>
      </w:r>
      <w:r>
        <w:t xml:space="preserve"> </w:t>
      </w:r>
      <w:r>
        <w:t xml:space="preserve">4).</w:t>
      </w:r>
    </w:p>
    <w:p>
      <w:pPr>
        <w:numPr>
          <w:ilvl w:val="0"/>
          <w:numId w:val="1034"/>
        </w:numPr>
        <w:pStyle w:val="Compact"/>
      </w:pPr>
      <w:r>
        <w:rPr>
          <w:bCs/>
          <w:b/>
        </w:rPr>
        <w:t xml:space="preserve">Pre-filter</w:t>
      </w:r>
      <w:r>
        <w:t xml:space="preserve"> </w:t>
      </w:r>
      <w:r>
        <w:t xml:space="preserve">using each RE’s published eligibility parameters (U2) evaluated in GoRules ZEN; then</w:t>
      </w:r>
      <w:r>
        <w:t xml:space="preserve"> </w:t>
      </w:r>
      <w:r>
        <w:rPr>
          <w:rStyle w:val="VerbatimChar"/>
        </w:rPr>
        <w:t xml:space="preserve">EligibilityCheck</w:t>
      </w:r>
      <w:r>
        <w:t xml:space="preserve"> </w:t>
      </w:r>
      <w:r>
        <w:t xml:space="preserve">to each matching RE in parallel with timeouts.</w:t>
      </w:r>
    </w:p>
    <w:p>
      <w:pPr>
        <w:numPr>
          <w:ilvl w:val="0"/>
          <w:numId w:val="1034"/>
        </w:numPr>
        <w:pStyle w:val="Compact"/>
      </w:pPr>
      <w:r>
        <w:rPr>
          <w:bCs/>
          <w:b/>
        </w:rPr>
        <w:t xml:space="preserve">Matching mechanism</w:t>
      </w:r>
      <w:r>
        <w:t xml:space="preserve"> </w:t>
      </w:r>
      <w:r>
        <w:t xml:space="preserve">versioned and documented (CF para 7(2)); inputs restricted to the borrower’s request, RE rules and RE responses (Part 4.6).</w:t>
      </w:r>
    </w:p>
    <w:p>
      <w:pPr>
        <w:numPr>
          <w:ilvl w:val="0"/>
          <w:numId w:val="1034"/>
        </w:numPr>
        <w:pStyle w:val="Compact"/>
      </w:pPr>
      <w:r>
        <w:rPr>
          <w:bCs/>
          <w:b/>
        </w:rPr>
        <w:t xml:space="preserve">Unmatched lenders</w:t>
      </w:r>
      <w:r>
        <w:t xml:space="preserve"> </w:t>
      </w:r>
      <w:r>
        <w:t xml:space="preserve">recorded with a reason category for display (CF para 7(1)).</w:t>
      </w:r>
    </w:p>
    <w:p>
      <w:pPr>
        <w:numPr>
          <w:ilvl w:val="0"/>
          <w:numId w:val="1034"/>
        </w:numPr>
        <w:pStyle w:val="Compact"/>
      </w:pPr>
      <w:r>
        <w:rPr>
          <w:bCs/>
          <w:b/>
        </w:rPr>
        <w:t xml:space="preserve">Mandatory captures:</w:t>
      </w:r>
      <w:r>
        <w:t xml:space="preserve"> </w:t>
      </w:r>
      <w:r>
        <w:t xml:space="preserve">age, occupation, income (CF para 8(1)); household income for collateral-free loans (CF para 51).</w:t>
      </w:r>
    </w:p>
    <w:p>
      <w:pPr>
        <w:numPr>
          <w:ilvl w:val="0"/>
          <w:numId w:val="1034"/>
        </w:numPr>
        <w:pStyle w:val="Compact"/>
      </w:pPr>
      <w:r>
        <w:rPr>
          <w:bCs/>
          <w:b/>
        </w:rPr>
        <w:t xml:space="preserve">Submission</w:t>
      </w:r>
      <w:r>
        <w:t xml:space="preserve"> </w:t>
      </w:r>
      <w:r>
        <w:t xml:space="preserve">to the borrower’s chosen RE only (</w:t>
      </w:r>
      <w:r>
        <w:rPr>
          <w:rStyle w:val="VerbatimChar"/>
        </w:rPr>
        <w:t xml:space="preserve">ApplicationSubmitted</w:t>
      </w:r>
      <w:r>
        <w:t xml:space="preserve">), with consent references.</w:t>
      </w:r>
    </w:p>
    <w:p>
      <w:pPr>
        <w:numPr>
          <w:ilvl w:val="0"/>
          <w:numId w:val="1034"/>
        </w:numPr>
        <w:pStyle w:val="Compact"/>
      </w:pPr>
      <w:r>
        <w:rPr>
          <w:bCs/>
          <w:b/>
        </w:rPr>
        <w:t xml:space="preserve">Information requests</w:t>
      </w:r>
      <w:r>
        <w:t xml:space="preserve"> </w:t>
      </w:r>
      <w:r>
        <w:t xml:space="preserve">from the RE become tasks with reminders; the borrower uploads through the system picker after onboarding (Part 4.5).</w:t>
      </w:r>
    </w:p>
    <w:p>
      <w:pPr>
        <w:numPr>
          <w:ilvl w:val="0"/>
          <w:numId w:val="1034"/>
        </w:numPr>
        <w:pStyle w:val="Compact"/>
      </w:pPr>
      <w:r>
        <w:rPr>
          <w:bCs/>
          <w:b/>
        </w:rPr>
        <w:t xml:space="preserve">Ops portal:</w:t>
      </w:r>
      <w:r>
        <w:t xml:space="preserve"> </w:t>
      </w:r>
      <w:r>
        <w:t xml:space="preserve">exception queues (stuck states, connector failures, data mismatches); Udofin staff cannot change an RE decision.</w:t>
      </w:r>
    </w:p>
    <w:bookmarkEnd w:id="74"/>
    <w:bookmarkStart w:id="75" w:name="X2c678637e4727038d5a0bac7224f3dcca5de216"/>
    <w:p>
      <w:pPr>
        <w:pStyle w:val="Heading2"/>
      </w:pPr>
      <w:r>
        <w:t xml:space="preserve">U8. Offers, KFS, disclosures and cooling-off</w:t>
      </w:r>
    </w:p>
    <w:p>
      <w:pPr>
        <w:pStyle w:val="FirstParagraph"/>
      </w:pPr>
      <w:r>
        <w:t xml:space="preserve">Purpose: present offers and RE disclosures exactly as issued, prove the borrower saw them, and support the cooling-off exit.</w:t>
      </w:r>
    </w:p>
    <w:p>
      <w:pPr>
        <w:numPr>
          <w:ilvl w:val="0"/>
          <w:numId w:val="1035"/>
        </w:numPr>
        <w:pStyle w:val="Compact"/>
      </w:pPr>
      <w:r>
        <w:rPr>
          <w:bCs/>
          <w:b/>
        </w:rPr>
        <w:t xml:space="preserve">Offer view (</w:t>
      </w:r>
      <w:r>
        <w:rPr>
          <w:rStyle w:val="VerbatimChar"/>
          <w:bCs/>
          <w:b/>
        </w:rPr>
        <w:t xml:space="preserve">offer</w:t>
      </w:r>
      <w:r>
        <w:rPr>
          <w:bCs/>
          <w:b/>
        </w:rPr>
        <w:t xml:space="preserve">):</w:t>
      </w:r>
      <w:r>
        <w:t xml:space="preserve"> </w:t>
      </w:r>
      <w:r>
        <w:t xml:space="preserve">built to Part 4.6 (CF para 7); identical on app and web; the offer set, matching-mechanism version and ranking metric are stored with each view.</w:t>
      </w:r>
    </w:p>
    <w:p>
      <w:pPr>
        <w:numPr>
          <w:ilvl w:val="0"/>
          <w:numId w:val="1035"/>
        </w:numPr>
        <w:pStyle w:val="Compact"/>
      </w:pPr>
      <w:r>
        <w:rPr>
          <w:bCs/>
          <w:b/>
        </w:rPr>
        <w:t xml:space="preserve">Independent APR check:</w:t>
      </w:r>
      <w:r>
        <w:t xml:space="preserve"> </w:t>
      </w:r>
      <w:r>
        <w:t xml:space="preserve">recompute APR from the RE’s cash flows; a mismatch blocks display and raises an RE exception.</w:t>
      </w:r>
    </w:p>
    <w:p>
      <w:pPr>
        <w:numPr>
          <w:ilvl w:val="0"/>
          <w:numId w:val="1035"/>
        </w:numPr>
        <w:pStyle w:val="Compact"/>
      </w:pPr>
      <w:r>
        <w:rPr>
          <w:bCs/>
          <w:b/>
        </w:rPr>
        <w:t xml:space="preserve">KFS:</w:t>
      </w:r>
      <w:r>
        <w:t xml:space="preserve"> </w:t>
      </w:r>
      <w:r>
        <w:t xml:space="preserve">RE-issued, in the borrower’s language, with unique proposal number and validity period (RBC para 29(1)–(2)); explanation screens and an acknowledgement that the contents were explained and understood (para 29(1));</w:t>
      </w:r>
      <w:r>
        <w:t xml:space="preserve"> </w:t>
      </w:r>
      <w:r>
        <w:rPr>
          <w:rStyle w:val="VerbatimChar"/>
        </w:rPr>
        <w:t xml:space="preserve">kfs_view_event</w:t>
      </w:r>
      <w:r>
        <w:t xml:space="preserve"> </w:t>
      </w:r>
      <w:r>
        <w:t xml:space="preserve">records each view, scroll completion and time. Validity is not a waiting period; acceptance within validity binds the RE to the KFS terms (para 29(2) Explanation).</w:t>
      </w:r>
    </w:p>
    <w:p>
      <w:pPr>
        <w:numPr>
          <w:ilvl w:val="0"/>
          <w:numId w:val="1035"/>
        </w:numPr>
        <w:pStyle w:val="Compact"/>
      </w:pPr>
      <w:r>
        <w:rPr>
          <w:bCs/>
          <w:b/>
        </w:rPr>
        <w:t xml:space="preserve">Charges guard:</w:t>
      </w:r>
      <w:r>
        <w:t xml:space="preserve"> </w:t>
      </w:r>
      <w:r>
        <w:t xml:space="preserve">any charge not in the KFS is flagged if later seen in servicing data.</w:t>
      </w:r>
    </w:p>
    <w:p>
      <w:pPr>
        <w:numPr>
          <w:ilvl w:val="0"/>
          <w:numId w:val="1035"/>
        </w:numPr>
        <w:pStyle w:val="Compact"/>
      </w:pPr>
      <w:r>
        <w:rPr>
          <w:bCs/>
          <w:b/>
        </w:rPr>
        <w:t xml:space="preserve">Disclosures:</w:t>
      </w:r>
      <w:r>
        <w:t xml:space="preserve"> </w:t>
      </w:r>
      <w:r>
        <w:t xml:space="preserve">LSP disclosure, RE website link, GRO details (CF para 12(2)), privacy policies, cooling-off terms.</w:t>
      </w:r>
    </w:p>
    <w:p>
      <w:pPr>
        <w:numPr>
          <w:ilvl w:val="0"/>
          <w:numId w:val="1035"/>
        </w:numPr>
        <w:pStyle w:val="Compact"/>
      </w:pPr>
      <w:r>
        <w:rPr>
          <w:bCs/>
          <w:b/>
        </w:rPr>
        <w:t xml:space="preserve">Cooling-off:</w:t>
      </w:r>
      <w:r>
        <w:t xml:space="preserve"> </w:t>
      </w:r>
      <w:r>
        <w:t xml:space="preserve">period from the RE (≥ 1 day); exit button visible from disbursal until expiry;</w:t>
      </w:r>
      <w:r>
        <w:t xml:space="preserve"> </w:t>
      </w:r>
      <w:r>
        <w:rPr>
          <w:rStyle w:val="VerbatimChar"/>
        </w:rPr>
        <w:t xml:space="preserve">cooling_off_exit</w:t>
      </w:r>
      <w:r>
        <w:t xml:space="preserve"> </w:t>
      </w:r>
      <w:r>
        <w:t xml:space="preserve">request, RE payable amount (principal and proportionate APR, plus any disclosed processing fee; CF para 11) and payment to the RE’s account.</w:t>
      </w:r>
    </w:p>
    <w:bookmarkEnd w:id="75"/>
    <w:bookmarkStart w:id="76" w:name="u9.-documents-esign-estamp-and-dms"/>
    <w:p>
      <w:pPr>
        <w:pStyle w:val="Heading2"/>
      </w:pPr>
      <w:r>
        <w:t xml:space="preserve">U9. Documents, eSign, eStamp and DMS</w:t>
      </w:r>
    </w:p>
    <w:p>
      <w:pPr>
        <w:pStyle w:val="FirstParagraph"/>
      </w:pPr>
      <w:r>
        <w:t xml:space="preserve">Purpose: execute the RE’s documents with verifiable evidence and give the borrower access to them for the retention period agreed with the RE, and thereafter a route to the RE’s copy.</w:t>
      </w:r>
    </w:p>
    <w:p>
      <w:pPr>
        <w:numPr>
          <w:ilvl w:val="0"/>
          <w:numId w:val="1036"/>
        </w:numPr>
        <w:pStyle w:val="Compact"/>
      </w:pPr>
      <w:r>
        <w:rPr>
          <w:bCs/>
          <w:b/>
        </w:rPr>
        <w:t xml:space="preserve">Document set:</w:t>
      </w:r>
      <w:r>
        <w:t xml:space="preserve"> </w:t>
      </w:r>
      <w:r>
        <w:t xml:space="preserve">application form, KFS, sanction letter, loan agreement, MITC, guarantee agreement, mandate form, KYC documents, end-use undertakings; the CAM is the RE’s internal document and is shown to the borrower only if the RE chooses.</w:t>
      </w:r>
    </w:p>
    <w:p>
      <w:pPr>
        <w:numPr>
          <w:ilvl w:val="0"/>
          <w:numId w:val="1036"/>
        </w:numPr>
        <w:pStyle w:val="Compact"/>
      </w:pPr>
      <w:r>
        <w:rPr>
          <w:bCs/>
          <w:b/>
        </w:rPr>
        <w:t xml:space="preserve">eSign:</w:t>
      </w:r>
      <w:r>
        <w:t xml:space="preserve"> </w:t>
      </w:r>
      <w:r>
        <w:t xml:space="preserve">Aadhaar OTP eSign through a licensed ESP (on the RE’s or Udofin’s contract per agreement);</w:t>
      </w:r>
      <w:r>
        <w:t xml:space="preserve"> </w:t>
      </w:r>
      <w:r>
        <w:rPr>
          <w:rStyle w:val="VerbatimChar"/>
        </w:rPr>
        <w:t xml:space="preserve">esign_evidence</w:t>
      </w:r>
      <w:r>
        <w:t xml:space="preserve"> </w:t>
      </w:r>
      <w:r>
        <w:t xml:space="preserve">with ESP transaction ID, signer certificate, signed hash, timestamp, signer name match and IP.</w:t>
      </w:r>
      <w:r>
        <w:t xml:space="preserve"> </w:t>
      </w:r>
      <w:r>
        <w:rPr>
          <w:bCs/>
          <w:b/>
        </w:rPr>
        <w:t xml:space="preserve">A document is never marked signed because a workflow stage was reached.</w:t>
      </w:r>
    </w:p>
    <w:p>
      <w:pPr>
        <w:numPr>
          <w:ilvl w:val="0"/>
          <w:numId w:val="1036"/>
        </w:numPr>
        <w:pStyle w:val="Compact"/>
      </w:pPr>
      <w:r>
        <w:rPr>
          <w:bCs/>
          <w:b/>
        </w:rPr>
        <w:t xml:space="preserve">eStamp:</w:t>
      </w:r>
      <w:r>
        <w:t xml:space="preserve"> </w:t>
      </w:r>
      <w:r>
        <w:t xml:space="preserve">e-stamp certificate purchase through an authorised vendor for the state applicable to the agreement [VERIFY per state: Stamp Act, SHCIL or state portal, rates];</w:t>
      </w:r>
      <w:r>
        <w:t xml:space="preserve"> </w:t>
      </w:r>
      <w:r>
        <w:rPr>
          <w:rStyle w:val="VerbatimChar"/>
        </w:rPr>
        <w:t xml:space="preserve">estamp_certificate</w:t>
      </w:r>
      <w:r>
        <w:t xml:space="preserve"> </w:t>
      </w:r>
      <w:r>
        <w:t xml:space="preserve">with number, value, state, first and second party, and linkage to the document.</w:t>
      </w:r>
    </w:p>
    <w:p>
      <w:pPr>
        <w:numPr>
          <w:ilvl w:val="0"/>
          <w:numId w:val="1036"/>
        </w:numPr>
        <w:pStyle w:val="Compact"/>
      </w:pPr>
      <w:r>
        <w:rPr>
          <w:bCs/>
          <w:b/>
        </w:rPr>
        <w:t xml:space="preserve">Physical-execution hand-off</w:t>
      </w:r>
      <w:r>
        <w:t xml:space="preserve"> </w:t>
      </w:r>
      <w:r>
        <w:t xml:space="preserve">for documents excluded from electronic execution (IT Act First Schedule: for example promissory notes, powers of attorney, sale or conveyance of immovable property).</w:t>
      </w:r>
    </w:p>
    <w:p>
      <w:pPr>
        <w:numPr>
          <w:ilvl w:val="0"/>
          <w:numId w:val="1036"/>
        </w:numPr>
        <w:pStyle w:val="Compact"/>
      </w:pPr>
      <w:r>
        <w:rPr>
          <w:bCs/>
          <w:b/>
        </w:rPr>
        <w:t xml:space="preserve">Delivery:</w:t>
      </w:r>
      <w:r>
        <w:t xml:space="preserve"> </w:t>
      </w:r>
      <w:r>
        <w:t xml:space="preserve">digitally signed documents on the RE’s letterhead flow automatically to the borrower’s verified email or phone on execution (CF para 9(3)), sent by Udofin on the RE’s behalf where the agreement says so.</w:t>
      </w:r>
    </w:p>
    <w:p>
      <w:pPr>
        <w:numPr>
          <w:ilvl w:val="0"/>
          <w:numId w:val="1036"/>
        </w:numPr>
        <w:pStyle w:val="Compact"/>
      </w:pPr>
      <w:r>
        <w:rPr>
          <w:bCs/>
          <w:b/>
        </w:rPr>
        <w:t xml:space="preserve">DMS:</w:t>
      </w:r>
      <w:r>
        <w:t xml:space="preserve"> </w:t>
      </w:r>
      <w:r>
        <w:t xml:space="preserve">private, encrypted object storage in India; SHA-256 hashes; versions; verification status; short-lived signed URLs; watermarking; access logs; retention per U4; borrower</w:t>
      </w:r>
      <w:r>
        <w:t xml:space="preserve"> </w:t>
      </w:r>
      <w:r>
        <w:t xml:space="preserve">“</w:t>
      </w:r>
      <w:r>
        <w:t xml:space="preserve">My documents</w:t>
      </w:r>
      <w:r>
        <w:t xml:space="preserve">”</w:t>
      </w:r>
      <w:r>
        <w:t xml:space="preserve"> </w:t>
      </w:r>
      <w:r>
        <w:t xml:space="preserve">in app and web.</w:t>
      </w:r>
    </w:p>
    <w:p>
      <w:pPr>
        <w:numPr>
          <w:ilvl w:val="0"/>
          <w:numId w:val="1036"/>
        </w:numPr>
        <w:pStyle w:val="Compact"/>
      </w:pPr>
      <w:r>
        <w:rPr>
          <w:bCs/>
          <w:b/>
        </w:rPr>
        <w:t xml:space="preserve">v1.2:</w:t>
      </w:r>
      <w:r>
        <w:t xml:space="preserve"> </w:t>
      </w:r>
      <w:r>
        <w:t xml:space="preserve">the borrower-facing document catalogue, downloads, the full</w:t>
      </w:r>
      <w:r>
        <w:t xml:space="preserve"> </w:t>
      </w:r>
      <w:r>
        <w:t xml:space="preserve">“</w:t>
      </w:r>
      <w:r>
        <w:t xml:space="preserve">my data</w:t>
      </w:r>
      <w:r>
        <w:t xml:space="preserve">”</w:t>
      </w:r>
      <w:r>
        <w:t xml:space="preserve"> </w:t>
      </w:r>
      <w:r>
        <w:t xml:space="preserve">package, access after a lender exits and heirs’ requests are Part 7C UB1.</w:t>
      </w:r>
    </w:p>
    <w:bookmarkEnd w:id="76"/>
    <w:bookmarkStart w:id="77" w:name="X59e6f4ceffdd4c1e3a743c01079d9b26ba374ff"/>
    <w:p>
      <w:pPr>
        <w:pStyle w:val="Heading2"/>
      </w:pPr>
      <w:r>
        <w:t xml:space="preserve">U10. Disbursement orchestration (status only; no funds)</w:t>
      </w:r>
    </w:p>
    <w:p>
      <w:pPr>
        <w:pStyle w:val="FirstParagraph"/>
      </w:pPr>
      <w:r>
        <w:t xml:space="preserve">Purpose: show the borrower where their money is, without Udofin ever handling it.</w:t>
      </w:r>
    </w:p>
    <w:p>
      <w:pPr>
        <w:numPr>
          <w:ilvl w:val="0"/>
          <w:numId w:val="1037"/>
        </w:numPr>
        <w:pStyle w:val="Compact"/>
      </w:pPr>
      <w:r>
        <w:rPr>
          <w:bCs/>
          <w:b/>
        </w:rPr>
        <w:t xml:space="preserve">Pre-disbursal checklist display:</w:t>
      </w:r>
      <w:r>
        <w:t xml:space="preserve"> </w:t>
      </w:r>
      <w:r>
        <w:t xml:space="preserve">execution complete, mandate status, any end-beneficiary details captured with the borrower’s consent.</w:t>
      </w:r>
    </w:p>
    <w:p>
      <w:pPr>
        <w:numPr>
          <w:ilvl w:val="0"/>
          <w:numId w:val="1037"/>
        </w:numPr>
        <w:pStyle w:val="Compact"/>
      </w:pPr>
      <w:r>
        <w:rPr>
          <w:bCs/>
          <w:b/>
        </w:rPr>
        <w:t xml:space="preserve">Beneficiary capture:</w:t>
      </w:r>
      <w:r>
        <w:t xml:space="preserve"> </w:t>
      </w:r>
      <w:r>
        <w:t xml:space="preserve">borrower’s bank account with penny-drop name match through the RE’s or an approved provider; end-beneficiary details for permitted end-use products (CF para 10(1)).</w:t>
      </w:r>
    </w:p>
    <w:p>
      <w:pPr>
        <w:numPr>
          <w:ilvl w:val="0"/>
          <w:numId w:val="1037"/>
        </w:numPr>
        <w:pStyle w:val="Compact"/>
      </w:pPr>
      <w:r>
        <w:rPr>
          <w:bCs/>
          <w:b/>
        </w:rPr>
        <w:t xml:space="preserve">Status from the RE only:</w:t>
      </w:r>
      <w:r>
        <w:t xml:space="preserve"> </w:t>
      </w:r>
      <w:r>
        <w:rPr>
          <w:rStyle w:val="VerbatimChar"/>
        </w:rPr>
        <w:t xml:space="preserve">LoanDisbursed</w:t>
      </w:r>
      <w:r>
        <w:t xml:space="preserve"> </w:t>
      </w:r>
      <w:r>
        <w:t xml:space="preserve">(UTR, amount, date) or</w:t>
      </w:r>
      <w:r>
        <w:t xml:space="preserve"> </w:t>
      </w:r>
      <w:r>
        <w:rPr>
          <w:rStyle w:val="VerbatimChar"/>
        </w:rPr>
        <w:t xml:space="preserve">DisbursementFailed</w:t>
      </w:r>
      <w:r>
        <w:t xml:space="preserve">; no</w:t>
      </w:r>
      <w:r>
        <w:t xml:space="preserve"> </w:t>
      </w:r>
      <w:r>
        <w:t xml:space="preserve">“</w:t>
      </w:r>
      <w:r>
        <w:t xml:space="preserve">disbursed</w:t>
      </w:r>
      <w:r>
        <w:t xml:space="preserve">”</w:t>
      </w:r>
      <w:r>
        <w:t xml:space="preserve"> </w:t>
      </w:r>
      <w:r>
        <w:t xml:space="preserve">state otherwise.</w:t>
      </w:r>
    </w:p>
    <w:p>
      <w:pPr>
        <w:numPr>
          <w:ilvl w:val="0"/>
          <w:numId w:val="1037"/>
        </w:numPr>
        <w:pStyle w:val="Compact"/>
      </w:pPr>
      <w:r>
        <w:rPr>
          <w:bCs/>
          <w:b/>
        </w:rPr>
        <w:t xml:space="preserve">Interest transparency:</w:t>
      </w:r>
      <w:r>
        <w:t xml:space="preserve"> </w:t>
      </w:r>
      <w:r>
        <w:t xml:space="preserve">show that interest runs from the actual disbursal date and EMIs on the disbursed amount, and any revised schedule after part-disbursement (MSD para 7).</w:t>
      </w:r>
    </w:p>
    <w:p>
      <w:pPr>
        <w:numPr>
          <w:ilvl w:val="0"/>
          <w:numId w:val="1037"/>
        </w:numPr>
        <w:pStyle w:val="Compact"/>
      </w:pPr>
      <w:r>
        <w:rPr>
          <w:bCs/>
          <w:b/>
        </w:rPr>
        <w:t xml:space="preserve">Guard:</w:t>
      </w:r>
      <w:r>
        <w:t xml:space="preserve"> </w:t>
      </w:r>
      <w:r>
        <w:t xml:space="preserve">configuration validator blocks any Udofin-controlled account as beneficiary.</w:t>
      </w:r>
    </w:p>
    <w:bookmarkEnd w:id="77"/>
    <w:bookmarkStart w:id="78" w:name="X0acd31516181cba648d742f0997b4ca6b0c8bc3"/>
    <w:p>
      <w:pPr>
        <w:pStyle w:val="Heading2"/>
      </w:pPr>
      <w:r>
        <w:t xml:space="preserve">U11. Repayments, mandates, payments and reconciliation</w:t>
      </w:r>
    </w:p>
    <w:p>
      <w:pPr>
        <w:pStyle w:val="FirstParagraph"/>
      </w:pPr>
      <w:r>
        <w:t xml:space="preserve">Purpose: let borrowers pay the RE easily and prove every payment reached the RE.</w:t>
      </w:r>
    </w:p>
    <w:p>
      <w:pPr>
        <w:numPr>
          <w:ilvl w:val="0"/>
          <w:numId w:val="1038"/>
        </w:numPr>
        <w:pStyle w:val="Compact"/>
      </w:pPr>
      <w:r>
        <w:rPr>
          <w:bCs/>
          <w:b/>
        </w:rPr>
        <w:t xml:space="preserve">Mandates (</w:t>
      </w:r>
      <w:r>
        <w:rPr>
          <w:rStyle w:val="VerbatimChar"/>
          <w:bCs/>
          <w:b/>
        </w:rPr>
        <w:t xml:space="preserve">mandate</w:t>
      </w:r>
      <w:r>
        <w:rPr>
          <w:bCs/>
          <w:b/>
        </w:rPr>
        <w:t xml:space="preserve">):</w:t>
      </w:r>
      <w:r>
        <w:t xml:space="preserve"> </w:t>
      </w:r>
      <w:r>
        <w:t xml:space="preserve">eNACH (net banking, debit card, Aadhaar) and UPI AutoPay in favour of the RE, on the RE’s sponsor bank and utility code; lifecycle: registration, amendment, suspension, revocation, expiry; UMRN capture;</w:t>
      </w:r>
      <w:r>
        <w:t xml:space="preserve"> </w:t>
      </w:r>
      <w:r>
        <w:rPr>
          <w:rStyle w:val="VerbatimChar"/>
        </w:rPr>
        <w:t xml:space="preserve">MandateRegistered</w:t>
      </w:r>
      <w:r>
        <w:t xml:space="preserve">.</w:t>
      </w:r>
    </w:p>
    <w:p>
      <w:pPr>
        <w:numPr>
          <w:ilvl w:val="0"/>
          <w:numId w:val="1038"/>
        </w:numPr>
        <w:pStyle w:val="Compact"/>
      </w:pPr>
      <w:r>
        <w:rPr>
          <w:bCs/>
          <w:b/>
        </w:rPr>
        <w:t xml:space="preserve">Payments (</w:t>
      </w:r>
      <w:r>
        <w:rPr>
          <w:rStyle w:val="VerbatimChar"/>
          <w:bCs/>
          <w:b/>
        </w:rPr>
        <w:t xml:space="preserve">payment_intent</w:t>
      </w:r>
      <w:r>
        <w:rPr>
          <w:bCs/>
          <w:b/>
        </w:rPr>
        <w:t xml:space="preserve">):</w:t>
      </w:r>
      <w:r>
        <w:t xml:space="preserve"> </w:t>
      </w:r>
      <w:r>
        <w:t xml:space="preserve">UPI intent, QR, collect, payment links and cards through the RE’s merchant account (Part 4.3); BBPS where the RE is a biller [VERIFY].</w:t>
      </w:r>
    </w:p>
    <w:p>
      <w:pPr>
        <w:numPr>
          <w:ilvl w:val="0"/>
          <w:numId w:val="1038"/>
        </w:numPr>
        <w:pStyle w:val="Compact"/>
      </w:pPr>
      <w:r>
        <w:rPr>
          <w:bCs/>
          <w:b/>
        </w:rPr>
        <w:t xml:space="preserve">Status:</w:t>
      </w:r>
      <w:r>
        <w:t xml:space="preserve"> </w:t>
      </w:r>
      <w:r>
        <w:t xml:space="preserve">never treat a gateway</w:t>
      </w:r>
      <w:r>
        <w:t xml:space="preserve"> </w:t>
      </w:r>
      <w:r>
        <w:t xml:space="preserve">“</w:t>
      </w:r>
      <w:r>
        <w:t xml:space="preserve">success</w:t>
      </w:r>
      <w:r>
        <w:t xml:space="preserve">”</w:t>
      </w:r>
      <w:r>
        <w:t xml:space="preserve"> </w:t>
      </w:r>
      <w:r>
        <w:t xml:space="preserve">as final; await settlement confirmation or the RE’s</w:t>
      </w:r>
      <w:r>
        <w:t xml:space="preserve"> </w:t>
      </w:r>
      <w:r>
        <w:rPr>
          <w:rStyle w:val="VerbatimChar"/>
        </w:rPr>
        <w:t xml:space="preserve">PaymentReceived</w:t>
      </w:r>
      <w:r>
        <w:t xml:space="preserve">; handle</w:t>
      </w:r>
      <w:r>
        <w:t xml:space="preserve"> </w:t>
      </w:r>
      <w:r>
        <w:rPr>
          <w:rStyle w:val="VerbatimChar"/>
        </w:rPr>
        <w:t xml:space="preserve">PaymentBounced</w:t>
      </w:r>
      <w:r>
        <w:t xml:space="preserve"> </w:t>
      </w:r>
      <w:r>
        <w:t xml:space="preserve">with the RE’s charges and messages.</w:t>
      </w:r>
    </w:p>
    <w:p>
      <w:pPr>
        <w:numPr>
          <w:ilvl w:val="0"/>
          <w:numId w:val="1038"/>
        </w:numPr>
        <w:pStyle w:val="Compact"/>
      </w:pPr>
      <w:r>
        <w:rPr>
          <w:bCs/>
          <w:b/>
        </w:rPr>
        <w:t xml:space="preserve">Failed and duplicate payments:</w:t>
      </w:r>
      <w:r>
        <w:t xml:space="preserve"> </w:t>
      </w:r>
      <w:r>
        <w:t xml:space="preserve">duplicate-payment prevention by idempotency keys; refund requests routed to the RE.</w:t>
      </w:r>
    </w:p>
    <w:p>
      <w:pPr>
        <w:numPr>
          <w:ilvl w:val="0"/>
          <w:numId w:val="1038"/>
        </w:numPr>
        <w:pStyle w:val="Compact"/>
      </w:pPr>
      <w:r>
        <w:rPr>
          <w:bCs/>
          <w:b/>
        </w:rPr>
        <w:t xml:space="preserve">Receipts:</w:t>
      </w:r>
      <w:r>
        <w:t xml:space="preserve"> </w:t>
      </w:r>
      <w:r>
        <w:t xml:space="preserve">the RE’s receipt shown in the app; Udofin’s acknowledgement is labelled</w:t>
      </w:r>
      <w:r>
        <w:t xml:space="preserve"> </w:t>
      </w:r>
      <w:r>
        <w:t xml:space="preserve">“</w:t>
      </w:r>
      <w:r>
        <w:t xml:space="preserve">payment initiated</w:t>
      </w:r>
      <w:r>
        <w:t xml:space="preserve">”</w:t>
      </w:r>
      <w:r>
        <w:t xml:space="preserve">, never</w:t>
      </w:r>
      <w:r>
        <w:t xml:space="preserve"> </w:t>
      </w:r>
      <w:r>
        <w:t xml:space="preserve">“</w:t>
      </w:r>
      <w:r>
        <w:t xml:space="preserve">receipt</w:t>
      </w:r>
      <w:r>
        <w:t xml:space="preserve">”</w:t>
      </w:r>
      <w:r>
        <w:t xml:space="preserve">.</w:t>
      </w:r>
    </w:p>
    <w:p>
      <w:pPr>
        <w:numPr>
          <w:ilvl w:val="0"/>
          <w:numId w:val="1038"/>
        </w:numPr>
        <w:pStyle w:val="Compact"/>
      </w:pPr>
      <w:r>
        <w:rPr>
          <w:bCs/>
          <w:b/>
        </w:rPr>
        <w:t xml:space="preserve">Reconciliation:</w:t>
      </w:r>
      <w:r>
        <w:t xml:space="preserve"> </w:t>
      </w:r>
      <w:r>
        <w:t xml:space="preserve">gateway reports ↔ RE events ↔ mirror; break queue in the ops portal.</w:t>
      </w:r>
    </w:p>
    <w:p>
      <w:pPr>
        <w:numPr>
          <w:ilvl w:val="0"/>
          <w:numId w:val="1038"/>
        </w:numPr>
        <w:pStyle w:val="Compact"/>
      </w:pPr>
      <w:r>
        <w:rPr>
          <w:bCs/>
          <w:b/>
        </w:rPr>
        <w:t xml:space="preserve">Payment security:</w:t>
      </w:r>
      <w:r>
        <w:t xml:space="preserve"> </w:t>
      </w:r>
      <w:r>
        <w:t xml:space="preserve">step-up authentication, fraud flags to U24, and an in-app</w:t>
      </w:r>
      <w:r>
        <w:t xml:space="preserve"> </w:t>
      </w:r>
      <w:r>
        <w:t xml:space="preserve">“</w:t>
      </w:r>
      <w:r>
        <w:t xml:space="preserve">report as fraud</w:t>
      </w:r>
      <w:r>
        <w:t xml:space="preserve">”</w:t>
      </w:r>
      <w:r>
        <w:t xml:space="preserve"> </w:t>
      </w:r>
      <w:r>
        <w:t xml:space="preserve">option (DPS para 66 baseline).</w:t>
      </w:r>
    </w:p>
    <w:bookmarkEnd w:id="78"/>
    <w:bookmarkStart w:id="79" w:name="u12.-loan-mirror-and-borrower-servicing"/>
    <w:p>
      <w:pPr>
        <w:pStyle w:val="Heading2"/>
      </w:pPr>
      <w:r>
        <w:t xml:space="preserve">U12. Loan mirror and borrower servicing</w:t>
      </w:r>
    </w:p>
    <w:p>
      <w:pPr>
        <w:pStyle w:val="FirstParagraph"/>
      </w:pPr>
      <w:r>
        <w:t xml:space="preserve">Purpose: give the borrower a clear servicing view built only from the RE’s data.</w:t>
      </w:r>
    </w:p>
    <w:p>
      <w:pPr>
        <w:numPr>
          <w:ilvl w:val="0"/>
          <w:numId w:val="1039"/>
        </w:numPr>
        <w:pStyle w:val="Compact"/>
      </w:pPr>
      <w:r>
        <w:rPr>
          <w:bCs/>
          <w:b/>
        </w:rPr>
        <w:t xml:space="preserve">Loan mirror (</w:t>
      </w:r>
      <w:r>
        <w:rPr>
          <w:rStyle w:val="VerbatimChar"/>
          <w:bCs/>
          <w:b/>
        </w:rPr>
        <w:t xml:space="preserve">loan_mirror</w:t>
      </w:r>
      <w:r>
        <w:rPr>
          <w:bCs/>
          <w:b/>
        </w:rPr>
        <w:t xml:space="preserve">):</w:t>
      </w:r>
      <w:r>
        <w:t xml:space="preserve"> </w:t>
      </w:r>
      <w:r>
        <w:t xml:space="preserve">read model from RE events (schedule, dues, payments, DPD, charges, closure, NOC), versioned by event sequence; labelled with</w:t>
      </w:r>
      <w:r>
        <w:t xml:space="preserve"> </w:t>
      </w:r>
      <w:r>
        <w:t xml:space="preserve">“</w:t>
      </w:r>
      <w:r>
        <w:t xml:space="preserve">as at</w:t>
      </w:r>
      <w:r>
        <w:t xml:space="preserve">”</w:t>
      </w:r>
      <w:r>
        <w:t xml:space="preserve"> </w:t>
      </w:r>
      <w:r>
        <w:t xml:space="preserve">time and the RE’s name.</w:t>
      </w:r>
    </w:p>
    <w:p>
      <w:pPr>
        <w:numPr>
          <w:ilvl w:val="0"/>
          <w:numId w:val="1039"/>
        </w:numPr>
        <w:pStyle w:val="Compact"/>
      </w:pPr>
      <w:r>
        <w:rPr>
          <w:bCs/>
          <w:b/>
        </w:rPr>
        <w:t xml:space="preserve">Servicing requests</w:t>
      </w:r>
      <w:r>
        <w:t xml:space="preserve"> </w:t>
      </w:r>
      <w:r>
        <w:t xml:space="preserve">routed to the RE: statement of account, schedule, interest certificate, foreclosure quote, part-prepayment, NOC, document release, contact change, mandate change.</w:t>
      </w:r>
    </w:p>
    <w:p>
      <w:pPr>
        <w:numPr>
          <w:ilvl w:val="0"/>
          <w:numId w:val="1039"/>
        </w:numPr>
        <w:pStyle w:val="Compact"/>
      </w:pPr>
      <w:r>
        <w:rPr>
          <w:bCs/>
          <w:b/>
        </w:rPr>
        <w:t xml:space="preserve">Prepayment:</w:t>
      </w:r>
      <w:r>
        <w:t xml:space="preserve"> </w:t>
      </w:r>
      <w:r>
        <w:t xml:space="preserve">show the RE’s quote; no prepayment charge displayed where the RE’s rules prohibit it (RBC paras 33–34, 81 via the RE’s rule pack).</w:t>
      </w:r>
    </w:p>
    <w:p>
      <w:pPr>
        <w:numPr>
          <w:ilvl w:val="0"/>
          <w:numId w:val="1039"/>
        </w:numPr>
        <w:pStyle w:val="Compact"/>
      </w:pPr>
      <w:r>
        <w:rPr>
          <w:bCs/>
          <w:b/>
        </w:rPr>
        <w:t xml:space="preserve">Reminders:</w:t>
      </w:r>
      <w:r>
        <w:t xml:space="preserve"> </w:t>
      </w:r>
      <w:r>
        <w:t xml:space="preserve">RE-approved reminders including the applicable penal charge (RBC para 30).</w:t>
      </w:r>
    </w:p>
    <w:p>
      <w:pPr>
        <w:numPr>
          <w:ilvl w:val="0"/>
          <w:numId w:val="1039"/>
        </w:numPr>
        <w:pStyle w:val="Compact"/>
      </w:pPr>
      <w:r>
        <w:rPr>
          <w:bCs/>
          <w:b/>
        </w:rPr>
        <w:t xml:space="preserve">Closure:</w:t>
      </w:r>
      <w:r>
        <w:t xml:space="preserve"> </w:t>
      </w:r>
      <w:r>
        <w:t xml:space="preserve">NOC display; document-release tracking with the 30-day timeline (RBC para 35).</w:t>
      </w:r>
    </w:p>
    <w:p>
      <w:pPr>
        <w:numPr>
          <w:ilvl w:val="0"/>
          <w:numId w:val="1039"/>
        </w:numPr>
        <w:pStyle w:val="Compact"/>
      </w:pPr>
      <w:r>
        <w:rPr>
          <w:bCs/>
          <w:b/>
        </w:rPr>
        <w:t xml:space="preserve">Quarterly statements</w:t>
      </w:r>
      <w:r>
        <w:t xml:space="preserve"> </w:t>
      </w:r>
      <w:r>
        <w:t xml:space="preserve">for floating-rate equated-instalment personal loans where the RE provides them (RBC paras 31(6), 32).</w:t>
      </w:r>
    </w:p>
    <w:p>
      <w:pPr>
        <w:numPr>
          <w:ilvl w:val="0"/>
          <w:numId w:val="1039"/>
        </w:numPr>
        <w:pStyle w:val="Compact"/>
      </w:pPr>
      <w:r>
        <w:rPr>
          <w:bCs/>
          <w:b/>
        </w:rPr>
        <w:t xml:space="preserve">v1.2:</w:t>
      </w:r>
      <w:r>
        <w:t xml:space="preserve"> </w:t>
      </w:r>
      <w:r>
        <w:t xml:space="preserve">statements, interest certificates, NOC and other lender-issued documents are catalogued and downloadable in Part 7C UB1; tax documents under the Income-tax Act, 2025 (and 1961-Act documents for FY 2025-26) and business-borrower TDS and GST details are UB2.</w:t>
      </w:r>
    </w:p>
    <w:bookmarkEnd w:id="79"/>
    <w:bookmarkStart w:id="80" w:name="u13.-collections-and-recovery-support"/>
    <w:p>
      <w:pPr>
        <w:pStyle w:val="Heading2"/>
      </w:pPr>
      <w:r>
        <w:t xml:space="preserve">U13. Collections and recovery support</w:t>
      </w:r>
    </w:p>
    <w:p>
      <w:pPr>
        <w:pStyle w:val="FirstParagraph"/>
      </w:pPr>
      <w:r>
        <w:t xml:space="preserve">Purpose: support RE-approved reminders for every loan, and full recovery work only where Udofin is the appointed recovery agent.</w:t>
      </w:r>
    </w:p>
    <w:p>
      <w:pPr>
        <w:numPr>
          <w:ilvl w:val="0"/>
          <w:numId w:val="1040"/>
        </w:numPr>
        <w:pStyle w:val="Compact"/>
      </w:pPr>
      <w:r>
        <w:rPr>
          <w:bCs/>
          <w:b/>
        </w:rPr>
        <w:t xml:space="preserve">Without a recovery contract:</w:t>
      </w:r>
      <w:r>
        <w:t xml:space="preserve"> </w:t>
      </w:r>
      <w:r>
        <w:t xml:space="preserve">pre-due and overdue reminders and payment links only, with RE-approved content.</w:t>
      </w:r>
    </w:p>
    <w:p>
      <w:pPr>
        <w:numPr>
          <w:ilvl w:val="0"/>
          <w:numId w:val="1040"/>
        </w:numPr>
        <w:pStyle w:val="Compact"/>
      </w:pPr>
      <w:r>
        <w:rPr>
          <w:bCs/>
          <w:b/>
        </w:rPr>
        <w:t xml:space="preserve">With a recovery contract (gate in U1):</w:t>
      </w:r>
      <w:r>
        <w:t xml:space="preserve"> </w:t>
      </w:r>
      <w:r>
        <w:rPr>
          <w:rStyle w:val="VerbatimChar"/>
        </w:rPr>
        <w:t xml:space="preserve">collection_allocation</w:t>
      </w:r>
      <w:r>
        <w:t xml:space="preserve"> </w:t>
      </w:r>
      <w:r>
        <w:t xml:space="preserve">from</w:t>
      </w:r>
      <w:r>
        <w:t xml:space="preserve"> </w:t>
      </w:r>
      <w:r>
        <w:rPr>
          <w:rStyle w:val="VerbatimChar"/>
        </w:rPr>
        <w:t xml:space="preserve">CollectionAllocated</w:t>
      </w:r>
      <w:r>
        <w:t xml:space="preserve">; agent particulars sent to the borrower before first contact on every allocation or change (CF para 9(6)); notice and authorisation letter with the agent (RBC paras 95–96); agents trained and bound by the code of conduct (RBC paras 98–99); antecedent and police verification (RBC para 94). Paras 93–97 sit in the microfinance section of RBC; apply them to every product by policy (Part 8A.6).</w:t>
      </w:r>
    </w:p>
    <w:p>
      <w:pPr>
        <w:numPr>
          <w:ilvl w:val="0"/>
          <w:numId w:val="1040"/>
        </w:numPr>
        <w:pStyle w:val="Compact"/>
      </w:pPr>
      <w:r>
        <w:rPr>
          <w:bCs/>
          <w:b/>
        </w:rPr>
        <w:t xml:space="preserve">Contact-policy engine:</w:t>
      </w:r>
      <w:r>
        <w:t xml:space="preserve"> </w:t>
      </w:r>
      <w:r>
        <w:t xml:space="preserve">effective-dated rule pack per RE; recovery contact only between 08:00 and 19:00 and no intimidation or harassment (RBC para 100); the RBC Third Amendment Directions, 2026 (RBI/2026-27/230, 6 Aug 2026) replace paras 89–100 with Section J, paras 100A–100AB, from 1 Jan 2027, adding IIBF DRA certification of agents (para 100I), agency details at least 1 day before the first visit (100L), call logging and recording with disclosure kept at least 6 months or until disposal if sub judice (100P) and the grievance-officer block on every recovery communication (100AA); build both rule packs effective-dated (Part 7A.0.4) [VERIFY: official text not supplied in docs/regulations/rbi/]; separate microfinance windows per the RE’s rule pack.</w:t>
      </w:r>
    </w:p>
    <w:p>
      <w:pPr>
        <w:numPr>
          <w:ilvl w:val="0"/>
          <w:numId w:val="1040"/>
        </w:numPr>
        <w:pStyle w:val="Compact"/>
      </w:pPr>
      <w:r>
        <w:rPr>
          <w:bCs/>
          <w:b/>
        </w:rPr>
        <w:t xml:space="preserve">Recovery agents (</w:t>
      </w:r>
      <w:r>
        <w:rPr>
          <w:rStyle w:val="VerbatimChar"/>
          <w:bCs/>
          <w:b/>
        </w:rPr>
        <w:t xml:space="preserve">recovery_agent</w:t>
      </w:r>
      <w:r>
        <w:rPr>
          <w:bCs/>
          <w:b/>
        </w:rPr>
        <w:t xml:space="preserve">):</w:t>
      </w:r>
      <w:r>
        <w:t xml:space="preserve"> </w:t>
      </w:r>
      <w:r>
        <w:t xml:space="preserve">identity, verification, certification, authorisation per RE, active status.</w:t>
      </w:r>
    </w:p>
    <w:p>
      <w:pPr>
        <w:numPr>
          <w:ilvl w:val="0"/>
          <w:numId w:val="1040"/>
        </w:numPr>
        <w:pStyle w:val="Compact"/>
      </w:pPr>
      <w:r>
        <w:rPr>
          <w:bCs/>
          <w:b/>
        </w:rPr>
        <w:t xml:space="preserve">Cash:</w:t>
      </w:r>
      <w:r>
        <w:t xml:space="preserve"> </w:t>
      </w:r>
      <w:r>
        <w:t xml:space="preserve">digital receipts; cash only where the contract allows, reflected in full in the borrower’s account the same day; no fee from proceeds (CF para 10(5)).</w:t>
      </w:r>
    </w:p>
    <w:p>
      <w:pPr>
        <w:numPr>
          <w:ilvl w:val="0"/>
          <w:numId w:val="1040"/>
        </w:numPr>
        <w:pStyle w:val="Compact"/>
      </w:pPr>
      <w:r>
        <w:rPr>
          <w:bCs/>
          <w:b/>
        </w:rPr>
        <w:t xml:space="preserve">Logging:</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FieldVisitLogged</w:t>
      </w:r>
      <w:r>
        <w:t xml:space="preserve">,</w:t>
      </w:r>
      <w:r>
        <w:t xml:space="preserve"> </w:t>
      </w:r>
      <w:r>
        <w:rPr>
          <w:rStyle w:val="VerbatimChar"/>
        </w:rPr>
        <w:t xml:space="preserve">ReceiptIssued</w:t>
      </w:r>
      <w:r>
        <w:t xml:space="preserve">; call recordings in India.</w:t>
      </w:r>
    </w:p>
    <w:p>
      <w:pPr>
        <w:numPr>
          <w:ilvl w:val="0"/>
          <w:numId w:val="1040"/>
        </w:numPr>
        <w:pStyle w:val="Compact"/>
      </w:pPr>
      <w:r>
        <w:rPr>
          <w:bCs/>
          <w:b/>
        </w:rPr>
        <w:t xml:space="preserve">AI</w:t>
      </w:r>
      <w:r>
        <w:t xml:space="preserve"> </w:t>
      </w:r>
      <w:r>
        <w:t xml:space="preserve">may draft reminders within approved templates; it never threatens, never misrepresents and never agrees a settlement.</w:t>
      </w:r>
    </w:p>
    <w:p>
      <w:pPr>
        <w:numPr>
          <w:ilvl w:val="0"/>
          <w:numId w:val="1040"/>
        </w:numPr>
        <w:pStyle w:val="Compact"/>
      </w:pPr>
      <w:r>
        <w:rPr>
          <w:bCs/>
          <w:b/>
        </w:rPr>
        <w:t xml:space="preserve">v1.1:</w:t>
      </w:r>
      <w:r>
        <w:t xml:space="preserve"> </w:t>
      </w:r>
      <w:r>
        <w:t xml:space="preserve">the overdue, settlement and payment centre, ADR access, notices and case visibility, recovery-agent operations, data feeds and conduct controls are specified in</w:t>
      </w:r>
      <w:r>
        <w:t xml:space="preserve"> </w:t>
      </w:r>
      <w:r>
        <w:rPr>
          <w:bCs/>
          <w:b/>
        </w:rPr>
        <w:t xml:space="preserve">Part 7A</w:t>
      </w:r>
      <w:r>
        <w:t xml:space="preserve"> </w:t>
      </w:r>
      <w:r>
        <w:t xml:space="preserve">(UR1–UR6), attachable per RE and product. Where Part 7A and this module differ, Part 7A prevails.</w:t>
      </w:r>
    </w:p>
    <w:p>
      <w:pPr>
        <w:numPr>
          <w:ilvl w:val="0"/>
          <w:numId w:val="1040"/>
        </w:numPr>
        <w:pStyle w:val="Compact"/>
      </w:pPr>
      <w:r>
        <w:rPr>
          <w:bCs/>
          <w:b/>
        </w:rPr>
        <w:t xml:space="preserve">v1.2:</w:t>
      </w:r>
      <w:r>
        <w:t xml:space="preserve"> </w:t>
      </w:r>
      <w:r>
        <w:t xml:space="preserve">number-series routing (the RE’s 1600-series numbers for service and recovery calls; 140-series for promotions), AI-agent disclosure and recording rules are Part 7H RA5; field and group collection records for microfinance and co-operative loans are Part 7E MG4.</w:t>
      </w:r>
    </w:p>
    <w:bookmarkEnd w:id="80"/>
    <w:bookmarkStart w:id="81" w:name="u14.-dlg-management"/>
    <w:p>
      <w:pPr>
        <w:pStyle w:val="Heading2"/>
      </w:pPr>
      <w:r>
        <w:t xml:space="preserve">U14. DLG management</w:t>
      </w:r>
    </w:p>
    <w:p>
      <w:pPr>
        <w:pStyle w:val="FirstParagraph"/>
      </w:pPr>
      <w:r>
        <w:t xml:space="preserve">Purpose: manage Udofin’s obligations as a DLG provider, independent of collections.</w:t>
      </w:r>
    </w:p>
    <w:p>
      <w:pPr>
        <w:numPr>
          <w:ilvl w:val="0"/>
          <w:numId w:val="1041"/>
        </w:numPr>
        <w:pStyle w:val="Compact"/>
      </w:pPr>
      <w:r>
        <w:rPr>
          <w:bCs/>
          <w:b/>
        </w:rPr>
        <w:t xml:space="preserve">Arrangement (</w:t>
      </w:r>
      <w:r>
        <w:rPr>
          <w:rStyle w:val="VerbatimChar"/>
          <w:bCs/>
          <w:b/>
        </w:rPr>
        <w:t xml:space="preserve">dlg_arrangement</w:t>
      </w:r>
      <w:r>
        <w:rPr>
          <w:bCs/>
          <w:b/>
        </w:rPr>
        <w:t xml:space="preserve">):</w:t>
      </w:r>
      <w:r>
        <w:t xml:space="preserve"> </w:t>
      </w:r>
      <w:r>
        <w:t xml:space="preserve">RE, contract, form (cash with the RE, FD with a Scheduled Commercial Bank with lien, or bank guarantee; CF para 23), extent, invocation timeline, disclosure clause (para 22), term not shorter than the longest loan tenor in the set (para 27(2)).</w:t>
      </w:r>
    </w:p>
    <w:p>
      <w:pPr>
        <w:numPr>
          <w:ilvl w:val="0"/>
          <w:numId w:val="1041"/>
        </w:numPr>
        <w:pStyle w:val="Compact"/>
      </w:pPr>
      <w:r>
        <w:rPr>
          <w:bCs/>
          <w:b/>
        </w:rPr>
        <w:t xml:space="preserve">DLG set (</w:t>
      </w:r>
      <w:r>
        <w:rPr>
          <w:rStyle w:val="VerbatimChar"/>
          <w:bCs/>
          <w:b/>
        </w:rPr>
        <w:t xml:space="preserve">dlg_set</w:t>
      </w:r>
      <w:r>
        <w:rPr>
          <w:bCs/>
          <w:b/>
        </w:rPr>
        <w:t xml:space="preserve">):</w:t>
      </w:r>
      <w:r>
        <w:t xml:space="preserve"> </w:t>
      </w:r>
      <w:r>
        <w:t xml:space="preserve">fixed list of sanctioned loans; loans leave only by repayment or write-off; cover activates pro rata on disbursal; cap ≤ 5% of amount disbursed (para 24); headroom calculator; block loans under trust-fund credit-guarantee schemes (para 21(1)).</w:t>
      </w:r>
    </w:p>
    <w:p>
      <w:pPr>
        <w:numPr>
          <w:ilvl w:val="0"/>
          <w:numId w:val="1041"/>
        </w:numPr>
        <w:pStyle w:val="Compact"/>
      </w:pPr>
      <w:r>
        <w:rPr>
          <w:bCs/>
          <w:b/>
        </w:rPr>
        <w:t xml:space="preserve">Provider declaration:</w:t>
      </w:r>
      <w:r>
        <w:t xml:space="preserve"> </w:t>
      </w:r>
      <w:r>
        <w:t xml:space="preserve">statutory-auditor-certified declaration of aggregate DLG outstanding, number of lenders, number of portfolios and past default rates on similar portfolios, on every entry or renewal (para 20(3)).</w:t>
      </w:r>
    </w:p>
    <w:p>
      <w:pPr>
        <w:numPr>
          <w:ilvl w:val="0"/>
          <w:numId w:val="1041"/>
        </w:numPr>
        <w:pStyle w:val="Compact"/>
      </w:pPr>
      <w:r>
        <w:rPr>
          <w:bCs/>
          <w:b/>
        </w:rPr>
        <w:t xml:space="preserve">Invocation (</w:t>
      </w:r>
      <w:r>
        <w:rPr>
          <w:rStyle w:val="VerbatimChar"/>
          <w:bCs/>
          <w:b/>
        </w:rPr>
        <w:t xml:space="preserve">dlg_invocation</w:t>
      </w:r>
      <w:r>
        <w:rPr>
          <w:bCs/>
          <w:b/>
        </w:rPr>
        <w:t xml:space="preserve">):</w:t>
      </w:r>
      <w:r>
        <w:t xml:space="preserve"> </w:t>
      </w:r>
      <w:r>
        <w:t xml:space="preserve">received from the RE within 120 days overdue (para 27(1)); validation against the set and cap; settlement; never reinstated (para 25(4)); recovery sharing per contract (para 25(3)).</w:t>
      </w:r>
    </w:p>
    <w:p>
      <w:pPr>
        <w:numPr>
          <w:ilvl w:val="0"/>
          <w:numId w:val="1041"/>
        </w:numPr>
        <w:pStyle w:val="Compact"/>
      </w:pPr>
      <w:r>
        <w:rPr>
          <w:bCs/>
          <w:b/>
        </w:rPr>
        <w:t xml:space="preserve">Monthly disclosure (</w:t>
      </w:r>
      <w:r>
        <w:rPr>
          <w:rStyle w:val="VerbatimChar"/>
          <w:bCs/>
          <w:b/>
        </w:rPr>
        <w:t xml:space="preserve">dlg_disclosure</w:t>
      </w:r>
      <w:r>
        <w:rPr>
          <w:bCs/>
          <w:b/>
        </w:rPr>
        <w:t xml:space="preserve">):</w:t>
      </w:r>
      <w:r>
        <w:t xml:space="preserve"> </w:t>
      </w:r>
      <w:r>
        <w:t xml:space="preserve">number of portfolios and amount of each, published on Udofin’s website within 7 working days after month-end (para 28); workflow with maker-checker and evidence.</w:t>
      </w:r>
    </w:p>
    <w:p>
      <w:pPr>
        <w:numPr>
          <w:ilvl w:val="0"/>
          <w:numId w:val="1041"/>
        </w:numPr>
        <w:pStyle w:val="Compact"/>
      </w:pPr>
      <w:r>
        <w:rPr>
          <w:bCs/>
          <w:b/>
        </w:rPr>
        <w:t xml:space="preserve">Accounting feed</w:t>
      </w:r>
      <w:r>
        <w:t xml:space="preserve"> </w:t>
      </w:r>
      <w:r>
        <w:t xml:space="preserve">to U17 (deposits, guarantees, invocations, recoveries, fees).</w:t>
      </w:r>
    </w:p>
    <w:p>
      <w:pPr>
        <w:numPr>
          <w:ilvl w:val="0"/>
          <w:numId w:val="1041"/>
        </w:numPr>
        <w:pStyle w:val="Compact"/>
      </w:pPr>
      <w:r>
        <w:rPr>
          <w:bCs/>
          <w:b/>
        </w:rPr>
        <w:t xml:space="preserve">Isolation from decisions:</w:t>
      </w:r>
      <w:r>
        <w:t xml:space="preserve"> </w:t>
      </w:r>
      <w:r>
        <w:t xml:space="preserve">no DLG data in matching, ranking or underwriting inputs (para 20(2); Part 4.4).</w:t>
      </w:r>
    </w:p>
    <w:p>
      <w:pPr>
        <w:numPr>
          <w:ilvl w:val="0"/>
          <w:numId w:val="1041"/>
        </w:numPr>
        <w:pStyle w:val="Compact"/>
      </w:pPr>
      <w:r>
        <w:rPr>
          <w:bCs/>
          <w:b/>
        </w:rPr>
        <w:t xml:space="preserve">v1.2:</w:t>
      </w:r>
      <w:r>
        <w:t xml:space="preserve"> </w:t>
      </w:r>
      <w:r>
        <w:t xml:space="preserve">DLG options are configured per deal (Part 7B UP2 section 9); DLG economics are Part 7G RV1.4; continuous 5% cap monitoring and headroom alerts (</w:t>
      </w:r>
      <w:r>
        <w:rPr>
          <w:rStyle w:val="VerbatimChar"/>
        </w:rPr>
        <w:t xml:space="preserve">LimitBreached</w:t>
      </w:r>
      <w:r>
        <w:t xml:space="preserve">) are Part 7H RA1.4; the monthly DLG pack for each RE is UP3 pack P5.</w:t>
      </w:r>
    </w:p>
    <w:bookmarkEnd w:id="81"/>
    <w:bookmarkStart w:id="82" w:name="X03006de493c6b9f7884de2f499f7279755eeec0"/>
    <w:p>
      <w:pPr>
        <w:pStyle w:val="Heading2"/>
      </w:pPr>
      <w:r>
        <w:t xml:space="preserve">U15. Grievance redressal, AI support and Equator</w:t>
      </w:r>
    </w:p>
    <w:p>
      <w:pPr>
        <w:pStyle w:val="FirstParagraph"/>
      </w:pPr>
      <w:r>
        <w:t xml:space="preserve">Purpose: let borrowers raise and track complaints in the app or web, route them to the responsible party, and give access to Equator for disputes the RE has referred, without a separate app (Part 7A UR2).</w:t>
      </w:r>
    </w:p>
    <w:p>
      <w:pPr>
        <w:numPr>
          <w:ilvl w:val="0"/>
          <w:numId w:val="1042"/>
        </w:numPr>
        <w:pStyle w:val="Compact"/>
      </w:pPr>
      <w:r>
        <w:rPr>
          <w:bCs/>
          <w:b/>
        </w:rPr>
        <w:t xml:space="preserve">Lodging</w:t>
      </w:r>
      <w:r>
        <w:t xml:space="preserve"> </w:t>
      </w:r>
      <w:r>
        <w:t xml:space="preserve">on the DLA and website (CF para 12(3)); unique reference; acknowledgement; category; attachments through the system picker; communication history.</w:t>
      </w:r>
    </w:p>
    <w:p>
      <w:pPr>
        <w:numPr>
          <w:ilvl w:val="0"/>
          <w:numId w:val="1042"/>
        </w:numPr>
        <w:pStyle w:val="Compact"/>
      </w:pPr>
      <w:r>
        <w:rPr>
          <w:bCs/>
          <w:b/>
        </w:rPr>
        <w:t xml:space="preserve">Routing:</w:t>
      </w:r>
      <w:r>
        <w:t xml:space="preserve"> </w:t>
      </w:r>
      <w:r>
        <w:t xml:space="preserve">RE-related complaints to the RE’s GRO under the grievance-host switch (Part 2); LSP-related complaints to Udofin’s nodal grievance officer (para 12(1)); redressal responsibility stays with the RE (para 12(3)).</w:t>
      </w:r>
    </w:p>
    <w:p>
      <w:pPr>
        <w:numPr>
          <w:ilvl w:val="0"/>
          <w:numId w:val="1042"/>
        </w:numPr>
        <w:pStyle w:val="Compact"/>
      </w:pPr>
      <w:r>
        <w:rPr>
          <w:bCs/>
          <w:b/>
        </w:rPr>
        <w:t xml:space="preserve">Clocks and escalation:</w:t>
      </w:r>
      <w:r>
        <w:t xml:space="preserve"> </w:t>
      </w:r>
      <w:r>
        <w:t xml:space="preserve">30-day clock; after 30 days without reply, or on full or partial rejection, show the CMS (cms.rbi.org.in) and CRPC route (para 12(4)); the RE’s Internal Ombudsman where applicable (IO 2026: partly or wholly rejected complaints auto-escalated within 20 days) and the RBI Ombudsman under RB-IOS 2026 (effective 1 Jul 2026; complaint within 90 days after the RE’s 30-day period or its last communication, whichever is later), as the RE’s redress profile requires (Part 7C UB3) [VERIFY: official texts to be committed to docs/regulations/rbi/].</w:t>
      </w:r>
    </w:p>
    <w:p>
      <w:pPr>
        <w:numPr>
          <w:ilvl w:val="0"/>
          <w:numId w:val="1042"/>
        </w:numPr>
        <w:pStyle w:val="Compact"/>
      </w:pPr>
      <w:r>
        <w:rPr>
          <w:bCs/>
          <w:b/>
        </w:rPr>
        <w:t xml:space="preserve">Credit-information complaints</w:t>
      </w:r>
      <w:r>
        <w:t xml:space="preserve"> </w:t>
      </w:r>
      <w:r>
        <w:t xml:space="preserve">routed to the RE with its CIR clocks (Part 8A.2).</w:t>
      </w:r>
    </w:p>
    <w:p>
      <w:pPr>
        <w:numPr>
          <w:ilvl w:val="0"/>
          <w:numId w:val="1042"/>
        </w:numPr>
        <w:pStyle w:val="Compact"/>
      </w:pPr>
      <w:r>
        <w:rPr>
          <w:bCs/>
          <w:b/>
        </w:rPr>
        <w:t xml:space="preserve">AI assistant:</w:t>
      </w:r>
      <w:r>
        <w:t xml:space="preserve"> </w:t>
      </w:r>
      <w:r>
        <w:t xml:space="preserve">answers only from approved knowledge sources and the borrower’s own data; discloses that it is AI; never invents rights, never promises outcomes, never rejects or closes a complaint; always offers a human; classification and routing suggestions confirmed by staff.</w:t>
      </w:r>
    </w:p>
    <w:p>
      <w:pPr>
        <w:numPr>
          <w:ilvl w:val="0"/>
          <w:numId w:val="1042"/>
        </w:numPr>
        <w:pStyle w:val="Compact"/>
      </w:pPr>
      <w:r>
        <w:rPr>
          <w:bCs/>
          <w:b/>
        </w:rPr>
        <w:t xml:space="preserve">ADR access (</w:t>
      </w:r>
      <w:r>
        <w:rPr>
          <w:rStyle w:val="VerbatimChar"/>
          <w:bCs/>
          <w:b/>
        </w:rPr>
        <w:t xml:space="preserve">equator_referral</w:t>
      </w:r>
      <w:r>
        <w:rPr>
          <w:bCs/>
          <w:b/>
        </w:rPr>
        <w:t xml:space="preserve">, extended in v1.1 as</w:t>
      </w:r>
      <w:r>
        <w:rPr>
          <w:bCs/>
          <w:b/>
        </w:rPr>
        <w:t xml:space="preserve"> </w:t>
      </w:r>
      <w:r>
        <w:rPr>
          <w:rStyle w:val="VerbatimChar"/>
          <w:bCs/>
          <w:b/>
        </w:rPr>
        <w:t xml:space="preserve">adr_case_view</w:t>
      </w:r>
      <w:r>
        <w:rPr>
          <w:bCs/>
          <w:b/>
        </w:rPr>
        <w:t xml:space="preserve">; Part 7A UR2 prevails):</w:t>
      </w:r>
      <w:r>
        <w:t xml:space="preserve"> </w:t>
      </w:r>
      <w:r>
        <w:t xml:space="preserve">Udofin never refers a dispute to arbitration or any ADR process; the RE refers, and only where the loan agreement names Equator or another institution or the borrower gives written post-dispute consent (</w:t>
      </w:r>
      <w:r>
        <w:rPr>
          <w:iCs/>
          <w:i/>
        </w:rPr>
        <w:t xml:space="preserve">CORE v ECI-SPIC-SMO-MCML (JV)</w:t>
      </w:r>
      <w:r>
        <w:t xml:space="preserve">, SC, 8 Nov 2024;</w:t>
      </w:r>
      <w:r>
        <w:t xml:space="preserve"> </w:t>
      </w:r>
      <w:r>
        <w:rPr>
          <w:iCs/>
          <w:i/>
        </w:rPr>
        <w:t xml:space="preserve">L&amp;T Finance v Jai Paras Material Store</w:t>
      </w:r>
      <w:r>
        <w:t xml:space="preserve">, Cal HC, 14 May 2026). ADR is offered when a dispute remains unresolved after the RE’s process and the parties consent, or where the agreement provides for ODR; never presented as a substitute for the RBI route; case created by the RE through its own API scope with a consented data set; secure deep link into Equator’s web flow; outcome returned to the grievance record.</w:t>
      </w:r>
    </w:p>
    <w:p>
      <w:pPr>
        <w:numPr>
          <w:ilvl w:val="0"/>
          <w:numId w:val="1042"/>
        </w:numPr>
        <w:pStyle w:val="Compact"/>
      </w:pPr>
      <w:r>
        <w:rPr>
          <w:bCs/>
          <w:b/>
        </w:rPr>
        <w:t xml:space="preserve">v1.2:</w:t>
      </w:r>
      <w:r>
        <w:t xml:space="preserve"> </w:t>
      </w:r>
      <w:r>
        <w:t xml:space="preserve">the escalation chain (help centre, Udofin nodal officer, RE GRO, Internal Ombudsman, RBI Ombudsman or CEPC, Appellate Authority), the lender redress profile, clock rules, parallel routes and display rules are Part 7C UB3; borrower capabilities (track, escalate, download the case pack, reopen, rate, nominate a representative) and the help centre are UB4.</w:t>
      </w:r>
      <w:r>
        <w:t xml:space="preserve"> </w:t>
      </w:r>
      <w:r>
        <w:rPr>
          <w:bCs/>
          <w:b/>
        </w:rPr>
        <w:t xml:space="preserve">UB3 and UB4 supersede this module for chain, timers, display and borrower capabilities; where they differ, Part 7C prevails.</w:t>
      </w:r>
      <w:r>
        <w:t xml:space="preserve"> </w:t>
      </w:r>
      <w:r>
        <w:t xml:space="preserve">Part 7A UR2 still governs ADR access.</w:t>
      </w:r>
    </w:p>
    <w:bookmarkEnd w:id="82"/>
    <w:bookmarkStart w:id="83" w:name="X44291d2b7f865a7f974af3ac8209825596aaac7"/>
    <w:p>
      <w:pPr>
        <w:pStyle w:val="Heading2"/>
      </w:pPr>
      <w:r>
        <w:t xml:space="preserve">U16. Communications, notifications and marketing</w:t>
      </w:r>
    </w:p>
    <w:p>
      <w:pPr>
        <w:pStyle w:val="FirstParagraph"/>
      </w:pPr>
      <w:r>
        <w:t xml:space="preserve">Purpose: send the right message on the right channel with the right consent.</w:t>
      </w:r>
    </w:p>
    <w:p>
      <w:pPr>
        <w:numPr>
          <w:ilvl w:val="0"/>
          <w:numId w:val="1043"/>
        </w:numPr>
        <w:pStyle w:val="Compact"/>
      </w:pPr>
      <w:r>
        <w:rPr>
          <w:bCs/>
          <w:b/>
        </w:rPr>
        <w:t xml:space="preserve">Template management:</w:t>
      </w:r>
      <w:r>
        <w:t xml:space="preserve"> </w:t>
      </w:r>
      <w:r>
        <w:t xml:space="preserve">versioned, multilingual, approval workflow; regulatory templates owned by the RE; TRAI DLT template and header IDs for SMS.</w:t>
      </w:r>
    </w:p>
    <w:p>
      <w:pPr>
        <w:numPr>
          <w:ilvl w:val="0"/>
          <w:numId w:val="1043"/>
        </w:numPr>
        <w:pStyle w:val="Compact"/>
      </w:pPr>
      <w:r>
        <w:rPr>
          <w:bCs/>
          <w:b/>
        </w:rPr>
        <w:t xml:space="preserve">Channels:</w:t>
      </w:r>
      <w:r>
        <w:t xml:space="preserve"> </w:t>
      </w:r>
      <w:r>
        <w:t xml:space="preserve">push (FCM, APNs, web push), SMS, WhatsApp Business, email, in-app inbox.</w:t>
      </w:r>
    </w:p>
    <w:p>
      <w:pPr>
        <w:numPr>
          <w:ilvl w:val="0"/>
          <w:numId w:val="1043"/>
        </w:numPr>
        <w:pStyle w:val="Compact"/>
      </w:pPr>
      <w:r>
        <w:rPr>
          <w:bCs/>
          <w:b/>
        </w:rPr>
        <w:t xml:space="preserve">Service vs marketing:</w:t>
      </w:r>
      <w:r>
        <w:t xml:space="preserve"> </w:t>
      </w:r>
      <w:r>
        <w:t xml:space="preserve">service messages under the service relationship; marketing only with separate, explicit consent (</w:t>
      </w:r>
      <w:r>
        <w:rPr>
          <w:rStyle w:val="VerbatimChar"/>
        </w:rPr>
        <w:t xml:space="preserve">marketing_consent</w:t>
      </w:r>
      <w:r>
        <w:t xml:space="preserve">) with</w:t>
      </w:r>
      <w:r>
        <w:t xml:space="preserve"> </w:t>
      </w:r>
      <w:r>
        <w:t xml:space="preserve">“</w:t>
      </w:r>
      <w:r>
        <w:t xml:space="preserve">no</w:t>
      </w:r>
      <w:r>
        <w:t xml:space="preserve">”</w:t>
      </w:r>
      <w:r>
        <w:t xml:space="preserve"> </w:t>
      </w:r>
      <w:r>
        <w:t xml:space="preserve">as the default; preference centre; frequency caps and quiet hours; the RBC Second Amendment sales-practice rules (Chapter IIIA; issued 15 Jun 2026, effective 1 Jan 2027: product-specific consent defaulting to</w:t>
      </w:r>
      <w:r>
        <w:t xml:space="preserve"> </w:t>
      </w:r>
      <w:r>
        <w:t xml:space="preserve">“</w:t>
      </w:r>
      <w:r>
        <w:t xml:space="preserve">No</w:t>
      </w:r>
      <w:r>
        <w:t xml:space="preserve">”</w:t>
      </w:r>
      <w:r>
        <w:t xml:space="preserve">, easy unsubscribe, separate forms, no compulsory bundling, no dark patterns with UI audit; applied as policy now, Part 7F XP4) [VERIFY: final NBFC text and paragraph numbers]; DoT/TRAI-registered telemarketers only (RBC para 101).</w:t>
      </w:r>
    </w:p>
    <w:p>
      <w:pPr>
        <w:numPr>
          <w:ilvl w:val="0"/>
          <w:numId w:val="1043"/>
        </w:numPr>
        <w:pStyle w:val="Compact"/>
      </w:pPr>
      <w:r>
        <w:rPr>
          <w:bCs/>
          <w:b/>
        </w:rPr>
        <w:t xml:space="preserve">Neutrality:</w:t>
      </w:r>
      <w:r>
        <w:t xml:space="preserve"> </w:t>
      </w:r>
      <w:r>
        <w:t xml:space="preserve">no lender-sponsored promotion inside the offer journey (CF para 7(4)); any RE-specific campaign outside it needs legal review.</w:t>
      </w:r>
    </w:p>
    <w:p>
      <w:pPr>
        <w:numPr>
          <w:ilvl w:val="0"/>
          <w:numId w:val="1043"/>
        </w:numPr>
        <w:pStyle w:val="Compact"/>
      </w:pPr>
      <w:r>
        <w:rPr>
          <w:bCs/>
          <w:b/>
        </w:rPr>
        <w:t xml:space="preserve">Feedback:</w:t>
      </w:r>
      <w:r>
        <w:t xml:space="preserve"> </w:t>
      </w:r>
      <w:r>
        <w:t xml:space="preserve">event-triggered CSAT/NPS, free-text feedback, app-store review prompts only after positive events, and feedback analytics.</w:t>
      </w:r>
    </w:p>
    <w:p>
      <w:pPr>
        <w:numPr>
          <w:ilvl w:val="0"/>
          <w:numId w:val="1043"/>
        </w:numPr>
        <w:pStyle w:val="Compact"/>
      </w:pPr>
      <w:r>
        <w:rPr>
          <w:bCs/>
          <w:b/>
        </w:rPr>
        <w:t xml:space="preserve">No PII in push payloads</w:t>
      </w:r>
      <w:r>
        <w:t xml:space="preserve">; deep links per Part 3.2.</w:t>
      </w:r>
    </w:p>
    <w:p>
      <w:pPr>
        <w:numPr>
          <w:ilvl w:val="0"/>
          <w:numId w:val="1043"/>
        </w:numPr>
        <w:pStyle w:val="Compact"/>
      </w:pPr>
      <w:r>
        <w:rPr>
          <w:bCs/>
          <w:b/>
        </w:rPr>
        <w:t xml:space="preserve">v1.2 voice and number series:</w:t>
      </w:r>
      <w:r>
        <w:t xml:space="preserve"> </w:t>
      </w:r>
      <w:r>
        <w:t xml:space="preserve">voice, IVR, AI contact-centre and Jio adapters are Part 7H RA5. RE service and transactional calls only from the RE’s 1600-series numbers (TRAI Direction of 19 Nov 2025: banks from 1 Jan 2026; NBFCs above ₹5,000 crore, payments banks and SFBs from 1 Feb 2026; other NBFCs, co-operative banks and RRBs from 1 Mar 2026; TRAI clarification of 10 Jul 2026); promotional calls only from 140-series numbers with promotional consent and DND scrubbing; ordinary 10-digit numbers never. Udofin’s own outbound service calls stay disabled until its eligibility for a 1600-series number is confirmed [VERIFY: DoT and TRAI eligibility of an LSP, and whether it may call on the RE’s number].</w:t>
      </w:r>
    </w:p>
    <w:bookmarkEnd w:id="83"/>
    <w:bookmarkStart w:id="84" w:name="u17.-udofin-finance-and-accounting"/>
    <w:p>
      <w:pPr>
        <w:pStyle w:val="Heading2"/>
      </w:pPr>
      <w:r>
        <w:t xml:space="preserve">U17. Udofin finance and accounting</w:t>
      </w:r>
    </w:p>
    <w:p>
      <w:pPr>
        <w:pStyle w:val="FirstParagraph"/>
      </w:pPr>
      <w:r>
        <w:t xml:space="preserve">Purpose: keep Udofin’s own books for its LSP business. The loan book belongs to the RE.</w:t>
      </w:r>
    </w:p>
    <w:p>
      <w:pPr>
        <w:numPr>
          <w:ilvl w:val="0"/>
          <w:numId w:val="1044"/>
        </w:numPr>
        <w:pStyle w:val="Compact"/>
      </w:pPr>
      <w:r>
        <w:rPr>
          <w:bCs/>
          <w:b/>
        </w:rPr>
        <w:t xml:space="preserve">Double-entry ledger (</w:t>
      </w:r>
      <w:r>
        <w:rPr>
          <w:rStyle w:val="VerbatimChar"/>
          <w:bCs/>
          <w:b/>
        </w:rPr>
        <w:t xml:space="preserve">udofin_ledger</w:t>
      </w:r>
      <w:r>
        <w:rPr>
          <w:bCs/>
          <w:b/>
        </w:rPr>
        <w:t xml:space="preserve"> </w:t>
      </w:r>
      <w:r>
        <w:rPr>
          <w:bCs/>
          <w:b/>
        </w:rPr>
        <w:t xml:space="preserve">tables):</w:t>
      </w:r>
      <w:r>
        <w:t xml:space="preserve"> </w:t>
      </w:r>
      <w:r>
        <w:t xml:space="preserve">chart of accounts, journals, postings, periods, with NUMERIC money and decimal.js; immutable postings with reversal entries.</w:t>
      </w:r>
    </w:p>
    <w:p>
      <w:pPr>
        <w:numPr>
          <w:ilvl w:val="0"/>
          <w:numId w:val="1044"/>
        </w:numPr>
        <w:pStyle w:val="Compact"/>
      </w:pPr>
      <w:r>
        <w:rPr>
          <w:bCs/>
          <w:b/>
        </w:rPr>
        <w:t xml:space="preserve">Revenue:</w:t>
      </w:r>
      <w:r>
        <w:t xml:space="preserve"> </w:t>
      </w:r>
      <w:r>
        <w:t xml:space="preserve">sourcing, platform and collection fees invoiced to REs; GST invoices and e-invoicing where applicable [VERIFY GST rate, place of supply, e-invoicing threshold]; TDS deducted by REs under the Income-tax Act, 2025 (s.393 table; TDS certificate Form 131) reconciled with the annual statement (Form 168, formerly Form 26AS), with FY 2025-26 items under the 1961 Act [VERIFY: form numbers and the s.393 entry]. v1.2: RE invoices are generated by the Operations Hub billing engine (OH8) in Udofin’s name and GSTIN and posted here [REC]; borrower plan revenue (if launched), advertising revenue and any licensed insurance commission are separate revenue lines fed by Part 7G RV3, each with its own GST invoice series.</w:t>
      </w:r>
    </w:p>
    <w:p>
      <w:pPr>
        <w:numPr>
          <w:ilvl w:val="0"/>
          <w:numId w:val="1044"/>
        </w:numPr>
        <w:pStyle w:val="Compact"/>
      </w:pPr>
      <w:r>
        <w:rPr>
          <w:bCs/>
          <w:b/>
        </w:rPr>
        <w:t xml:space="preserve">DLG accounting:</w:t>
      </w:r>
      <w:r>
        <w:t xml:space="preserve"> </w:t>
      </w:r>
      <w:r>
        <w:t xml:space="preserve">cash deposits and FD liens as assets; bank guarantees as contingent exposures; invocations as losses; recovery shares as income; treatment under the applicable accounting framework confirmed with Udofin’s auditors [VERIFY: Ind AS 109 or AS applicability to Udofin].</w:t>
      </w:r>
    </w:p>
    <w:p>
      <w:pPr>
        <w:numPr>
          <w:ilvl w:val="0"/>
          <w:numId w:val="1044"/>
        </w:numPr>
        <w:pStyle w:val="Compact"/>
      </w:pPr>
      <w:r>
        <w:rPr>
          <w:bCs/>
          <w:b/>
        </w:rPr>
        <w:t xml:space="preserve">Costs:</w:t>
      </w:r>
      <w:r>
        <w:t xml:space="preserve"> </w:t>
      </w:r>
      <w:r>
        <w:t xml:space="preserve">per-call vendor costs (KYC, bureau, eSign, eStamp, messaging, cloud) captured from provider logs for unit economics.</w:t>
      </w:r>
    </w:p>
    <w:p>
      <w:pPr>
        <w:numPr>
          <w:ilvl w:val="0"/>
          <w:numId w:val="1044"/>
        </w:numPr>
        <w:pStyle w:val="Compact"/>
      </w:pPr>
      <w:r>
        <w:rPr>
          <w:bCs/>
          <w:b/>
        </w:rPr>
        <w:t xml:space="preserve">Reconciliation:</w:t>
      </w:r>
      <w:r>
        <w:t xml:space="preserve"> </w:t>
      </w:r>
      <w:r>
        <w:t xml:space="preserve">fees invoiced vs RE confirmations (</w:t>
      </w:r>
      <w:r>
        <w:rPr>
          <w:rStyle w:val="VerbatimChar"/>
        </w:rPr>
        <w:t xml:space="preserve">DailyReconciliationFile</w:t>
      </w:r>
      <w:r>
        <w:t xml:space="preserve">); bank reconciliation of Udofin’s own accounts.</w:t>
      </w:r>
    </w:p>
    <w:p>
      <w:pPr>
        <w:numPr>
          <w:ilvl w:val="0"/>
          <w:numId w:val="1044"/>
        </w:numPr>
        <w:pStyle w:val="Compact"/>
      </w:pPr>
      <w:r>
        <w:rPr>
          <w:bCs/>
          <w:b/>
        </w:rPr>
        <w:t xml:space="preserve">Exports:</w:t>
      </w:r>
      <w:r>
        <w:t xml:space="preserve"> </w:t>
      </w:r>
      <w:r>
        <w:t xml:space="preserve">Tally Prime (XML/ODBC) and SAP (IDoc or API) export of Udofin’s journals and masters; Tally and SAP are destinations, not the books.</w:t>
      </w:r>
    </w:p>
    <w:p>
      <w:pPr>
        <w:numPr>
          <w:ilvl w:val="0"/>
          <w:numId w:val="1044"/>
        </w:numPr>
        <w:pStyle w:val="Compact"/>
      </w:pPr>
      <w:r>
        <w:rPr>
          <w:bCs/>
          <w:b/>
        </w:rPr>
        <w:t xml:space="preserve">Never:</w:t>
      </w:r>
      <w:r>
        <w:t xml:space="preserve"> </w:t>
      </w:r>
      <w:r>
        <w:t xml:space="preserve">record borrower loan principal or interest as Udofin’s assets or income.</w:t>
      </w:r>
    </w:p>
    <w:bookmarkEnd w:id="84"/>
    <w:bookmarkStart w:id="85" w:name="X9cdaadc9ffacd888af0a602c7cf17d90183eab2"/>
    <w:p>
      <w:pPr>
        <w:pStyle w:val="Heading2"/>
      </w:pPr>
      <w:r>
        <w:t xml:space="preserve">U18. Compliance, regulatory register, audit access and LawDocsComply bridge</w:t>
      </w:r>
    </w:p>
    <w:p>
      <w:pPr>
        <w:pStyle w:val="FirstParagraph"/>
      </w:pPr>
      <w:r>
        <w:t xml:space="preserve">Purpose: prove to each RE, its auditors and RBI that Udofin meets its obligations.</w:t>
      </w:r>
    </w:p>
    <w:p>
      <w:pPr>
        <w:numPr>
          <w:ilvl w:val="0"/>
          <w:numId w:val="1045"/>
        </w:numPr>
        <w:pStyle w:val="Compact"/>
      </w:pPr>
      <w:r>
        <w:rPr>
          <w:bCs/>
          <w:b/>
        </w:rPr>
        <w:t xml:space="preserve">Regulatory register:</w:t>
      </w:r>
      <w:r>
        <w:t xml:space="preserve"> </w:t>
      </w:r>
      <w:r>
        <w:t xml:space="preserve">dated requirements with REQ-IDs shared with Finbyx (Part 8A), applicability per RE type, owner, control, evidence, test and open questions; change impact workflow (original</w:t>
      </w:r>
      <w:r>
        <w:t xml:space="preserve"> </w:t>
      </w:r>
      <w:r>
        <w:t xml:space="preserve">“</w:t>
      </w:r>
      <w:r>
        <w:t xml:space="preserve">important addition</w:t>
      </w:r>
      <w:r>
        <w:t xml:space="preserve">”</w:t>
      </w:r>
      <w:r>
        <w:t xml:space="preserve"> </w:t>
      </w:r>
      <w:r>
        <w:t xml:space="preserve">8).</w:t>
      </w:r>
    </w:p>
    <w:p>
      <w:pPr>
        <w:numPr>
          <w:ilvl w:val="0"/>
          <w:numId w:val="1045"/>
        </w:numPr>
        <w:pStyle w:val="Compact"/>
      </w:pPr>
      <w:r>
        <w:rPr>
          <w:bCs/>
          <w:b/>
        </w:rPr>
        <w:t xml:space="preserve">DLA register (</w:t>
      </w:r>
      <w:r>
        <w:rPr>
          <w:rStyle w:val="VerbatimChar"/>
          <w:bCs/>
          <w:b/>
        </w:rPr>
        <w:t xml:space="preserve">dla_register</w:t>
      </w:r>
      <w:r>
        <w:rPr>
          <w:bCs/>
          <w:b/>
        </w:rPr>
        <w:t xml:space="preserve">):</w:t>
      </w:r>
      <w:r>
        <w:t xml:space="preserve"> </w:t>
      </w:r>
      <w:r>
        <w:t xml:space="preserve">Part 4.7; certification evidence packs for each RE’s CCO (CF para 18(4)).</w:t>
      </w:r>
    </w:p>
    <w:p>
      <w:pPr>
        <w:numPr>
          <w:ilvl w:val="0"/>
          <w:numId w:val="1045"/>
        </w:numPr>
        <w:pStyle w:val="Compact"/>
      </w:pPr>
      <w:r>
        <w:rPr>
          <w:bCs/>
          <w:b/>
        </w:rPr>
        <w:t xml:space="preserve">Evidence:</w:t>
      </w:r>
      <w:r>
        <w:t xml:space="preserve"> </w:t>
      </w:r>
      <w:r>
        <w:t xml:space="preserve">permission manifests per build, consent statistics, data-map extracts, DLG disclosures, incident reports, connector certifications, VAPT reports, policy versions.</w:t>
      </w:r>
    </w:p>
    <w:p>
      <w:pPr>
        <w:numPr>
          <w:ilvl w:val="0"/>
          <w:numId w:val="1045"/>
        </w:numPr>
        <w:pStyle w:val="Compact"/>
      </w:pPr>
      <w:r>
        <w:rPr>
          <w:bCs/>
          <w:b/>
        </w:rPr>
        <w:t xml:space="preserve">Audit and inspection access:</w:t>
      </w:r>
      <w:r>
        <w:t xml:space="preserve"> </w:t>
      </w:r>
      <w:r>
        <w:t xml:space="preserve">read-only, time-boxed roles for RE auditors and RBI-authorised persons, provisioned by maker-checker (OUT para 34(vii)–(ix)).</w:t>
      </w:r>
    </w:p>
    <w:p>
      <w:pPr>
        <w:numPr>
          <w:ilvl w:val="0"/>
          <w:numId w:val="1045"/>
        </w:numPr>
        <w:pStyle w:val="Compact"/>
      </w:pPr>
      <w:r>
        <w:rPr>
          <w:bCs/>
          <w:b/>
        </w:rPr>
        <w:t xml:space="preserve">LawDocsComply and third-party GRC connectors</w:t>
      </w:r>
      <w:r>
        <w:t xml:space="preserve"> </w:t>
      </w:r>
      <w:r>
        <w:t xml:space="preserve">under the compliance-mode switch (Part 2): one generic GRC contract from the Ecosystem Integration Specification (resources</w:t>
      </w:r>
      <w:r>
        <w:t xml:space="preserve"> </w:t>
      </w:r>
      <w:r>
        <w:rPr>
          <w:rStyle w:val="VerbatimChar"/>
        </w:rPr>
        <w:t xml:space="preserve">Obligation</w:t>
      </w:r>
      <w:r>
        <w:t xml:space="preserve">,</w:t>
      </w:r>
      <w:r>
        <w:t xml:space="preserve"> </w:t>
      </w:r>
      <w:r>
        <w:rPr>
          <w:rStyle w:val="VerbatimChar"/>
        </w:rPr>
        <w:t xml:space="preserve">Control</w:t>
      </w:r>
      <w:r>
        <w:t xml:space="preserve">,</w:t>
      </w:r>
      <w:r>
        <w:t xml:space="preserve"> </w:t>
      </w:r>
      <w:r>
        <w:rPr>
          <w:rStyle w:val="VerbatimChar"/>
        </w:rPr>
        <w:t xml:space="preserve">ControlTestResult</w:t>
      </w:r>
      <w:r>
        <w:t xml:space="preserve">,</w:t>
      </w:r>
      <w:r>
        <w:t xml:space="preserve"> </w:t>
      </w:r>
      <w:r>
        <w:rPr>
          <w:rStyle w:val="VerbatimChar"/>
        </w:rPr>
        <w:t xml:space="preserve">Issue</w:t>
      </w:r>
      <w:r>
        <w:t xml:space="preserve">,</w:t>
      </w:r>
      <w:r>
        <w:t xml:space="preserve"> </w:t>
      </w:r>
      <w:r>
        <w:rPr>
          <w:rStyle w:val="VerbatimChar"/>
        </w:rPr>
        <w:t xml:space="preserve">Incident</w:t>
      </w:r>
      <w:r>
        <w:t xml:space="preserve">,</w:t>
      </w:r>
      <w:r>
        <w:t xml:space="preserve"> </w:t>
      </w:r>
      <w:r>
        <w:rPr>
          <w:rStyle w:val="VerbatimChar"/>
        </w:rPr>
        <w:t xml:space="preserve">RegulatoryReturn</w:t>
      </w:r>
      <w:r>
        <w:t xml:space="preserve">,</w:t>
      </w:r>
      <w:r>
        <w:t xml:space="preserve"> </w:t>
      </w:r>
      <w:r>
        <w:rPr>
          <w:rStyle w:val="VerbatimChar"/>
        </w:rPr>
        <w:t xml:space="preserve">PolicyAttestation</w:t>
      </w:r>
      <w:r>
        <w:t xml:space="preserve">,</w:t>
      </w:r>
      <w:r>
        <w:t xml:space="preserve"> </w:t>
      </w:r>
      <w:r>
        <w:rPr>
          <w:rStyle w:val="VerbatimChar"/>
        </w:rPr>
        <w:t xml:space="preserve">OutsourcingArrangement</w:t>
      </w:r>
      <w:r>
        <w:t xml:space="preserve">,</w:t>
      </w:r>
      <w:r>
        <w:t xml:space="preserve"> </w:t>
      </w:r>
      <w:r>
        <w:rPr>
          <w:rStyle w:val="VerbatimChar"/>
        </w:rPr>
        <w:t xml:space="preserve">KRI</w:t>
      </w:r>
      <w:r>
        <w:t xml:space="preserve">; events</w:t>
      </w:r>
      <w:r>
        <w:t xml:space="preserve"> </w:t>
      </w:r>
      <w:r>
        <w:rPr>
          <w:rStyle w:val="VerbatimChar"/>
        </w:rPr>
        <w:t xml:space="preserve">ObligationPublished</w:t>
      </w:r>
      <w:r>
        <w:t xml:space="preserve">,</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PolicyAttested</w:t>
      </w:r>
      <w:r>
        <w:t xml:space="preserve">), with LawDocsComply as the first certified adapter and versioned field and status maps for MetricStream (REST), IBM OpenPages (GRC REST), ServiceNow IRM (staging tables) and Archer (REST and Content API) [VERIFY: LawDocsComply public API and each vendor’s current API]; periodic OSCAL 1.2.x export (component definition, assessment results, POA&amp;M); evidence hash-chained and stored in India, with aggregate counts and masked sample IDs only, never raw PII.</w:t>
      </w:r>
    </w:p>
    <w:p>
      <w:pPr>
        <w:numPr>
          <w:ilvl w:val="0"/>
          <w:numId w:val="1045"/>
        </w:numPr>
        <w:pStyle w:val="Compact"/>
      </w:pPr>
      <w:r>
        <w:rPr>
          <w:bCs/>
          <w:b/>
        </w:rPr>
        <w:t xml:space="preserve">Udofin’s own compliance:</w:t>
      </w:r>
      <w:r>
        <w:t xml:space="preserve"> </w:t>
      </w:r>
      <w:r>
        <w:t xml:space="preserve">privacy policy, data storage policy, GRO appointment, website disclosures, DLG disclosures, DPDP obligations, app-store declarations.</w:t>
      </w:r>
    </w:p>
    <w:p>
      <w:pPr>
        <w:numPr>
          <w:ilvl w:val="0"/>
          <w:numId w:val="1045"/>
        </w:numPr>
        <w:pStyle w:val="Compact"/>
      </w:pPr>
      <w:r>
        <w:rPr>
          <w:bCs/>
          <w:b/>
        </w:rPr>
        <w:t xml:space="preserve">v1.2:</w:t>
      </w:r>
      <w:r>
        <w:t xml:space="preserve"> </w:t>
      </w:r>
      <w:r>
        <w:t xml:space="preserve">self-service RE audit, inspection and CIMS export packs (P1–P10) are Part 7B UP3; the live read-only workspace for RE auditors and RBI supervisors (time-bound, one-RE scope, logged;</w:t>
      </w:r>
      <w:r>
        <w:t xml:space="preserve"> </w:t>
      </w:r>
      <w:r>
        <w:rPr>
          <w:rStyle w:val="VerbatimChar"/>
        </w:rPr>
        <w:t xml:space="preserve">ExternalAccessGranted</w:t>
      </w:r>
      <w:r>
        <w:t xml:space="preserve">,</w:t>
      </w:r>
      <w:r>
        <w:t xml:space="preserve"> </w:t>
      </w:r>
      <w:r>
        <w:rPr>
          <w:rStyle w:val="VerbatimChar"/>
        </w:rPr>
        <w:t xml:space="preserve">ExternalAccessRevoked</w:t>
      </w:r>
      <w:r>
        <w:t xml:space="preserve">,</w:t>
      </w:r>
      <w:r>
        <w:t xml:space="preserve"> </w:t>
      </w:r>
      <w:r>
        <w:rPr>
          <w:rStyle w:val="VerbatimChar"/>
        </w:rPr>
        <w:t xml:space="preserve">ExternalAccessUsed</w:t>
      </w:r>
      <w:r>
        <w:t xml:space="preserve">) is Part 7H RA2 and prevails over the audit-access bullet above; Udofin’s LSP risk management function (register, KRIs, DLG cap monitoring, loss events, RCSA, quarterly RE pack) and the pseudonymised LawDocsComply feed (</w:t>
      </w:r>
      <w:r>
        <w:rPr>
          <w:rStyle w:val="VerbatimChar"/>
        </w:rPr>
        <w:t xml:space="preserve">KriBreached</w:t>
      </w:r>
      <w:r>
        <w:t xml:space="preserve">,</w:t>
      </w:r>
      <w:r>
        <w:t xml:space="preserve"> </w:t>
      </w:r>
      <w:r>
        <w:rPr>
          <w:rStyle w:val="VerbatimChar"/>
        </w:rPr>
        <w:t xml:space="preserve">LossEventRecorded</w:t>
      </w:r>
      <w:r>
        <w:t xml:space="preserve">,</w:t>
      </w:r>
      <w:r>
        <w:t xml:space="preserve"> </w:t>
      </w:r>
      <w:r>
        <w:rPr>
          <w:rStyle w:val="VerbatimChar"/>
        </w:rPr>
        <w:t xml:space="preserve">LimitBreached</w:t>
      </w:r>
      <w:r>
        <w:t xml:space="preserve">,</w:t>
      </w:r>
      <w:r>
        <w:t xml:space="preserve"> </w:t>
      </w:r>
      <w:r>
        <w:rPr>
          <w:rStyle w:val="VerbatimChar"/>
        </w:rPr>
        <w:t xml:space="preserve">RiskSnapshotPublished</w:t>
      </w:r>
      <w:r>
        <w:t xml:space="preserve">) are RA1.</w:t>
      </w:r>
    </w:p>
    <w:bookmarkEnd w:id="85"/>
    <w:bookmarkStart w:id="86" w:name="u19.-reports-mis-and-lender-dashboards"/>
    <w:p>
      <w:pPr>
        <w:pStyle w:val="Heading2"/>
      </w:pPr>
      <w:r>
        <w:t xml:space="preserve">U19. Reports, MIS and lender dashboards</w:t>
      </w:r>
    </w:p>
    <w:p>
      <w:pPr>
        <w:pStyle w:val="FirstParagraph"/>
      </w:pPr>
      <w:r>
        <w:t xml:space="preserve">Purpose: give Udofin and each RE the operational and conduct reports they need, without duplicating the RE’s LMS.</w:t>
      </w:r>
    </w:p>
    <w:p>
      <w:pPr>
        <w:numPr>
          <w:ilvl w:val="0"/>
          <w:numId w:val="1046"/>
        </w:numPr>
        <w:pStyle w:val="Compact"/>
      </w:pPr>
      <w:r>
        <w:rPr>
          <w:bCs/>
          <w:b/>
        </w:rPr>
        <w:t xml:space="preserve">Udofin internal:</w:t>
      </w:r>
      <w:r>
        <w:t xml:space="preserve"> </w:t>
      </w:r>
      <w:r>
        <w:t xml:space="preserve">funnel by step, channel, RE and product; drop-off reasons; TAT; connector health; unit economics; grievance analytics; DLG positions; collections performance where appointed.</w:t>
      </w:r>
    </w:p>
    <w:p>
      <w:pPr>
        <w:numPr>
          <w:ilvl w:val="0"/>
          <w:numId w:val="1046"/>
        </w:numPr>
        <w:pStyle w:val="Compact"/>
      </w:pPr>
      <w:r>
        <w:rPr>
          <w:bCs/>
          <w:b/>
        </w:rPr>
        <w:t xml:space="preserve">Lender dashboards:</w:t>
      </w:r>
      <w:r>
        <w:t xml:space="preserve"> </w:t>
      </w:r>
      <w:r>
        <w:t xml:space="preserve">the RE’s own sourced applications, decisions, conversion, disbursals reported by the RE, complaints, DLG cover and invocations, reconciliation breaks; exports to Excel, CSV and PDF; scheduled reports.</w:t>
      </w:r>
    </w:p>
    <w:p>
      <w:pPr>
        <w:numPr>
          <w:ilvl w:val="0"/>
          <w:numId w:val="1046"/>
        </w:numPr>
        <w:pStyle w:val="Compact"/>
      </w:pPr>
      <w:r>
        <w:rPr>
          <w:bCs/>
          <w:b/>
        </w:rPr>
        <w:t xml:space="preserve">Conduct reports:</w:t>
      </w:r>
      <w:r>
        <w:t xml:space="preserve"> </w:t>
      </w:r>
      <w:r>
        <w:t xml:space="preserve">offer-view neutrality checks (share of borrowers choosing each rank, by RE), dark-pattern audit results, permission audit.</w:t>
      </w:r>
    </w:p>
    <w:p>
      <w:pPr>
        <w:numPr>
          <w:ilvl w:val="0"/>
          <w:numId w:val="1046"/>
        </w:numPr>
        <w:pStyle w:val="Compact"/>
      </w:pPr>
      <w:r>
        <w:rPr>
          <w:bCs/>
          <w:b/>
        </w:rPr>
        <w:t xml:space="preserve">The RE’s financial, risk and regulatory reports</w:t>
      </w:r>
      <w:r>
        <w:t xml:space="preserve"> </w:t>
      </w:r>
      <w:r>
        <w:t xml:space="preserve">come from its LMS (Finbyx M17 for Finbyx REs); Udofin supplies data, not those reports.</w:t>
      </w:r>
    </w:p>
    <w:p>
      <w:pPr>
        <w:numPr>
          <w:ilvl w:val="0"/>
          <w:numId w:val="1046"/>
        </w:numPr>
        <w:pStyle w:val="Compact"/>
      </w:pPr>
      <w:r>
        <w:rPr>
          <w:bCs/>
          <w:b/>
        </w:rPr>
        <w:t xml:space="preserve">Row-level security</w:t>
      </w:r>
      <w:r>
        <w:t xml:space="preserve"> </w:t>
      </w:r>
      <w:r>
        <w:t xml:space="preserve">by RE in every report.</w:t>
      </w:r>
    </w:p>
    <w:p>
      <w:pPr>
        <w:numPr>
          <w:ilvl w:val="0"/>
          <w:numId w:val="1046"/>
        </w:numPr>
        <w:pStyle w:val="Compact"/>
      </w:pPr>
      <w:r>
        <w:rPr>
          <w:bCs/>
          <w:b/>
        </w:rPr>
        <w:t xml:space="preserve">v1.2:</w:t>
      </w:r>
      <w:r>
        <w:t xml:space="preserve"> </w:t>
      </w:r>
      <w:r>
        <w:t xml:space="preserve">RE packs (P1 CIMS DLA, P2 outsourcing oversight, P3 conduct, P4 grievance MIS, P5 DLG, P6 data protection, P7 auditor sampling, P8 RBI inspection, P9 AI, P10 reconciliation) are generated by Part 7B UP3 and delivered as self-describing archives under Part 7H RA3; the quarterly RE risk pack is RA1.6; member and group lending MIS is Part 7E; revenue and usage analytics are Part 7G RV1.6 (aggregates only to the Operations Hub).</w:t>
      </w:r>
    </w:p>
    <w:bookmarkEnd w:id="86"/>
    <w:bookmarkStart w:id="87" w:name="u20.-ai-layer-governed"/>
    <w:p>
      <w:pPr>
        <w:pStyle w:val="Heading2"/>
      </w:pPr>
      <w:r>
        <w:t xml:space="preserve">U20. AI layer (governed)</w:t>
      </w:r>
    </w:p>
    <w:p>
      <w:pPr>
        <w:pStyle w:val="FirstParagraph"/>
      </w:pPr>
      <w:r>
        <w:t xml:space="preserve">Purpose: use AI where it saves effort without taking decisions.</w:t>
      </w:r>
    </w:p>
    <w:p>
      <w:pPr>
        <w:numPr>
          <w:ilvl w:val="0"/>
          <w:numId w:val="1047"/>
        </w:numPr>
        <w:pStyle w:val="Compact"/>
      </w:pPr>
      <w:r>
        <w:rPr>
          <w:bCs/>
          <w:b/>
        </w:rPr>
        <w:t xml:space="preserve">Use AI for:</w:t>
      </w:r>
      <w:r>
        <w:t xml:space="preserve"> </w:t>
      </w:r>
      <w:r>
        <w:t xml:space="preserve">borrower FAQ and status answers from approved sources; document classification and extraction with human verification; application completeness checks; complaint classification and routing suggestions; staff search and summaries; reminder drafting within templates; anomaly detection in reconciliation.</w:t>
      </w:r>
    </w:p>
    <w:p>
      <w:pPr>
        <w:numPr>
          <w:ilvl w:val="0"/>
          <w:numId w:val="1047"/>
        </w:numPr>
        <w:pStyle w:val="Compact"/>
      </w:pPr>
      <w:r>
        <w:rPr>
          <w:bCs/>
          <w:b/>
        </w:rPr>
        <w:t xml:space="preserve">AI must never:</w:t>
      </w:r>
      <w:r>
        <w:t xml:space="preserve"> </w:t>
      </w:r>
      <w:r>
        <w:t xml:space="preserve">approve, reject or price a loan; rank offers; execute or alter a financial transaction; alter contract terms; bypass authorisation; reject or close a complaint; make legal determinations; send unapproved borrower messages.</w:t>
      </w:r>
    </w:p>
    <w:p>
      <w:pPr>
        <w:numPr>
          <w:ilvl w:val="0"/>
          <w:numId w:val="1047"/>
        </w:numPr>
        <w:pStyle w:val="Compact"/>
      </w:pPr>
      <w:r>
        <w:rPr>
          <w:bCs/>
          <w:b/>
        </w:rPr>
        <w:t xml:space="preserve">Governance:</w:t>
      </w:r>
      <w:r>
        <w:t xml:space="preserve"> </w:t>
      </w:r>
      <w:r>
        <w:t xml:space="preserve">model inventory, prompt and output logs (PII-redacted), explainability records, AI disclosure to borrowers, India-region inference only [VERIFY per provider], aligned with the RBI FREE-AI framework (August 2025) as each RE requires.</w:t>
      </w:r>
    </w:p>
    <w:bookmarkEnd w:id="87"/>
    <w:bookmarkStart w:id="88" w:name="X668b36c8faf2e0f24b2f1f373c87ebe6647d614"/>
    <w:p>
      <w:pPr>
        <w:pStyle w:val="Heading2"/>
      </w:pPr>
      <w:r>
        <w:t xml:space="preserve">U21. Integration hub and lender connectors</w:t>
      </w:r>
    </w:p>
    <w:p>
      <w:pPr>
        <w:pStyle w:val="FirstParagraph"/>
      </w:pPr>
      <w:r>
        <w:t xml:space="preserve">Purpose: one place for every external integration, with consistent security and observability.</w:t>
      </w:r>
    </w:p>
    <w:p>
      <w:pPr>
        <w:numPr>
          <w:ilvl w:val="0"/>
          <w:numId w:val="1048"/>
        </w:numPr>
        <w:pStyle w:val="Compact"/>
      </w:pPr>
      <w:r>
        <w:rPr>
          <w:bCs/>
          <w:b/>
        </w:rPr>
        <w:t xml:space="preserve">Lender connectors</w:t>
      </w:r>
      <w:r>
        <w:t xml:space="preserve"> </w:t>
      </w:r>
      <w:r>
        <w:t xml:space="preserve">per Part 5.3.</w:t>
      </w:r>
    </w:p>
    <w:p>
      <w:pPr>
        <w:numPr>
          <w:ilvl w:val="0"/>
          <w:numId w:val="1048"/>
        </w:numPr>
        <w:pStyle w:val="Compact"/>
      </w:pPr>
      <w:r>
        <w:rPr>
          <w:bCs/>
          <w:b/>
        </w:rPr>
        <w:t xml:space="preserve">Provider adapters</w:t>
      </w:r>
      <w:r>
        <w:t xml:space="preserve"> </w:t>
      </w:r>
      <w:r>
        <w:t xml:space="preserve">behind interfaces (Part 9): KYC, DigiLocker, PAN, bureau, AA, bank-account verification, eSign, eStamp, depositories and RTAs, payment gateways, mandates, messaging, Equator and other ODR providers (Part 7A UR2), LawDocsComply and third-party GRC tools (U18), notice-dispatch vendors for RE-issued notices (Part 7A UR3), court-data and legal-tech views only as RE-permitted projections (Part 7A UR3), accounting exports.</w:t>
      </w:r>
    </w:p>
    <w:p>
      <w:pPr>
        <w:numPr>
          <w:ilvl w:val="0"/>
          <w:numId w:val="1048"/>
        </w:numPr>
        <w:pStyle w:val="Compact"/>
      </w:pPr>
      <w:r>
        <w:rPr>
          <w:bCs/>
          <w:b/>
        </w:rPr>
        <w:t xml:space="preserve">Ecosystem integration v2 (Phase 16b):</w:t>
      </w:r>
      <w:r>
        <w:t xml:space="preserve"> </w:t>
      </w:r>
      <w:r>
        <w:t xml:space="preserve">every connector implements the Ecosystem Integration Specification (CloudEvents 1.0, AsyncAPI 3.0, OpenAPI 3.1, JSON Schema 2020-12 registry with 90-day dual publication of any breaking</w:t>
      </w:r>
      <w:r>
        <w:t xml:space="preserve"> </w:t>
      </w:r>
      <w:r>
        <w:rPr>
          <w:rStyle w:val="VerbatimChar"/>
        </w:rPr>
        <w:t xml:space="preserve">vN</w:t>
      </w:r>
      <w:r>
        <w:t xml:space="preserve">, Standard Webhooks,</w:t>
      </w:r>
      <w:r>
        <w:t xml:space="preserve"> </w:t>
      </w:r>
      <w:r>
        <w:rPr>
          <w:rStyle w:val="VerbatimChar"/>
        </w:rPr>
        <w:t xml:space="preserve">Idempotency-Key</w:t>
      </w:r>
      <w:r>
        <w:t xml:space="preserve">, mTLS with RFC 9421 signatures, OAuth 2.1 client credentials, FAPI 2.0 where borrower-delegated) and passes the connector certification suite, which emits</w:t>
      </w:r>
      <w:r>
        <w:t xml:space="preserve"> </w:t>
      </w:r>
      <w:r>
        <w:rPr>
          <w:rStyle w:val="VerbatimChar"/>
        </w:rPr>
        <w:t xml:space="preserve">ConnectorCertified</w:t>
      </w:r>
      <w:r>
        <w:t xml:space="preserve">; third-party LOS/LMS connectors are certified per RE under the same suite; attachable modules declare a</w:t>
      </w:r>
      <w:r>
        <w:t xml:space="preserve"> </w:t>
      </w:r>
      <w:r>
        <w:rPr>
          <w:rStyle w:val="VerbatimChar"/>
        </w:rPr>
        <w:t xml:space="preserve">module.yaml</w:t>
      </w:r>
      <w:r>
        <w:t xml:space="preserve"> </w:t>
      </w:r>
      <w:r>
        <w:t xml:space="preserve">manifest (Part 7A.0.3).</w:t>
      </w:r>
    </w:p>
    <w:p>
      <w:pPr>
        <w:numPr>
          <w:ilvl w:val="0"/>
          <w:numId w:val="1048"/>
        </w:numPr>
        <w:pStyle w:val="Compact"/>
      </w:pPr>
      <w:r>
        <w:rPr>
          <w:bCs/>
          <w:b/>
        </w:rPr>
        <w:t xml:space="preserve">v1.2 adapters:</w:t>
      </w:r>
      <w:r>
        <w:t xml:space="preserve"> </w:t>
      </w:r>
      <w:r>
        <w:rPr>
          <w:rStyle w:val="VerbatimChar"/>
        </w:rPr>
        <w:t xml:space="preserve">UdofinBillingGateway</w:t>
      </w:r>
      <w:r>
        <w:t xml:space="preserve"> </w:t>
      </w:r>
      <w:r>
        <w:t xml:space="preserve">(Razorpay on Udofin’s own merchant account, for Udofin revenue only and never for loan money; Part 7G RV3);</w:t>
      </w:r>
      <w:r>
        <w:t xml:space="preserve"> </w:t>
      </w:r>
      <w:r>
        <w:rPr>
          <w:rStyle w:val="VerbatimChar"/>
        </w:rPr>
        <w:t xml:space="preserve">CicConsumerChannel</w:t>
      </w:r>
      <w:r>
        <w:t xml:space="preserve"> </w:t>
      </w:r>
      <w:r>
        <w:t xml:space="preserve">(a CIC consumer-partner channel for the consumer’s own credit report, writing only to the wellness store; Part 7D FW1);</w:t>
      </w:r>
      <w:r>
        <w:t xml:space="preserve"> </w:t>
      </w:r>
      <w:r>
        <w:rPr>
          <w:rStyle w:val="VerbatimChar"/>
        </w:rPr>
        <w:t xml:space="preserve">InsurerAdapter</w:t>
      </w:r>
      <w:r>
        <w:t xml:space="preserve">,</w:t>
      </w:r>
      <w:r>
        <w:t xml:space="preserve"> </w:t>
      </w:r>
      <w:r>
        <w:rPr>
          <w:rStyle w:val="VerbatimChar"/>
        </w:rPr>
        <w:t xml:space="preserve">WebAggregatorAdapter</w:t>
      </w:r>
      <w:r>
        <w:t xml:space="preserve">,</w:t>
      </w:r>
      <w:r>
        <w:t xml:space="preserve"> </w:t>
      </w:r>
      <w:r>
        <w:rPr>
          <w:rStyle w:val="VerbatimChar"/>
        </w:rPr>
        <w:t xml:space="preserve">MfDistributionAdapter</w:t>
      </w:r>
      <w:r>
        <w:t xml:space="preserve">,</w:t>
      </w:r>
      <w:r>
        <w:t xml:space="preserve"> </w:t>
      </w:r>
      <w:r>
        <w:rPr>
          <w:rStyle w:val="VerbatimChar"/>
        </w:rPr>
        <w:t xml:space="preserve">BbpsAgentAdapter</w:t>
      </w:r>
      <w:r>
        <w:t xml:space="preserve"> </w:t>
      </w:r>
      <w:r>
        <w:t xml:space="preserve">and</w:t>
      </w:r>
      <w:r>
        <w:t xml:space="preserve"> </w:t>
      </w:r>
      <w:r>
        <w:rPr>
          <w:rStyle w:val="VerbatimChar"/>
        </w:rPr>
        <w:t xml:space="preserve">DepositDistributionAdapter</w:t>
      </w:r>
      <w:r>
        <w:t xml:space="preserve"> </w:t>
      </w:r>
      <w:r>
        <w:t xml:space="preserve">(each enabled only through the Part 7F XP1 licence gate; XP1.5);</w:t>
      </w:r>
      <w:r>
        <w:t xml:space="preserve"> </w:t>
      </w:r>
      <w:r>
        <w:rPr>
          <w:rStyle w:val="VerbatimChar"/>
        </w:rPr>
        <w:t xml:space="preserve">VoiceProvider</w:t>
      </w:r>
      <w:r>
        <w:t xml:space="preserve">,</w:t>
      </w:r>
      <w:r>
        <w:t xml:space="preserve"> </w:t>
      </w:r>
      <w:r>
        <w:rPr>
          <w:rStyle w:val="VerbatimChar"/>
        </w:rPr>
        <w:t xml:space="preserve">SpeechProvider</w:t>
      </w:r>
      <w:r>
        <w:t xml:space="preserve"> </w:t>
      </w:r>
      <w:r>
        <w:t xml:space="preserve">and</w:t>
      </w:r>
      <w:r>
        <w:t xml:space="preserve"> </w:t>
      </w:r>
      <w:r>
        <w:rPr>
          <w:rStyle w:val="VerbatimChar"/>
        </w:rPr>
        <w:t xml:space="preserve">ConversationAgent</w:t>
      </w:r>
      <w:r>
        <w:t xml:space="preserve"> </w:t>
      </w:r>
      <w:r>
        <w:t xml:space="preserve">alongside the messaging and LLM providers (Part 7H RA5; JioCX and Jio Business evaluated behind them);</w:t>
      </w:r>
      <w:r>
        <w:t xml:space="preserve"> </w:t>
      </w:r>
      <w:r>
        <w:rPr>
          <w:rStyle w:val="VerbatimChar"/>
        </w:rPr>
        <w:t xml:space="preserve">StorageTarget</w:t>
      </w:r>
      <w:r>
        <w:t xml:space="preserve"> </w:t>
      </w:r>
      <w:r>
        <w:t xml:space="preserve">for RE-controlled storage (Integration Spec 12.2: AWS S3, Azure Blob, Google Cloud Storage, SharePoint or OneDrive, RE data centre; Google Drive for non-regulated data only, never borrower data; RA3.4); and the society membership-verification and membership-application APIs (Part 7E MG1.10).</w:t>
      </w:r>
    </w:p>
    <w:p>
      <w:pPr>
        <w:numPr>
          <w:ilvl w:val="0"/>
          <w:numId w:val="1048"/>
        </w:numPr>
        <w:pStyle w:val="Compact"/>
      </w:pPr>
      <w:r>
        <w:rPr>
          <w:bCs/>
          <w:b/>
        </w:rPr>
        <w:t xml:space="preserve">Mock and sandbox first;</w:t>
      </w:r>
      <w:r>
        <w:t xml:space="preserve"> </w:t>
      </w:r>
      <w:r>
        <w:t xml:space="preserve">production adapters only with real credentials, clearly labelled.</w:t>
      </w:r>
    </w:p>
    <w:p>
      <w:pPr>
        <w:numPr>
          <w:ilvl w:val="0"/>
          <w:numId w:val="1048"/>
        </w:numPr>
        <w:pStyle w:val="Compact"/>
      </w:pPr>
      <w:r>
        <w:rPr>
          <w:bCs/>
          <w:b/>
        </w:rPr>
        <w:t xml:space="preserve">Controls:</w:t>
      </w:r>
      <w:r>
        <w:t xml:space="preserve"> </w:t>
      </w:r>
      <w:r>
        <w:t xml:space="preserve">OAuth2 client credentials and mTLS; signed webhooks with replay protection; rate limits; timeouts; retries; credential vault with rotation; per-call cost and latency logging without PII.</w:t>
      </w:r>
    </w:p>
    <w:p>
      <w:pPr>
        <w:numPr>
          <w:ilvl w:val="0"/>
          <w:numId w:val="1048"/>
        </w:numPr>
        <w:pStyle w:val="Compact"/>
      </w:pPr>
      <w:r>
        <w:rPr>
          <w:bCs/>
          <w:b/>
        </w:rPr>
        <w:t xml:space="preserve">Integration monitor</w:t>
      </w:r>
      <w:r>
        <w:t xml:space="preserve"> </w:t>
      </w:r>
      <w:r>
        <w:t xml:space="preserve">in the ops portal with health, error rates and alerts.</w:t>
      </w:r>
    </w:p>
    <w:bookmarkEnd w:id="88"/>
    <w:bookmarkStart w:id="89" w:name="X27edfbf255ca91f2d6945e9a28a4bab282bad80"/>
    <w:p>
      <w:pPr>
        <w:pStyle w:val="Heading2"/>
      </w:pPr>
      <w:r>
        <w:t xml:space="preserve">U22. Field and assisted-onboarding app (optional)</w:t>
      </w:r>
    </w:p>
    <w:p>
      <w:pPr>
        <w:pStyle w:val="FirstParagraph"/>
      </w:pPr>
      <w:r>
        <w:t xml:space="preserve">Purpose: support assisted onboarding and, only where appointed, field collections.</w:t>
      </w:r>
    </w:p>
    <w:p>
      <w:pPr>
        <w:numPr>
          <w:ilvl w:val="0"/>
          <w:numId w:val="1049"/>
        </w:numPr>
        <w:pStyle w:val="Compact"/>
      </w:pPr>
      <w:r>
        <w:rPr>
          <w:bCs/>
          <w:b/>
        </w:rPr>
        <w:t xml:space="preserve">Expo app</w:t>
      </w:r>
      <w:r>
        <w:t xml:space="preserve"> </w:t>
      </w:r>
      <w:r>
        <w:t xml:space="preserve">separate from the borrower app, distributed through managed channels.</w:t>
      </w:r>
    </w:p>
    <w:p>
      <w:pPr>
        <w:numPr>
          <w:ilvl w:val="0"/>
          <w:numId w:val="1049"/>
        </w:numPr>
        <w:pStyle w:val="Compact"/>
      </w:pPr>
      <w:r>
        <w:rPr>
          <w:bCs/>
          <w:b/>
        </w:rPr>
        <w:t xml:space="preserve">Assisted onboarding:</w:t>
      </w:r>
      <w:r>
        <w:t xml:space="preserve"> </w:t>
      </w:r>
      <w:r>
        <w:t xml:space="preserve">the borrower still gives consent on their own device or by OTP; the agent never enters OTPs for the borrower.</w:t>
      </w:r>
    </w:p>
    <w:p>
      <w:pPr>
        <w:numPr>
          <w:ilvl w:val="0"/>
          <w:numId w:val="1049"/>
        </w:numPr>
        <w:pStyle w:val="Compact"/>
      </w:pPr>
      <w:r>
        <w:rPr>
          <w:bCs/>
          <w:b/>
        </w:rPr>
        <w:t xml:space="preserve">Collections:</w:t>
      </w:r>
      <w:r>
        <w:t xml:space="preserve"> </w:t>
      </w:r>
      <w:r>
        <w:t xml:space="preserve">allocated cases only (U13); geo-tagged visits on the agent’s device; digital receipts; offline sync with conflict resolution.</w:t>
      </w:r>
    </w:p>
    <w:p>
      <w:pPr>
        <w:numPr>
          <w:ilvl w:val="0"/>
          <w:numId w:val="1049"/>
        </w:numPr>
        <w:pStyle w:val="Compact"/>
      </w:pPr>
      <w:r>
        <w:rPr>
          <w:bCs/>
          <w:b/>
        </w:rPr>
        <w:t xml:space="preserve">Device controls:</w:t>
      </w:r>
      <w:r>
        <w:t xml:space="preserve"> </w:t>
      </w:r>
      <w:r>
        <w:t xml:space="preserve">device binding, remote wipe, no access to contacts, SMS or call logs, minimum permissions.</w:t>
      </w:r>
    </w:p>
    <w:p>
      <w:pPr>
        <w:numPr>
          <w:ilvl w:val="0"/>
          <w:numId w:val="1049"/>
        </w:numPr>
        <w:pStyle w:val="Compact"/>
      </w:pPr>
      <w:r>
        <w:rPr>
          <w:bCs/>
          <w:b/>
        </w:rPr>
        <w:t xml:space="preserve">v1.2:</w:t>
      </w:r>
      <w:r>
        <w:t xml:space="preserve"> </w:t>
      </w:r>
      <w:r>
        <w:t xml:space="preserve">assisted mode, offline-first field operation, low-literacy consent, group and centre meetings, and field and group collection records for co-operative societies and microfinance JLG/SHG lending are Part 7E MG4. Udofin never holds cash; Udofin staff collect cash only as the appointed recovery agent on delinquent loans (Part 7A UR4; CF para 10(5)); the default at centre meetings is a UPI QR per member paying the lender’s account, and cash collection by an RE’s own staff on loans sourced through the DLA needs the RE’s legal opinion (CF para 10(2), 10(5)).</w:t>
      </w:r>
    </w:p>
    <w:bookmarkEnd w:id="89"/>
    <w:bookmarkStart w:id="90" w:name="Xed4589deb760055d10bfd49e5600f7a84fd627a"/>
    <w:p>
      <w:pPr>
        <w:pStyle w:val="Heading2"/>
      </w:pPr>
      <w:r>
        <w:t xml:space="preserve">U23. Administration, white-labelling and theming</w:t>
      </w:r>
    </w:p>
    <w:p>
      <w:pPr>
        <w:pStyle w:val="FirstParagraph"/>
      </w:pPr>
      <w:r>
        <w:t xml:space="preserve">Purpose: let Udofin and each RE configure without code changes, inside guard-rails.</w:t>
      </w:r>
    </w:p>
    <w:p>
      <w:pPr>
        <w:numPr>
          <w:ilvl w:val="0"/>
          <w:numId w:val="1050"/>
        </w:numPr>
        <w:pStyle w:val="Compact"/>
      </w:pPr>
      <w:r>
        <w:rPr>
          <w:bCs/>
          <w:b/>
        </w:rPr>
        <w:t xml:space="preserve">Users and roles:</w:t>
      </w:r>
      <w:r>
        <w:t xml:space="preserve"> </w:t>
      </w:r>
      <w:r>
        <w:t xml:space="preserve">RBAC plus attribute scopes (RE, product, function); maker-checker per permission; MFA mandatory for staff; break-glass access with audit.</w:t>
      </w:r>
    </w:p>
    <w:p>
      <w:pPr>
        <w:numPr>
          <w:ilvl w:val="0"/>
          <w:numId w:val="1050"/>
        </w:numPr>
        <w:pStyle w:val="Compact"/>
      </w:pPr>
      <w:r>
        <w:rPr>
          <w:bCs/>
          <w:b/>
        </w:rPr>
        <w:t xml:space="preserve">Feature flags (</w:t>
      </w:r>
      <w:r>
        <w:rPr>
          <w:rStyle w:val="VerbatimChar"/>
          <w:bCs/>
          <w:b/>
        </w:rPr>
        <w:t xml:space="preserve">feature_flag</w:t>
      </w:r>
      <w:r>
        <w:rPr>
          <w:bCs/>
          <w:b/>
        </w:rPr>
        <w:t xml:space="preserve">):</w:t>
      </w:r>
      <w:r>
        <w:t xml:space="preserve"> </w:t>
      </w:r>
      <w:r>
        <w:t xml:space="preserve">per platform, RE, product, channel and app version.</w:t>
      </w:r>
    </w:p>
    <w:p>
      <w:pPr>
        <w:numPr>
          <w:ilvl w:val="0"/>
          <w:numId w:val="1050"/>
        </w:numPr>
        <w:pStyle w:val="Compact"/>
      </w:pPr>
      <w:r>
        <w:rPr>
          <w:bCs/>
          <w:b/>
        </w:rPr>
        <w:t xml:space="preserve">Theming (</w:t>
      </w:r>
      <w:r>
        <w:rPr>
          <w:rStyle w:val="VerbatimChar"/>
          <w:bCs/>
          <w:b/>
        </w:rPr>
        <w:t xml:space="preserve">theme_config</w:t>
      </w:r>
      <w:r>
        <w:rPr>
          <w:bCs/>
          <w:b/>
        </w:rPr>
        <w:t xml:space="preserve">):</w:t>
      </w:r>
      <w:r>
        <w:t xml:space="preserve"> </w:t>
      </w:r>
      <w:r>
        <w:t xml:space="preserve">design tokens (colour, typography, spacing, radius, logo) shared by the mobile and web design systems; dark mode; accessibility contrast checks on every theme; RE co-branding within the offer view limited to the lender name and logo at equal size.</w:t>
      </w:r>
    </w:p>
    <w:p>
      <w:pPr>
        <w:numPr>
          <w:ilvl w:val="0"/>
          <w:numId w:val="1050"/>
        </w:numPr>
        <w:pStyle w:val="Compact"/>
      </w:pPr>
      <w:r>
        <w:rPr>
          <w:bCs/>
          <w:b/>
        </w:rPr>
        <w:t xml:space="preserve">White-label build pipeline</w:t>
      </w:r>
      <w:r>
        <w:t xml:space="preserve"> </w:t>
      </w:r>
      <w:r>
        <w:t xml:space="preserve">[assess]: per-RE app identifiers, store listings and signing handled by the RE as account owner.</w:t>
      </w:r>
    </w:p>
    <w:p>
      <w:pPr>
        <w:numPr>
          <w:ilvl w:val="0"/>
          <w:numId w:val="1050"/>
        </w:numPr>
        <w:pStyle w:val="Compact"/>
      </w:pPr>
      <w:r>
        <w:rPr>
          <w:bCs/>
          <w:b/>
        </w:rPr>
        <w:t xml:space="preserve">Configurable</w:t>
      </w:r>
      <w:r>
        <w:t xml:space="preserve"> </w:t>
      </w:r>
      <w:r>
        <w:t xml:space="preserve">forms, checklists, templates and journey copy within the layers of Part 3.4.</w:t>
      </w:r>
    </w:p>
    <w:p>
      <w:pPr>
        <w:numPr>
          <w:ilvl w:val="0"/>
          <w:numId w:val="1050"/>
        </w:numPr>
        <w:pStyle w:val="Compact"/>
      </w:pPr>
      <w:r>
        <w:rPr>
          <w:bCs/>
          <w:b/>
        </w:rPr>
        <w:t xml:space="preserve">Audit trail:</w:t>
      </w:r>
      <w:r>
        <w:t xml:space="preserve"> </w:t>
      </w:r>
      <w:r>
        <w:t xml:space="preserve">immutable, hash-chained, who/what/when/where with before and after values.</w:t>
      </w:r>
    </w:p>
    <w:bookmarkEnd w:id="90"/>
    <w:bookmarkStart w:id="91" w:name="Xf16e097fa092d4e1fca4a4a67c9e69f62b25dc0"/>
    <w:p>
      <w:pPr>
        <w:pStyle w:val="Heading2"/>
      </w:pPr>
      <w:r>
        <w:t xml:space="preserve">U24. Security operations, fraud and risk signals</w:t>
      </w:r>
    </w:p>
    <w:p>
      <w:pPr>
        <w:pStyle w:val="FirstParagraph"/>
      </w:pPr>
      <w:r>
        <w:t xml:space="preserve">Purpose: protect borrowers, REs and Udofin, and report incidents within the RE’s regulatory timelines.</w:t>
      </w:r>
    </w:p>
    <w:p>
      <w:pPr>
        <w:numPr>
          <w:ilvl w:val="0"/>
          <w:numId w:val="1051"/>
        </w:numPr>
        <w:pStyle w:val="Compact"/>
      </w:pPr>
      <w:r>
        <w:rPr>
          <w:bCs/>
          <w:b/>
        </w:rPr>
        <w:t xml:space="preserve">Fraud signals:</w:t>
      </w:r>
      <w:r>
        <w:t xml:space="preserve"> </w:t>
      </w:r>
      <w:r>
        <w:t xml:space="preserve">device integrity, emulator and remote-access detection, velocity, synthetic-identity indicators, document tampering, mule-account checks on beneficiary accounts; signals shared with the RE as evidence, never as a decision.</w:t>
      </w:r>
    </w:p>
    <w:p>
      <w:pPr>
        <w:numPr>
          <w:ilvl w:val="0"/>
          <w:numId w:val="1051"/>
        </w:numPr>
        <w:pStyle w:val="Compact"/>
      </w:pPr>
      <w:r>
        <w:rPr>
          <w:bCs/>
          <w:b/>
        </w:rPr>
        <w:t xml:space="preserve">Security monitoring:</w:t>
      </w:r>
      <w:r>
        <w:t xml:space="preserve"> </w:t>
      </w:r>
      <w:r>
        <w:t xml:space="preserve">centralised logs without Aadhaar, PAN or OTP; SIEM alerts; WAF; DDoS protection; secrets scanning.</w:t>
      </w:r>
    </w:p>
    <w:p>
      <w:pPr>
        <w:numPr>
          <w:ilvl w:val="0"/>
          <w:numId w:val="1051"/>
        </w:numPr>
        <w:pStyle w:val="Compact"/>
      </w:pPr>
      <w:r>
        <w:rPr>
          <w:bCs/>
          <w:b/>
        </w:rPr>
        <w:t xml:space="preserve">Incident management:</w:t>
      </w:r>
      <w:r>
        <w:t xml:space="preserve"> </w:t>
      </w:r>
      <w:r>
        <w:t xml:space="preserve">severity matrix; notification to each affected RE without undue delay, target 2 hours from Udofin’s detection, so the RE can report to RBI within six hours of Udofin’s detection (OUT para 61); Udofin’s own CERT-In report within 6 hours (CERT-In Directions, 28 Apr 2022); where Udofin is Data Fiduciary, DPDP breach intimation to the Board and affected Data Principals without delay and a detailed report to the Board within 72 hours (DPDP Rules, from 13 May 2027); where it is the RE’s processor, notice to the RE within the same 2-hour target; post-incident reviews.</w:t>
      </w:r>
    </w:p>
    <w:p>
      <w:pPr>
        <w:numPr>
          <w:ilvl w:val="0"/>
          <w:numId w:val="1051"/>
        </w:numPr>
        <w:pStyle w:val="Compact"/>
      </w:pPr>
      <w:r>
        <w:rPr>
          <w:bCs/>
          <w:b/>
        </w:rPr>
        <w:t xml:space="preserve">Testing:</w:t>
      </w:r>
      <w:r>
        <w:t xml:space="preserve"> </w:t>
      </w:r>
      <w:r>
        <w:t xml:space="preserve">independent security review that tries to break the system: cross-RE access, IDOR, privilege escalation, insecure document links, replayed requests, webhook forgery, unauthorised admin actions (original</w:t>
      </w:r>
      <w:r>
        <w:t xml:space="preserve"> </w:t>
      </w:r>
      <w:r>
        <w:t xml:space="preserve">“</w:t>
      </w:r>
      <w:r>
        <w:t xml:space="preserve">important addition</w:t>
      </w:r>
      <w:r>
        <w:t xml:space="preserve">”</w:t>
      </w:r>
      <w:r>
        <w:t xml:space="preserve"> </w:t>
      </w:r>
      <w:r>
        <w:t xml:space="preserve">1); VAPT before every major release.</w:t>
      </w:r>
    </w:p>
    <w:p>
      <w:pPr>
        <w:numPr>
          <w:ilvl w:val="0"/>
          <w:numId w:val="1051"/>
        </w:numPr>
        <w:pStyle w:val="Compact"/>
      </w:pPr>
      <w:r>
        <w:rPr>
          <w:bCs/>
          <w:b/>
        </w:rPr>
        <w:t xml:space="preserve">App protection:</w:t>
      </w:r>
      <w:r>
        <w:t xml:space="preserve"> </w:t>
      </w:r>
      <w:r>
        <w:t xml:space="preserve">certificate pinning, obfuscation, secure storage, screenshot blocking on sensitive screens, no secrets in the app bundle; published app checksum or store link per DPS para 68(5) baseline.</w:t>
      </w:r>
    </w:p>
    <w:p>
      <w:pPr>
        <w:numPr>
          <w:ilvl w:val="0"/>
          <w:numId w:val="1051"/>
        </w:numPr>
        <w:pStyle w:val="Compact"/>
      </w:pPr>
      <w:r>
        <w:rPr>
          <w:bCs/>
          <w:b/>
        </w:rPr>
        <w:t xml:space="preserve">v1.2:</w:t>
      </w:r>
      <w:r>
        <w:t xml:space="preserve"> </w:t>
      </w:r>
      <w:r>
        <w:t xml:space="preserve">Udofin’s LSP risk management function (risk register, KRIs, DLG 5% cap monitoring, loss events, RCSA, impact tolerances, quarterly RE pack and the LawDocsComply feed) is Part 7H RA1; fraud signals to REs stay here as</w:t>
      </w:r>
      <w:r>
        <w:t xml:space="preserve"> </w:t>
      </w:r>
      <w:r>
        <w:rPr>
          <w:rStyle w:val="VerbatimChar"/>
        </w:rPr>
        <w:t xml:space="preserve">RiskSignalRaised</w:t>
      </w:r>
      <w:r>
        <w:t xml:space="preserve">; app-store release controls and mobile VAPT to OWASP MASVS are RA4.2–RA4.3.</w:t>
      </w:r>
    </w:p>
    <w:bookmarkEnd w:id="91"/>
    <w:bookmarkStart w:id="92" w:name="Xb66d87f9fbeaa81828aa4cce39b197412bceace"/>
    <w:p>
      <w:pPr>
        <w:pStyle w:val="Heading2"/>
      </w:pPr>
      <w:r>
        <w:t xml:space="preserve">U25. Borrower financial dashboard and transparency</w:t>
      </w:r>
    </w:p>
    <w:p>
      <w:pPr>
        <w:pStyle w:val="FirstParagraph"/>
      </w:pPr>
      <w:r>
        <w:t xml:space="preserve">Purpose: give the borrower a trustworthy</w:t>
      </w:r>
      <w:r>
        <w:t xml:space="preserve"> </w:t>
      </w:r>
      <w:r>
        <w:t xml:space="preserve">“</w:t>
      </w:r>
      <w:r>
        <w:t xml:space="preserve">books of accounts</w:t>
      </w:r>
      <w:r>
        <w:t xml:space="preserve">”</w:t>
      </w:r>
      <w:r>
        <w:t xml:space="preserve"> </w:t>
      </w:r>
      <w:r>
        <w:t xml:space="preserve">view of their borrowing through Udofin.</w:t>
      </w:r>
    </w:p>
    <w:p>
      <w:pPr>
        <w:numPr>
          <w:ilvl w:val="0"/>
          <w:numId w:val="1052"/>
        </w:numPr>
        <w:pStyle w:val="Compact"/>
      </w:pPr>
      <w:r>
        <w:rPr>
          <w:bCs/>
          <w:b/>
        </w:rPr>
        <w:t xml:space="preserve">Loan ledger per loan:</w:t>
      </w:r>
      <w:r>
        <w:t xml:space="preserve"> </w:t>
      </w:r>
      <w:r>
        <w:t xml:space="preserve">disbursed amount and date, every charge with its KFS reference, every payment with the RE’s receipt, interest, penal charges, outstanding, next due, cooling-off status; data from the loan mirror with</w:t>
      </w:r>
      <w:r>
        <w:t xml:space="preserve"> </w:t>
      </w:r>
      <w:r>
        <w:t xml:space="preserve">“</w:t>
      </w:r>
      <w:r>
        <w:t xml:space="preserve">as at</w:t>
      </w:r>
      <w:r>
        <w:t xml:space="preserve">”</w:t>
      </w:r>
      <w:r>
        <w:t xml:space="preserve"> </w:t>
      </w:r>
      <w:r>
        <w:t xml:space="preserve">time.</w:t>
      </w:r>
    </w:p>
    <w:p>
      <w:pPr>
        <w:numPr>
          <w:ilvl w:val="0"/>
          <w:numId w:val="1052"/>
        </w:numPr>
        <w:pStyle w:val="Compact"/>
      </w:pPr>
      <w:r>
        <w:rPr>
          <w:bCs/>
          <w:b/>
        </w:rPr>
        <w:t xml:space="preserve">Across loans:</w:t>
      </w:r>
      <w:r>
        <w:t xml:space="preserve"> </w:t>
      </w:r>
      <w:r>
        <w:t xml:space="preserve">total outstanding, monthly obligations, and a simple obligations-to-income view using the income the borrower declared.</w:t>
      </w:r>
    </w:p>
    <w:p>
      <w:pPr>
        <w:numPr>
          <w:ilvl w:val="0"/>
          <w:numId w:val="1052"/>
        </w:numPr>
        <w:pStyle w:val="Compact"/>
      </w:pPr>
      <w:r>
        <w:rPr>
          <w:bCs/>
          <w:b/>
        </w:rPr>
        <w:t xml:space="preserve">Explainers:</w:t>
      </w:r>
      <w:r>
        <w:t xml:space="preserve"> </w:t>
      </w:r>
      <w:r>
        <w:t xml:space="preserve">APR, penal charges, prepayment rights, cooling-off, grievance route, how Udofin is paid (by the RE for every loan service, never by the borrower; optional non-loan plans, if launched, are separate and never linked to a loan; Part 7G RV2.3).</w:t>
      </w:r>
    </w:p>
    <w:p>
      <w:pPr>
        <w:numPr>
          <w:ilvl w:val="0"/>
          <w:numId w:val="1052"/>
        </w:numPr>
        <w:pStyle w:val="Compact"/>
      </w:pPr>
      <w:r>
        <w:rPr>
          <w:bCs/>
          <w:b/>
        </w:rPr>
        <w:t xml:space="preserve">Downloads:</w:t>
      </w:r>
      <w:r>
        <w:t xml:space="preserve"> </w:t>
      </w:r>
      <w:r>
        <w:t xml:space="preserve">moved to Part 7C UB1 (my documents and my data), which covers statements, KFS, agreements, receipts, certificates and the borrower’s full data package; tax documents are UB2.</w:t>
      </w:r>
    </w:p>
    <w:p>
      <w:pPr>
        <w:numPr>
          <w:ilvl w:val="0"/>
          <w:numId w:val="1052"/>
        </w:numPr>
        <w:pStyle w:val="Compact"/>
      </w:pPr>
      <w:r>
        <w:rPr>
          <w:bCs/>
          <w:b/>
        </w:rPr>
        <w:t xml:space="preserve">Personal expense tracking</w:t>
      </w:r>
      <w:r>
        <w:t xml:space="preserve"> </w:t>
      </w:r>
      <w:r>
        <w:t xml:space="preserve">is replaced by Part 7D FW3 (expense tracker and budget planner): separate store, separate consent, user-entered or user-uploaded data only (no SMS, notification or inbox reading), behind the FW4 gates. Udofin is not an FIU and cannot pull bank data for this purpose (AA para 8(12)); wellness data never feeds any loan screen, decision or RE.</w:t>
      </w:r>
    </w:p>
    <w:p>
      <w:pPr>
        <w:numPr>
          <w:ilvl w:val="0"/>
          <w:numId w:val="1052"/>
        </w:numPr>
        <w:pStyle w:val="Compact"/>
      </w:pPr>
      <w:r>
        <w:rPr>
          <w:bCs/>
          <w:b/>
        </w:rPr>
        <w:t xml:space="preserve">Feedback and trust signals:</w:t>
      </w:r>
      <w:r>
        <w:t xml:space="preserve"> </w:t>
      </w:r>
      <w:r>
        <w:t xml:space="preserve">RE disclosures, Udofin’s GRO, data and permission summary (</w:t>
      </w:r>
      <w:r>
        <w:t xml:space="preserve">“</w:t>
      </w:r>
      <w:r>
        <w:t xml:space="preserve">what Udofin can access on this phone</w:t>
      </w:r>
      <w:r>
        <w:t xml:space="preserve">”</w:t>
      </w:r>
      <w:r>
        <w:t xml:space="preserve">).</w:t>
      </w:r>
    </w:p>
    <w:p>
      <w:r>
        <w:pict>
          <v:rect style="width:0;height:1.5pt" o:hralign="center" o:hrstd="t" o:hr="t"/>
        </w:pict>
      </w:r>
    </w:p>
    <w:bookmarkEnd w:id="92"/>
    <w:bookmarkEnd w:id="93"/>
    <w:bookmarkStart w:id="106" w:name="Xfb6116013bf132986eaf19b461195d0ad57ed91"/>
    <w:p>
      <w:pPr>
        <w:pStyle w:val="Heading1"/>
      </w:pPr>
      <w:r>
        <w:t xml:space="preserve">PART 7A — RECOVERY SUPPORT, NOTICES AND ADR ACCESS (LSP SCOPE; ATTACHABLE)</w:t>
      </w:r>
    </w:p>
    <w:p>
      <w:pPr>
        <w:pStyle w:val="FirstParagraph"/>
      </w:pPr>
      <w:r>
        <w:t xml:space="preserve">This Part specifies the</w:t>
      </w:r>
      <w:r>
        <w:t xml:space="preserve"> </w:t>
      </w:r>
      <w:r>
        <w:rPr>
          <w:bCs/>
          <w:b/>
        </w:rPr>
        <w:t xml:space="preserve">LSP-scope subset</w:t>
      </w:r>
      <w:r>
        <w:t xml:space="preserve"> </w:t>
      </w:r>
      <w:r>
        <w:t xml:space="preserve">of the Infrabyx Recovery, Litigation and ADR Suite. The full lender-side suite is Finbyx Part 7A (R1–R16), which runs in the RE’s system of record. Udofin builds six modules (UR1–UR6) as one attachable module pack,</w:t>
      </w:r>
      <w:r>
        <w:t xml:space="preserve"> </w:t>
      </w:r>
      <w:r>
        <w:rPr>
          <w:rStyle w:val="VerbatimChar"/>
        </w:rPr>
        <w:t xml:space="preserve">modules/ur-recovery-support/</w:t>
      </w:r>
      <w:r>
        <w:t xml:space="preserve">, that an RE switches on per product and per capability. Where Part 7A differs from U13 or U15,</w:t>
      </w:r>
      <w:r>
        <w:t xml:space="preserve"> </w:t>
      </w:r>
      <w:r>
        <w:rPr>
          <w:bCs/>
          <w:b/>
        </w:rPr>
        <w:t xml:space="preserve">Part 7A prevails</w:t>
      </w:r>
      <w:r>
        <w:t xml:space="preserve">. Events, APIs and connector rules follow the Infrabyx Ecosystem Integration Specification (</w:t>
      </w:r>
      <w:r>
        <w:rPr>
          <w:rStyle w:val="VerbatimChar"/>
        </w:rPr>
        <w:t xml:space="preserve">docs/ecosystem/infrabyx-integration-spec.md</w:t>
      </w:r>
      <w:r>
        <w:t xml:space="preserve">); event names below are the canonical names and must not be renamed.</w:t>
      </w:r>
    </w:p>
    <w:p>
      <w:pPr>
        <w:pStyle w:val="BodyText"/>
      </w:pPr>
      <w:r>
        <w:t xml:space="preserve">Labels:</w:t>
      </w:r>
      <w:r>
        <w:t xml:space="preserve"> </w:t>
      </w:r>
      <w:r>
        <w:rPr>
          <w:bCs/>
          <w:b/>
        </w:rPr>
        <w:t xml:space="preserve">[LAW]</w:t>
      </w:r>
      <w:r>
        <w:t xml:space="preserve"> </w:t>
      </w:r>
      <w:r>
        <w:t xml:space="preserve">statute, regulation or Direction text;</w:t>
      </w:r>
      <w:r>
        <w:t xml:space="preserve"> </w:t>
      </w:r>
      <w:r>
        <w:rPr>
          <w:bCs/>
          <w:b/>
        </w:rPr>
        <w:t xml:space="preserve">[JUD]</w:t>
      </w:r>
      <w:r>
        <w:t xml:space="preserve"> </w:t>
      </w:r>
      <w:r>
        <w:t xml:space="preserve">judicial interpretation;</w:t>
      </w:r>
      <w:r>
        <w:t xml:space="preserve"> </w:t>
      </w:r>
      <w:r>
        <w:rPr>
          <w:bCs/>
          <w:b/>
        </w:rPr>
        <w:t xml:space="preserve">[INTERP]</w:t>
      </w:r>
      <w:r>
        <w:t xml:space="preserve"> </w:t>
      </w:r>
      <w:r>
        <w:t xml:space="preserve">our reading;</w:t>
      </w:r>
      <w:r>
        <w:t xml:space="preserve"> </w:t>
      </w:r>
      <w:r>
        <w:rPr>
          <w:bCs/>
          <w:b/>
        </w:rPr>
        <w:t xml:space="preserve">[REC]</w:t>
      </w:r>
      <w:r>
        <w:t xml:space="preserve"> </w:t>
      </w:r>
      <w:r>
        <w:t xml:space="preserve">recommendation. Anything unconfirmed carries</w:t>
      </w:r>
      <w:r>
        <w:t xml:space="preserve"> </w:t>
      </w:r>
      <w:r>
        <w:rPr>
          <w:rStyle w:val="VerbatimChar"/>
        </w:rPr>
        <w:t xml:space="preserve">[VERIFY: …]</w:t>
      </w:r>
      <w:r>
        <w:t xml:space="preserve">.</w:t>
      </w:r>
    </w:p>
    <w:bookmarkStart w:id="99" w:name="X6ea651605d939b5aacc6c628f0b403955c8e240"/>
    <w:p>
      <w:pPr>
        <w:pStyle w:val="Heading2"/>
      </w:pPr>
      <w:r>
        <w:t xml:space="preserve">7A.0 Scope, attach and detach, and LSP limits</w:t>
      </w:r>
    </w:p>
    <w:bookmarkStart w:id="94" w:name="a.0.1-what-binds-udofin-in-recovery"/>
    <w:p>
      <w:pPr>
        <w:pStyle w:val="Heading3"/>
      </w:pPr>
      <w:r>
        <w:t xml:space="preserve">7A.0.1 What binds Udofin in recovery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022"/>
        <w:gridCol w:w="2955"/>
        <w:gridCol w:w="3661"/>
      </w:tblGrid>
      <w:tr>
        <w:trPr>
          <w:tblHeader w:val="true"/>
          <w:tblHeader w:val="true"/>
        </w:trPr>
        <w:tc>
          <w:tcPr>
            <w:tcW w:w="3022" w:type="dxa"/>
            <w:shd w:val="clear" w:color="auto" w:fill="1F3A5F"/>
          </w:tcPr>
          <w:p>
            <w:pPr>
              <w:pStyle w:val="Compact"/>
              <w:spacing w:after="40"/>
              <w:jc w:val="left"/>
            </w:pPr>
            <w:r>
              <w:rPr>
                <w:b/>
                <w:color w:val="FFFFFF"/>
                <w:sz w:val="18"/>
              </w:rPr>
              <w:t xml:space="preserve">Rule</w:t>
            </w:r>
          </w:p>
        </w:tc>
        <w:tc>
          <w:tcPr>
            <w:tcW w:w="2955" w:type="dxa"/>
            <w:shd w:val="clear" w:color="auto" w:fill="1F3A5F"/>
          </w:tcPr>
          <w:p>
            <w:pPr>
              <w:pStyle w:val="Compact"/>
              <w:spacing w:after="40"/>
              <w:jc w:val="left"/>
            </w:pPr>
            <w:r>
              <w:rPr>
                <w:b/>
                <w:color w:val="FFFFFF"/>
                <w:sz w:val="18"/>
              </w:rPr>
              <w:t xml:space="preserve">Source</w:t>
            </w:r>
          </w:p>
        </w:tc>
        <w:tc>
          <w:tcPr>
            <w:tcW w:w="3661" w:type="dxa"/>
            <w:shd w:val="clear" w:color="auto" w:fill="1F3A5F"/>
          </w:tcPr>
          <w:p>
            <w:pPr>
              <w:pStyle w:val="Compact"/>
              <w:spacing w:after="40"/>
              <w:jc w:val="left"/>
            </w:pPr>
            <w:r>
              <w:rPr>
                <w:b/>
                <w:color w:val="FFFFFF"/>
                <w:sz w:val="18"/>
              </w:rPr>
              <w:t xml:space="preserve">Effect on Udofin</w:t>
            </w:r>
          </w:p>
        </w:tc>
      </w:tr>
      <w:tr>
        <w:tc>
          <w:tcPr>
            <w:tcW w:w="3022" w:type="dxa"/>
          </w:tcPr>
          <w:p>
            <w:pPr>
              <w:pStyle w:val="Compact"/>
              <w:spacing w:after="40"/>
              <w:jc w:val="left"/>
            </w:pPr>
            <w:r>
              <w:rPr>
                <w:sz w:val="18"/>
              </w:rPr>
              <w:t xml:space="preserve">The RE guides an LSP acting as recovery agent to comply with RBC and stays fully liable; the RE answers for its recovery agents</w:t>
            </w:r>
          </w:p>
        </w:tc>
        <w:tc>
          <w:tcPr>
            <w:tcW w:w="2955" w:type="dxa"/>
          </w:tcPr>
          <w:p>
            <w:pPr>
              <w:pStyle w:val="Compact"/>
              <w:spacing w:after="40"/>
              <w:jc w:val="left"/>
            </w:pPr>
            <w:r>
              <w:rPr>
                <w:sz w:val="18"/>
              </w:rPr>
              <w:t xml:space="preserve">[LAW] CF paras 6(5), 6(7); OUT para 17</w:t>
            </w:r>
          </w:p>
        </w:tc>
        <w:tc>
          <w:tcPr>
            <w:tcW w:w="3661" w:type="dxa"/>
          </w:tcPr>
          <w:p>
            <w:pPr>
              <w:pStyle w:val="Compact"/>
              <w:spacing w:after="40"/>
              <w:jc w:val="left"/>
            </w:pPr>
            <w:r>
              <w:rPr>
                <w:sz w:val="18"/>
              </w:rPr>
              <w:t xml:space="preserve">UR4 only under an explicit recovery-agent contract (U1); RE suspension switch</w:t>
            </w:r>
          </w:p>
        </w:tc>
      </w:tr>
      <w:tr>
        <w:tc>
          <w:tcPr>
            <w:tcW w:w="3022" w:type="dxa"/>
          </w:tcPr>
          <w:p>
            <w:pPr>
              <w:pStyle w:val="Compact"/>
              <w:spacing w:after="40"/>
              <w:jc w:val="left"/>
            </w:pPr>
            <w:r>
              <w:rPr>
                <w:sz w:val="18"/>
              </w:rPr>
              <w:t xml:space="preserve">Agent particulars to the borrower by email or SMS before the agent’s first contact, on every assignment or change</w:t>
            </w:r>
          </w:p>
        </w:tc>
        <w:tc>
          <w:tcPr>
            <w:tcW w:w="2955" w:type="dxa"/>
          </w:tcPr>
          <w:p>
            <w:pPr>
              <w:pStyle w:val="Compact"/>
              <w:spacing w:after="40"/>
              <w:jc w:val="left"/>
            </w:pPr>
            <w:r>
              <w:rPr>
                <w:sz w:val="18"/>
              </w:rPr>
              <w:t xml:space="preserve">[LAW] CF para 9(6)</w:t>
            </w:r>
          </w:p>
        </w:tc>
        <w:tc>
          <w:tcPr>
            <w:tcW w:w="3661" w:type="dxa"/>
          </w:tcPr>
          <w:p>
            <w:pPr>
              <w:pStyle w:val="Compact"/>
              <w:spacing w:after="40"/>
              <w:jc w:val="left"/>
            </w:pPr>
            <w:r>
              <w:rPr>
                <w:sz w:val="18"/>
              </w:rPr>
              <w:t xml:space="preserve">UR4 hard gate</w:t>
            </w:r>
          </w:p>
        </w:tc>
      </w:tr>
      <w:tr>
        <w:tc>
          <w:tcPr>
            <w:tcW w:w="3022" w:type="dxa"/>
          </w:tcPr>
          <w:p>
            <w:pPr>
              <w:pStyle w:val="Compact"/>
              <w:spacing w:after="40"/>
              <w:jc w:val="left"/>
            </w:pPr>
            <w:r>
              <w:rPr>
                <w:sz w:val="18"/>
              </w:rPr>
              <w:t xml:space="preserve">Repayment directly to the RE; no pool or pass-through account; no third-party control; cash recovery reflected the same day, no LSP fee from proceeds</w:t>
            </w:r>
          </w:p>
        </w:tc>
        <w:tc>
          <w:tcPr>
            <w:tcW w:w="2955" w:type="dxa"/>
          </w:tcPr>
          <w:p>
            <w:pPr>
              <w:pStyle w:val="Compact"/>
              <w:spacing w:after="40"/>
              <w:jc w:val="left"/>
            </w:pPr>
            <w:r>
              <w:rPr>
                <w:sz w:val="18"/>
              </w:rPr>
              <w:t xml:space="preserve">[LAW] CF para 10(2)–(5)</w:t>
            </w:r>
          </w:p>
        </w:tc>
        <w:tc>
          <w:tcPr>
            <w:tcW w:w="3661" w:type="dxa"/>
          </w:tcPr>
          <w:p>
            <w:pPr>
              <w:pStyle w:val="Compact"/>
              <w:spacing w:after="40"/>
              <w:jc w:val="left"/>
            </w:pPr>
            <w:r>
              <w:rPr>
                <w:sz w:val="18"/>
              </w:rPr>
              <w:t xml:space="preserve">Payment instructions only on RE accounts; cash ledger (UR4)</w:t>
            </w:r>
          </w:p>
        </w:tc>
      </w:tr>
      <w:tr>
        <w:tc>
          <w:tcPr>
            <w:tcW w:w="3022" w:type="dxa"/>
          </w:tcPr>
          <w:p>
            <w:pPr>
              <w:pStyle w:val="Compact"/>
              <w:spacing w:after="40"/>
              <w:jc w:val="left"/>
            </w:pPr>
            <w:r>
              <w:rPr>
                <w:sz w:val="18"/>
              </w:rPr>
              <w:t xml:space="preserve">LSP nodal grievance officer; redressal stays with the RE; CMS route after 30 days or rejection</w:t>
            </w:r>
          </w:p>
        </w:tc>
        <w:tc>
          <w:tcPr>
            <w:tcW w:w="2955" w:type="dxa"/>
          </w:tcPr>
          <w:p>
            <w:pPr>
              <w:pStyle w:val="Compact"/>
              <w:spacing w:after="40"/>
              <w:jc w:val="left"/>
            </w:pPr>
            <w:r>
              <w:rPr>
                <w:sz w:val="18"/>
              </w:rPr>
              <w:t xml:space="preserve">[LAW] CF para 12</w:t>
            </w:r>
          </w:p>
        </w:tc>
        <w:tc>
          <w:tcPr>
            <w:tcW w:w="3661" w:type="dxa"/>
          </w:tcPr>
          <w:p>
            <w:pPr>
              <w:pStyle w:val="Compact"/>
              <w:spacing w:after="40"/>
              <w:jc w:val="left"/>
            </w:pPr>
            <w:r>
              <w:rPr>
                <w:sz w:val="18"/>
              </w:rPr>
              <w:t xml:space="preserve">ADR never replaces the CMS route</w:t>
            </w:r>
          </w:p>
        </w:tc>
      </w:tr>
      <w:tr>
        <w:tc>
          <w:tcPr>
            <w:tcW w:w="3022" w:type="dxa"/>
          </w:tcPr>
          <w:p>
            <w:pPr>
              <w:pStyle w:val="Compact"/>
              <w:spacing w:after="40"/>
              <w:jc w:val="left"/>
            </w:pPr>
            <w:r>
              <w:rPr>
                <w:sz w:val="18"/>
              </w:rPr>
              <w:t xml:space="preserve">No contacts, call logs, files or telephony; consent before sharing; India-only storage</w:t>
            </w:r>
          </w:p>
        </w:tc>
        <w:tc>
          <w:tcPr>
            <w:tcW w:w="2955" w:type="dxa"/>
          </w:tcPr>
          <w:p>
            <w:pPr>
              <w:pStyle w:val="Compact"/>
              <w:spacing w:after="40"/>
              <w:jc w:val="left"/>
            </w:pPr>
            <w:r>
              <w:rPr>
                <w:sz w:val="18"/>
              </w:rPr>
              <w:t xml:space="preserve">[LAW] CF paras 13(1), 13(4), 14(4)</w:t>
            </w:r>
          </w:p>
        </w:tc>
        <w:tc>
          <w:tcPr>
            <w:tcW w:w="3661" w:type="dxa"/>
          </w:tcPr>
          <w:p>
            <w:pPr>
              <w:pStyle w:val="Compact"/>
              <w:spacing w:after="40"/>
              <w:jc w:val="left"/>
            </w:pPr>
            <w:r>
              <w:rPr>
                <w:sz w:val="18"/>
              </w:rPr>
              <w:t xml:space="preserve">No skip tracing, third-party contact or device data</w:t>
            </w:r>
          </w:p>
        </w:tc>
      </w:tr>
      <w:tr>
        <w:tc>
          <w:tcPr>
            <w:tcW w:w="3022" w:type="dxa"/>
          </w:tcPr>
          <w:p>
            <w:pPr>
              <w:pStyle w:val="Compact"/>
              <w:spacing w:after="40"/>
              <w:jc w:val="left"/>
            </w:pPr>
            <w:r>
              <w:rPr>
                <w:sz w:val="18"/>
              </w:rPr>
              <w:t xml:space="preserve">Settlement is the RE’s discretion, approved one level above the sanctioner (Board for fraud or wilful defaulter); over 3 months or part settlement is restructuring; cooling period at least 12 months; consent decree if a case is pending; decision-making cannot be outsourced</w:t>
            </w:r>
          </w:p>
        </w:tc>
        <w:tc>
          <w:tcPr>
            <w:tcW w:w="2955" w:type="dxa"/>
          </w:tcPr>
          <w:p>
            <w:pPr>
              <w:pStyle w:val="Compact"/>
              <w:spacing w:after="40"/>
              <w:jc w:val="left"/>
            </w:pPr>
            <w:r>
              <w:rPr>
                <w:sz w:val="18"/>
              </w:rPr>
              <w:t xml:space="preserve">[LAW] RSA paras 16(5), 87, 89–90, 95, 100, 157; OUT para 15</w:t>
            </w:r>
          </w:p>
        </w:tc>
        <w:tc>
          <w:tcPr>
            <w:tcW w:w="3661" w:type="dxa"/>
          </w:tcPr>
          <w:p>
            <w:pPr>
              <w:pStyle w:val="Compact"/>
              <w:spacing w:after="40"/>
              <w:jc w:val="left"/>
            </w:pPr>
            <w:r>
              <w:rPr>
                <w:sz w:val="18"/>
              </w:rPr>
              <w:t xml:space="preserve">Udofin relays and displays; [INTERP] a settlement sanction is a credit decision Udofin never takes</w:t>
            </w:r>
          </w:p>
        </w:tc>
      </w:tr>
      <w:tr>
        <w:tc>
          <w:tcPr>
            <w:tcW w:w="3022" w:type="dxa"/>
          </w:tcPr>
          <w:p>
            <w:pPr>
              <w:pStyle w:val="Compact"/>
              <w:spacing w:after="40"/>
              <w:jc w:val="left"/>
            </w:pPr>
            <w:r>
              <w:rPr>
                <w:sz w:val="18"/>
              </w:rPr>
              <w:t xml:space="preserve">Conduct until 31 Dec 2026: police verification, notice and authorisation letter, website list, training, no harassment, calls 08:00–19:00; microfinance designated place and 09:00–18:00</w:t>
            </w:r>
          </w:p>
        </w:tc>
        <w:tc>
          <w:tcPr>
            <w:tcW w:w="2955" w:type="dxa"/>
          </w:tcPr>
          <w:p>
            <w:pPr>
              <w:pStyle w:val="Compact"/>
              <w:spacing w:after="40"/>
              <w:jc w:val="left"/>
            </w:pPr>
            <w:r>
              <w:rPr>
                <w:sz w:val="18"/>
              </w:rPr>
              <w:t xml:space="preserve">[LAW] RBC paras 90–91, 94–100</w:t>
            </w:r>
          </w:p>
        </w:tc>
        <w:tc>
          <w:tcPr>
            <w:tcW w:w="3661" w:type="dxa"/>
          </w:tcPr>
          <w:p>
            <w:pPr>
              <w:pStyle w:val="Compact"/>
              <w:spacing w:after="40"/>
              <w:jc w:val="left"/>
            </w:pPr>
            <w:r>
              <w:rPr>
                <w:sz w:val="18"/>
              </w:rPr>
              <w:t xml:space="preserve">Rule pack A</w:t>
            </w:r>
          </w:p>
        </w:tc>
      </w:tr>
      <w:tr>
        <w:tc>
          <w:tcPr>
            <w:tcW w:w="3022" w:type="dxa"/>
          </w:tcPr>
          <w:p>
            <w:pPr>
              <w:pStyle w:val="Compact"/>
              <w:spacing w:after="40"/>
              <w:jc w:val="left"/>
            </w:pPr>
            <w:r>
              <w:rPr>
                <w:sz w:val="18"/>
              </w:rPr>
              <w:t xml:space="preserve">RBC Third Amendment Directions, 2026 (RBI/2026-27/230, 6 Aug 2026),</w:t>
            </w:r>
            <w:r>
              <w:rPr>
                <w:sz w:val="18"/>
              </w:rPr>
              <w:t xml:space="preserve"> </w:t>
            </w:r>
            <w:r>
              <w:rPr>
                <w:bCs/>
                <w:b/>
                <w:sz w:val="18"/>
              </w:rPr>
              <w:t xml:space="preserve">in force 1 Jan 2027</w:t>
            </w:r>
            <w:r>
              <w:rPr>
                <w:sz w:val="18"/>
              </w:rPr>
              <w:t xml:space="preserve">: paras 89–100 replaced by Section J, paras 100A–100AB</w:t>
            </w:r>
          </w:p>
        </w:tc>
        <w:tc>
          <w:tcPr>
            <w:tcW w:w="2955" w:type="dxa"/>
          </w:tcPr>
          <w:p>
            <w:pPr>
              <w:pStyle w:val="Compact"/>
              <w:spacing w:after="40"/>
              <w:jc w:val="left"/>
            </w:pPr>
            <w:r>
              <w:rPr>
                <w:sz w:val="18"/>
              </w:rPr>
              <w:t xml:space="preserve">[LAW] RBI notification Id=13672 [VERIFY: official text not supplied in docs/regulations/rbi/]</w:t>
            </w:r>
          </w:p>
        </w:tc>
        <w:tc>
          <w:tcPr>
            <w:tcW w:w="3661" w:type="dxa"/>
          </w:tcPr>
          <w:p>
            <w:pPr>
              <w:pStyle w:val="Compact"/>
              <w:spacing w:after="40"/>
              <w:jc w:val="left"/>
            </w:pPr>
            <w:r>
              <w:rPr>
                <w:sz w:val="18"/>
              </w:rPr>
              <w:t xml:space="preserve">Rule pack B: IIBF DRA certificate (100I; existing agents one more year); website agency list updated within 7 days (100K); agency details at least 1 day before the first visit (100L); notice of change (100M–N); minimum data to agents (100O); calls logged and recorded with disclosure, kept at least 6 months or until disposal if sub judice (100P); no harsh incentives (100Q); no device personal data (100U); contact 08:00–19:00 unless the borrower asks otherwise, avoiding bereavement, weddings and festivals (100Y(4)); pre-approved written communications naming the sender (100Y(8)); false statements are harsh (100Z); grievance officer’s details on every recovery communication (100AA); TCCCPR (100AB). No numeric frequency cap</w:t>
            </w:r>
          </w:p>
        </w:tc>
      </w:tr>
      <w:tr>
        <w:tc>
          <w:tcPr>
            <w:tcW w:w="3022" w:type="dxa"/>
          </w:tcPr>
          <w:p>
            <w:pPr>
              <w:pStyle w:val="Compact"/>
              <w:spacing w:after="40"/>
              <w:jc w:val="left"/>
            </w:pPr>
            <w:r>
              <w:rPr>
                <w:sz w:val="18"/>
              </w:rPr>
              <w:t xml:space="preserve">No unilateral appointment or forced choice from the lender’s panel; referral to an institution not named in the agreement, with a silent borrower, is unilateral in substance</w:t>
            </w:r>
          </w:p>
        </w:tc>
        <w:tc>
          <w:tcPr>
            <w:tcW w:w="2955" w:type="dxa"/>
          </w:tcPr>
          <w:p>
            <w:pPr>
              <w:pStyle w:val="Compact"/>
              <w:spacing w:after="40"/>
              <w:jc w:val="left"/>
            </w:pPr>
            <w:r>
              <w:rPr>
                <w:sz w:val="18"/>
              </w:rPr>
              <w:t xml:space="preserve">[JUD]</w:t>
            </w:r>
            <w:r>
              <w:rPr>
                <w:sz w:val="18"/>
              </w:rPr>
              <w:t xml:space="preserve"> </w:t>
            </w:r>
            <w:r>
              <w:rPr>
                <w:iCs/>
                <w:i/>
                <w:sz w:val="18"/>
              </w:rPr>
              <w:t xml:space="preserve">TRF v Energo</w:t>
            </w:r>
            <w:r>
              <w:rPr>
                <w:sz w:val="18"/>
              </w:rPr>
              <w:t xml:space="preserve"> </w:t>
            </w:r>
            <w:r>
              <w:rPr>
                <w:sz w:val="18"/>
              </w:rPr>
              <w:t xml:space="preserve">(2017) 8 SCC 377;</w:t>
            </w:r>
            <w:r>
              <w:rPr>
                <w:sz w:val="18"/>
              </w:rPr>
              <w:t xml:space="preserve"> </w:t>
            </w:r>
            <w:r>
              <w:rPr>
                <w:iCs/>
                <w:i/>
                <w:sz w:val="18"/>
              </w:rPr>
              <w:t xml:space="preserve">Perkins Eastman v HSCC</w:t>
            </w:r>
            <w:r>
              <w:rPr>
                <w:sz w:val="18"/>
              </w:rPr>
              <w:t xml:space="preserve"> </w:t>
            </w:r>
            <w:r>
              <w:rPr>
                <w:sz w:val="18"/>
              </w:rPr>
              <w:t xml:space="preserve">(2020) 20 SCC 760;</w:t>
            </w:r>
            <w:r>
              <w:rPr>
                <w:sz w:val="18"/>
              </w:rPr>
              <w:t xml:space="preserve"> </w:t>
            </w:r>
            <w:r>
              <w:rPr>
                <w:iCs/>
                <w:i/>
                <w:sz w:val="18"/>
              </w:rPr>
              <w:t xml:space="preserve">CORE v ECI-SPIC-SMO-MCML (JV)</w:t>
            </w:r>
            <w:r>
              <w:rPr>
                <w:sz w:val="18"/>
              </w:rPr>
              <w:t xml:space="preserve"> </w:t>
            </w:r>
            <w:r>
              <w:rPr>
                <w:sz w:val="18"/>
              </w:rPr>
              <w:t xml:space="preserve">(SC, 8 Nov 2024);</w:t>
            </w:r>
            <w:r>
              <w:rPr>
                <w:sz w:val="18"/>
              </w:rPr>
              <w:t xml:space="preserve"> </w:t>
            </w:r>
            <w:r>
              <w:rPr>
                <w:iCs/>
                <w:i/>
                <w:sz w:val="18"/>
              </w:rPr>
              <w:t xml:space="preserve">L&amp;T Finance v Jai Paras Material Store</w:t>
            </w:r>
            <w:r>
              <w:rPr>
                <w:sz w:val="18"/>
              </w:rPr>
              <w:t xml:space="preserve"> </w:t>
            </w:r>
            <w:r>
              <w:rPr>
                <w:sz w:val="18"/>
              </w:rPr>
              <w:t xml:space="preserve">(Cal HC, 14 May 2026);</w:t>
            </w:r>
            <w:r>
              <w:rPr>
                <w:sz w:val="18"/>
              </w:rPr>
              <w:t xml:space="preserve"> </w:t>
            </w:r>
            <w:r>
              <w:rPr>
                <w:iCs/>
                <w:i/>
                <w:sz w:val="18"/>
              </w:rPr>
              <w:t xml:space="preserve">Shikha Ghosh v Axis Bank</w:t>
            </w:r>
            <w:r>
              <w:rPr>
                <w:sz w:val="18"/>
              </w:rPr>
              <w:t xml:space="preserve"> </w:t>
            </w:r>
            <w:r>
              <w:rPr>
                <w:sz w:val="18"/>
              </w:rPr>
              <w:t xml:space="preserve">(Del HC DB, 30 Sep 2026; next date 17 Nov 2026)</w:t>
            </w:r>
          </w:p>
        </w:tc>
        <w:tc>
          <w:tcPr>
            <w:tcW w:w="3661" w:type="dxa"/>
          </w:tcPr>
          <w:p>
            <w:pPr>
              <w:pStyle w:val="Compact"/>
              <w:spacing w:after="40"/>
              <w:jc w:val="left"/>
            </w:pPr>
            <w:r>
              <w:rPr>
                <w:sz w:val="18"/>
              </w:rPr>
              <w:t xml:space="preserve">Udofin never refers, appoints or sees neutral selection (UR2)</w:t>
            </w:r>
          </w:p>
        </w:tc>
      </w:tr>
      <w:tr>
        <w:tc>
          <w:tcPr>
            <w:tcW w:w="3022" w:type="dxa"/>
          </w:tcPr>
          <w:p>
            <w:pPr>
              <w:pStyle w:val="Compact"/>
              <w:spacing w:after="40"/>
              <w:jc w:val="left"/>
            </w:pPr>
            <w:r>
              <w:rPr>
                <w:sz w:val="18"/>
              </w:rPr>
              <w:t xml:space="preserve">Conciliation settlements have arbitral-award status; Mediation Act ss.4–25 and 27–30 not in force (s.26 in force)</w:t>
            </w:r>
          </w:p>
        </w:tc>
        <w:tc>
          <w:tcPr>
            <w:tcW w:w="2955" w:type="dxa"/>
          </w:tcPr>
          <w:p>
            <w:pPr>
              <w:pStyle w:val="Compact"/>
              <w:spacing w:after="40"/>
              <w:jc w:val="left"/>
            </w:pPr>
            <w:r>
              <w:rPr>
                <w:sz w:val="18"/>
              </w:rPr>
              <w:t xml:space="preserve">[LAW] A&amp;C Act ss.73–74; S.O. 4384(E), 9 Oct 2023 [VERIFY on egazette]</w:t>
            </w:r>
          </w:p>
        </w:tc>
        <w:tc>
          <w:tcPr>
            <w:tcW w:w="3661" w:type="dxa"/>
          </w:tcPr>
          <w:p>
            <w:pPr>
              <w:pStyle w:val="Compact"/>
              <w:spacing w:after="40"/>
              <w:jc w:val="left"/>
            </w:pPr>
            <w:r>
              <w:rPr>
                <w:sz w:val="18"/>
              </w:rPr>
              <w:t xml:space="preserve">No mediated settlement is called a decree</w:t>
            </w:r>
          </w:p>
        </w:tc>
      </w:tr>
      <w:tr>
        <w:tc>
          <w:tcPr>
            <w:tcW w:w="3022" w:type="dxa"/>
          </w:tcPr>
          <w:p>
            <w:pPr>
              <w:pStyle w:val="Compact"/>
              <w:spacing w:after="40"/>
              <w:jc w:val="left"/>
            </w:pPr>
            <w:r>
              <w:rPr>
                <w:sz w:val="18"/>
              </w:rPr>
              <w:t xml:space="preserve">DLG gives no collection right; RE invokes within 120 days overdue; never set off against the loan</w:t>
            </w:r>
          </w:p>
        </w:tc>
        <w:tc>
          <w:tcPr>
            <w:tcW w:w="2955" w:type="dxa"/>
          </w:tcPr>
          <w:p>
            <w:pPr>
              <w:pStyle w:val="Compact"/>
              <w:spacing w:after="40"/>
              <w:jc w:val="left"/>
            </w:pPr>
            <w:r>
              <w:rPr>
                <w:sz w:val="18"/>
              </w:rPr>
              <w:t xml:space="preserve">[LAW] CF paras 25(2)–(4), 27(1)</w:t>
            </w:r>
          </w:p>
        </w:tc>
        <w:tc>
          <w:tcPr>
            <w:tcW w:w="3661" w:type="dxa"/>
          </w:tcPr>
          <w:p>
            <w:pPr>
              <w:pStyle w:val="Compact"/>
              <w:spacing w:after="40"/>
              <w:jc w:val="left"/>
            </w:pPr>
            <w:r>
              <w:rPr>
                <w:sz w:val="18"/>
              </w:rPr>
              <w:t xml:space="preserve">DLG never shown in UR1 or used by UR4</w:t>
            </w:r>
          </w:p>
        </w:tc>
      </w:tr>
    </w:tbl>
    <w:bookmarkEnd w:id="94"/>
    <w:bookmarkStart w:id="95" w:name="a.0.2-what-udofin-may-and-may-not-do"/>
    <w:p>
      <w:pPr>
        <w:pStyle w:val="Heading3"/>
      </w:pPr>
      <w:r>
        <w:t xml:space="preserve">7A.0.2 What Udofin may and may not do</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291"/>
        <w:gridCol w:w="1949"/>
        <w:gridCol w:w="3398"/>
      </w:tblGrid>
      <w:tr>
        <w:trPr>
          <w:tblHeader w:val="true"/>
          <w:tblHeader w:val="true"/>
        </w:trPr>
        <w:tc>
          <w:tcPr>
            <w:tcW w:w="4291" w:type="dxa"/>
            <w:shd w:val="clear" w:color="auto" w:fill="1F3A5F"/>
          </w:tcPr>
          <w:p>
            <w:pPr>
              <w:pStyle w:val="Compact"/>
              <w:spacing w:after="40"/>
              <w:jc w:val="left"/>
            </w:pPr>
            <w:r>
              <w:rPr>
                <w:b/>
                <w:color w:val="FFFFFF"/>
                <w:sz w:val="18"/>
              </w:rPr>
              <w:t xml:space="preserve">Activity</w:t>
            </w:r>
          </w:p>
        </w:tc>
        <w:tc>
          <w:tcPr>
            <w:tcW w:w="1949" w:type="dxa"/>
            <w:shd w:val="clear" w:color="auto" w:fill="1F3A5F"/>
          </w:tcPr>
          <w:p>
            <w:pPr>
              <w:pStyle w:val="Compact"/>
              <w:spacing w:after="40"/>
              <w:jc w:val="left"/>
            </w:pPr>
            <w:r>
              <w:rPr>
                <w:b/>
                <w:color w:val="FFFFFF"/>
                <w:sz w:val="18"/>
              </w:rPr>
              <w:t xml:space="preserve">Udofin</w:t>
            </w:r>
          </w:p>
        </w:tc>
        <w:tc>
          <w:tcPr>
            <w:tcW w:w="3398" w:type="dxa"/>
            <w:shd w:val="clear" w:color="auto" w:fill="1F3A5F"/>
          </w:tcPr>
          <w:p>
            <w:pPr>
              <w:pStyle w:val="Compact"/>
              <w:spacing w:after="40"/>
              <w:jc w:val="left"/>
            </w:pPr>
            <w:r>
              <w:rPr>
                <w:b/>
                <w:color w:val="FFFFFF"/>
                <w:sz w:val="18"/>
              </w:rPr>
              <w:t xml:space="preserve">Condition</w:t>
            </w:r>
          </w:p>
        </w:tc>
      </w:tr>
      <w:tr>
        <w:tc>
          <w:tcPr>
            <w:tcW w:w="4291" w:type="dxa"/>
          </w:tcPr>
          <w:p>
            <w:pPr>
              <w:pStyle w:val="Compact"/>
              <w:spacing w:after="40"/>
              <w:jc w:val="left"/>
            </w:pPr>
            <w:r>
              <w:rPr>
                <w:sz w:val="18"/>
              </w:rPr>
              <w:t xml:space="preserve">RE-approved reminders, payment links, PTP capture, hardship request</w:t>
            </w:r>
          </w:p>
        </w:tc>
        <w:tc>
          <w:tcPr>
            <w:tcW w:w="1949" w:type="dxa"/>
          </w:tcPr>
          <w:p>
            <w:pPr>
              <w:pStyle w:val="Compact"/>
              <w:spacing w:after="40"/>
              <w:jc w:val="left"/>
            </w:pPr>
            <w:r>
              <w:rPr>
                <w:sz w:val="18"/>
              </w:rPr>
              <w:t xml:space="preserve">May (all REs)</w:t>
            </w:r>
          </w:p>
        </w:tc>
        <w:tc>
          <w:tcPr>
            <w:tcW w:w="3398" w:type="dxa"/>
          </w:tcPr>
          <w:p>
            <w:pPr>
              <w:pStyle w:val="Compact"/>
              <w:spacing w:after="40"/>
              <w:jc w:val="left"/>
            </w:pPr>
            <w:r>
              <w:rPr>
                <w:sz w:val="18"/>
              </w:rPr>
              <w:t xml:space="preserve">Servicing scope of the LSP agreement; contact policy; RE templates</w:t>
            </w:r>
          </w:p>
        </w:tc>
      </w:tr>
      <w:tr>
        <w:tc>
          <w:tcPr>
            <w:tcW w:w="4291" w:type="dxa"/>
          </w:tcPr>
          <w:p>
            <w:pPr>
              <w:pStyle w:val="Compact"/>
              <w:spacing w:after="40"/>
              <w:jc w:val="left"/>
            </w:pPr>
            <w:r>
              <w:rPr>
                <w:sz w:val="18"/>
              </w:rPr>
              <w:t xml:space="preserve">Settlement request relay and display of the RE’s offer; capture of the borrower’s acceptance evidence</w:t>
            </w:r>
          </w:p>
        </w:tc>
        <w:tc>
          <w:tcPr>
            <w:tcW w:w="1949" w:type="dxa"/>
          </w:tcPr>
          <w:p>
            <w:pPr>
              <w:pStyle w:val="Compact"/>
              <w:spacing w:after="40"/>
              <w:jc w:val="left"/>
            </w:pPr>
            <w:r>
              <w:rPr>
                <w:sz w:val="18"/>
              </w:rPr>
              <w:t xml:space="preserve">May (UR1 attached)</w:t>
            </w:r>
          </w:p>
        </w:tc>
        <w:tc>
          <w:tcPr>
            <w:tcW w:w="3398" w:type="dxa"/>
          </w:tcPr>
          <w:p>
            <w:pPr>
              <w:pStyle w:val="Compact"/>
              <w:spacing w:after="40"/>
              <w:jc w:val="left"/>
            </w:pPr>
            <w:r>
              <w:rPr>
                <w:sz w:val="18"/>
              </w:rPr>
              <w:t xml:space="preserve">Offer is RE-issued and RE-approved; Udofin computes nothing</w:t>
            </w:r>
          </w:p>
        </w:tc>
      </w:tr>
      <w:tr>
        <w:tc>
          <w:tcPr>
            <w:tcW w:w="4291" w:type="dxa"/>
          </w:tcPr>
          <w:p>
            <w:pPr>
              <w:pStyle w:val="Compact"/>
              <w:spacing w:after="40"/>
              <w:jc w:val="left"/>
            </w:pPr>
            <w:r>
              <w:rPr>
                <w:sz w:val="18"/>
              </w:rPr>
              <w:t xml:space="preserve">Display of RE-issued notices and case status</w:t>
            </w:r>
          </w:p>
        </w:tc>
        <w:tc>
          <w:tcPr>
            <w:tcW w:w="1949" w:type="dxa"/>
          </w:tcPr>
          <w:p>
            <w:pPr>
              <w:pStyle w:val="Compact"/>
              <w:spacing w:after="40"/>
              <w:jc w:val="left"/>
            </w:pPr>
            <w:r>
              <w:rPr>
                <w:sz w:val="18"/>
              </w:rPr>
              <w:t xml:space="preserve">May (UR3 attached)</w:t>
            </w:r>
          </w:p>
        </w:tc>
        <w:tc>
          <w:tcPr>
            <w:tcW w:w="3398" w:type="dxa"/>
          </w:tcPr>
          <w:p>
            <w:pPr>
              <w:pStyle w:val="Compact"/>
              <w:spacing w:after="40"/>
              <w:jc w:val="left"/>
            </w:pPr>
            <w:r>
              <w:rPr>
                <w:sz w:val="18"/>
              </w:rPr>
              <w:t xml:space="preserve">Only instruments and stages the RE’s visibility policy permits</w:t>
            </w:r>
          </w:p>
        </w:tc>
      </w:tr>
      <w:tr>
        <w:tc>
          <w:tcPr>
            <w:tcW w:w="4291" w:type="dxa"/>
          </w:tcPr>
          <w:p>
            <w:pPr>
              <w:pStyle w:val="Compact"/>
              <w:spacing w:after="40"/>
              <w:jc w:val="left"/>
            </w:pPr>
            <w:r>
              <w:rPr>
                <w:sz w:val="18"/>
              </w:rPr>
              <w:t xml:space="preserve">Borrower link into Equator or another ODR provider for a case the RE has referred</w:t>
            </w:r>
          </w:p>
        </w:tc>
        <w:tc>
          <w:tcPr>
            <w:tcW w:w="1949" w:type="dxa"/>
          </w:tcPr>
          <w:p>
            <w:pPr>
              <w:pStyle w:val="Compact"/>
              <w:spacing w:after="40"/>
              <w:jc w:val="left"/>
            </w:pPr>
            <w:r>
              <w:rPr>
                <w:sz w:val="18"/>
              </w:rPr>
              <w:t xml:space="preserve">May (UR2 attached)</w:t>
            </w:r>
          </w:p>
        </w:tc>
        <w:tc>
          <w:tcPr>
            <w:tcW w:w="3398" w:type="dxa"/>
          </w:tcPr>
          <w:p>
            <w:pPr>
              <w:pStyle w:val="Compact"/>
              <w:spacing w:after="40"/>
              <w:jc w:val="left"/>
            </w:pPr>
            <w:r>
              <w:rPr>
                <w:sz w:val="18"/>
              </w:rPr>
              <w:t xml:space="preserve">Referral basis recorded (pre-named institution or written post-dispute consent)</w:t>
            </w:r>
          </w:p>
        </w:tc>
      </w:tr>
      <w:tr>
        <w:tc>
          <w:tcPr>
            <w:tcW w:w="4291" w:type="dxa"/>
          </w:tcPr>
          <w:p>
            <w:pPr>
              <w:pStyle w:val="Compact"/>
              <w:spacing w:after="40"/>
              <w:jc w:val="left"/>
            </w:pPr>
            <w:r>
              <w:rPr>
                <w:sz w:val="18"/>
              </w:rPr>
              <w:t xml:space="preserve">Tele-calling, field visits, cash receipts</w:t>
            </w:r>
          </w:p>
        </w:tc>
        <w:tc>
          <w:tcPr>
            <w:tcW w:w="1949" w:type="dxa"/>
          </w:tcPr>
          <w:p>
            <w:pPr>
              <w:pStyle w:val="Compact"/>
              <w:spacing w:after="40"/>
              <w:jc w:val="left"/>
            </w:pPr>
            <w:r>
              <w:rPr>
                <w:sz w:val="18"/>
              </w:rPr>
              <w:t xml:space="preserve">Only where appointed (UR4)</w:t>
            </w:r>
          </w:p>
        </w:tc>
        <w:tc>
          <w:tcPr>
            <w:tcW w:w="3398" w:type="dxa"/>
          </w:tcPr>
          <w:p>
            <w:pPr>
              <w:pStyle w:val="Compact"/>
              <w:spacing w:after="40"/>
              <w:jc w:val="left"/>
            </w:pPr>
            <w:r>
              <w:rPr>
                <w:sz w:val="18"/>
              </w:rPr>
              <w:t xml:space="preserve">Explicit recovery-agent contract; gates in UR4</w:t>
            </w:r>
          </w:p>
        </w:tc>
      </w:tr>
      <w:tr>
        <w:tc>
          <w:tcPr>
            <w:tcW w:w="4291" w:type="dxa"/>
          </w:tcPr>
          <w:p>
            <w:pPr>
              <w:pStyle w:val="Compact"/>
              <w:spacing w:after="40"/>
              <w:jc w:val="left"/>
            </w:pPr>
            <w:r>
              <w:rPr>
                <w:sz w:val="18"/>
              </w:rPr>
              <w:t xml:space="preserve">Approve, price or promise a settlement or waiver; negotiate within a band</w:t>
            </w:r>
          </w:p>
        </w:tc>
        <w:tc>
          <w:tcPr>
            <w:tcW w:w="1949" w:type="dxa"/>
          </w:tcPr>
          <w:p>
            <w:pPr>
              <w:pStyle w:val="Compact"/>
              <w:spacing w:after="40"/>
              <w:jc w:val="left"/>
            </w:pPr>
            <w:r>
              <w:rPr>
                <w:bCs/>
                <w:b/>
                <w:sz w:val="18"/>
              </w:rPr>
              <w:t xml:space="preserve">Never</w:t>
            </w:r>
          </w:p>
        </w:tc>
        <w:tc>
          <w:tcPr>
            <w:tcW w:w="3398" w:type="dxa"/>
          </w:tcPr>
          <w:p>
            <w:pPr>
              <w:pStyle w:val="Compact"/>
              <w:spacing w:after="40"/>
              <w:jc w:val="left"/>
            </w:pPr>
            <w:r>
              <w:rPr>
                <w:sz w:val="18"/>
              </w:rPr>
              <w:t xml:space="preserve">RSA para 16(5); OUT para 15</w:t>
            </w:r>
          </w:p>
        </w:tc>
      </w:tr>
      <w:tr>
        <w:tc>
          <w:tcPr>
            <w:tcW w:w="4291" w:type="dxa"/>
          </w:tcPr>
          <w:p>
            <w:pPr>
              <w:pStyle w:val="Compact"/>
              <w:spacing w:after="40"/>
              <w:jc w:val="left"/>
            </w:pPr>
            <w:r>
              <w:rPr>
                <w:sz w:val="18"/>
              </w:rPr>
              <w:t xml:space="preserve">Refer a dispute to arbitration, mediation, conciliation or Lok Adalat; nominate or veto a neutral</w:t>
            </w:r>
          </w:p>
        </w:tc>
        <w:tc>
          <w:tcPr>
            <w:tcW w:w="1949" w:type="dxa"/>
          </w:tcPr>
          <w:p>
            <w:pPr>
              <w:pStyle w:val="Compact"/>
              <w:spacing w:after="40"/>
              <w:jc w:val="left"/>
            </w:pPr>
            <w:r>
              <w:rPr>
                <w:bCs/>
                <w:b/>
                <w:sz w:val="18"/>
              </w:rPr>
              <w:t xml:space="preserve">Never</w:t>
            </w:r>
          </w:p>
        </w:tc>
        <w:tc>
          <w:tcPr>
            <w:tcW w:w="3398" w:type="dxa"/>
          </w:tcPr>
          <w:p>
            <w:pPr>
              <w:pStyle w:val="Compact"/>
              <w:spacing w:after="40"/>
              <w:jc w:val="left"/>
            </w:pPr>
            <w:r>
              <w:rPr>
                <w:sz w:val="18"/>
              </w:rPr>
              <w:t xml:space="preserve">The RE refers; Udofin credentials never hold the referral scope</w:t>
            </w:r>
          </w:p>
        </w:tc>
      </w:tr>
      <w:tr>
        <w:tc>
          <w:tcPr>
            <w:tcW w:w="4291" w:type="dxa"/>
          </w:tcPr>
          <w:p>
            <w:pPr>
              <w:pStyle w:val="Compact"/>
              <w:spacing w:after="40"/>
              <w:jc w:val="left"/>
            </w:pPr>
            <w:r>
              <w:rPr>
                <w:sz w:val="18"/>
              </w:rPr>
              <w:t xml:space="preserve">Issue a legal notice or letter in Udofin’s name (demand, LRN, SARFAESI s.13(2), NI Act s.138, A&amp;C Act s.21, pledge invocation)</w:t>
            </w:r>
          </w:p>
        </w:tc>
        <w:tc>
          <w:tcPr>
            <w:tcW w:w="1949" w:type="dxa"/>
          </w:tcPr>
          <w:p>
            <w:pPr>
              <w:pStyle w:val="Compact"/>
              <w:spacing w:after="40"/>
              <w:jc w:val="left"/>
            </w:pPr>
            <w:r>
              <w:rPr>
                <w:bCs/>
                <w:b/>
                <w:sz w:val="18"/>
              </w:rPr>
              <w:t xml:space="preserve">Never</w:t>
            </w:r>
          </w:p>
        </w:tc>
        <w:tc>
          <w:tcPr>
            <w:tcW w:w="3398" w:type="dxa"/>
          </w:tcPr>
          <w:p>
            <w:pPr>
              <w:pStyle w:val="Compact"/>
              <w:spacing w:after="40"/>
              <w:jc w:val="left"/>
            </w:pPr>
            <w:r>
              <w:rPr>
                <w:sz w:val="18"/>
              </w:rPr>
              <w:t xml:space="preserve">Sender is always the RE (or its counsel or authorised officer)</w:t>
            </w:r>
          </w:p>
        </w:tc>
      </w:tr>
      <w:tr>
        <w:tc>
          <w:tcPr>
            <w:tcW w:w="4291" w:type="dxa"/>
          </w:tcPr>
          <w:p>
            <w:pPr>
              <w:pStyle w:val="Compact"/>
              <w:spacing w:after="40"/>
              <w:jc w:val="left"/>
            </w:pPr>
            <w:r>
              <w:rPr>
                <w:sz w:val="18"/>
              </w:rPr>
              <w:t xml:space="preserve">Hold, pool or net money; take a fee from recovery proceeds</w:t>
            </w:r>
          </w:p>
        </w:tc>
        <w:tc>
          <w:tcPr>
            <w:tcW w:w="1949" w:type="dxa"/>
          </w:tcPr>
          <w:p>
            <w:pPr>
              <w:pStyle w:val="Compact"/>
              <w:spacing w:after="40"/>
              <w:jc w:val="left"/>
            </w:pPr>
            <w:r>
              <w:rPr>
                <w:bCs/>
                <w:b/>
                <w:sz w:val="18"/>
              </w:rPr>
              <w:t xml:space="preserve">Never</w:t>
            </w:r>
          </w:p>
        </w:tc>
        <w:tc>
          <w:tcPr>
            <w:tcW w:w="3398" w:type="dxa"/>
          </w:tcPr>
          <w:p>
            <w:pPr>
              <w:pStyle w:val="Compact"/>
              <w:spacing w:after="40"/>
              <w:jc w:val="left"/>
            </w:pPr>
            <w:r>
              <w:rPr>
                <w:sz w:val="18"/>
              </w:rPr>
              <w:t xml:space="preserve">CF para 10(2)–(5)</w:t>
            </w:r>
          </w:p>
        </w:tc>
      </w:tr>
      <w:tr>
        <w:tc>
          <w:tcPr>
            <w:tcW w:w="4291" w:type="dxa"/>
          </w:tcPr>
          <w:p>
            <w:pPr>
              <w:pStyle w:val="Compact"/>
              <w:spacing w:after="40"/>
              <w:jc w:val="left"/>
            </w:pPr>
            <w:r>
              <w:rPr>
                <w:sz w:val="18"/>
              </w:rPr>
              <w:t xml:space="preserve">Repossess, invoke collateral, invoke DLG, start SARFAESI, litigation or IBC action</w:t>
            </w:r>
          </w:p>
        </w:tc>
        <w:tc>
          <w:tcPr>
            <w:tcW w:w="1949" w:type="dxa"/>
          </w:tcPr>
          <w:p>
            <w:pPr>
              <w:pStyle w:val="Compact"/>
              <w:spacing w:after="40"/>
              <w:jc w:val="left"/>
            </w:pPr>
            <w:r>
              <w:rPr>
                <w:bCs/>
                <w:b/>
                <w:sz w:val="18"/>
              </w:rPr>
              <w:t xml:space="preserve">Never</w:t>
            </w:r>
          </w:p>
        </w:tc>
        <w:tc>
          <w:tcPr>
            <w:tcW w:w="3398" w:type="dxa"/>
          </w:tcPr>
          <w:p>
            <w:pPr>
              <w:pStyle w:val="Compact"/>
              <w:spacing w:after="40"/>
              <w:jc w:val="left"/>
            </w:pPr>
            <w:r>
              <w:rPr>
                <w:sz w:val="18"/>
              </w:rPr>
              <w:t xml:space="preserve">RE-only acts (Finbyx R4–R10)</w:t>
            </w:r>
          </w:p>
        </w:tc>
      </w:tr>
      <w:tr>
        <w:tc>
          <w:tcPr>
            <w:tcW w:w="4291" w:type="dxa"/>
          </w:tcPr>
          <w:p>
            <w:pPr>
              <w:pStyle w:val="Compact"/>
              <w:spacing w:after="40"/>
              <w:jc w:val="left"/>
            </w:pPr>
            <w:r>
              <w:rPr>
                <w:sz w:val="18"/>
              </w:rPr>
              <w:t xml:space="preserve">Skip tracing, asset search, contact with references or family, device lock</w:t>
            </w:r>
          </w:p>
        </w:tc>
        <w:tc>
          <w:tcPr>
            <w:tcW w:w="1949" w:type="dxa"/>
          </w:tcPr>
          <w:p>
            <w:pPr>
              <w:pStyle w:val="Compact"/>
              <w:spacing w:after="40"/>
              <w:jc w:val="left"/>
            </w:pPr>
            <w:r>
              <w:rPr>
                <w:bCs/>
                <w:b/>
                <w:sz w:val="18"/>
              </w:rPr>
              <w:t xml:space="preserve">Never</w:t>
            </w:r>
          </w:p>
        </w:tc>
        <w:tc>
          <w:tcPr>
            <w:tcW w:w="3398" w:type="dxa"/>
          </w:tcPr>
          <w:p>
            <w:pPr>
              <w:pStyle w:val="Compact"/>
              <w:spacing w:after="40"/>
              <w:jc w:val="left"/>
            </w:pPr>
            <w:r>
              <w:rPr>
                <w:sz w:val="18"/>
              </w:rPr>
              <w:t xml:space="preserve">CF para 13(1); RBC para 100; RBC Third Amendment paras 100S–100U</w:t>
            </w:r>
          </w:p>
        </w:tc>
      </w:tr>
      <w:tr>
        <w:tc>
          <w:tcPr>
            <w:tcW w:w="4291" w:type="dxa"/>
          </w:tcPr>
          <w:p>
            <w:pPr>
              <w:pStyle w:val="Compact"/>
              <w:spacing w:after="40"/>
              <w:jc w:val="left"/>
            </w:pPr>
            <w:r>
              <w:rPr>
                <w:sz w:val="18"/>
              </w:rPr>
              <w:t xml:space="preserve">Hold the litigation record, call court-data APIs, see other REs’ cases or the RE’s settlement mandate</w:t>
            </w:r>
          </w:p>
        </w:tc>
        <w:tc>
          <w:tcPr>
            <w:tcW w:w="1949" w:type="dxa"/>
          </w:tcPr>
          <w:p>
            <w:pPr>
              <w:pStyle w:val="Compact"/>
              <w:spacing w:after="40"/>
              <w:jc w:val="left"/>
            </w:pPr>
            <w:r>
              <w:rPr>
                <w:bCs/>
                <w:b/>
                <w:sz w:val="18"/>
              </w:rPr>
              <w:t xml:space="preserve">Never</w:t>
            </w:r>
          </w:p>
        </w:tc>
        <w:tc>
          <w:tcPr>
            <w:tcW w:w="3398" w:type="dxa"/>
          </w:tcPr>
          <w:p>
            <w:pPr>
              <w:pStyle w:val="Compact"/>
              <w:spacing w:after="40"/>
              <w:jc w:val="left"/>
            </w:pPr>
            <w:r>
              <w:rPr>
                <w:sz w:val="18"/>
              </w:rPr>
              <w:t xml:space="preserve">Data ownership 7A.0.5</w:t>
            </w:r>
          </w:p>
        </w:tc>
      </w:tr>
    </w:tbl>
    <w:bookmarkEnd w:id="95"/>
    <w:bookmarkStart w:id="96" w:name="a.0.3-attach-and-detach"/>
    <w:p>
      <w:pPr>
        <w:pStyle w:val="Heading3"/>
      </w:pPr>
      <w:r>
        <w:t xml:space="preserve">7A.0.3 Attach and detach</w:t>
      </w:r>
    </w:p>
    <w:p>
      <w:pPr>
        <w:numPr>
          <w:ilvl w:val="0"/>
          <w:numId w:val="1053"/>
        </w:numPr>
        <w:pStyle w:val="Compact"/>
      </w:pPr>
      <w:r>
        <w:rPr>
          <w:bCs/>
          <w:b/>
        </w:rPr>
        <w:t xml:space="preserve">Unit of attachment:</w:t>
      </w:r>
      <w:r>
        <w:t xml:space="preserve"> </w:t>
      </w:r>
      <w:r>
        <w:t xml:space="preserve">RE tenant × product × capability (UR1–UR6). The entitlement is valid only when all three agree: the RE’s licence SKU in U1, the LSP agreement scope (for UR4, the recovery-agent contract) and the feature flag</w:t>
      </w:r>
      <w:r>
        <w:t xml:space="preserve"> </w:t>
      </w:r>
      <w:r>
        <w:rPr>
          <w:rStyle w:val="VerbatimChar"/>
        </w:rPr>
        <w:t xml:space="preserve">mod.udofin-recovery.[capability]</w:t>
      </w:r>
      <w:r>
        <w:t xml:space="preserve">, evaluated server-side through an OpenFeature-compatible provider.</w:t>
      </w:r>
    </w:p>
    <w:p>
      <w:pPr>
        <w:numPr>
          <w:ilvl w:val="0"/>
          <w:numId w:val="1053"/>
        </w:numPr>
        <w:pStyle w:val="Compact"/>
      </w:pPr>
      <w:r>
        <w:rPr>
          <w:bCs/>
          <w:b/>
        </w:rPr>
        <w:t xml:space="preserve">Manifest:</w:t>
      </w:r>
      <w:r>
        <w:t xml:space="preserve"> </w:t>
      </w:r>
      <w:r>
        <w:rPr>
          <w:rStyle w:val="VerbatimChar"/>
        </w:rPr>
        <w:t xml:space="preserve">modules/ur-recovery-support/module.yaml</w:t>
      </w:r>
      <w:r>
        <w:t xml:space="preserve"> </w:t>
      </w:r>
      <w:r>
        <w:t xml:space="preserve">declares id, version,</w:t>
      </w:r>
      <w:r>
        <w:t xml:space="preserve"> </w:t>
      </w:r>
      <w:r>
        <w:rPr>
          <w:rStyle w:val="VerbatimChar"/>
        </w:rPr>
        <w:t xml:space="preserve">requires</w:t>
      </w:r>
      <w:r>
        <w:t xml:space="preserve"> </w:t>
      </w:r>
      <w:r>
        <w:t xml:space="preserve">(U1, U4, U11, U12, U15, U16, U21; U22 for field work), capabilities, events produced and consumed, APIs, permissions, data categories,</w:t>
      </w:r>
      <w:r>
        <w:t xml:space="preserve"> </w:t>
      </w:r>
      <w:r>
        <w:rPr>
          <w:rStyle w:val="VerbatimChar"/>
        </w:rPr>
        <w:t xml:space="preserve">regulatory_refs</w:t>
      </w:r>
      <w:r>
        <w:t xml:space="preserve">,</w:t>
      </w:r>
      <w:r>
        <w:t xml:space="preserve"> </w:t>
      </w:r>
      <w:r>
        <w:rPr>
          <w:rStyle w:val="VerbatimChar"/>
        </w:rPr>
        <w:t xml:space="preserve">retention_class</w:t>
      </w:r>
      <w:r>
        <w:t xml:space="preserve">,</w:t>
      </w:r>
      <w:r>
        <w:t xml:space="preserve"> </w:t>
      </w:r>
      <w:r>
        <w:rPr>
          <w:rStyle w:val="VerbatimChar"/>
        </w:rPr>
        <w:t xml:space="preserve">licence_sku</w:t>
      </w:r>
      <w:r>
        <w:t xml:space="preserve">,</w:t>
      </w:r>
      <w:r>
        <w:t xml:space="preserve"> </w:t>
      </w:r>
      <w:r>
        <w:rPr>
          <w:rStyle w:val="VerbatimChar"/>
        </w:rPr>
        <w:t xml:space="preserve">ui_slots</w:t>
      </w:r>
      <w:r>
        <w:t xml:space="preserve"> </w:t>
      </w:r>
      <w:r>
        <w:t xml:space="preserve">and migrations.</w:t>
      </w:r>
    </w:p>
    <w:p>
      <w:pPr>
        <w:numPr>
          <w:ilvl w:val="0"/>
          <w:numId w:val="1053"/>
        </w:numPr>
        <w:pStyle w:val="Compact"/>
      </w:pPr>
      <w:r>
        <w:rPr>
          <w:bCs/>
          <w:b/>
        </w:rPr>
        <w:t xml:space="preserve">Lifecycle:</w:t>
      </w:r>
      <w:r>
        <w:t xml:space="preserve"> </w:t>
      </w:r>
      <w:r>
        <w:rPr>
          <w:rStyle w:val="VerbatimChar"/>
        </w:rPr>
        <w:t xml:space="preserve">AVAILABLE → LICENSED → INSTALLED → CONFIGURED (maker-checker; RE approves templates, visibility policy and contact pack) → CERTIFIED (connector certification with the RE's suite; ConnectorCertified) → ENABLED (ModuleAttached) → READ_ONLY (ModuleDetached; RE detach or suspension switch, OUT para 17) → DETACHED (records retained)</w:t>
      </w:r>
      <w:r>
        <w:t xml:space="preserve">.</w:t>
      </w:r>
    </w:p>
    <w:p>
      <w:pPr>
        <w:numPr>
          <w:ilvl w:val="0"/>
          <w:numId w:val="1053"/>
        </w:numPr>
        <w:pStyle w:val="Compact"/>
      </w:pPr>
      <w:r>
        <w:rPr>
          <w:bCs/>
          <w:b/>
        </w:rPr>
        <w:t xml:space="preserve">On detach:</w:t>
      </w:r>
      <w:r>
        <w:t xml:space="preserve"> </w:t>
      </w:r>
      <w:r>
        <w:t xml:space="preserve">new allocations and requests are refused; all contact stops at once; open allocations are handed back (the RE issues</w:t>
      </w:r>
      <w:r>
        <w:t xml:space="preserve"> </w:t>
      </w:r>
      <w:r>
        <w:rPr>
          <w:rStyle w:val="VerbatimChar"/>
        </w:rPr>
        <w:t xml:space="preserve">CollectionDeallocated</w:t>
      </w:r>
      <w:r>
        <w:t xml:space="preserve"> </w:t>
      </w:r>
      <w:r>
        <w:t xml:space="preserve">and notifies the borrower: RBC para 95; paras 100M–100N); in-flight settlement requests go to the RE with their evidence; the borrower keeps a read-only history and a</w:t>
      </w:r>
      <w:r>
        <w:t xml:space="preserve"> </w:t>
      </w:r>
      <w:r>
        <w:t xml:space="preserve">“</w:t>
      </w:r>
      <w:r>
        <w:t xml:space="preserve">contact [RE name]</w:t>
      </w:r>
      <w:r>
        <w:t xml:space="preserve">”</w:t>
      </w:r>
      <w:r>
        <w:t xml:space="preserve"> </w:t>
      </w:r>
      <w:r>
        <w:t xml:space="preserve">route; an export pack (JSON, CSV, PDF/A, SHA-256 manifest) goes to the RE (OUT paras 42–43, 87–88).</w:t>
      </w:r>
    </w:p>
    <w:p>
      <w:pPr>
        <w:numPr>
          <w:ilvl w:val="0"/>
          <w:numId w:val="1053"/>
        </w:numPr>
        <w:pStyle w:val="Compact"/>
      </w:pPr>
      <w:r>
        <w:rPr>
          <w:bCs/>
          <w:b/>
        </w:rPr>
        <w:t xml:space="preserve">Read-only, never deleted:</w:t>
      </w:r>
      <w:r>
        <w:t xml:space="preserve"> </w:t>
      </w:r>
      <w:r>
        <w:t xml:space="preserve">detaching switches writes and UI off; it never shortens retention or lifts a legal hold.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182"/>
        <w:gridCol w:w="3273"/>
        <w:gridCol w:w="3183"/>
      </w:tblGrid>
      <w:tr>
        <w:trPr>
          <w:tblHeader w:val="true"/>
          <w:tblHeader w:val="true"/>
        </w:trPr>
        <w:tc>
          <w:tcPr>
            <w:tcW w:w="3182" w:type="dxa"/>
            <w:shd w:val="clear" w:color="auto" w:fill="1F3A5F"/>
          </w:tcPr>
          <w:p>
            <w:pPr>
              <w:pStyle w:val="Compact"/>
              <w:spacing w:after="40"/>
              <w:jc w:val="left"/>
            </w:pPr>
            <w:r>
              <w:rPr>
                <w:b/>
                <w:color w:val="FFFFFF"/>
                <w:sz w:val="18"/>
              </w:rPr>
              <w:t xml:space="preserve">Record class</w:t>
            </w:r>
          </w:p>
        </w:tc>
        <w:tc>
          <w:tcPr>
            <w:tcW w:w="3273" w:type="dxa"/>
            <w:shd w:val="clear" w:color="auto" w:fill="1F3A5F"/>
          </w:tcPr>
          <w:p>
            <w:pPr>
              <w:pStyle w:val="Compact"/>
              <w:spacing w:after="40"/>
              <w:jc w:val="left"/>
            </w:pPr>
            <w:r>
              <w:rPr>
                <w:b/>
                <w:color w:val="FFFFFF"/>
                <w:sz w:val="18"/>
              </w:rPr>
              <w:t xml:space="preserve">Minimum retention</w:t>
            </w:r>
          </w:p>
        </w:tc>
        <w:tc>
          <w:tcPr>
            <w:tcW w:w="3183" w:type="dxa"/>
            <w:shd w:val="clear" w:color="auto" w:fill="1F3A5F"/>
          </w:tcPr>
          <w:p>
            <w:pPr>
              <w:pStyle w:val="Compact"/>
              <w:spacing w:after="40"/>
              <w:jc w:val="left"/>
            </w:pPr>
            <w:r>
              <w:rPr>
                <w:b/>
                <w:color w:val="FFFFFF"/>
                <w:sz w:val="18"/>
              </w:rPr>
              <w:t xml:space="preserve">Basis</w:t>
            </w:r>
          </w:p>
        </w:tc>
      </w:tr>
      <w:tr>
        <w:tc>
          <w:tcPr>
            <w:tcW w:w="3182" w:type="dxa"/>
          </w:tcPr>
          <w:p>
            <w:pPr>
              <w:pStyle w:val="Compact"/>
              <w:spacing w:after="40"/>
              <w:jc w:val="left"/>
            </w:pPr>
            <w:r>
              <w:rPr>
                <w:sz w:val="18"/>
              </w:rPr>
              <w:t xml:space="preserve">Call recordings and call logs (UR4)</w:t>
            </w:r>
          </w:p>
        </w:tc>
        <w:tc>
          <w:tcPr>
            <w:tcW w:w="3273" w:type="dxa"/>
          </w:tcPr>
          <w:p>
            <w:pPr>
              <w:pStyle w:val="Compact"/>
              <w:spacing w:after="40"/>
              <w:jc w:val="left"/>
            </w:pPr>
            <w:r>
              <w:rPr>
                <w:sz w:val="18"/>
              </w:rPr>
              <w:t xml:space="preserve">6 months, and until final disposal where the matter is sub judice; Udofin default 12 months</w:t>
            </w:r>
          </w:p>
        </w:tc>
        <w:tc>
          <w:tcPr>
            <w:tcW w:w="3183" w:type="dxa"/>
          </w:tcPr>
          <w:p>
            <w:pPr>
              <w:pStyle w:val="Compact"/>
              <w:spacing w:after="40"/>
              <w:jc w:val="left"/>
            </w:pPr>
            <w:r>
              <w:rPr>
                <w:sz w:val="18"/>
              </w:rPr>
              <w:t xml:space="preserve">[LAW] Third Amendment para 100P from 1 Jan 2027 [VERIFY]; [REC] before then</w:t>
            </w:r>
          </w:p>
        </w:tc>
      </w:tr>
      <w:tr>
        <w:tc>
          <w:tcPr>
            <w:tcW w:w="3182" w:type="dxa"/>
          </w:tcPr>
          <w:p>
            <w:pPr>
              <w:pStyle w:val="Compact"/>
              <w:spacing w:after="40"/>
              <w:jc w:val="left"/>
            </w:pPr>
            <w:r>
              <w:rPr>
                <w:sz w:val="18"/>
              </w:rPr>
              <w:t xml:space="preserve">Agent particulars notices, authorisation letters, delivery proofs, contact evaluations</w:t>
            </w:r>
          </w:p>
        </w:tc>
        <w:tc>
          <w:tcPr>
            <w:tcW w:w="3273" w:type="dxa"/>
          </w:tcPr>
          <w:p>
            <w:pPr>
              <w:pStyle w:val="Compact"/>
              <w:spacing w:after="40"/>
              <w:jc w:val="left"/>
            </w:pPr>
            <w:r>
              <w:rPr>
                <w:sz w:val="18"/>
              </w:rPr>
              <w:t xml:space="preserve">Later of 8 years after loan closure and final disposal of any linked proceeding</w:t>
            </w:r>
          </w:p>
        </w:tc>
        <w:tc>
          <w:tcPr>
            <w:tcW w:w="3183" w:type="dxa"/>
          </w:tcPr>
          <w:p>
            <w:pPr>
              <w:pStyle w:val="Compact"/>
              <w:spacing w:after="40"/>
              <w:jc w:val="left"/>
            </w:pPr>
            <w:r>
              <w:rPr>
                <w:sz w:val="18"/>
              </w:rPr>
              <w:t xml:space="preserve">[REC], covering limitation periods of 3 to 12 years (Limitation Act arts. 55, 62, 136)</w:t>
            </w:r>
          </w:p>
        </w:tc>
      </w:tr>
      <w:tr>
        <w:tc>
          <w:tcPr>
            <w:tcW w:w="3182" w:type="dxa"/>
          </w:tcPr>
          <w:p>
            <w:pPr>
              <w:pStyle w:val="Compact"/>
              <w:spacing w:after="40"/>
              <w:jc w:val="left"/>
            </w:pPr>
            <w:r>
              <w:rPr>
                <w:sz w:val="18"/>
              </w:rPr>
              <w:t xml:space="preserve">Settlement requests, offers as displayed, acceptance evidence</w:t>
            </w:r>
          </w:p>
        </w:tc>
        <w:tc>
          <w:tcPr>
            <w:tcW w:w="3273" w:type="dxa"/>
          </w:tcPr>
          <w:p>
            <w:pPr>
              <w:pStyle w:val="Compact"/>
              <w:spacing w:after="40"/>
              <w:jc w:val="left"/>
            </w:pPr>
            <w:r>
              <w:rPr>
                <w:sz w:val="18"/>
              </w:rPr>
              <w:t xml:space="preserve">As above</w:t>
            </w:r>
          </w:p>
        </w:tc>
        <w:tc>
          <w:tcPr>
            <w:tcW w:w="3183" w:type="dxa"/>
          </w:tcPr>
          <w:p>
            <w:pPr>
              <w:pStyle w:val="Compact"/>
              <w:spacing w:after="40"/>
              <w:jc w:val="left"/>
            </w:pPr>
            <w:r>
              <w:rPr>
                <w:sz w:val="18"/>
              </w:rPr>
              <w:t xml:space="preserve">[REC]; RSA paras 89–100 records are the RE’s</w:t>
            </w:r>
          </w:p>
        </w:tc>
      </w:tr>
      <w:tr>
        <w:tc>
          <w:tcPr>
            <w:tcW w:w="3182" w:type="dxa"/>
          </w:tcPr>
          <w:p>
            <w:pPr>
              <w:pStyle w:val="Compact"/>
              <w:spacing w:after="40"/>
              <w:jc w:val="left"/>
            </w:pPr>
            <w:r>
              <w:rPr>
                <w:sz w:val="18"/>
              </w:rPr>
              <w:t xml:space="preserve">Cash receipts and Udofin’s cash-in-transit ledger</w:t>
            </w:r>
          </w:p>
        </w:tc>
        <w:tc>
          <w:tcPr>
            <w:tcW w:w="3273" w:type="dxa"/>
          </w:tcPr>
          <w:p>
            <w:pPr>
              <w:pStyle w:val="Compact"/>
              <w:spacing w:after="40"/>
              <w:jc w:val="left"/>
            </w:pPr>
            <w:r>
              <w:rPr>
                <w:sz w:val="18"/>
              </w:rPr>
              <w:t xml:space="preserve">8 years from the end of the financial year</w:t>
            </w:r>
          </w:p>
        </w:tc>
        <w:tc>
          <w:tcPr>
            <w:tcW w:w="3183" w:type="dxa"/>
          </w:tcPr>
          <w:p>
            <w:pPr>
              <w:pStyle w:val="Compact"/>
              <w:spacing w:after="40"/>
              <w:jc w:val="left"/>
            </w:pPr>
            <w:r>
              <w:rPr>
                <w:sz w:val="18"/>
              </w:rPr>
              <w:t xml:space="preserve">[LAW] Companies Act s.128(5) for Udofin’s books</w:t>
            </w:r>
          </w:p>
        </w:tc>
      </w:tr>
      <w:tr>
        <w:tc>
          <w:tcPr>
            <w:tcW w:w="3182" w:type="dxa"/>
          </w:tcPr>
          <w:p>
            <w:pPr>
              <w:pStyle w:val="Compact"/>
              <w:spacing w:after="40"/>
              <w:jc w:val="left"/>
            </w:pPr>
            <w:r>
              <w:rPr>
                <w:sz w:val="18"/>
              </w:rPr>
              <w:t xml:space="preserve">Notice delivery and read evidence (Udofin channel)</w:t>
            </w:r>
          </w:p>
        </w:tc>
        <w:tc>
          <w:tcPr>
            <w:tcW w:w="3273" w:type="dxa"/>
          </w:tcPr>
          <w:p>
            <w:pPr>
              <w:pStyle w:val="Compact"/>
              <w:spacing w:after="40"/>
              <w:jc w:val="left"/>
            </w:pPr>
            <w:r>
              <w:rPr>
                <w:sz w:val="18"/>
              </w:rPr>
              <w:t xml:space="preserve">As the notice it evidences</w:t>
            </w:r>
          </w:p>
        </w:tc>
        <w:tc>
          <w:tcPr>
            <w:tcW w:w="3183" w:type="dxa"/>
          </w:tcPr>
          <w:p>
            <w:pPr>
              <w:pStyle w:val="Compact"/>
              <w:spacing w:after="40"/>
              <w:jc w:val="left"/>
            </w:pPr>
            <w:r>
              <w:rPr>
                <w:sz w:val="18"/>
              </w:rPr>
              <w:t xml:space="preserve">[REC]</w:t>
            </w:r>
          </w:p>
        </w:tc>
      </w:tr>
      <w:tr>
        <w:tc>
          <w:tcPr>
            <w:tcW w:w="3182" w:type="dxa"/>
          </w:tcPr>
          <w:p>
            <w:pPr>
              <w:pStyle w:val="Compact"/>
              <w:spacing w:after="40"/>
              <w:jc w:val="left"/>
            </w:pPr>
            <w:r>
              <w:rPr>
                <w:sz w:val="18"/>
              </w:rPr>
              <w:t xml:space="preserve">ADR case view</w:t>
            </w:r>
          </w:p>
        </w:tc>
        <w:tc>
          <w:tcPr>
            <w:tcW w:w="3273" w:type="dxa"/>
          </w:tcPr>
          <w:p>
            <w:pPr>
              <w:pStyle w:val="Compact"/>
              <w:spacing w:after="40"/>
              <w:jc w:val="left"/>
            </w:pPr>
            <w:r>
              <w:rPr>
                <w:sz w:val="18"/>
              </w:rPr>
              <w:t xml:space="preserve">Until the RE’s case closure plus the RE’s schedule; originals stay with the provider</w:t>
            </w:r>
          </w:p>
        </w:tc>
        <w:tc>
          <w:tcPr>
            <w:tcW w:w="3183" w:type="dxa"/>
          </w:tcPr>
          <w:p>
            <w:pPr>
              <w:pStyle w:val="Compact"/>
              <w:spacing w:after="40"/>
              <w:jc w:val="left"/>
            </w:pPr>
            <w:r>
              <w:rPr>
                <w:sz w:val="18"/>
              </w:rPr>
              <w:t xml:space="preserve">[REC]</w:t>
            </w:r>
          </w:p>
        </w:tc>
      </w:tr>
    </w:tbl>
    <w:p>
      <w:pPr>
        <w:pStyle w:val="BodyText"/>
      </w:pPr>
      <w:r>
        <w:t xml:space="preserve">DPDP erasure requests are passed to the RE (</w:t>
      </w:r>
      <w:r>
        <w:rPr>
          <w:rStyle w:val="VerbatimChar"/>
        </w:rPr>
        <w:t xml:space="preserve">DataPrincipalRequest</w:t>
      </w:r>
      <w:r>
        <w:t xml:space="preserve">); records needed to establish or defend a legal claim are kept under the applicable exemption and the borrower is told why [VERIFY: DPDP Act s.17(1)(a) wording and Rules commencement].</w:t>
      </w:r>
    </w:p>
    <w:bookmarkEnd w:id="96"/>
    <w:bookmarkStart w:id="97" w:name="a.0.4-rule-packs"/>
    <w:p>
      <w:pPr>
        <w:pStyle w:val="Heading3"/>
      </w:pPr>
      <w:r>
        <w:t xml:space="preserve">7A.0.4 Rule packs</w:t>
      </w:r>
    </w:p>
    <w:p>
      <w:pPr>
        <w:numPr>
          <w:ilvl w:val="0"/>
          <w:numId w:val="1054"/>
        </w:numPr>
        <w:pStyle w:val="Compact"/>
      </w:pPr>
      <w:r>
        <w:rPr>
          <w:bCs/>
          <w:b/>
        </w:rPr>
        <w:t xml:space="preserve">Pack A</w:t>
      </w:r>
      <w:r>
        <w:t xml:space="preserve"> </w:t>
      </w:r>
      <w:r>
        <w:t xml:space="preserve">(to 31 Dec 2026): RBC paras 90–100.</w:t>
      </w:r>
      <w:r>
        <w:t xml:space="preserve"> </w:t>
      </w:r>
      <w:r>
        <w:rPr>
          <w:bCs/>
          <w:b/>
        </w:rPr>
        <w:t xml:space="preserve">Pack B</w:t>
      </w:r>
      <w:r>
        <w:t xml:space="preserve"> </w:t>
      </w:r>
      <w:r>
        <w:t xml:space="preserve">(from 1 Jan 2027): Third Amendment paras 100A–100AB. The pack is chosen by the timestamp of each attempt; both are effective-dated rule-pack versions in U16 and UR4.</w:t>
      </w:r>
    </w:p>
    <w:p>
      <w:pPr>
        <w:numPr>
          <w:ilvl w:val="0"/>
          <w:numId w:val="1054"/>
        </w:numPr>
        <w:pStyle w:val="Compact"/>
      </w:pPr>
      <w:r>
        <w:rPr>
          <w:bCs/>
          <w:b/>
        </w:rPr>
        <w:t xml:space="preserve">Microfinance window:</w:t>
      </w:r>
      <w:r>
        <w:t xml:space="preserve"> </w:t>
      </w:r>
      <w:r>
        <w:t xml:space="preserve">pack A uses 09:00–18:00 (RBC para 91(2)). From 1 Jan 2027 microfinance loans move to pack B (RBC Third Amendment, RBI/2026-27/230): window and visit rules per paras 100Y(4), (5) and (7) [VERIFY: official text]; an RE may configure a narrower window (Finbyx IP4.8 keeps 09:00–18:00 by default), never a wider one (Part 7E MG2.8).</w:t>
      </w:r>
    </w:p>
    <w:p>
      <w:pPr>
        <w:numPr>
          <w:ilvl w:val="0"/>
          <w:numId w:val="1054"/>
        </w:numPr>
        <w:pStyle w:val="Compact"/>
      </w:pPr>
      <w:r>
        <w:rPr>
          <w:bCs/>
          <w:b/>
        </w:rPr>
        <w:t xml:space="preserve">State overlays:</w:t>
      </w:r>
      <w:r>
        <w:t xml:space="preserve"> </w:t>
      </w:r>
      <w:r>
        <w:t xml:space="preserve">Karnataka Act 15 of 2025 and the Tamil Nadu Money Lending Entities (Prevention of Coercive Actions) Act, 2025 (notified 9 Jun 2025; ss.20–26 reach NBFCs operating in Tamil Nadu; vires contested) as configurable overlays [VERIFY current text and status].</w:t>
      </w:r>
    </w:p>
    <w:bookmarkEnd w:id="97"/>
    <w:bookmarkStart w:id="98" w:name="a.0.5-data-ownership"/>
    <w:p>
      <w:pPr>
        <w:pStyle w:val="Heading3"/>
      </w:pPr>
      <w:r>
        <w:t xml:space="preserve">7A.0.5 Data ownership</w:t>
      </w:r>
    </w:p>
    <w:p>
      <w:pPr>
        <w:pStyle w:val="FirstParagraph"/>
      </w:pPr>
      <w:r>
        <w:t xml:space="preserve">The RE’s system (Finbyx R1–R16 or the RE’s suite) is the system of record for the loan, dues, classification, recovery case and strategy, notices, litigation, settlement decisions and ADR referral and mandate; Udofin holds only labelled projections. The ADR provider holds the docket, neutral selection, orders and original settlements and awards; Udofin holds status and links. Udofin is the system of record for borrower interactions in its channels, consents, settlement requests as received, acceptance evidence, its own delivery and read evidence, agent activity and recordings where appointed, cash receipts and LSP grievances.</w:t>
      </w:r>
    </w:p>
    <w:bookmarkEnd w:id="98"/>
    <w:bookmarkEnd w:id="99"/>
    <w:bookmarkStart w:id="100" w:name="X28c1aa68797ef76cd092b44e4a3332c95e005b5"/>
    <w:p>
      <w:pPr>
        <w:pStyle w:val="Heading2"/>
      </w:pPr>
      <w:r>
        <w:t xml:space="preserve">UR1. Borrower overdue, settlement and payment centre</w:t>
      </w:r>
    </w:p>
    <w:p>
      <w:pPr>
        <w:pStyle w:val="FirstParagraph"/>
      </w:pPr>
      <w:r>
        <w:rPr>
          <w:bCs/>
          <w:b/>
        </w:rPr>
        <w:t xml:space="preserve">Purpose:</w:t>
      </w:r>
      <w:r>
        <w:t xml:space="preserve"> </w:t>
      </w:r>
      <w:r>
        <w:t xml:space="preserve">one place where the borrower sees what is overdue, pays the RE, promises payment, asks for help, and asks for or responds to a settlement, without Udofin taking any decision.</w:t>
      </w:r>
    </w:p>
    <w:p>
      <w:pPr>
        <w:pStyle w:val="BodyText"/>
      </w:pPr>
      <w:r>
        <w:rPr>
          <w:bCs/>
          <w:b/>
        </w:rPr>
        <w:t xml:space="preserve">Capabilities:</w:t>
      </w:r>
    </w:p>
    <w:p>
      <w:pPr>
        <w:numPr>
          <w:ilvl w:val="0"/>
          <w:numId w:val="1055"/>
        </w:numPr>
        <w:pStyle w:val="Compact"/>
      </w:pPr>
      <w:r>
        <w:rPr>
          <w:bCs/>
          <w:b/>
        </w:rPr>
        <w:t xml:space="preserve">Overdue view</w:t>
      </w:r>
      <w:r>
        <w:t xml:space="preserve"> </w:t>
      </w:r>
      <w:r>
        <w:t xml:space="preserve">from the U12 mirror: DPD, SMA status with the RE’s examples (IRACP paras 15, 17; RSA para 18) and each penal charge with its reason (RBC para 30(7)).</w:t>
      </w:r>
    </w:p>
    <w:p>
      <w:pPr>
        <w:numPr>
          <w:ilvl w:val="0"/>
          <w:numId w:val="1055"/>
        </w:numPr>
        <w:pStyle w:val="Compact"/>
      </w:pPr>
      <w:r>
        <w:rPr>
          <w:bCs/>
          <w:b/>
        </w:rPr>
        <w:t xml:space="preserve">Pay now:</w:t>
      </w:r>
      <w:r>
        <w:t xml:space="preserve"> </w:t>
      </w:r>
      <w:r>
        <w:t xml:space="preserve">link, UPI intent or QR on the RE’s merchant account, or a mandate re-presentation request; Udofin’s acknowledgement reads</w:t>
      </w:r>
      <w:r>
        <w:t xml:space="preserve"> </w:t>
      </w:r>
      <w:r>
        <w:t xml:space="preserve">“</w:t>
      </w:r>
      <w:r>
        <w:t xml:space="preserve">payment initiated</w:t>
      </w:r>
      <w:r>
        <w:t xml:space="preserve">”</w:t>
      </w:r>
      <w:r>
        <w:t xml:space="preserve"> </w:t>
      </w:r>
      <w:r>
        <w:t xml:space="preserve">until the RE’s receipt arrives (CF para 10(2)–(3)). Co-lending loans pay into the escrow (TDCR para 117); after</w:t>
      </w:r>
      <w:r>
        <w:t xml:space="preserve"> </w:t>
      </w:r>
      <w:r>
        <w:rPr>
          <w:rStyle w:val="VerbatimChar"/>
        </w:rPr>
        <w:t xml:space="preserve">LoanTransferred</w:t>
      </w:r>
      <w:r>
        <w:t xml:space="preserve"> </w:t>
      </w:r>
      <w:r>
        <w:t xml:space="preserve">or</w:t>
      </w:r>
      <w:r>
        <w:t xml:space="preserve"> </w:t>
      </w:r>
      <w:r>
        <w:rPr>
          <w:rStyle w:val="VerbatimChar"/>
        </w:rPr>
        <w:t xml:space="preserve">ServicerChanged</w:t>
      </w:r>
      <w:r>
        <w:t xml:space="preserve"> </w:t>
      </w:r>
      <w:r>
        <w:t xml:space="preserve">only the new instruction is used and old links are disabled the same day.</w:t>
      </w:r>
    </w:p>
    <w:p>
      <w:pPr>
        <w:numPr>
          <w:ilvl w:val="0"/>
          <w:numId w:val="1055"/>
        </w:numPr>
        <w:pStyle w:val="Compact"/>
      </w:pPr>
      <w:r>
        <w:rPr>
          <w:bCs/>
          <w:b/>
        </w:rPr>
        <w:t xml:space="preserve">Promise to pay:</w:t>
      </w:r>
      <w:r>
        <w:t xml:space="preserve"> </w:t>
      </w:r>
      <w:r>
        <w:t xml:space="preserve">date, amount and channel →</w:t>
      </w:r>
      <w:r>
        <w:t xml:space="preserve"> </w:t>
      </w:r>
      <w:r>
        <w:rPr>
          <w:rStyle w:val="VerbatimChar"/>
        </w:rPr>
        <w:t xml:space="preserve">PTPCaptured</w:t>
      </w:r>
      <w:r>
        <w:t xml:space="preserve">. The screen carries no acknowledgement-of-debt wording unless the RE’s legal team approves the template, because a written, signed acknowledgement restarts limitation (Limitation Act s.18) [INTERP].</w:t>
      </w:r>
    </w:p>
    <w:p>
      <w:pPr>
        <w:numPr>
          <w:ilvl w:val="0"/>
          <w:numId w:val="1055"/>
        </w:numPr>
        <w:pStyle w:val="Compact"/>
      </w:pPr>
      <w:r>
        <w:rPr>
          <w:bCs/>
          <w:b/>
        </w:rPr>
        <w:t xml:space="preserve">Hardship request</w:t>
      </w:r>
      <w:r>
        <w:t xml:space="preserve"> </w:t>
      </w:r>
      <w:r>
        <w:t xml:space="preserve">(all products by policy; RBC para 89 for microfinance) as a U12 service request to the RE.</w:t>
      </w:r>
    </w:p>
    <w:p>
      <w:pPr>
        <w:numPr>
          <w:ilvl w:val="0"/>
          <w:numId w:val="1055"/>
        </w:numPr>
        <w:pStyle w:val="Compact"/>
      </w:pPr>
      <w:r>
        <w:rPr>
          <w:bCs/>
          <w:b/>
        </w:rPr>
        <w:t xml:space="preserve">Settlement request:</w:t>
      </w:r>
      <w:r>
        <w:t xml:space="preserve"> </w:t>
      </w:r>
      <w:r>
        <w:t xml:space="preserve">proposed amount, schedule, reason and documents (system picker) →</w:t>
      </w:r>
      <w:r>
        <w:t xml:space="preserve"> </w:t>
      </w:r>
      <w:r>
        <w:rPr>
          <w:rStyle w:val="VerbatimChar"/>
        </w:rPr>
        <w:t xml:space="preserve">SettlementRequested</w:t>
      </w:r>
      <w:r>
        <w:t xml:space="preserve">.</w:t>
      </w:r>
    </w:p>
    <w:p>
      <w:pPr>
        <w:numPr>
          <w:ilvl w:val="0"/>
          <w:numId w:val="1055"/>
        </w:numPr>
        <w:pStyle w:val="Compact"/>
      </w:pPr>
      <w:r>
        <w:rPr>
          <w:bCs/>
          <w:b/>
        </w:rPr>
        <w:t xml:space="preserve">RE offer</w:t>
      </w:r>
      <w:r>
        <w:t xml:space="preserve"> </w:t>
      </w:r>
      <w:r>
        <w:t xml:space="preserve">(</w:t>
      </w:r>
      <w:r>
        <w:rPr>
          <w:rStyle w:val="VerbatimChar"/>
        </w:rPr>
        <w:t xml:space="preserve">SettlementOfferIssued</w:t>
      </w:r>
      <w:r>
        <w:t xml:space="preserve">): shown verbatim with hash, validity, schedule and a mandatory RE</w:t>
      </w:r>
      <w:r>
        <w:t xml:space="preserve"> </w:t>
      </w:r>
      <w:r>
        <w:rPr>
          <w:bCs/>
          <w:b/>
        </w:rPr>
        <w:t xml:space="preserve">characterisation block</w:t>
      </w:r>
      <w:r>
        <w:t xml:space="preserve"> </w:t>
      </w:r>
      <w:r>
        <w:t xml:space="preserve">(display blocked without it): restructuring if over 3 months or partial (RSA paras 89–90); CIC status</w:t>
      </w:r>
      <w:r>
        <w:t xml:space="preserve"> </w:t>
      </w:r>
      <w:r>
        <w:t xml:space="preserve">“</w:t>
      </w:r>
      <w:r>
        <w:t xml:space="preserve">settled</w:t>
      </w:r>
      <w:r>
        <w:t xml:space="preserve">”</w:t>
      </w:r>
      <w:r>
        <w:t xml:space="preserve"> </w:t>
      </w:r>
      <w:r>
        <w:t xml:space="preserve">(CIR para 12(4)); cooling period of at least 12 months (RSA para 95); consent decree if a case is pending (RSA para 100); for fraud or wilful defaulters, criminal proceedings and penal measures continue (RSA paras 97–98).</w:t>
      </w:r>
    </w:p>
    <w:p>
      <w:pPr>
        <w:numPr>
          <w:ilvl w:val="0"/>
          <w:numId w:val="1055"/>
        </w:numPr>
        <w:pStyle w:val="Compact"/>
      </w:pPr>
      <w:r>
        <w:rPr>
          <w:bCs/>
          <w:b/>
        </w:rPr>
        <w:t xml:space="preserve">Acceptance:</w:t>
      </w:r>
      <w:r>
        <w:t xml:space="preserve"> </w:t>
      </w:r>
      <w:r>
        <w:t xml:space="preserve">OTP or Aadhaar eSign within validity, bound to the offer hash; sent as</w:t>
      </w:r>
      <w:r>
        <w:t xml:space="preserve"> </w:t>
      </w:r>
      <w:r>
        <w:rPr>
          <w:rStyle w:val="VerbatimChar"/>
        </w:rPr>
        <w:t xml:space="preserve">SettlementOfferAccepted</w:t>
      </w:r>
      <w:r>
        <w:t xml:space="preserve"> </w:t>
      </w:r>
      <w:r>
        <w:t xml:space="preserve">(Integration Spec 6.8) with</w:t>
      </w:r>
      <w:r>
        <w:t xml:space="preserve"> </w:t>
      </w:r>
      <w:r>
        <w:rPr>
          <w:rStyle w:val="VerbatimChar"/>
        </w:rPr>
        <w:t xml:space="preserve">offer_ref</w:t>
      </w:r>
      <w:r>
        <w:t xml:space="preserve"> </w:t>
      </w:r>
      <w:r>
        <w:t xml:space="preserve">and evidence.</w:t>
      </w:r>
      <w:r>
        <w:t xml:space="preserve"> </w:t>
      </w:r>
      <w:r>
        <w:rPr>
          <w:rStyle w:val="VerbatimChar"/>
        </w:rPr>
        <w:t xml:space="preserve">SettlementApproved</w:t>
      </w:r>
      <w:r>
        <w:t xml:space="preserve">,</w:t>
      </w:r>
      <w:r>
        <w:t xml:space="preserve"> </w:t>
      </w:r>
      <w:r>
        <w:rPr>
          <w:rStyle w:val="VerbatimChar"/>
        </w:rPr>
        <w:t xml:space="preserve">SettlementBreached</w:t>
      </w:r>
      <w:r>
        <w:t xml:space="preserve"> </w:t>
      </w:r>
      <w:r>
        <w:t xml:space="preserve">and</w:t>
      </w:r>
      <w:r>
        <w:t xml:space="preserve"> </w:t>
      </w:r>
      <w:r>
        <w:rPr>
          <w:rStyle w:val="VerbatimChar"/>
        </w:rPr>
        <w:t xml:space="preserve">RecoveryReceiptPosted</w:t>
      </w:r>
      <w:r>
        <w:t xml:space="preserve"> </w:t>
      </w:r>
      <w:r>
        <w:t xml:space="preserve">update the view with the RE’s text.</w:t>
      </w:r>
    </w:p>
    <w:p>
      <w:pPr>
        <w:numPr>
          <w:ilvl w:val="0"/>
          <w:numId w:val="1055"/>
        </w:numPr>
        <w:pStyle w:val="Compact"/>
      </w:pPr>
      <w:r>
        <w:rPr>
          <w:bCs/>
          <w:b/>
        </w:rPr>
        <w:t xml:space="preserve">Counter-proposal:</w:t>
      </w:r>
      <w:r>
        <w:t xml:space="preserve"> </w:t>
      </w:r>
      <w:r>
        <w:t xml:space="preserve">a new</w:t>
      </w:r>
      <w:r>
        <w:t xml:space="preserve"> </w:t>
      </w:r>
      <w:r>
        <w:rPr>
          <w:rStyle w:val="VerbatimChar"/>
        </w:rPr>
        <w:t xml:space="preserve">SettlementRequested</w:t>
      </w:r>
      <w:r>
        <w:t xml:space="preserve"> </w:t>
      </w:r>
      <w:r>
        <w:t xml:space="preserve">linked to the offer. Udofin staff and bots never counter-offer.</w:t>
      </w:r>
    </w:p>
    <w:p>
      <w:pPr>
        <w:pStyle w:val="FirstParagraph"/>
      </w:pPr>
      <w:r>
        <w:rPr>
          <w:bCs/>
          <w:b/>
        </w:rPr>
        <w:t xml:space="preserve">Mobile and web:</w:t>
      </w:r>
      <w:r>
        <w:t xml:space="preserve"> </w:t>
      </w:r>
      <w:r>
        <w:t xml:space="preserve">same centre on app and web; push carries no amount or PII; desktop web shows UPI QR. The operations portal sees status only, with no approve or edit control. Portal-only REs issue and approve offers in the lender portal under maker-checker that checks the approver’s level against the RE’s delegation matrix and blocks anyone who sanctioned the loan (RSA para 16(5)(i)); fraud and wilful-defaulter cases need a Board approval reference (para 16(5)(ii)). The field app shows offers read-only.</w:t>
      </w:r>
    </w:p>
    <w:p>
      <w:pPr>
        <w:pStyle w:val="BodyText"/>
      </w:pPr>
      <w:r>
        <w:rPr>
          <w:bCs/>
          <w:b/>
        </w:rPr>
        <w:t xml:space="preserve">States:</w:t>
      </w:r>
    </w:p>
    <w:p>
      <w:pPr>
        <w:numPr>
          <w:ilvl w:val="0"/>
          <w:numId w:val="1056"/>
        </w:numPr>
        <w:pStyle w:val="Compact"/>
      </w:pPr>
      <w:r>
        <w:rPr>
          <w:rStyle w:val="VerbatimChar"/>
        </w:rPr>
        <w:t xml:space="preserve">settlement_request</w:t>
      </w:r>
      <w:r>
        <w:t xml:space="preserve">:</w:t>
      </w:r>
      <w:r>
        <w:t xml:space="preserve"> </w:t>
      </w:r>
      <w:r>
        <w:rPr>
          <w:rStyle w:val="VerbatimChar"/>
        </w:rPr>
        <w:t xml:space="preserve">DRAFT → SUBMITTED → ACKNOWLEDGED_BY_RE → {OFFER_ISSUED → {ACCEPTED → APPROVED → IN_PAYMENT → {COMPLETED | BREACHED} | OFFER_EXPIRED | DECLINED_BY_BORROWER} | DECLINED_BY_RE} | WITHDRAWN</w:t>
      </w:r>
      <w:r>
        <w:t xml:space="preserve">.</w:t>
      </w:r>
    </w:p>
    <w:p>
      <w:pPr>
        <w:numPr>
          <w:ilvl w:val="0"/>
          <w:numId w:val="1056"/>
        </w:numPr>
        <w:pStyle w:val="Compact"/>
      </w:pPr>
      <w:r>
        <w:rPr>
          <w:rStyle w:val="VerbatimChar"/>
        </w:rPr>
        <w:t xml:space="preserve">ptp</w:t>
      </w:r>
      <w:r>
        <w:t xml:space="preserve">:</w:t>
      </w:r>
      <w:r>
        <w:t xml:space="preserve"> </w:t>
      </w:r>
      <w:r>
        <w:rPr>
          <w:rStyle w:val="VerbatimChar"/>
        </w:rPr>
        <w:t xml:space="preserve">CAPTURED → DUE → {KEPT | PART_KEPT | BROKEN}</w:t>
      </w:r>
      <w:r>
        <w:t xml:space="preserve">, set only from RE payment events.</w:t>
      </w:r>
    </w:p>
    <w:p>
      <w:pPr>
        <w:pStyle w:val="FirstParagraph"/>
      </w:pPr>
      <w:r>
        <w:rPr>
          <w:bCs/>
          <w:b/>
        </w:rPr>
        <w:t xml:space="preserve">Data:</w:t>
      </w:r>
      <w:r>
        <w:t xml:space="preserve"> </w:t>
      </w:r>
      <w:r>
        <w:rPr>
          <w:rStyle w:val="VerbatimChar"/>
        </w:rPr>
        <w:t xml:space="preserve">settlement_request</w:t>
      </w:r>
      <w:r>
        <w:t xml:space="preserve">,</w:t>
      </w:r>
      <w:r>
        <w:t xml:space="preserve"> </w:t>
      </w:r>
      <w:r>
        <w:rPr>
          <w:rStyle w:val="VerbatimChar"/>
        </w:rPr>
        <w:t xml:space="preserve">settlement_offer_mirror</w:t>
      </w:r>
      <w:r>
        <w:t xml:space="preserve"> </w:t>
      </w:r>
      <w:r>
        <w:t xml:space="preserve">(RE reference, terms, validity, characterisation, hash),</w:t>
      </w:r>
      <w:r>
        <w:t xml:space="preserve"> </w:t>
      </w:r>
      <w:r>
        <w:rPr>
          <w:rStyle w:val="VerbatimChar"/>
        </w:rPr>
        <w:t xml:space="preserve">settlement_acceptance_evidence</w:t>
      </w:r>
      <w:r>
        <w:t xml:space="preserve"> </w:t>
      </w:r>
      <w:r>
        <w:t xml:space="preserve">(method, transaction ID, offer hash, timestamp, device),</w:t>
      </w:r>
      <w:r>
        <w:t xml:space="preserve"> </w:t>
      </w:r>
      <w:r>
        <w:rPr>
          <w:rStyle w:val="VerbatimChar"/>
        </w:rPr>
        <w:t xml:space="preserve">ptp</w:t>
      </w:r>
      <w:r>
        <w:t xml:space="preserve">,</w:t>
      </w:r>
      <w:r>
        <w:t xml:space="preserve"> </w:t>
      </w:r>
      <w:r>
        <w:rPr>
          <w:rStyle w:val="VerbatimChar"/>
        </w:rPr>
        <w:t xml:space="preserve">hardship_request</w:t>
      </w:r>
      <w:r>
        <w:t xml:space="preserve">;</w:t>
      </w:r>
      <w:r>
        <w:t xml:space="preserve"> </w:t>
      </w:r>
      <w:r>
        <w:rPr>
          <w:rStyle w:val="VerbatimChar"/>
        </w:rPr>
        <w:t xml:space="preserve">payment_intent</w:t>
      </w:r>
      <w:r>
        <w:t xml:space="preserve"> </w:t>
      </w:r>
      <w:r>
        <w:t xml:space="preserve">from U11.</w:t>
      </w:r>
    </w:p>
    <w:p>
      <w:pPr>
        <w:pStyle w:val="BodyText"/>
      </w:pPr>
      <w:r>
        <w:rPr>
          <w:bCs/>
          <w:b/>
        </w:rPr>
        <w:t xml:space="preserve">Controls:</w:t>
      </w:r>
      <w:r>
        <w:t xml:space="preserve"> </w:t>
      </w:r>
      <w:r>
        <w:t xml:space="preserve">no Udofin role can create or alter an offer, waiver or appropriation; no acceptance after validity; AI explains but never negotiates; no false urgency (para 100Z); borrower’s language (RBC para 10) and grievance block (para 100AA); no cross-selling in recovery communications [REC]; DLG never shown as reducing dues (CF para 25(2)).</w:t>
      </w:r>
    </w:p>
    <w:p>
      <w:pPr>
        <w:pStyle w:val="BodyText"/>
      </w:pPr>
      <w:r>
        <w:rPr>
          <w:bCs/>
          <w:b/>
        </w:rPr>
        <w:t xml:space="preserve">Events:</w:t>
      </w:r>
      <w:r>
        <w:t xml:space="preserve"> </w:t>
      </w:r>
      <w:r>
        <w:t xml:space="preserve">consumes</w:t>
      </w:r>
      <w:r>
        <w:t xml:space="preserve"> </w:t>
      </w:r>
      <w:r>
        <w:rPr>
          <w:rStyle w:val="VerbatimChar"/>
        </w:rPr>
        <w:t xml:space="preserve">DPDChanged</w:t>
      </w:r>
      <w:r>
        <w:t xml:space="preserve">,</w:t>
      </w:r>
      <w:r>
        <w:t xml:space="preserve"> </w:t>
      </w:r>
      <w:r>
        <w:rPr>
          <w:rStyle w:val="VerbatimChar"/>
        </w:rPr>
        <w:t xml:space="preserve">AssetClassificationChanged</w:t>
      </w:r>
      <w:r>
        <w:t xml:space="preserve">,</w:t>
      </w:r>
      <w:r>
        <w:t xml:space="preserve"> </w:t>
      </w:r>
      <w:r>
        <w:rPr>
          <w:rStyle w:val="VerbatimChar"/>
        </w:rPr>
        <w:t xml:space="preserve">PaymentReceived</w:t>
      </w:r>
      <w:r>
        <w:t xml:space="preserve">,</w:t>
      </w:r>
      <w:r>
        <w:t xml:space="preserve"> </w:t>
      </w:r>
      <w:r>
        <w:rPr>
          <w:rStyle w:val="VerbatimChar"/>
        </w:rPr>
        <w:t xml:space="preserve">PaymentBounced</w:t>
      </w:r>
      <w:r>
        <w:t xml:space="preserve">,</w:t>
      </w:r>
      <w:r>
        <w:t xml:space="preserve"> </w:t>
      </w:r>
      <w:r>
        <w:rPr>
          <w:rStyle w:val="VerbatimChar"/>
        </w:rPr>
        <w:t xml:space="preserve">SettlementOfferIssued</w:t>
      </w:r>
      <w:r>
        <w:t xml:space="preserve">,</w:t>
      </w:r>
      <w:r>
        <w:t xml:space="preserve"> </w:t>
      </w:r>
      <w:r>
        <w:rPr>
          <w:rStyle w:val="VerbatimChar"/>
        </w:rPr>
        <w:t xml:space="preserve">SettlementApproved</w:t>
      </w:r>
      <w:r>
        <w:t xml:space="preserve">,</w:t>
      </w:r>
      <w:r>
        <w:t xml:space="preserve"> </w:t>
      </w:r>
      <w:r>
        <w:rPr>
          <w:rStyle w:val="VerbatimChar"/>
        </w:rPr>
        <w:t xml:space="preserve">SettlementBreached</w:t>
      </w:r>
      <w:r>
        <w:t xml:space="preserve">,</w:t>
      </w:r>
      <w:r>
        <w:t xml:space="preserve"> </w:t>
      </w:r>
      <w:r>
        <w:rPr>
          <w:rStyle w:val="VerbatimChar"/>
        </w:rPr>
        <w:t xml:space="preserve">RecoveryReceiptPosted</w:t>
      </w:r>
      <w:r>
        <w:t xml:space="preserve">,</w:t>
      </w:r>
      <w:r>
        <w:t xml:space="preserve"> </w:t>
      </w:r>
      <w:r>
        <w:rPr>
          <w:rStyle w:val="VerbatimChar"/>
        </w:rPr>
        <w:t xml:space="preserve">LoanTransferred</w:t>
      </w:r>
      <w:r>
        <w:t xml:space="preserve">,</w:t>
      </w:r>
      <w:r>
        <w:t xml:space="preserve"> </w:t>
      </w:r>
      <w:r>
        <w:rPr>
          <w:rStyle w:val="VerbatimChar"/>
        </w:rPr>
        <w:t xml:space="preserve">ServicerChanged</w:t>
      </w:r>
      <w:r>
        <w:t xml:space="preserve">; produces</w:t>
      </w:r>
      <w:r>
        <w:t xml:space="preserve"> </w:t>
      </w:r>
      <w:r>
        <w:rPr>
          <w:rStyle w:val="VerbatimChar"/>
        </w:rPr>
        <w:t xml:space="preserve">SettlementRequested</w:t>
      </w:r>
      <w:r>
        <w:t xml:space="preserve">,</w:t>
      </w:r>
      <w:r>
        <w:t xml:space="preserve"> </w:t>
      </w:r>
      <w:r>
        <w:rPr>
          <w:rStyle w:val="VerbatimChar"/>
        </w:rPr>
        <w:t xml:space="preserve">SettlementOfferAccepted</w:t>
      </w:r>
      <w:r>
        <w:t xml:space="preserve">,</w:t>
      </w:r>
      <w:r>
        <w:t xml:space="preserve"> </w:t>
      </w:r>
      <w:r>
        <w:rPr>
          <w:rStyle w:val="VerbatimChar"/>
        </w:rPr>
        <w:t xml:space="preserve">PTPCaptured</w:t>
      </w:r>
      <w:r>
        <w:t xml:space="preserve">.</w:t>
      </w:r>
    </w:p>
    <w:p>
      <w:pPr>
        <w:pStyle w:val="BodyText"/>
      </w:pPr>
      <w:r>
        <w:rPr>
          <w:bCs/>
          <w:b/>
        </w:rPr>
        <w:t xml:space="preserve">Tests:</w:t>
      </w:r>
      <w:r>
        <w:t xml:space="preserve"> </w:t>
      </w:r>
      <w:r>
        <w:t xml:space="preserve">offer without a characterisation block is not displayed; acceptance after validity is rejected; no Udofin role can write an offer (permission matrix test); a gateway</w:t>
      </w:r>
      <w:r>
        <w:t xml:space="preserve"> </w:t>
      </w:r>
      <w:r>
        <w:t xml:space="preserve">“</w:t>
      </w:r>
      <w:r>
        <w:t xml:space="preserve">success</w:t>
      </w:r>
      <w:r>
        <w:t xml:space="preserve">”</w:t>
      </w:r>
      <w:r>
        <w:t xml:space="preserve"> </w:t>
      </w:r>
      <w:r>
        <w:t xml:space="preserve">never marks a due as paid; old payment links are disabled after</w:t>
      </w:r>
      <w:r>
        <w:t xml:space="preserve"> </w:t>
      </w:r>
      <w:r>
        <w:rPr>
          <w:rStyle w:val="VerbatimChar"/>
        </w:rPr>
        <w:t xml:space="preserve">ServicerChanged</w:t>
      </w:r>
      <w:r>
        <w:t xml:space="preserve">; a co-lending payment never targets one RE’s account; PTP screen contains no unapproved acknowledgement text; portal-only approval by the loan’s sanctioner is blocked.</w:t>
      </w:r>
    </w:p>
    <w:bookmarkEnd w:id="100"/>
    <w:bookmarkStart w:id="101" w:name="Xe9fd966e39dea1b2c458f684bd10a967826f2ac"/>
    <w:p>
      <w:pPr>
        <w:pStyle w:val="Heading2"/>
      </w:pPr>
      <w:r>
        <w:t xml:space="preserve">UR2. Dispute and ADR access (Equator; no separate app)</w:t>
      </w:r>
    </w:p>
    <w:p>
      <w:pPr>
        <w:pStyle w:val="FirstParagraph"/>
      </w:pPr>
      <w:r>
        <w:rPr>
          <w:bCs/>
          <w:b/>
        </w:rPr>
        <w:t xml:space="preserve">Purpose:</w:t>
      </w:r>
      <w:r>
        <w:t xml:space="preserve"> </w:t>
      </w:r>
      <w:r>
        <w:t xml:space="preserve">let the borrower take part in an ADR process that the RE has lawfully started, or ask the RE for one, from inside the Udofin app or web, while Udofin never refers.</w:t>
      </w:r>
    </w:p>
    <w:p>
      <w:pPr>
        <w:pStyle w:val="BodyText"/>
      </w:pPr>
      <w:r>
        <w:rPr>
          <w:bCs/>
          <w:b/>
        </w:rPr>
        <w:t xml:space="preserve">Routes the borrower may see (RE-approved neutral text):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43"/>
        <w:gridCol w:w="4378"/>
        <w:gridCol w:w="3017"/>
      </w:tblGrid>
      <w:tr>
        <w:trPr>
          <w:tblHeader w:val="true"/>
          <w:tblHeader w:val="true"/>
        </w:trPr>
        <w:tc>
          <w:tcPr>
            <w:tcW w:w="2243" w:type="dxa"/>
            <w:shd w:val="clear" w:color="auto" w:fill="1F3A5F"/>
          </w:tcPr>
          <w:p>
            <w:pPr>
              <w:pStyle w:val="Compact"/>
              <w:spacing w:after="40"/>
              <w:jc w:val="left"/>
            </w:pPr>
            <w:r>
              <w:rPr>
                <w:b/>
                <w:color w:val="FFFFFF"/>
                <w:sz w:val="18"/>
              </w:rPr>
              <w:t xml:space="preserve">Route</w:t>
            </w:r>
          </w:p>
        </w:tc>
        <w:tc>
          <w:tcPr>
            <w:tcW w:w="4378" w:type="dxa"/>
            <w:shd w:val="clear" w:color="auto" w:fill="1F3A5F"/>
          </w:tcPr>
          <w:p>
            <w:pPr>
              <w:pStyle w:val="Compact"/>
              <w:spacing w:after="40"/>
              <w:jc w:val="left"/>
            </w:pPr>
            <w:r>
              <w:rPr>
                <w:b/>
                <w:color w:val="FFFFFF"/>
                <w:sz w:val="18"/>
              </w:rPr>
              <w:t xml:space="preserve">Status today</w:t>
            </w:r>
          </w:p>
        </w:tc>
        <w:tc>
          <w:tcPr>
            <w:tcW w:w="3017" w:type="dxa"/>
            <w:shd w:val="clear" w:color="auto" w:fill="1F3A5F"/>
          </w:tcPr>
          <w:p>
            <w:pPr>
              <w:pStyle w:val="Compact"/>
              <w:spacing w:after="40"/>
              <w:jc w:val="left"/>
            </w:pPr>
            <w:r>
              <w:rPr>
                <w:b/>
                <w:color w:val="FFFFFF"/>
                <w:sz w:val="18"/>
              </w:rPr>
              <w:t xml:space="preserve">Udofin role</w:t>
            </w:r>
          </w:p>
        </w:tc>
      </w:tr>
      <w:tr>
        <w:tc>
          <w:tcPr>
            <w:tcW w:w="2243" w:type="dxa"/>
          </w:tcPr>
          <w:p>
            <w:pPr>
              <w:pStyle w:val="Compact"/>
              <w:spacing w:after="40"/>
              <w:jc w:val="left"/>
            </w:pPr>
            <w:r>
              <w:rPr>
                <w:sz w:val="18"/>
              </w:rPr>
              <w:t xml:space="preserve">RE grievance, then RBI CMS</w:t>
            </w:r>
          </w:p>
        </w:tc>
        <w:tc>
          <w:tcPr>
            <w:tcW w:w="4378" w:type="dxa"/>
          </w:tcPr>
          <w:p>
            <w:pPr>
              <w:pStyle w:val="Compact"/>
              <w:spacing w:after="40"/>
              <w:jc w:val="left"/>
            </w:pPr>
            <w:r>
              <w:rPr>
                <w:sz w:val="18"/>
              </w:rPr>
              <w:t xml:space="preserve">In force (CF para 12)</w:t>
            </w:r>
          </w:p>
        </w:tc>
        <w:tc>
          <w:tcPr>
            <w:tcW w:w="3017" w:type="dxa"/>
          </w:tcPr>
          <w:p>
            <w:pPr>
              <w:pStyle w:val="Compact"/>
              <w:spacing w:after="40"/>
              <w:jc w:val="left"/>
            </w:pPr>
            <w:r>
              <w:rPr>
                <w:sz w:val="18"/>
              </w:rPr>
              <w:t xml:space="preserve">Always visible; never displaced by ADR</w:t>
            </w:r>
          </w:p>
        </w:tc>
      </w:tr>
      <w:tr>
        <w:tc>
          <w:tcPr>
            <w:tcW w:w="2243" w:type="dxa"/>
          </w:tcPr>
          <w:p>
            <w:pPr>
              <w:pStyle w:val="Compact"/>
              <w:spacing w:after="40"/>
              <w:jc w:val="left"/>
            </w:pPr>
            <w:r>
              <w:rPr>
                <w:sz w:val="18"/>
              </w:rPr>
              <w:t xml:space="preserve">Conciliation (A&amp;C Act Part III)</w:t>
            </w:r>
          </w:p>
        </w:tc>
        <w:tc>
          <w:tcPr>
            <w:tcW w:w="4378" w:type="dxa"/>
          </w:tcPr>
          <w:p>
            <w:pPr>
              <w:pStyle w:val="Compact"/>
              <w:spacing w:after="40"/>
              <w:jc w:val="left"/>
            </w:pPr>
            <w:r>
              <w:rPr>
                <w:sz w:val="18"/>
              </w:rPr>
              <w:t xml:space="preserve">In force; s.74 award status; 30 days’ silence rejects an invitation (s.62(4))</w:t>
            </w:r>
          </w:p>
        </w:tc>
        <w:tc>
          <w:tcPr>
            <w:tcW w:w="3017" w:type="dxa"/>
          </w:tcPr>
          <w:p>
            <w:pPr>
              <w:pStyle w:val="Compact"/>
              <w:spacing w:after="40"/>
              <w:jc w:val="left"/>
            </w:pPr>
            <w:r>
              <w:rPr>
                <w:sz w:val="18"/>
              </w:rPr>
              <w:t xml:space="preserve">Shows RE-referred sessions; relays borrower requests</w:t>
            </w:r>
          </w:p>
        </w:tc>
      </w:tr>
      <w:tr>
        <w:tc>
          <w:tcPr>
            <w:tcW w:w="2243" w:type="dxa"/>
          </w:tcPr>
          <w:p>
            <w:pPr>
              <w:pStyle w:val="Compact"/>
              <w:spacing w:after="40"/>
              <w:jc w:val="left"/>
            </w:pPr>
            <w:r>
              <w:rPr>
                <w:sz w:val="18"/>
              </w:rPr>
              <w:t xml:space="preserve">Mediation (Mediation Act 2023)</w:t>
            </w:r>
          </w:p>
        </w:tc>
        <w:tc>
          <w:tcPr>
            <w:tcW w:w="4378" w:type="dxa"/>
          </w:tcPr>
          <w:p>
            <w:pPr>
              <w:pStyle w:val="Compact"/>
              <w:spacing w:after="40"/>
              <w:jc w:val="left"/>
            </w:pPr>
            <w:r>
              <w:rPr>
                <w:sz w:val="18"/>
              </w:rPr>
              <w:t xml:space="preserve">Enforcement provisions not in force; a mediated settlement is a contract only</w:t>
            </w:r>
          </w:p>
        </w:tc>
        <w:tc>
          <w:tcPr>
            <w:tcW w:w="3017" w:type="dxa"/>
          </w:tcPr>
          <w:p>
            <w:pPr>
              <w:pStyle w:val="Compact"/>
              <w:spacing w:after="40"/>
              <w:jc w:val="left"/>
            </w:pPr>
            <w:r>
              <w:rPr>
                <w:sz w:val="18"/>
              </w:rPr>
              <w:t xml:space="preserve">Never calls it a decree</w:t>
            </w:r>
          </w:p>
        </w:tc>
      </w:tr>
      <w:tr>
        <w:tc>
          <w:tcPr>
            <w:tcW w:w="2243" w:type="dxa"/>
          </w:tcPr>
          <w:p>
            <w:pPr>
              <w:pStyle w:val="Compact"/>
              <w:spacing w:after="40"/>
              <w:jc w:val="left"/>
            </w:pPr>
            <w:r>
              <w:rPr>
                <w:sz w:val="18"/>
              </w:rPr>
              <w:t xml:space="preserve">Arbitration</w:t>
            </w:r>
          </w:p>
        </w:tc>
        <w:tc>
          <w:tcPr>
            <w:tcW w:w="4378" w:type="dxa"/>
          </w:tcPr>
          <w:p>
            <w:pPr>
              <w:pStyle w:val="Compact"/>
              <w:spacing w:after="40"/>
              <w:jc w:val="left"/>
            </w:pPr>
            <w:r>
              <w:rPr>
                <w:sz w:val="18"/>
              </w:rPr>
              <w:t xml:space="preserve">Only where the loan agreement names Equator or another institution, or the borrower gives written post-dispute consent</w:t>
            </w:r>
          </w:p>
        </w:tc>
        <w:tc>
          <w:tcPr>
            <w:tcW w:w="3017" w:type="dxa"/>
          </w:tcPr>
          <w:p>
            <w:pPr>
              <w:pStyle w:val="Compact"/>
              <w:spacing w:after="40"/>
              <w:jc w:val="left"/>
            </w:pPr>
            <w:r>
              <w:rPr>
                <w:sz w:val="18"/>
              </w:rPr>
              <w:t xml:space="preserve">Link into the provider’s flow for RE-referred cases only</w:t>
            </w:r>
          </w:p>
        </w:tc>
      </w:tr>
      <w:tr>
        <w:tc>
          <w:tcPr>
            <w:tcW w:w="2243" w:type="dxa"/>
          </w:tcPr>
          <w:p>
            <w:pPr>
              <w:pStyle w:val="Compact"/>
              <w:spacing w:after="40"/>
              <w:jc w:val="left"/>
            </w:pPr>
            <w:r>
              <w:rPr>
                <w:sz w:val="18"/>
              </w:rPr>
              <w:t xml:space="preserve">Lok Adalat (LSA Act ss.19–21)</w:t>
            </w:r>
          </w:p>
        </w:tc>
        <w:tc>
          <w:tcPr>
            <w:tcW w:w="4378" w:type="dxa"/>
          </w:tcPr>
          <w:p>
            <w:pPr>
              <w:pStyle w:val="Compact"/>
              <w:spacing w:after="40"/>
              <w:jc w:val="left"/>
            </w:pPr>
            <w:r>
              <w:rPr>
                <w:sz w:val="18"/>
              </w:rPr>
              <w:t xml:space="preserve">Deemed decree, no appeal; next National Lok Adalat 12 Dec 2026 [VERIFY: nalsa.gov.in]</w:t>
            </w:r>
          </w:p>
        </w:tc>
        <w:tc>
          <w:tcPr>
            <w:tcW w:w="3017" w:type="dxa"/>
          </w:tcPr>
          <w:p>
            <w:pPr>
              <w:pStyle w:val="Compact"/>
              <w:spacing w:after="40"/>
              <w:jc w:val="left"/>
            </w:pPr>
            <w:r>
              <w:rPr>
                <w:sz w:val="18"/>
              </w:rPr>
              <w:t xml:space="preserve">Shows the notice and sitting details</w:t>
            </w:r>
          </w:p>
        </w:tc>
      </w:tr>
      <w:tr>
        <w:tc>
          <w:tcPr>
            <w:tcW w:w="2243" w:type="dxa"/>
          </w:tcPr>
          <w:p>
            <w:pPr>
              <w:pStyle w:val="Compact"/>
              <w:spacing w:after="40"/>
              <w:jc w:val="left"/>
            </w:pPr>
            <w:r>
              <w:rPr>
                <w:sz w:val="18"/>
              </w:rPr>
              <w:t xml:space="preserve">Consumer commission</w:t>
            </w:r>
          </w:p>
        </w:tc>
        <w:tc>
          <w:tcPr>
            <w:tcW w:w="4378" w:type="dxa"/>
          </w:tcPr>
          <w:p>
            <w:pPr>
              <w:pStyle w:val="Compact"/>
              <w:spacing w:after="40"/>
              <w:jc w:val="left"/>
            </w:pPr>
            <w:r>
              <w:rPr>
                <w:sz w:val="18"/>
              </w:rPr>
              <w:t xml:space="preserve">An arbitration clause does not bar it (</w:t>
            </w:r>
            <w:r>
              <w:rPr>
                <w:iCs/>
                <w:i/>
                <w:sz w:val="18"/>
              </w:rPr>
              <w:t xml:space="preserve">Emaar MGF v Aftab Singh</w:t>
            </w:r>
            <w:r>
              <w:rPr>
                <w:sz w:val="18"/>
              </w:rPr>
              <w:t xml:space="preserve"> </w:t>
            </w:r>
            <w:r>
              <w:rPr>
                <w:sz w:val="18"/>
              </w:rPr>
              <w:t xml:space="preserve">(2019) 12 SCC 751)</w:t>
            </w:r>
          </w:p>
        </w:tc>
        <w:tc>
          <w:tcPr>
            <w:tcW w:w="3017" w:type="dxa"/>
          </w:tcPr>
          <w:p>
            <w:pPr>
              <w:pStyle w:val="Compact"/>
              <w:spacing w:after="40"/>
              <w:jc w:val="left"/>
            </w:pPr>
            <w:r>
              <w:rPr>
                <w:sz w:val="18"/>
              </w:rPr>
              <w:t xml:space="preserve">Never discouraged</w:t>
            </w:r>
          </w:p>
        </w:tc>
      </w:tr>
    </w:tbl>
    <w:p>
      <w:pPr>
        <w:pStyle w:val="BodyText"/>
      </w:pPr>
      <w:r>
        <w:rPr>
          <w:bCs/>
          <w:b/>
        </w:rPr>
        <w:t xml:space="preserve">Capabilities:</w:t>
      </w:r>
    </w:p>
    <w:p>
      <w:pPr>
        <w:numPr>
          <w:ilvl w:val="0"/>
          <w:numId w:val="1057"/>
        </w:numPr>
        <w:pStyle w:val="Compact"/>
      </w:pPr>
      <w:r>
        <w:rPr>
          <w:bCs/>
          <w:b/>
        </w:rPr>
        <w:t xml:space="preserve">Case view</w:t>
      </w:r>
      <w:r>
        <w:t xml:space="preserve"> </w:t>
      </w:r>
      <w:r>
        <w:t xml:space="preserve">from ADR events sent by the RE, or by Equator under the RE’s data-sharing terms: referral (track and basis), consent, neutral appointed (name and disclosure filed; no selection data), hearings, status, outcome and compliance.</w:t>
      </w:r>
    </w:p>
    <w:p>
      <w:pPr>
        <w:numPr>
          <w:ilvl w:val="0"/>
          <w:numId w:val="1057"/>
        </w:numPr>
        <w:pStyle w:val="Compact"/>
      </w:pPr>
      <w:r>
        <w:rPr>
          <w:bCs/>
          <w:b/>
        </w:rPr>
        <w:t xml:space="preserve">Signed link</w:t>
      </w:r>
      <w:r>
        <w:t xml:space="preserve"> </w:t>
      </w:r>
      <w:r>
        <w:t xml:space="preserve">into the provider’s web flow: single-use, short-lived, journey-bound token, no PII in the URL; in-app browser tab (Custom Tabs, SFSafariViewController) limited to the provider’s allow-listed domain, no JavaScript bridge; a new tab on web. The provider authenticates by OTP and runs any eSign or DigiLocker step itself.</w:t>
      </w:r>
    </w:p>
    <w:p>
      <w:pPr>
        <w:numPr>
          <w:ilvl w:val="0"/>
          <w:numId w:val="1057"/>
        </w:numPr>
        <w:pStyle w:val="Compact"/>
      </w:pPr>
      <w:r>
        <w:rPr>
          <w:bCs/>
          <w:b/>
        </w:rPr>
        <w:t xml:space="preserve">Post-dispute consent</w:t>
      </w:r>
      <w:r>
        <w:t xml:space="preserve"> </w:t>
      </w:r>
      <w:r>
        <w:t xml:space="preserve">is captured in the provider’s flow with an explicit decline path (s.11 petition or ordinary courts); online mediation consent (Mediation Act s.30, when in force) and fast-track consent (A&amp;C Act s.29B) are separate. Udofin never pre-ticks, never bundles consent with loan acceptance or a settlement, and never asks again after a decline unless the RE issues a new referral.</w:t>
      </w:r>
    </w:p>
    <w:p>
      <w:pPr>
        <w:numPr>
          <w:ilvl w:val="0"/>
          <w:numId w:val="1057"/>
        </w:numPr>
        <w:pStyle w:val="Compact"/>
      </w:pPr>
      <w:r>
        <w:rPr>
          <w:bCs/>
          <w:b/>
        </w:rPr>
        <w:t xml:space="preserve">Borrower-initiated request:</w:t>
      </w:r>
      <w:r>
        <w:t xml:space="preserve"> </w:t>
      </w:r>
      <w:r>
        <w:t xml:space="preserve">a dispute form (category</w:t>
      </w:r>
      <w:r>
        <w:t xml:space="preserve"> </w:t>
      </w:r>
      <w:r>
        <w:rPr>
          <w:rStyle w:val="VerbatimChar"/>
        </w:rPr>
        <w:t xml:space="preserve">adr_request</w:t>
      </w:r>
      <w:r>
        <w:t xml:space="preserve">) goes to the RE as</w:t>
      </w:r>
      <w:r>
        <w:t xml:space="preserve"> </w:t>
      </w:r>
      <w:r>
        <w:rPr>
          <w:rStyle w:val="VerbatimChar"/>
        </w:rPr>
        <w:t xml:space="preserve">GrievanceRaised</w:t>
      </w:r>
      <w:r>
        <w:t xml:space="preserve">. The RE decides. The RE’s reply, or day 31 without one, shows the CMS route.</w:t>
      </w:r>
    </w:p>
    <w:p>
      <w:pPr>
        <w:numPr>
          <w:ilvl w:val="0"/>
          <w:numId w:val="1057"/>
        </w:numPr>
        <w:pStyle w:val="Compact"/>
      </w:pPr>
      <w:r>
        <w:rPr>
          <w:bCs/>
          <w:b/>
        </w:rPr>
        <w:t xml:space="preserve">Reminders</w:t>
      </w:r>
      <w:r>
        <w:t xml:space="preserve"> </w:t>
      </w:r>
      <w:r>
        <w:t xml:space="preserve">for hearings (at least 3 days before, [REC]) through U16; documents are uploaded in the provider’s flow, not stored by Udofin.</w:t>
      </w:r>
    </w:p>
    <w:p>
      <w:pPr>
        <w:numPr>
          <w:ilvl w:val="0"/>
          <w:numId w:val="1057"/>
        </w:numPr>
        <w:pStyle w:val="Compact"/>
      </w:pPr>
      <w:r>
        <w:rPr>
          <w:bCs/>
          <w:b/>
        </w:rPr>
        <w:t xml:space="preserve">Outcome:</w:t>
      </w:r>
      <w:r>
        <w:t xml:space="preserve"> </w:t>
      </w:r>
      <w:r>
        <w:t xml:space="preserve">settlement or award summary as sent; any payment link is the RE’s; compliance status from</w:t>
      </w:r>
      <w:r>
        <w:t xml:space="preserve"> </w:t>
      </w:r>
      <w:r>
        <w:rPr>
          <w:rStyle w:val="VerbatimChar"/>
        </w:rPr>
        <w:t xml:space="preserve">ADROutcomeComplianceUpdated</w:t>
      </w:r>
      <w:r>
        <w:t xml:space="preserve">.</w:t>
      </w:r>
    </w:p>
    <w:p>
      <w:pPr>
        <w:numPr>
          <w:ilvl w:val="0"/>
          <w:numId w:val="1057"/>
        </w:numPr>
        <w:pStyle w:val="Compact"/>
      </w:pPr>
      <w:r>
        <w:rPr>
          <w:bCs/>
          <w:b/>
        </w:rPr>
        <w:t xml:space="preserve">Disclosure:</w:t>
      </w:r>
      <w:r>
        <w:t xml:space="preserve"> </w:t>
      </w:r>
      <w:r>
        <w:t xml:space="preserve">the ADR page states that Equator and Udofin are Infrabyx products and that Equator is independent of the RE and of Udofin in appointing neutrals [REC; legal note required].</w:t>
      </w:r>
    </w:p>
    <w:p>
      <w:pPr>
        <w:pStyle w:val="FirstParagraph"/>
      </w:pPr>
      <w:r>
        <w:rPr>
          <w:bCs/>
          <w:b/>
        </w:rPr>
        <w:t xml:space="preserve">Mobile and web:</w:t>
      </w:r>
      <w:r>
        <w:t xml:space="preserve"> </w:t>
      </w:r>
      <w:r>
        <w:t xml:space="preserve">same case view on app and web; the operations portal sees link health only, never case content; the lender portal shows the RE its own referrals.</w:t>
      </w:r>
    </w:p>
    <w:p>
      <w:pPr>
        <w:pStyle w:val="BodyText"/>
      </w:pPr>
      <w:r>
        <w:rPr>
          <w:bCs/>
          <w:b/>
        </w:rPr>
        <w:t xml:space="preserve">States (mirror):</w:t>
      </w:r>
      <w:r>
        <w:t xml:space="preserve"> </w:t>
      </w:r>
      <w:r>
        <w:rPr>
          <w:rStyle w:val="VerbatimChar"/>
        </w:rPr>
        <w:t xml:space="preserve">NOT_REFERRED → REFERRED → CONSENT_PENDING → {CONSENTED | DECLINED | DEEMED_DECLINED} → NEUTRAL_APPOINTED → HEARING_SCHEDULED ⇄ IN_PROGRESS → {SETTLED | AWARD_ISSUED | NON_SETTLEMENT | WITHDRAWN | STAYED} → COMPLIANCE → CLOSED</w:t>
      </w:r>
      <w:r>
        <w:t xml:space="preserve">. For an arbitration referral,</w:t>
      </w:r>
      <w:r>
        <w:t xml:space="preserve"> </w:t>
      </w:r>
      <w:r>
        <w:rPr>
          <w:rStyle w:val="VerbatimChar"/>
        </w:rPr>
        <w:t xml:space="preserve">CONSENTED</w:t>
      </w:r>
      <w:r>
        <w:t xml:space="preserve"> </w:t>
      </w:r>
      <w:r>
        <w:t xml:space="preserve">follows</w:t>
      </w:r>
      <w:r>
        <w:t xml:space="preserve"> </w:t>
      </w:r>
      <w:r>
        <w:rPr>
          <w:rStyle w:val="VerbatimChar"/>
        </w:rPr>
        <w:t xml:space="preserve">REFERRED</w:t>
      </w:r>
      <w:r>
        <w:t xml:space="preserve"> </w:t>
      </w:r>
      <w:r>
        <w:t xml:space="preserve">only where the basis is</w:t>
      </w:r>
      <w:r>
        <w:t xml:space="preserve"> </w:t>
      </w:r>
      <w:r>
        <w:rPr>
          <w:rStyle w:val="VerbatimChar"/>
        </w:rPr>
        <w:t xml:space="preserve">post_dispute_consent</w:t>
      </w:r>
      <w:r>
        <w:t xml:space="preserve">, and a</w:t>
      </w:r>
      <w:r>
        <w:t xml:space="preserve"> </w:t>
      </w:r>
      <w:r>
        <w:rPr>
          <w:rStyle w:val="VerbatimChar"/>
        </w:rPr>
        <w:t xml:space="preserve">clause_names_institution</w:t>
      </w:r>
      <w:r>
        <w:t xml:space="preserve"> </w:t>
      </w:r>
      <w:r>
        <w:t xml:space="preserve">referral goes straight to</w:t>
      </w:r>
      <w:r>
        <w:t xml:space="preserve"> </w:t>
      </w:r>
      <w:r>
        <w:rPr>
          <w:rStyle w:val="VerbatimChar"/>
        </w:rPr>
        <w:t xml:space="preserve">NEUTRAL_APPOINTED</w:t>
      </w:r>
      <w:r>
        <w:t xml:space="preserve">; conciliation and mediation referrals always pass through</w:t>
      </w:r>
      <w:r>
        <w:t xml:space="preserve"> </w:t>
      </w:r>
      <w:r>
        <w:rPr>
          <w:rStyle w:val="VerbatimChar"/>
        </w:rPr>
        <w:t xml:space="preserve">CONSENT_PENDING</w:t>
      </w:r>
      <w:r>
        <w:t xml:space="preserve"> </w:t>
      </w:r>
      <w:r>
        <w:t xml:space="preserve">(A&amp;C Act s.62; 30 days’ silence is</w:t>
      </w:r>
      <w:r>
        <w:t xml:space="preserve"> </w:t>
      </w:r>
      <w:r>
        <w:rPr>
          <w:rStyle w:val="VerbatimChar"/>
        </w:rPr>
        <w:t xml:space="preserve">DEEMED_DECLINED</w:t>
      </w:r>
      <w:r>
        <w:t xml:space="preserve">, s.62(4)).</w:t>
      </w:r>
    </w:p>
    <w:p>
      <w:pPr>
        <w:pStyle w:val="BodyText"/>
      </w:pPr>
      <w:r>
        <w:rPr>
          <w:bCs/>
          <w:b/>
        </w:rPr>
        <w:t xml:space="preserve">Data:</w:t>
      </w:r>
      <w:r>
        <w:t xml:space="preserve"> </w:t>
      </w:r>
      <w:r>
        <w:rPr>
          <w:rStyle w:val="VerbatimChar"/>
        </w:rPr>
        <w:t xml:space="preserve">adr_case_view</w:t>
      </w:r>
      <w:r>
        <w:t xml:space="preserve"> </w:t>
      </w:r>
      <w:r>
        <w:t xml:space="preserve">(RE reference, provider, provider case ID, track, basis, status, last sequence),</w:t>
      </w:r>
      <w:r>
        <w:t xml:space="preserve"> </w:t>
      </w:r>
      <w:r>
        <w:rPr>
          <w:rStyle w:val="VerbatimChar"/>
        </w:rPr>
        <w:t xml:space="preserve">adr_link_issue</w:t>
      </w:r>
      <w:r>
        <w:t xml:space="preserve"> </w:t>
      </w:r>
      <w:r>
        <w:t xml:space="preserve">(token hash, expiry, used_at),</w:t>
      </w:r>
      <w:r>
        <w:t xml:space="preserve"> </w:t>
      </w:r>
      <w:r>
        <w:rPr>
          <w:rStyle w:val="VerbatimChar"/>
        </w:rPr>
        <w:t xml:space="preserve">adr_request</w:t>
      </w:r>
      <w:r>
        <w:t xml:space="preserve">,</w:t>
      </w:r>
      <w:r>
        <w:t xml:space="preserve"> </w:t>
      </w:r>
      <w:r>
        <w:rPr>
          <w:rStyle w:val="VerbatimChar"/>
        </w:rPr>
        <w:t xml:space="preserve">adr_info_view_event</w:t>
      </w:r>
      <w:r>
        <w:t xml:space="preserve">.</w:t>
      </w:r>
    </w:p>
    <w:p>
      <w:pPr>
        <w:pStyle w:val="BodyText"/>
      </w:pPr>
      <w:r>
        <w:rPr>
          <w:bCs/>
          <w:b/>
        </w:rPr>
        <w:t xml:space="preserve">Controls:</w:t>
      </w:r>
    </w:p>
    <w:p>
      <w:pPr>
        <w:numPr>
          <w:ilvl w:val="0"/>
          <w:numId w:val="1058"/>
        </w:numPr>
        <w:pStyle w:val="Compact"/>
      </w:pPr>
      <w:r>
        <w:t xml:space="preserve">The scope</w:t>
      </w:r>
      <w:r>
        <w:t xml:space="preserve"> </w:t>
      </w:r>
      <w:r>
        <w:rPr>
          <w:rStyle w:val="VerbatimChar"/>
        </w:rPr>
        <w:t xml:space="preserve">adr.referral:create</w:t>
      </w:r>
      <w:r>
        <w:t xml:space="preserve"> </w:t>
      </w:r>
      <w:r>
        <w:t xml:space="preserve">is never issued to Udofin credentials (Ecosystem Integration Specification); a test proves Udofin cannot call it.</w:t>
      </w:r>
    </w:p>
    <w:p>
      <w:pPr>
        <w:numPr>
          <w:ilvl w:val="0"/>
          <w:numId w:val="1058"/>
        </w:numPr>
        <w:pStyle w:val="Compact"/>
      </w:pPr>
      <w:r>
        <w:t xml:space="preserve">A referral event without</w:t>
      </w:r>
      <w:r>
        <w:t xml:space="preserve"> </w:t>
      </w:r>
      <w:r>
        <w:rPr>
          <w:rStyle w:val="VerbatimChar"/>
        </w:rPr>
        <w:t xml:space="preserve">basis</w:t>
      </w:r>
      <w:r>
        <w:t xml:space="preserve"> </w:t>
      </w:r>
      <w:r>
        <w:t xml:space="preserve">(pre-named institution with clause reference and version, or post-dispute consent reference) shows no call to action; Udofin raises</w:t>
      </w:r>
      <w:r>
        <w:t xml:space="preserve"> </w:t>
      </w:r>
      <w:r>
        <w:rPr>
          <w:rStyle w:val="VerbatimChar"/>
        </w:rPr>
        <w:t xml:space="preserve">ComplianceIssueRaised</w:t>
      </w:r>
      <w:r>
        <w:t xml:space="preserve"> </w:t>
      </w:r>
      <w:r>
        <w:t xml:space="preserve">to the RE and its GRC tool.</w:t>
      </w:r>
    </w:p>
    <w:p>
      <w:pPr>
        <w:numPr>
          <w:ilvl w:val="0"/>
          <w:numId w:val="1058"/>
        </w:numPr>
        <w:pStyle w:val="Compact"/>
      </w:pPr>
      <w:r>
        <w:t xml:space="preserve">Udofin never sees neutral selection, the RE’s settlement mandate or any other lender’s case.</w:t>
      </w:r>
    </w:p>
    <w:p>
      <w:pPr>
        <w:numPr>
          <w:ilvl w:val="0"/>
          <w:numId w:val="1058"/>
        </w:numPr>
        <w:pStyle w:val="Compact"/>
      </w:pPr>
      <w:r>
        <w:t xml:space="preserve">When the RE sends an IBC moratorium, deceased-borrower or court-stay hold, ADR actions are hidden.</w:t>
      </w:r>
    </w:p>
    <w:p>
      <w:pPr>
        <w:numPr>
          <w:ilvl w:val="0"/>
          <w:numId w:val="1058"/>
        </w:numPr>
        <w:pStyle w:val="Compact"/>
      </w:pPr>
      <w:r>
        <w:t xml:space="preserve">Udofin records nothing in hearings; mediation and conciliation confidentiality (A&amp;C Act s.75; Mediation Act ss.22–23 when in force) means no Udofin analytics on session content.</w:t>
      </w:r>
    </w:p>
    <w:p>
      <w:pPr>
        <w:pStyle w:val="FirstParagraph"/>
      </w:pPr>
      <w:r>
        <w:rPr>
          <w:bCs/>
          <w:b/>
        </w:rPr>
        <w:t xml:space="preserve">Events:</w:t>
      </w:r>
      <w:r>
        <w:t xml:space="preserve"> </w:t>
      </w:r>
      <w:r>
        <w:t xml:space="preserve">consumes</w:t>
      </w:r>
      <w:r>
        <w:t xml:space="preserve"> </w:t>
      </w:r>
      <w:r>
        <w:rPr>
          <w:rStyle w:val="VerbatimChar"/>
        </w:rPr>
        <w:t xml:space="preserve">ADRReferralCreated</w:t>
      </w:r>
      <w:r>
        <w:t xml:space="preserve">,</w:t>
      </w:r>
      <w:r>
        <w:t xml:space="preserve"> </w:t>
      </w:r>
      <w:r>
        <w:rPr>
          <w:rStyle w:val="VerbatimChar"/>
        </w:rPr>
        <w:t xml:space="preserve">ADRConsentRecorded</w:t>
      </w:r>
      <w:r>
        <w:t xml:space="preserve">,</w:t>
      </w:r>
      <w:r>
        <w:t xml:space="preserve"> </w:t>
      </w:r>
      <w:r>
        <w:rPr>
          <w:rStyle w:val="VerbatimChar"/>
        </w:rPr>
        <w:t xml:space="preserve">ADRNeutralAppointed</w:t>
      </w:r>
      <w:r>
        <w:t xml:space="preserve">,</w:t>
      </w:r>
      <w:r>
        <w:t xml:space="preserve"> </w:t>
      </w:r>
      <w:r>
        <w:rPr>
          <w:rStyle w:val="VerbatimChar"/>
        </w:rPr>
        <w:t xml:space="preserve">ADRHearingScheduled</w:t>
      </w:r>
      <w:r>
        <w:t xml:space="preserve">,</w:t>
      </w:r>
      <w:r>
        <w:t xml:space="preserve"> </w:t>
      </w:r>
      <w:r>
        <w:rPr>
          <w:rStyle w:val="VerbatimChar"/>
        </w:rPr>
        <w:t xml:space="preserve">ADRCaseStatusChanged</w:t>
      </w:r>
      <w:r>
        <w:t xml:space="preserve">,</w:t>
      </w:r>
      <w:r>
        <w:t xml:space="preserve"> </w:t>
      </w:r>
      <w:r>
        <w:rPr>
          <w:rStyle w:val="VerbatimChar"/>
        </w:rPr>
        <w:t xml:space="preserve">ADROutcomeRecorded</w:t>
      </w:r>
      <w:r>
        <w:t xml:space="preserve">,</w:t>
      </w:r>
      <w:r>
        <w:t xml:space="preserve"> </w:t>
      </w:r>
      <w:r>
        <w:rPr>
          <w:rStyle w:val="VerbatimChar"/>
        </w:rPr>
        <w:t xml:space="preserve">ADROutcomeComplianceUpdated</w:t>
      </w:r>
      <w:r>
        <w:t xml:space="preserve">; produces</w:t>
      </w:r>
      <w:r>
        <w:t xml:space="preserve"> </w:t>
      </w:r>
      <w:r>
        <w:rPr>
          <w:rStyle w:val="VerbatimChar"/>
        </w:rPr>
        <w:t xml:space="preserve">GrievanceRaised</w:t>
      </w:r>
      <w:r>
        <w:t xml:space="preserve"> </w:t>
      </w:r>
      <w:r>
        <w:t xml:space="preserve">(ADR request) and</w:t>
      </w:r>
      <w:r>
        <w:t xml:space="preserve"> </w:t>
      </w:r>
      <w:r>
        <w:rPr>
          <w:rStyle w:val="VerbatimChar"/>
        </w:rPr>
        <w:t xml:space="preserve">ComplianceIssueRaised</w:t>
      </w:r>
      <w:r>
        <w:t xml:space="preserve"> </w:t>
      </w:r>
      <w:r>
        <w:t xml:space="preserve">(missing basis).</w:t>
      </w:r>
    </w:p>
    <w:p>
      <w:pPr>
        <w:pStyle w:val="BodyText"/>
      </w:pPr>
      <w:r>
        <w:rPr>
          <w:bCs/>
          <w:b/>
        </w:rPr>
        <w:t xml:space="preserve">Tests:</w:t>
      </w:r>
      <w:r>
        <w:t xml:space="preserve"> </w:t>
      </w:r>
      <w:r>
        <w:t xml:space="preserve">Udofin client credentials get 403 on referral creation; referral without basis shows no action and raises an issue; link token reuse and expiry rejected; in-app browser blocks non-allow-listed domains; consent screen is never shown inside the loan-acceptance journey; CMS route visible on every ADR screen; hold status hides actions.</w:t>
      </w:r>
    </w:p>
    <w:bookmarkEnd w:id="101"/>
    <w:bookmarkStart w:id="102" w:name="ur3.-notices-and-case-visibility"/>
    <w:p>
      <w:pPr>
        <w:pStyle w:val="Heading2"/>
      </w:pPr>
      <w:r>
        <w:t xml:space="preserve">UR3. Notices and case visibility</w:t>
      </w:r>
    </w:p>
    <w:p>
      <w:pPr>
        <w:pStyle w:val="FirstParagraph"/>
      </w:pPr>
      <w:r>
        <w:rPr>
          <w:bCs/>
          <w:b/>
        </w:rPr>
        <w:t xml:space="preserve">Purpose:</w:t>
      </w:r>
      <w:r>
        <w:t xml:space="preserve"> </w:t>
      </w:r>
      <w:r>
        <w:t xml:space="preserve">deliver the RE’s notices and letters as an additional channel with evidence, and show recovery and case status only as the RE permits.</w:t>
      </w:r>
    </w:p>
    <w:p>
      <w:pPr>
        <w:pStyle w:val="BodyText"/>
      </w:pPr>
      <w:r>
        <w:rPr>
          <w:bCs/>
          <w:b/>
        </w:rPr>
        <w:t xml:space="preserve">Capabilities:</w:t>
      </w:r>
    </w:p>
    <w:p>
      <w:pPr>
        <w:numPr>
          <w:ilvl w:val="0"/>
          <w:numId w:val="1059"/>
        </w:numPr>
        <w:pStyle w:val="Compact"/>
      </w:pPr>
      <w:r>
        <w:rPr>
          <w:bCs/>
          <w:b/>
        </w:rPr>
        <w:t xml:space="preserve">Notice inbox</w:t>
      </w:r>
      <w:r>
        <w:t xml:space="preserve"> </w:t>
      </w:r>
      <w:r>
        <w:t xml:space="preserve">fed by</w:t>
      </w:r>
      <w:r>
        <w:t xml:space="preserve"> </w:t>
      </w:r>
      <w:r>
        <w:rPr>
          <w:rStyle w:val="VerbatimChar"/>
        </w:rPr>
        <w:t xml:space="preserve">LegalNoticeIssued</w:t>
      </w:r>
      <w:r>
        <w:t xml:space="preserve">: RE-signed PDF/A with hash, instrument (reminder, loan recall, agent intimation, settlement offer, SARFAESI s.13(2) or possession or sale notice copy, NI Act s.138 or PSS Act s.25 notice copy, A&amp;C Act s.21 notice copy, gold auction notice, pledge invocation notice, Lok Adalat notice), statute reference, language and template version.</w:t>
      </w:r>
    </w:p>
    <w:p>
      <w:pPr>
        <w:numPr>
          <w:ilvl w:val="0"/>
          <w:numId w:val="1059"/>
        </w:numPr>
        <w:pStyle w:val="Compact"/>
      </w:pPr>
      <w:r>
        <w:rPr>
          <w:bCs/>
          <w:b/>
        </w:rPr>
        <w:t xml:space="preserve">Udofin channel only:</w:t>
      </w:r>
      <w:r>
        <w:t xml:space="preserve"> </w:t>
      </w:r>
      <w:r>
        <w:t xml:space="preserve">in-app, SMS with a link to the authenticated inbox, and email, each producing</w:t>
      </w:r>
      <w:r>
        <w:t xml:space="preserve"> </w:t>
      </w:r>
      <w:r>
        <w:rPr>
          <w:rStyle w:val="VerbatimChar"/>
        </w:rPr>
        <w:t xml:space="preserve">NoticeServiceUpdated</w:t>
      </w:r>
      <w:r>
        <w:t xml:space="preserve"> </w:t>
      </w:r>
      <w:r>
        <w:t xml:space="preserve">with Udofin’s evidence (delivered, opened, fully scrolled). Udofin’s delivery</w:t>
      </w:r>
      <w:r>
        <w:t xml:space="preserve"> </w:t>
      </w:r>
      <w:r>
        <w:rPr>
          <w:bCs/>
          <w:b/>
        </w:rPr>
        <w:t xml:space="preserve">never replaces</w:t>
      </w:r>
      <w:r>
        <w:t xml:space="preserve"> </w:t>
      </w:r>
      <w:r>
        <w:t xml:space="preserve">the statutory mode the RE must use (SARFAESI Rules, r.3; A&amp;C Act s.3) and Udofin never marks a notice</w:t>
      </w:r>
      <w:r>
        <w:t xml:space="preserve"> </w:t>
      </w:r>
      <w:r>
        <w:t xml:space="preserve">“</w:t>
      </w:r>
      <w:r>
        <w:t xml:space="preserve">served</w:t>
      </w:r>
      <w:r>
        <w:t xml:space="preserve">”</w:t>
      </w:r>
      <w:r>
        <w:t xml:space="preserve"> </w:t>
      </w:r>
      <w:r>
        <w:t xml:space="preserve">or</w:t>
      </w:r>
      <w:r>
        <w:t xml:space="preserve"> </w:t>
      </w:r>
      <w:r>
        <w:t xml:space="preserve">“</w:t>
      </w:r>
      <w:r>
        <w:t xml:space="preserve">deemed served</w:t>
      </w:r>
      <w:r>
        <w:t xml:space="preserve">”</w:t>
      </w:r>
      <w:r>
        <w:t xml:space="preserve"> </w:t>
      </w:r>
      <w:r>
        <w:t xml:space="preserve">(</w:t>
      </w:r>
      <w:r>
        <w:rPr>
          <w:iCs/>
          <w:i/>
        </w:rPr>
        <w:t xml:space="preserve">Sedhram Nilkanth Muglikar v M.R. Makhare</w:t>
      </w:r>
      <w:r>
        <w:t xml:space="preserve">, Bom HC, 2026).</w:t>
      </w:r>
    </w:p>
    <w:p>
      <w:pPr>
        <w:numPr>
          <w:ilvl w:val="0"/>
          <w:numId w:val="1059"/>
        </w:numPr>
        <w:pStyle w:val="Compact"/>
      </w:pPr>
      <w:r>
        <w:rPr>
          <w:bCs/>
          <w:b/>
        </w:rPr>
        <w:t xml:space="preserve">Visibility policy</w:t>
      </w:r>
      <w:r>
        <w:t xml:space="preserve"> </w:t>
      </w:r>
      <w:r>
        <w:t xml:space="preserve">per RE × product × instrument × stage,</w:t>
      </w:r>
      <w:r>
        <w:t xml:space="preserve"> </w:t>
      </w:r>
      <w:r>
        <w:rPr>
          <w:bCs/>
          <w:b/>
        </w:rPr>
        <w:t xml:space="preserve">off by default</w:t>
      </w:r>
      <w:r>
        <w:t xml:space="preserve">, with RE-legal-approved wording for each status string (for example</w:t>
      </w:r>
      <w:r>
        <w:t xml:space="preserve"> </w:t>
      </w:r>
      <w:r>
        <w:t xml:space="preserve">“</w:t>
      </w:r>
      <w:r>
        <w:t xml:space="preserve">Your lender has started proceedings under the SARFAESI Act; next step: …</w:t>
      </w:r>
      <w:r>
        <w:t xml:space="preserve">”</w:t>
      </w:r>
      <w:r>
        <w:t xml:space="preserve">).</w:t>
      </w:r>
    </w:p>
    <w:p>
      <w:pPr>
        <w:numPr>
          <w:ilvl w:val="0"/>
          <w:numId w:val="1059"/>
        </w:numPr>
        <w:pStyle w:val="Compact"/>
      </w:pPr>
      <w:r>
        <w:rPr>
          <w:bCs/>
          <w:b/>
        </w:rPr>
        <w:t xml:space="preserve">Case status</w:t>
      </w:r>
      <w:r>
        <w:t xml:space="preserve"> </w:t>
      </w:r>
      <w:r>
        <w:t xml:space="preserve">projection from</w:t>
      </w:r>
      <w:r>
        <w:t xml:space="preserve"> </w:t>
      </w:r>
      <w:r>
        <w:rPr>
          <w:rStyle w:val="VerbatimChar"/>
        </w:rPr>
        <w:t xml:space="preserve">RecoveryCaseOpened</w:t>
      </w:r>
      <w:r>
        <w:t xml:space="preserve">,</w:t>
      </w:r>
      <w:r>
        <w:t xml:space="preserve"> </w:t>
      </w:r>
      <w:r>
        <w:rPr>
          <w:rStyle w:val="VerbatimChar"/>
        </w:rPr>
        <w:t xml:space="preserve">RecoveryStrategyChanged</w:t>
      </w:r>
      <w:r>
        <w:t xml:space="preserve"> </w:t>
      </w:r>
      <w:r>
        <w:t xml:space="preserve">(stage only),</w:t>
      </w:r>
      <w:r>
        <w:t xml:space="preserve"> </w:t>
      </w:r>
      <w:r>
        <w:rPr>
          <w:rStyle w:val="VerbatimChar"/>
        </w:rPr>
        <w:t xml:space="preserve">LitigationCaseOpened</w:t>
      </w:r>
      <w:r>
        <w:t xml:space="preserve">,</w:t>
      </w:r>
      <w:r>
        <w:t xml:space="preserve"> </w:t>
      </w:r>
      <w:r>
        <w:rPr>
          <w:rStyle w:val="VerbatimChar"/>
        </w:rPr>
        <w:t xml:space="preserve">LitigationCaseUpdated</w:t>
      </w:r>
      <w:r>
        <w:t xml:space="preserve">,</w:t>
      </w:r>
      <w:r>
        <w:t xml:space="preserve"> </w:t>
      </w:r>
      <w:r>
        <w:rPr>
          <w:rStyle w:val="VerbatimChar"/>
        </w:rPr>
        <w:t xml:space="preserve">HearingScheduled</w:t>
      </w:r>
      <w:r>
        <w:t xml:space="preserve"> </w:t>
      </w:r>
      <w:r>
        <w:t xml:space="preserve">(date only),</w:t>
      </w:r>
      <w:r>
        <w:t xml:space="preserve"> </w:t>
      </w:r>
      <w:r>
        <w:rPr>
          <w:rStyle w:val="VerbatimChar"/>
        </w:rPr>
        <w:t xml:space="preserve">LitigationCaseClosed</w:t>
      </w:r>
      <w:r>
        <w:t xml:space="preserve">,</w:t>
      </w:r>
      <w:r>
        <w:t xml:space="preserve"> </w:t>
      </w:r>
      <w:r>
        <w:rPr>
          <w:rStyle w:val="VerbatimChar"/>
        </w:rPr>
        <w:t xml:space="preserve">AssetRepossessed</w:t>
      </w:r>
      <w:r>
        <w:t xml:space="preserve"> </w:t>
      </w:r>
      <w:r>
        <w:t xml:space="preserve">(with the possession memo and inventory the RE sends; RBC para 26;</w:t>
      </w:r>
      <w:r>
        <w:t xml:space="preserve"> </w:t>
      </w:r>
      <w:r>
        <w:rPr>
          <w:iCs/>
          <w:i/>
        </w:rPr>
        <w:t xml:space="preserve">Hari Dutta Sharma v State of UP</w:t>
      </w:r>
      <w:r>
        <w:t xml:space="preserve">, SC, 16 Sep 2026),</w:t>
      </w:r>
      <w:r>
        <w:t xml:space="preserve"> </w:t>
      </w:r>
      <w:r>
        <w:rPr>
          <w:rStyle w:val="VerbatimChar"/>
        </w:rPr>
        <w:t xml:space="preserve">AuctionScheduled</w:t>
      </w:r>
      <w:r>
        <w:t xml:space="preserve">,</w:t>
      </w:r>
      <w:r>
        <w:t xml:space="preserve"> </w:t>
      </w:r>
      <w:r>
        <w:rPr>
          <w:rStyle w:val="VerbatimChar"/>
        </w:rPr>
        <w:t xml:space="preserve">AuctionConcluded</w:t>
      </w:r>
      <w:r>
        <w:t xml:space="preserve">,</w:t>
      </w:r>
      <w:r>
        <w:t xml:space="preserve"> </w:t>
      </w:r>
      <w:r>
        <w:rPr>
          <w:rStyle w:val="VerbatimChar"/>
        </w:rPr>
        <w:t xml:space="preserve">SurplusRefunded</w:t>
      </w:r>
      <w:r>
        <w:t xml:space="preserve"> </w:t>
      </w:r>
      <w:r>
        <w:t xml:space="preserve">(RBC para 66 for gold),</w:t>
      </w:r>
      <w:r>
        <w:t xml:space="preserve"> </w:t>
      </w:r>
      <w:r>
        <w:rPr>
          <w:rStyle w:val="VerbatimChar"/>
        </w:rPr>
        <w:t xml:space="preserve">CollateralInvoked</w:t>
      </w:r>
      <w:r>
        <w:t xml:space="preserve"> </w:t>
      </w:r>
      <w:r>
        <w:t xml:space="preserve">and</w:t>
      </w:r>
      <w:r>
        <w:t xml:space="preserve"> </w:t>
      </w:r>
      <w:r>
        <w:rPr>
          <w:rStyle w:val="VerbatimChar"/>
        </w:rPr>
        <w:t xml:space="preserve">RecoveryCaseClosed</w:t>
      </w:r>
      <w:r>
        <w:t xml:space="preserve">. Udofin calls no court-data API and keeps no litigation record.</w:t>
      </w:r>
    </w:p>
    <w:p>
      <w:pPr>
        <w:numPr>
          <w:ilvl w:val="0"/>
          <w:numId w:val="1059"/>
        </w:numPr>
        <w:pStyle w:val="Compact"/>
      </w:pPr>
      <w:r>
        <w:rPr>
          <w:bCs/>
          <w:b/>
        </w:rPr>
        <w:t xml:space="preserve">Borrower actions:</w:t>
      </w:r>
      <w:r>
        <w:t xml:space="preserve"> </w:t>
      </w:r>
      <w:r>
        <w:t xml:space="preserve">confirm receipt (never an admission of the debt), ask for another language (RBC para 10), dispute the notice with the RE’s GRO, download. Addressees are only the borrower, co-borrower and guarantor of record (RBC para 100; para 100Y). No WhatsApp; push carries no content.</w:t>
      </w:r>
    </w:p>
    <w:p>
      <w:pPr>
        <w:pStyle w:val="FirstParagraph"/>
      </w:pPr>
      <w:r>
        <w:rPr>
          <w:bCs/>
          <w:b/>
        </w:rPr>
        <w:t xml:space="preserve">Mobile and web:</w:t>
      </w:r>
      <w:r>
        <w:t xml:space="preserve"> </w:t>
      </w:r>
      <w:r>
        <w:t xml:space="preserve">inbox on app and web; delivery failures in the operations portal; visibility policy set in the lender portal with maker-checker and RE legal approval.</w:t>
      </w:r>
    </w:p>
    <w:p>
      <w:pPr>
        <w:pStyle w:val="BodyText"/>
      </w:pPr>
      <w:r>
        <w:rPr>
          <w:bCs/>
          <w:b/>
        </w:rPr>
        <w:t xml:space="preserve">States:</w:t>
      </w:r>
      <w:r>
        <w:t xml:space="preserve"> </w:t>
      </w:r>
      <w:r>
        <w:rPr>
          <w:rStyle w:val="VerbatimChar"/>
        </w:rPr>
        <w:t xml:space="preserve">notice_delivery</w:t>
      </w:r>
      <w:r>
        <w:t xml:space="preserve">:</w:t>
      </w:r>
      <w:r>
        <w:t xml:space="preserve"> </w:t>
      </w:r>
      <w:r>
        <w:rPr>
          <w:rStyle w:val="VerbatimChar"/>
        </w:rPr>
        <w:t xml:space="preserve">RECEIVED_FROM_RE → PUBLISHED → {DELIVERED → OPENED → READ_FULLY | NOT_DELIVERED → FALLBACK_SENT} → (WITHDRAWN_BY_RE)</w:t>
      </w:r>
      <w:r>
        <w:t xml:space="preserve">.</w:t>
      </w:r>
    </w:p>
    <w:p>
      <w:pPr>
        <w:pStyle w:val="BodyText"/>
      </w:pPr>
      <w:r>
        <w:rPr>
          <w:bCs/>
          <w:b/>
        </w:rPr>
        <w:t xml:space="preserve">Data:</w:t>
      </w:r>
      <w:r>
        <w:t xml:space="preserve"> </w:t>
      </w:r>
      <w:r>
        <w:rPr>
          <w:rStyle w:val="VerbatimChar"/>
        </w:rPr>
        <w:t xml:space="preserve">notice_mirror</w:t>
      </w:r>
      <w:r>
        <w:t xml:space="preserve"> </w:t>
      </w:r>
      <w:r>
        <w:t xml:space="preserve">(RE reference, instrument, statute reference, language, SHA-256, template version, RE statutory mode, visibility policy version),</w:t>
      </w:r>
      <w:r>
        <w:t xml:space="preserve"> </w:t>
      </w:r>
      <w:r>
        <w:rPr>
          <w:rStyle w:val="VerbatimChar"/>
        </w:rPr>
        <w:t xml:space="preserve">notice_delivery_event</w:t>
      </w:r>
      <w:r>
        <w:t xml:space="preserve">,</w:t>
      </w:r>
      <w:r>
        <w:t xml:space="preserve"> </w:t>
      </w:r>
      <w:r>
        <w:rPr>
          <w:rStyle w:val="VerbatimChar"/>
        </w:rPr>
        <w:t xml:space="preserve">case_status_projection</w:t>
      </w:r>
      <w:r>
        <w:t xml:space="preserve">,</w:t>
      </w:r>
      <w:r>
        <w:t xml:space="preserve"> </w:t>
      </w:r>
      <w:r>
        <w:rPr>
          <w:rStyle w:val="VerbatimChar"/>
        </w:rPr>
        <w:t xml:space="preserve">visibility_policy</w:t>
      </w:r>
      <w:r>
        <w:t xml:space="preserve">.</w:t>
      </w:r>
    </w:p>
    <w:p>
      <w:pPr>
        <w:pStyle w:val="BodyText"/>
      </w:pPr>
      <w:r>
        <w:rPr>
          <w:bCs/>
          <w:b/>
        </w:rPr>
        <w:t xml:space="preserve">Controls:</w:t>
      </w:r>
      <w:r>
        <w:t xml:space="preserve"> </w:t>
      </w:r>
      <w:r>
        <w:t xml:space="preserve">hash check before display; no Udofin generation or editing of notice content; the sender is always the RE (or its counsel or authorised officer), Udofin appears only as</w:t>
      </w:r>
      <w:r>
        <w:t xml:space="preserve"> </w:t>
      </w:r>
      <w:r>
        <w:t xml:space="preserve">“</w:t>
      </w:r>
      <w:r>
        <w:t xml:space="preserve">delivered by Udofin, LSP of [RE name]</w:t>
      </w:r>
      <w:r>
        <w:t xml:space="preserve">”</w:t>
      </w:r>
      <w:r>
        <w:t xml:space="preserve">; approved status strings only; no</w:t>
      </w:r>
      <w:r>
        <w:t xml:space="preserve"> </w:t>
      </w:r>
      <w:r>
        <w:t xml:space="preserve">“</w:t>
      </w:r>
      <w:r>
        <w:t xml:space="preserve">served</w:t>
      </w:r>
      <w:r>
        <w:t xml:space="preserve">”</w:t>
      </w:r>
      <w:r>
        <w:t xml:space="preserve"> </w:t>
      </w:r>
      <w:r>
        <w:t xml:space="preserve">state; grievance block on every recovery communication (para 100AA).</w:t>
      </w:r>
    </w:p>
    <w:p>
      <w:pPr>
        <w:pStyle w:val="BodyText"/>
      </w:pPr>
      <w:r>
        <w:rPr>
          <w:bCs/>
          <w:b/>
        </w:rPr>
        <w:t xml:space="preserve">Events:</w:t>
      </w:r>
      <w:r>
        <w:t xml:space="preserve"> </w:t>
      </w:r>
      <w:r>
        <w:t xml:space="preserve">consumes the events listed above and</w:t>
      </w:r>
      <w:r>
        <w:t xml:space="preserve"> </w:t>
      </w:r>
      <w:r>
        <w:rPr>
          <w:rStyle w:val="VerbatimChar"/>
        </w:rPr>
        <w:t xml:space="preserve">NoticeServiceUpdated</w:t>
      </w:r>
      <w:r>
        <w:t xml:space="preserve"> </w:t>
      </w:r>
      <w:r>
        <w:t xml:space="preserve">from the RE where the policy permits showing statutory delivery status; produces</w:t>
      </w:r>
      <w:r>
        <w:t xml:space="preserve"> </w:t>
      </w:r>
      <w:r>
        <w:rPr>
          <w:rStyle w:val="VerbatimChar"/>
        </w:rPr>
        <w:t xml:space="preserve">NoticeServiceUpdated</w:t>
      </w:r>
      <w:r>
        <w:t xml:space="preserve"> </w:t>
      </w:r>
      <w:r>
        <w:t xml:space="preserve">(Udofin channel) and</w:t>
      </w:r>
      <w:r>
        <w:t xml:space="preserve"> </w:t>
      </w:r>
      <w:r>
        <w:rPr>
          <w:rStyle w:val="VerbatimChar"/>
        </w:rPr>
        <w:t xml:space="preserve">GrievanceRaised</w:t>
      </w:r>
      <w:r>
        <w:t xml:space="preserve">.</w:t>
      </w:r>
    </w:p>
    <w:p>
      <w:pPr>
        <w:pStyle w:val="BodyText"/>
      </w:pPr>
      <w:r>
        <w:rPr>
          <w:bCs/>
          <w:b/>
        </w:rPr>
        <w:t xml:space="preserve">Tests:</w:t>
      </w:r>
      <w:r>
        <w:t xml:space="preserve"> </w:t>
      </w:r>
      <w:r>
        <w:t xml:space="preserve">tampered PDF is not displayed; an instrument outside the policy never appears; no API or UI path sets</w:t>
      </w:r>
      <w:r>
        <w:t xml:space="preserve"> </w:t>
      </w:r>
      <w:r>
        <w:t xml:space="preserve">“</w:t>
      </w:r>
      <w:r>
        <w:t xml:space="preserve">served</w:t>
      </w:r>
      <w:r>
        <w:t xml:space="preserve">”</w:t>
      </w:r>
      <w:r>
        <w:t xml:space="preserve">; WhatsApp channel is not selectable for any recovery template; an unregistered addressee never receives a notice; a withdrawn notice shows the RE’s withdrawal text.</w:t>
      </w:r>
    </w:p>
    <w:bookmarkEnd w:id="102"/>
    <w:bookmarkStart w:id="103" w:name="Xe38655915c6cd26f12b6355ffc802dc92ce6f1d"/>
    <w:p>
      <w:pPr>
        <w:pStyle w:val="Heading2"/>
      </w:pPr>
      <w:r>
        <w:t xml:space="preserve">UR4. Recovery-agent operations (only where appointed)</w:t>
      </w:r>
    </w:p>
    <w:p>
      <w:pPr>
        <w:pStyle w:val="FirstParagraph"/>
      </w:pPr>
      <w:r>
        <w:rPr>
          <w:bCs/>
          <w:b/>
        </w:rPr>
        <w:t xml:space="preserve">Purpose:</w:t>
      </w:r>
      <w:r>
        <w:t xml:space="preserve"> </w:t>
      </w:r>
      <w:r>
        <w:t xml:space="preserve">where an RE appoints Udofin (or an agency Udofin engages with the RE’s prior consent, OUT para 34(iv)) as recovery agent, work allocated cases within the RE’s policy, the RBC rules and full evidence.</w:t>
      </w:r>
    </w:p>
    <w:p>
      <w:pPr>
        <w:pStyle w:val="BodyText"/>
      </w:pPr>
      <w:r>
        <w:rPr>
          <w:bCs/>
          <w:b/>
        </w:rPr>
        <w:t xml:space="preserve">Hard gates (all must pass; fail closed):</w:t>
      </w:r>
    </w:p>
    <w:p>
      <w:pPr>
        <w:numPr>
          <w:ilvl w:val="0"/>
          <w:numId w:val="1060"/>
        </w:numPr>
        <w:pStyle w:val="Compact"/>
      </w:pPr>
      <w:r>
        <w:t xml:space="preserve">Active</w:t>
      </w:r>
      <w:r>
        <w:t xml:space="preserve"> </w:t>
      </w:r>
      <w:r>
        <w:rPr>
          <w:rStyle w:val="VerbatimChar"/>
        </w:rPr>
        <w:t xml:space="preserve">recovery_agent_contract</w:t>
      </w:r>
      <w:r>
        <w:t xml:space="preserve"> </w:t>
      </w:r>
      <w:r>
        <w:t xml:space="preserve">covering the RE, product, DPD bucket, territory and channel (tele, field, cash) on the attempt date; otherwise</w:t>
      </w:r>
      <w:r>
        <w:t xml:space="preserve"> </w:t>
      </w:r>
      <w:r>
        <w:rPr>
          <w:rStyle w:val="VerbatimChar"/>
        </w:rPr>
        <w:t xml:space="preserve">CollectionAllocated</w:t>
      </w:r>
      <w:r>
        <w:t xml:space="preserve"> </w:t>
      </w:r>
      <w:r>
        <w:t xml:space="preserve">is rejected with a reason.</w:t>
      </w:r>
    </w:p>
    <w:p>
      <w:pPr>
        <w:numPr>
          <w:ilvl w:val="0"/>
          <w:numId w:val="1060"/>
        </w:numPr>
        <w:pStyle w:val="Compact"/>
      </w:pPr>
      <w:r>
        <w:t xml:space="preserve">Udofin’s recovery role disclosed in the KFS (RBC Annex I Part 2 item 6(ii)) or notified under CF para 9(6).</w:t>
      </w:r>
    </w:p>
    <w:p>
      <w:pPr>
        <w:numPr>
          <w:ilvl w:val="0"/>
          <w:numId w:val="1060"/>
        </w:numPr>
        <w:pStyle w:val="Compact"/>
      </w:pPr>
      <w:r>
        <w:t xml:space="preserve">Agent eligible: police and antecedent verification current (RBC para 94); training and code-of-conduct undertaking (paras 98–99); RE authorisation letter and ID (paras 95–96); from 1 Jan 2027, IIBF DRA certificate (para 100I; existing agents by 31 Dec 2027) [VERIFY].</w:t>
      </w:r>
    </w:p>
    <w:p>
      <w:pPr>
        <w:numPr>
          <w:ilvl w:val="0"/>
          <w:numId w:val="1060"/>
        </w:numPr>
        <w:pStyle w:val="Compact"/>
      </w:pPr>
      <w:r>
        <w:t xml:space="preserve">Agent particulars delivered to the borrower by email or SMS before first contact (CF para 9(6)); from 1 Jan 2027, agency details at least 1 day before the first visit (para 100L) [VERIFY].</w:t>
      </w:r>
    </w:p>
    <w:p>
      <w:pPr>
        <w:numPr>
          <w:ilvl w:val="0"/>
          <w:numId w:val="1060"/>
        </w:numPr>
        <w:pStyle w:val="Compact"/>
      </w:pPr>
      <w:r>
        <w:rPr>
          <w:rStyle w:val="VerbatimChar"/>
        </w:rPr>
        <w:t xml:space="preserve">canContact(account, party, channel, purpose, time)</w:t>
      </w:r>
      <w:r>
        <w:t xml:space="preserve"> </w:t>
      </w:r>
      <w:r>
        <w:t xml:space="preserve">permits the attempt; it runs before every attempt, logs denials and fails closed. Checks: party of record; window per pack, borrower preference and microfinance rules; sensitive-occasion blackout; the RE’s Board frequency cap (RBI sets no number); stop on payment, PTP not yet due, open dispute, litigation, ADR or IBC hold, stay or deceased borrower; registered 1600-series caller ID [VERIFY: TRAI coverage of agency calls]; pre-approved template with sender and grievance block (paras 100Y(8), 100AA).</w:t>
      </w:r>
    </w:p>
    <w:p>
      <w:pPr>
        <w:pStyle w:val="FirstParagraph"/>
      </w:pPr>
      <w:r>
        <w:rPr>
          <w:bCs/>
          <w:b/>
        </w:rPr>
        <w:t xml:space="preserve">Capabilities:</w:t>
      </w:r>
    </w:p>
    <w:p>
      <w:pPr>
        <w:numPr>
          <w:ilvl w:val="0"/>
          <w:numId w:val="1061"/>
        </w:numPr>
        <w:pStyle w:val="Compact"/>
      </w:pPr>
      <w:r>
        <w:t xml:space="preserve">Allocation intake, worklists by bucket and territory, scripts in the borrower’s language, outcome codes, PTP, field-visit check-in on the</w:t>
      </w:r>
      <w:r>
        <w:t xml:space="preserve"> </w:t>
      </w:r>
      <w:r>
        <w:rPr>
          <w:bCs/>
          <w:b/>
        </w:rPr>
        <w:t xml:space="preserve">agent’s</w:t>
      </w:r>
      <w:r>
        <w:t xml:space="preserve"> </w:t>
      </w:r>
      <w:r>
        <w:t xml:space="preserve">device (never the borrower’s location), digital receipts.</w:t>
      </w:r>
    </w:p>
    <w:p>
      <w:pPr>
        <w:numPr>
          <w:ilvl w:val="0"/>
          <w:numId w:val="1061"/>
        </w:numPr>
        <w:pStyle w:val="Compact"/>
      </w:pPr>
      <w:r>
        <w:t xml:space="preserve">Call recording with a disclosure prompt on every recovery call; call time and count logged (para 100P; [REC] before 1 Jan 2027); legal-hold flag extends retention.</w:t>
      </w:r>
    </w:p>
    <w:p>
      <w:pPr>
        <w:numPr>
          <w:ilvl w:val="0"/>
          <w:numId w:val="1061"/>
        </w:numPr>
        <w:pStyle w:val="Compact"/>
      </w:pPr>
      <w:r>
        <w:rPr>
          <w:bCs/>
          <w:b/>
        </w:rPr>
        <w:t xml:space="preserve">Settlement during calls:</w:t>
      </w:r>
      <w:r>
        <w:t xml:space="preserve"> </w:t>
      </w:r>
      <w:r>
        <w:t xml:space="preserve">the agent or bot may only present an offer the RE has already issued for that account (</w:t>
      </w:r>
      <w:r>
        <w:rPr>
          <w:rStyle w:val="VerbatimChar"/>
        </w:rPr>
        <w:t xml:space="preserve">SettlementOfferIssued</w:t>
      </w:r>
      <w:r>
        <w:t xml:space="preserve">); anything else is a</w:t>
      </w:r>
      <w:r>
        <w:t xml:space="preserve"> </w:t>
      </w:r>
      <w:r>
        <w:rPr>
          <w:rStyle w:val="VerbatimChar"/>
        </w:rPr>
        <w:t xml:space="preserve">SettlementRequested</w:t>
      </w:r>
      <w:r>
        <w:t xml:space="preserve"> </w:t>
      </w:r>
      <w:r>
        <w:t xml:space="preserve">for the RE.</w:t>
      </w:r>
    </w:p>
    <w:p>
      <w:pPr>
        <w:numPr>
          <w:ilvl w:val="0"/>
          <w:numId w:val="1061"/>
        </w:numPr>
        <w:pStyle w:val="Compact"/>
      </w:pPr>
      <w:r>
        <w:rPr>
          <w:bCs/>
          <w:b/>
        </w:rPr>
        <w:t xml:space="preserve">Cash:</w:t>
      </w:r>
      <w:r>
        <w:t xml:space="preserve"> </w:t>
      </w:r>
      <w:r>
        <w:t xml:space="preserve">only on overdue loans and where the contract allows; full-amount digital receipt; cash-in-transit ledger; RE posting confirmed the same day, otherwise escalation at end of day (CF para 10(5)); per-receipt and per-agent cash limits from the RE [VERIFY: Income-tax Act 2025 cash-receipt limit].</w:t>
      </w:r>
    </w:p>
    <w:p>
      <w:pPr>
        <w:numPr>
          <w:ilvl w:val="0"/>
          <w:numId w:val="1061"/>
        </w:numPr>
        <w:pStyle w:val="Compact"/>
      </w:pPr>
      <w:r>
        <w:rPr>
          <w:bCs/>
          <w:b/>
        </w:rPr>
        <w:t xml:space="preserve">Hand-back, not escalation:</w:t>
      </w:r>
      <w:r>
        <w:t xml:space="preserve"> </w:t>
      </w:r>
      <w:r>
        <w:t xml:space="preserve">Udofin never decides on legal action; it returns the case with outcome codes and the RE issues</w:t>
      </w:r>
      <w:r>
        <w:t xml:space="preserve"> </w:t>
      </w:r>
      <w:r>
        <w:rPr>
          <w:rStyle w:val="VerbatimChar"/>
        </w:rPr>
        <w:t xml:space="preserve">RecoveryStrategyChanged</w:t>
      </w:r>
      <w:r>
        <w:t xml:space="preserve"> </w:t>
      </w:r>
      <w:r>
        <w:t xml:space="preserve">or</w:t>
      </w:r>
      <w:r>
        <w:t xml:space="preserve"> </w:t>
      </w:r>
      <w:r>
        <w:rPr>
          <w:rStyle w:val="VerbatimChar"/>
        </w:rPr>
        <w:t xml:space="preserve">CollectionDeallocated</w:t>
      </w:r>
      <w:r>
        <w:t xml:space="preserve">.</w:t>
      </w:r>
    </w:p>
    <w:p>
      <w:pPr>
        <w:numPr>
          <w:ilvl w:val="0"/>
          <w:numId w:val="1061"/>
        </w:numPr>
        <w:pStyle w:val="Compact"/>
      </w:pPr>
      <w:r>
        <w:rPr>
          <w:bCs/>
          <w:b/>
        </w:rPr>
        <w:t xml:space="preserve">Agency list feed</w:t>
      </w:r>
      <w:r>
        <w:t xml:space="preserve"> </w:t>
      </w:r>
      <w:r>
        <w:t xml:space="preserve">to the RE’s website (RBC para 97; para 100K update within 7 days).</w:t>
      </w:r>
    </w:p>
    <w:p>
      <w:pPr>
        <w:numPr>
          <w:ilvl w:val="0"/>
          <w:numId w:val="1061"/>
        </w:numPr>
        <w:pStyle w:val="Compact"/>
      </w:pPr>
      <w:r>
        <w:rPr>
          <w:bCs/>
          <w:b/>
        </w:rPr>
        <w:t xml:space="preserve">Voicebot or chat agent</w:t>
      </w:r>
      <w:r>
        <w:t xml:space="preserve"> </w:t>
      </w:r>
      <w:r>
        <w:t xml:space="preserve">[REC; RBI FREE-AI report, 13 Aug 2025, guidance only]: discloses it is automated and acting for the RE; offers a human at any turn; same</w:t>
      </w:r>
      <w:r>
        <w:t xml:space="preserve"> </w:t>
      </w:r>
      <w:r>
        <w:rPr>
          <w:rStyle w:val="VerbatimChar"/>
        </w:rPr>
        <w:t xml:space="preserve">canContact</w:t>
      </w:r>
      <w:r>
        <w:t xml:space="preserve"> </w:t>
      </w:r>
      <w:r>
        <w:t xml:space="preserve">envelope; transcripts kept as recordings.</w:t>
      </w:r>
    </w:p>
    <w:p>
      <w:pPr>
        <w:pStyle w:val="FirstParagraph"/>
      </w:pPr>
      <w:r>
        <w:rPr>
          <w:bCs/>
          <w:b/>
        </w:rPr>
        <w:t xml:space="preserve">Mobile and web:</w:t>
      </w:r>
      <w:r>
        <w:t xml:space="preserve"> </w:t>
      </w:r>
      <w:r>
        <w:t xml:space="preserve">field app (channel E, U22): minimum case data (para 100O), encrypted offline cache, remote wipe, recorded calls through the RE’s trunk, digital ID and authorisation letter (RBC para 95), no contacts, SMS, call-log or storage permissions. Operations portal: tele-calling workspace with the</w:t>
      </w:r>
      <w:r>
        <w:t xml:space="preserve"> </w:t>
      </w:r>
      <w:r>
        <w:rPr>
          <w:rStyle w:val="VerbatimChar"/>
        </w:rPr>
        <w:t xml:space="preserve">canContact</w:t>
      </w:r>
      <w:r>
        <w:t xml:space="preserve"> </w:t>
      </w:r>
      <w:r>
        <w:t xml:space="preserve">banner, QA and the agent register. Lender portal: allocations, conduct metrics, recording samples, suspension switch. Borrower app: agent particulars,</w:t>
      </w:r>
      <w:r>
        <w:t xml:space="preserve"> </w:t>
      </w:r>
      <w:r>
        <w:t xml:space="preserve">“</w:t>
      </w:r>
      <w:r>
        <w:t xml:space="preserve">verify this agent</w:t>
      </w:r>
      <w:r>
        <w:t xml:space="preserve">”</w:t>
      </w:r>
      <w:r>
        <w:t xml:space="preserve"> </w:t>
      </w:r>
      <w:r>
        <w:t xml:space="preserve">(QR on the agent’s ID) and a recovery-grievance button (RBC para 92).</w:t>
      </w:r>
    </w:p>
    <w:p>
      <w:pPr>
        <w:pStyle w:val="BodyText"/>
      </w:pPr>
      <w:r>
        <w:rPr>
          <w:bCs/>
          <w:b/>
        </w:rPr>
        <w:t xml:space="preserve">States:</w:t>
      </w:r>
    </w:p>
    <w:p>
      <w:pPr>
        <w:numPr>
          <w:ilvl w:val="0"/>
          <w:numId w:val="1062"/>
        </w:numPr>
        <w:pStyle w:val="Compact"/>
      </w:pPr>
      <w:r>
        <w:rPr>
          <w:rStyle w:val="VerbatimChar"/>
        </w:rPr>
        <w:t xml:space="preserve">collection_allocation</w:t>
      </w:r>
      <w:r>
        <w:t xml:space="preserve">:</w:t>
      </w:r>
      <w:r>
        <w:t xml:space="preserve"> </w:t>
      </w:r>
      <w:r>
        <w:rPr>
          <w:rStyle w:val="VerbatimChar"/>
        </w:rPr>
        <w:t xml:space="preserve">OFFERED → {ACCEPTED | REJECTED} → NOTICE_PENDING → NOTICE_DELIVERED → ACTIVE → {RESOLVED | RETURNED | DEALLOCATED | SUSPENDED} → CLOSED</w:t>
      </w:r>
      <w:r>
        <w:t xml:space="preserve">.</w:t>
      </w:r>
    </w:p>
    <w:p>
      <w:pPr>
        <w:numPr>
          <w:ilvl w:val="0"/>
          <w:numId w:val="1062"/>
        </w:numPr>
        <w:pStyle w:val="Compact"/>
      </w:pPr>
      <w:r>
        <w:rPr>
          <w:rStyle w:val="VerbatimChar"/>
        </w:rPr>
        <w:t xml:space="preserve">contact_attempt</w:t>
      </w:r>
      <w:r>
        <w:t xml:space="preserve">:</w:t>
      </w:r>
      <w:r>
        <w:t xml:space="preserve"> </w:t>
      </w:r>
      <w:r>
        <w:rPr>
          <w:rStyle w:val="VerbatimChar"/>
        </w:rPr>
        <w:t xml:space="preserve">EVALUATED → {DENIED (reason) | PERMITTED → ATTEMPTED → {RIGHT_PARTY | NO_ANSWER | WRONG_PARTY | REFUSED}}</w:t>
      </w:r>
      <w:r>
        <w:t xml:space="preserve">.</w:t>
      </w:r>
    </w:p>
    <w:p>
      <w:pPr>
        <w:pStyle w:val="FirstParagraph"/>
      </w:pPr>
      <w:r>
        <w:rPr>
          <w:bCs/>
          <w:b/>
        </w:rPr>
        <w:t xml:space="preserve">Data:</w:t>
      </w:r>
      <w:r>
        <w:t xml:space="preserve"> </w:t>
      </w:r>
      <w:r>
        <w:rPr>
          <w:rStyle w:val="VerbatimChar"/>
        </w:rPr>
        <w:t xml:space="preserve">recovery_agent_contract</w:t>
      </w:r>
      <w:r>
        <w:t xml:space="preserve">,</w:t>
      </w:r>
      <w:r>
        <w:t xml:space="preserve"> </w:t>
      </w:r>
      <w:r>
        <w:rPr>
          <w:rStyle w:val="VerbatimChar"/>
        </w:rPr>
        <w:t xml:space="preserve">recovery_agent</w:t>
      </w:r>
      <w:r>
        <w:t xml:space="preserve">,</w:t>
      </w:r>
      <w:r>
        <w:t xml:space="preserve"> </w:t>
      </w:r>
      <w:r>
        <w:rPr>
          <w:rStyle w:val="VerbatimChar"/>
        </w:rPr>
        <w:t xml:space="preserve">agent_certification</w:t>
      </w:r>
      <w:r>
        <w:t xml:space="preserve"> </w:t>
      </w:r>
      <w:r>
        <w:t xml:space="preserve">(IIBF reference, expiry),</w:t>
      </w:r>
      <w:r>
        <w:t xml:space="preserve"> </w:t>
      </w:r>
      <w:r>
        <w:rPr>
          <w:rStyle w:val="VerbatimChar"/>
        </w:rPr>
        <w:t xml:space="preserve">agent_authorisation</w:t>
      </w:r>
      <w:r>
        <w:t xml:space="preserve">,</w:t>
      </w:r>
      <w:r>
        <w:t xml:space="preserve"> </w:t>
      </w:r>
      <w:r>
        <w:rPr>
          <w:rStyle w:val="VerbatimChar"/>
        </w:rPr>
        <w:t xml:space="preserve">collection_allocation</w:t>
      </w:r>
      <w:r>
        <w:t xml:space="preserve">,</w:t>
      </w:r>
      <w:r>
        <w:t xml:space="preserve"> </w:t>
      </w:r>
      <w:r>
        <w:rPr>
          <w:rStyle w:val="VerbatimChar"/>
        </w:rPr>
        <w:t xml:space="preserve">agent_particulars_notice</w:t>
      </w:r>
      <w:r>
        <w:t xml:space="preserve">,</w:t>
      </w:r>
      <w:r>
        <w:t xml:space="preserve"> </w:t>
      </w:r>
      <w:r>
        <w:rPr>
          <w:rStyle w:val="VerbatimChar"/>
        </w:rPr>
        <w:t xml:space="preserve">contact_policy_pack</w:t>
      </w:r>
      <w:r>
        <w:t xml:space="preserve">,</w:t>
      </w:r>
      <w:r>
        <w:t xml:space="preserve"> </w:t>
      </w:r>
      <w:r>
        <w:rPr>
          <w:rStyle w:val="VerbatimChar"/>
        </w:rPr>
        <w:t xml:space="preserve">contact_evaluation</w:t>
      </w:r>
      <w:r>
        <w:t xml:space="preserve"> </w:t>
      </w:r>
      <w:r>
        <w:t xml:space="preserve">(inputs, pack version, decision),</w:t>
      </w:r>
      <w:r>
        <w:t xml:space="preserve"> </w:t>
      </w:r>
      <w:r>
        <w:rPr>
          <w:rStyle w:val="VerbatimChar"/>
        </w:rPr>
        <w:t xml:space="preserve">contact_attempt</w:t>
      </w:r>
      <w:r>
        <w:t xml:space="preserve">,</w:t>
      </w:r>
      <w:r>
        <w:t xml:space="preserve"> </w:t>
      </w:r>
      <w:r>
        <w:rPr>
          <w:rStyle w:val="VerbatimChar"/>
        </w:rPr>
        <w:t xml:space="preserve">call_recording</w:t>
      </w:r>
      <w:r>
        <w:t xml:space="preserve"> </w:t>
      </w:r>
      <w:r>
        <w:t xml:space="preserve">(retention_until, legal_hold),</w:t>
      </w:r>
      <w:r>
        <w:t xml:space="preserve"> </w:t>
      </w:r>
      <w:r>
        <w:rPr>
          <w:rStyle w:val="VerbatimChar"/>
        </w:rPr>
        <w:t xml:space="preserve">field_visit</w:t>
      </w:r>
      <w:r>
        <w:t xml:space="preserve">,</w:t>
      </w:r>
      <w:r>
        <w:t xml:space="preserve"> </w:t>
      </w:r>
      <w:r>
        <w:rPr>
          <w:rStyle w:val="VerbatimChar"/>
        </w:rPr>
        <w:t xml:space="preserve">ptp</w:t>
      </w:r>
      <w:r>
        <w:t xml:space="preserve">,</w:t>
      </w:r>
      <w:r>
        <w:t xml:space="preserve"> </w:t>
      </w:r>
      <w:r>
        <w:rPr>
          <w:rStyle w:val="VerbatimChar"/>
        </w:rPr>
        <w:t xml:space="preserve">cash_receipt</w:t>
      </w:r>
      <w:r>
        <w:t xml:space="preserve">,</w:t>
      </w:r>
      <w:r>
        <w:t xml:space="preserve"> </w:t>
      </w:r>
      <w:r>
        <w:rPr>
          <w:rStyle w:val="VerbatimChar"/>
        </w:rPr>
        <w:t xml:space="preserve">cash_in_transit_entry</w:t>
      </w:r>
      <w:r>
        <w:t xml:space="preserve">,</w:t>
      </w:r>
      <w:r>
        <w:t xml:space="preserve"> </w:t>
      </w:r>
      <w:r>
        <w:rPr>
          <w:rStyle w:val="VerbatimChar"/>
        </w:rPr>
        <w:t xml:space="preserve">agent_scorecard</w:t>
      </w:r>
      <w:r>
        <w:t xml:space="preserve">.</w:t>
      </w:r>
    </w:p>
    <w:p>
      <w:pPr>
        <w:pStyle w:val="BodyText"/>
      </w:pPr>
      <w:r>
        <w:rPr>
          <w:bCs/>
          <w:b/>
        </w:rPr>
        <w:t xml:space="preserve">Controls:</w:t>
      </w:r>
      <w:r>
        <w:t xml:space="preserve"> </w:t>
      </w:r>
      <w:r>
        <w:t xml:space="preserve">incentives exclude raw call volume and include conduct metrics (para 100Q); DLG cover is invisible to agents and to the policy engine (Part 4.4); the RE audits a sample of cases where Udofin is both DLG provider and recovery agent [REC]; no photographs of people; no contact with references, family or employer; no device data (para 100U).</w:t>
      </w:r>
    </w:p>
    <w:p>
      <w:pPr>
        <w:pStyle w:val="BodyText"/>
      </w:pPr>
      <w:r>
        <w:rPr>
          <w:bCs/>
          <w:b/>
        </w:rPr>
        <w:t xml:space="preserve">Events:</w:t>
      </w:r>
      <w:r>
        <w:t xml:space="preserve"> </w:t>
      </w:r>
      <w:r>
        <w:t xml:space="preserve">consumes</w:t>
      </w:r>
      <w:r>
        <w:t xml:space="preserve"> </w:t>
      </w:r>
      <w:r>
        <w:rPr>
          <w:rStyle w:val="VerbatimChar"/>
        </w:rPr>
        <w:t xml:space="preserve">CollectionAllocated</w:t>
      </w:r>
      <w:r>
        <w:t xml:space="preserve">,</w:t>
      </w:r>
      <w:r>
        <w:t xml:space="preserve"> </w:t>
      </w:r>
      <w:r>
        <w:rPr>
          <w:rStyle w:val="VerbatimChar"/>
        </w:rPr>
        <w:t xml:space="preserve">CollectionDeallocated</w:t>
      </w:r>
      <w:r>
        <w:t xml:space="preserve">,</w:t>
      </w:r>
      <w:r>
        <w:t xml:space="preserve"> </w:t>
      </w:r>
      <w:r>
        <w:rPr>
          <w:rStyle w:val="VerbatimChar"/>
        </w:rPr>
        <w:t xml:space="preserve">RecoveryAgentNoticeSent</w:t>
      </w:r>
      <w:r>
        <w:t xml:space="preserve"> </w:t>
      </w:r>
      <w:r>
        <w:t xml:space="preserve">(gate 4 evidence where the RE sends the particulars: CF para 9(6)),</w:t>
      </w:r>
      <w:r>
        <w:t xml:space="preserve"> </w:t>
      </w:r>
      <w:r>
        <w:rPr>
          <w:rStyle w:val="VerbatimChar"/>
        </w:rPr>
        <w:t xml:space="preserve">LegalHoldChanged</w:t>
      </w:r>
      <w:r>
        <w:t xml:space="preserve"> </w:t>
      </w:r>
      <w:r>
        <w:t xml:space="preserve">(retention and contact holds),</w:t>
      </w:r>
      <w:r>
        <w:t xml:space="preserve"> </w:t>
      </w:r>
      <w:r>
        <w:rPr>
          <w:rStyle w:val="VerbatimChar"/>
        </w:rPr>
        <w:t xml:space="preserve">RecoveryStrategyChanged</w:t>
      </w:r>
      <w:r>
        <w:t xml:space="preserve">,</w:t>
      </w:r>
      <w:r>
        <w:t xml:space="preserve"> </w:t>
      </w:r>
      <w:r>
        <w:rPr>
          <w:rStyle w:val="VerbatimChar"/>
        </w:rPr>
        <w:t xml:space="preserve">SettlementOfferIssued</w:t>
      </w:r>
      <w:r>
        <w:t xml:space="preserve">,</w:t>
      </w:r>
      <w:r>
        <w:t xml:space="preserve"> </w:t>
      </w:r>
      <w:r>
        <w:rPr>
          <w:rStyle w:val="VerbatimChar"/>
        </w:rPr>
        <w:t xml:space="preserve">PaymentReceived</w:t>
      </w:r>
      <w:r>
        <w:t xml:space="preserve">,</w:t>
      </w:r>
      <w:r>
        <w:t xml:space="preserve"> </w:t>
      </w:r>
      <w:r>
        <w:rPr>
          <w:rStyle w:val="VerbatimChar"/>
        </w:rPr>
        <w:t xml:space="preserve">RecoveryReceiptPosted</w:t>
      </w:r>
      <w:r>
        <w:t xml:space="preserve">,</w:t>
      </w:r>
      <w:r>
        <w:t xml:space="preserve"> </w:t>
      </w:r>
      <w:r>
        <w:rPr>
          <w:rStyle w:val="VerbatimChar"/>
        </w:rPr>
        <w:t xml:space="preserve">LitigationCaseUpdated</w:t>
      </w:r>
      <w:r>
        <w:t xml:space="preserve"> </w:t>
      </w:r>
      <w:r>
        <w:t xml:space="preserve">(hold flag),</w:t>
      </w:r>
      <w:r>
        <w:t xml:space="preserve"> </w:t>
      </w:r>
      <w:r>
        <w:rPr>
          <w:rStyle w:val="VerbatimChar"/>
        </w:rPr>
        <w:t xml:space="preserve">ModuleDetached</w:t>
      </w:r>
      <w:r>
        <w:t xml:space="preserve">; produces</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FieldVisitLogged</w:t>
      </w:r>
      <w:r>
        <w:t xml:space="preserve">,</w:t>
      </w:r>
      <w:r>
        <w:t xml:space="preserve"> </w:t>
      </w:r>
      <w:r>
        <w:rPr>
          <w:rStyle w:val="VerbatimChar"/>
        </w:rPr>
        <w:t xml:space="preserve">ReceiptIssued</w:t>
      </w:r>
      <w:r>
        <w:t xml:space="preserve">,</w:t>
      </w:r>
      <w:r>
        <w:t xml:space="preserve"> </w:t>
      </w:r>
      <w:r>
        <w:rPr>
          <w:rStyle w:val="VerbatimChar"/>
        </w:rPr>
        <w:t xml:space="preserve">SettlementRequested</w:t>
      </w:r>
      <w:r>
        <w:t xml:space="preserve">,</w:t>
      </w:r>
      <w:r>
        <w:t xml:space="preserve"> </w:t>
      </w:r>
      <w:r>
        <w:rPr>
          <w:rStyle w:val="VerbatimChar"/>
        </w:rPr>
        <w:t xml:space="preserve">GrievanceRaised</w:t>
      </w:r>
      <w:r>
        <w:t xml:space="preserve"> </w:t>
      </w:r>
      <w:r>
        <w:t xml:space="preserve">(misconduct),</w:t>
      </w:r>
      <w:r>
        <w:t xml:space="preserve"> </w:t>
      </w:r>
      <w:r>
        <w:rPr>
          <w:rStyle w:val="VerbatimChar"/>
        </w:rPr>
        <w:t xml:space="preserve">ComplianceIssueRaised</w:t>
      </w:r>
      <w:r>
        <w:t xml:space="preserve"> </w:t>
      </w:r>
      <w:r>
        <w:t xml:space="preserve">(gate breach).</w:t>
      </w:r>
    </w:p>
    <w:p>
      <w:pPr>
        <w:pStyle w:val="BodyText"/>
      </w:pPr>
      <w:r>
        <w:rPr>
          <w:bCs/>
          <w:b/>
        </w:rPr>
        <w:t xml:space="preserve">Tests:</w:t>
      </w:r>
      <w:r>
        <w:t xml:space="preserve"> </w:t>
      </w:r>
      <w:r>
        <w:t xml:space="preserve">allocation rejected without a contract, outside territory or for an ineligible agent; no attempt before a delivered particulars notice; attempts at 07:59 and 19:01 denied (08:59 and 18:01 for microfinance); pack B used from 1 Jan 2027; open dispute stops contact; unrecorded call flagged; unposted cash receipt escalates at end of day; bot cannot state a figure not in an RE offer; detach stops attempts at once.</w:t>
      </w:r>
    </w:p>
    <w:bookmarkEnd w:id="103"/>
    <w:bookmarkStart w:id="104" w:name="X5c7bd87e42fa9ed6f0e1709c3bd6848c7aa7472"/>
    <w:p>
      <w:pPr>
        <w:pStyle w:val="Heading2"/>
      </w:pPr>
      <w:r>
        <w:t xml:space="preserve">UR5. Data feeds to the RE’s recovery suite</w:t>
      </w:r>
    </w:p>
    <w:p>
      <w:pPr>
        <w:pStyle w:val="FirstParagraph"/>
      </w:pPr>
      <w:r>
        <w:rPr>
          <w:bCs/>
          <w:b/>
        </w:rPr>
        <w:t xml:space="preserve">Purpose:</w:t>
      </w:r>
      <w:r>
        <w:t xml:space="preserve"> </w:t>
      </w:r>
      <w:r>
        <w:t xml:space="preserve">give the RE’s recovery suite (Finbyx Part 7A or a third-party system through the generic connector) complete, consented and reconcilable data from Udofin.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00"/>
        <w:gridCol w:w="2897"/>
        <w:gridCol w:w="1436"/>
        <w:gridCol w:w="2805"/>
      </w:tblGrid>
      <w:tr>
        <w:trPr>
          <w:tblHeader w:val="true"/>
          <w:tblHeader w:val="true"/>
        </w:trPr>
        <w:tc>
          <w:tcPr>
            <w:tcW w:w="2500" w:type="dxa"/>
            <w:shd w:val="clear" w:color="auto" w:fill="1F3A5F"/>
          </w:tcPr>
          <w:p>
            <w:pPr>
              <w:pStyle w:val="Compact"/>
              <w:spacing w:after="40"/>
              <w:jc w:val="left"/>
            </w:pPr>
            <w:r>
              <w:rPr>
                <w:b/>
                <w:color w:val="FFFFFF"/>
                <w:sz w:val="18"/>
              </w:rPr>
              <w:t xml:space="preserve">Feed</w:t>
            </w:r>
          </w:p>
        </w:tc>
        <w:tc>
          <w:tcPr>
            <w:tcW w:w="2897" w:type="dxa"/>
            <w:shd w:val="clear" w:color="auto" w:fill="1F3A5F"/>
          </w:tcPr>
          <w:p>
            <w:pPr>
              <w:pStyle w:val="Compact"/>
              <w:spacing w:after="40"/>
              <w:jc w:val="left"/>
            </w:pPr>
            <w:r>
              <w:rPr>
                <w:b/>
                <w:color w:val="FFFFFF"/>
                <w:sz w:val="18"/>
              </w:rPr>
              <w:t xml:space="preserve">Content</w:t>
            </w:r>
          </w:p>
        </w:tc>
        <w:tc>
          <w:tcPr>
            <w:tcW w:w="1436" w:type="dxa"/>
            <w:shd w:val="clear" w:color="auto" w:fill="1F3A5F"/>
          </w:tcPr>
          <w:p>
            <w:pPr>
              <w:pStyle w:val="Compact"/>
              <w:spacing w:after="40"/>
              <w:jc w:val="left"/>
            </w:pPr>
            <w:r>
              <w:rPr>
                <w:b/>
                <w:color w:val="FFFFFF"/>
                <w:sz w:val="18"/>
              </w:rPr>
              <w:t xml:space="preserve">Timing</w:t>
            </w:r>
          </w:p>
        </w:tc>
        <w:tc>
          <w:tcPr>
            <w:tcW w:w="2805" w:type="dxa"/>
            <w:shd w:val="clear" w:color="auto" w:fill="1F3A5F"/>
          </w:tcPr>
          <w:p>
            <w:pPr>
              <w:pStyle w:val="Compact"/>
              <w:spacing w:after="40"/>
              <w:jc w:val="left"/>
            </w:pPr>
            <w:r>
              <w:rPr>
                <w:b/>
                <w:color w:val="FFFFFF"/>
                <w:sz w:val="18"/>
              </w:rPr>
              <w:t xml:space="preserve">Event or transport</w:t>
            </w:r>
          </w:p>
        </w:tc>
      </w:tr>
      <w:tr>
        <w:tc>
          <w:tcPr>
            <w:tcW w:w="2500" w:type="dxa"/>
          </w:tcPr>
          <w:p>
            <w:pPr>
              <w:pStyle w:val="Compact"/>
              <w:spacing w:after="40"/>
              <w:jc w:val="left"/>
            </w:pPr>
            <w:r>
              <w:rPr>
                <w:sz w:val="18"/>
              </w:rPr>
              <w:t xml:space="preserve">Promises to pay</w:t>
            </w:r>
          </w:p>
        </w:tc>
        <w:tc>
          <w:tcPr>
            <w:tcW w:w="2897" w:type="dxa"/>
          </w:tcPr>
          <w:p>
            <w:pPr>
              <w:pStyle w:val="Compact"/>
              <w:spacing w:after="40"/>
              <w:jc w:val="left"/>
            </w:pPr>
            <w:r>
              <w:rPr>
                <w:sz w:val="18"/>
              </w:rPr>
              <w:t xml:space="preserve">Date, amount, channel, captured by</w:t>
            </w:r>
          </w:p>
        </w:tc>
        <w:tc>
          <w:tcPr>
            <w:tcW w:w="1436" w:type="dxa"/>
          </w:tcPr>
          <w:p>
            <w:pPr>
              <w:pStyle w:val="Compact"/>
              <w:spacing w:after="40"/>
              <w:jc w:val="left"/>
            </w:pPr>
            <w:r>
              <w:rPr>
                <w:sz w:val="18"/>
              </w:rPr>
              <w:t xml:space="preserve">Real time</w:t>
            </w:r>
          </w:p>
        </w:tc>
        <w:tc>
          <w:tcPr>
            <w:tcW w:w="2805" w:type="dxa"/>
          </w:tcPr>
          <w:p>
            <w:pPr>
              <w:pStyle w:val="Compact"/>
              <w:spacing w:after="40"/>
              <w:jc w:val="left"/>
            </w:pPr>
            <w:r>
              <w:rPr>
                <w:rStyle w:val="VerbatimChar"/>
                <w:sz w:val="18"/>
              </w:rPr>
              <w:t xml:space="preserve">PTPCaptured</w:t>
            </w:r>
          </w:p>
        </w:tc>
      </w:tr>
      <w:tr>
        <w:tc>
          <w:tcPr>
            <w:tcW w:w="2500" w:type="dxa"/>
          </w:tcPr>
          <w:p>
            <w:pPr>
              <w:pStyle w:val="Compact"/>
              <w:spacing w:after="40"/>
              <w:jc w:val="left"/>
            </w:pPr>
            <w:r>
              <w:rPr>
                <w:sz w:val="18"/>
              </w:rPr>
              <w:t xml:space="preserve">Settlement requests and acceptances</w:t>
            </w:r>
          </w:p>
        </w:tc>
        <w:tc>
          <w:tcPr>
            <w:tcW w:w="2897" w:type="dxa"/>
          </w:tcPr>
          <w:p>
            <w:pPr>
              <w:pStyle w:val="Compact"/>
              <w:spacing w:after="40"/>
              <w:jc w:val="left"/>
            </w:pPr>
            <w:r>
              <w:rPr>
                <w:sz w:val="18"/>
              </w:rPr>
              <w:t xml:space="preserve">Proposal or offer reference, evidence</w:t>
            </w:r>
          </w:p>
        </w:tc>
        <w:tc>
          <w:tcPr>
            <w:tcW w:w="1436" w:type="dxa"/>
          </w:tcPr>
          <w:p>
            <w:pPr>
              <w:pStyle w:val="Compact"/>
              <w:spacing w:after="40"/>
              <w:jc w:val="left"/>
            </w:pPr>
            <w:r>
              <w:rPr>
                <w:sz w:val="18"/>
              </w:rPr>
              <w:t xml:space="preserve">Real time</w:t>
            </w:r>
          </w:p>
        </w:tc>
        <w:tc>
          <w:tcPr>
            <w:tcW w:w="2805" w:type="dxa"/>
          </w:tcPr>
          <w:p>
            <w:pPr>
              <w:pStyle w:val="Compact"/>
              <w:spacing w:after="40"/>
              <w:jc w:val="left"/>
            </w:pPr>
            <w:r>
              <w:rPr>
                <w:rStyle w:val="VerbatimChar"/>
                <w:sz w:val="18"/>
              </w:rPr>
              <w:t xml:space="preserve">SettlementRequested</w:t>
            </w:r>
            <w:r>
              <w:rPr>
                <w:sz w:val="18"/>
              </w:rPr>
              <w:t xml:space="preserve">;</w:t>
            </w:r>
            <w:r>
              <w:rPr>
                <w:sz w:val="18"/>
              </w:rPr>
              <w:t xml:space="preserve"> </w:t>
            </w:r>
            <w:r>
              <w:rPr>
                <w:rStyle w:val="VerbatimChar"/>
                <w:sz w:val="18"/>
              </w:rPr>
              <w:t xml:space="preserve">SettlementOfferAccepted</w:t>
            </w:r>
          </w:p>
        </w:tc>
      </w:tr>
      <w:tr>
        <w:tc>
          <w:tcPr>
            <w:tcW w:w="2500" w:type="dxa"/>
          </w:tcPr>
          <w:p>
            <w:pPr>
              <w:pStyle w:val="Compact"/>
              <w:spacing w:after="40"/>
              <w:jc w:val="left"/>
            </w:pPr>
            <w:r>
              <w:rPr>
                <w:sz w:val="18"/>
              </w:rPr>
              <w:t xml:space="preserve">Disputes and complaints on the debt</w:t>
            </w:r>
          </w:p>
        </w:tc>
        <w:tc>
          <w:tcPr>
            <w:tcW w:w="2897" w:type="dxa"/>
          </w:tcPr>
          <w:p>
            <w:pPr>
              <w:pStyle w:val="Compact"/>
              <w:spacing w:after="40"/>
              <w:jc w:val="left"/>
            </w:pPr>
            <w:r>
              <w:rPr>
                <w:sz w:val="18"/>
              </w:rPr>
              <w:t xml:space="preserve">Category, stop-contact flag</w:t>
            </w:r>
          </w:p>
        </w:tc>
        <w:tc>
          <w:tcPr>
            <w:tcW w:w="1436" w:type="dxa"/>
          </w:tcPr>
          <w:p>
            <w:pPr>
              <w:pStyle w:val="Compact"/>
              <w:spacing w:after="40"/>
              <w:jc w:val="left"/>
            </w:pPr>
            <w:r>
              <w:rPr>
                <w:sz w:val="18"/>
              </w:rPr>
              <w:t xml:space="preserve">Real time</w:t>
            </w:r>
          </w:p>
        </w:tc>
        <w:tc>
          <w:tcPr>
            <w:tcW w:w="2805" w:type="dxa"/>
          </w:tcPr>
          <w:p>
            <w:pPr>
              <w:pStyle w:val="Compact"/>
              <w:spacing w:after="40"/>
              <w:jc w:val="left"/>
            </w:pPr>
            <w:r>
              <w:rPr>
                <w:rStyle w:val="VerbatimChar"/>
                <w:sz w:val="18"/>
              </w:rPr>
              <w:t xml:space="preserve">GrievanceRaised</w:t>
            </w:r>
            <w:r>
              <w:rPr>
                <w:sz w:val="18"/>
              </w:rPr>
              <w:t xml:space="preserve">,</w:t>
            </w:r>
            <w:r>
              <w:rPr>
                <w:sz w:val="18"/>
              </w:rPr>
              <w:t xml:space="preserve"> </w:t>
            </w:r>
            <w:r>
              <w:rPr>
                <w:rStyle w:val="VerbatimChar"/>
                <w:sz w:val="18"/>
              </w:rPr>
              <w:t xml:space="preserve">GrievanceUpdated</w:t>
            </w:r>
          </w:p>
        </w:tc>
      </w:tr>
      <w:tr>
        <w:tc>
          <w:tcPr>
            <w:tcW w:w="2500" w:type="dxa"/>
          </w:tcPr>
          <w:p>
            <w:pPr>
              <w:pStyle w:val="Compact"/>
              <w:spacing w:after="40"/>
              <w:jc w:val="left"/>
            </w:pPr>
            <w:r>
              <w:rPr>
                <w:sz w:val="18"/>
              </w:rPr>
              <w:t xml:space="preserve">Hardship and contact-detail changes</w:t>
            </w:r>
          </w:p>
        </w:tc>
        <w:tc>
          <w:tcPr>
            <w:tcW w:w="2897" w:type="dxa"/>
          </w:tcPr>
          <w:p>
            <w:pPr>
              <w:pStyle w:val="Compact"/>
              <w:spacing w:after="40"/>
              <w:jc w:val="left"/>
            </w:pPr>
            <w:r>
              <w:rPr>
                <w:sz w:val="18"/>
              </w:rPr>
              <w:t xml:space="preserve">Borrower-verified changes</w:t>
            </w:r>
          </w:p>
        </w:tc>
        <w:tc>
          <w:tcPr>
            <w:tcW w:w="1436" w:type="dxa"/>
          </w:tcPr>
          <w:p>
            <w:pPr>
              <w:pStyle w:val="Compact"/>
              <w:spacing w:after="40"/>
              <w:jc w:val="left"/>
            </w:pPr>
            <w:r>
              <w:rPr>
                <w:sz w:val="18"/>
              </w:rPr>
              <w:t xml:space="preserve">Real time</w:t>
            </w:r>
          </w:p>
        </w:tc>
        <w:tc>
          <w:tcPr>
            <w:tcW w:w="2805" w:type="dxa"/>
          </w:tcPr>
          <w:p>
            <w:pPr>
              <w:pStyle w:val="Compact"/>
              <w:spacing w:after="40"/>
              <w:jc w:val="left"/>
            </w:pPr>
            <w:r>
              <w:rPr>
                <w:sz w:val="18"/>
              </w:rPr>
              <w:t xml:space="preserve">U12 service request</w:t>
            </w:r>
          </w:p>
        </w:tc>
      </w:tr>
      <w:tr>
        <w:tc>
          <w:tcPr>
            <w:tcW w:w="2500" w:type="dxa"/>
          </w:tcPr>
          <w:p>
            <w:pPr>
              <w:pStyle w:val="Compact"/>
              <w:spacing w:after="40"/>
              <w:jc w:val="left"/>
            </w:pPr>
            <w:r>
              <w:rPr>
                <w:sz w:val="18"/>
              </w:rPr>
              <w:t xml:space="preserve">Contact attempts and outcomes (UR4)</w:t>
            </w:r>
          </w:p>
        </w:tc>
        <w:tc>
          <w:tcPr>
            <w:tcW w:w="2897" w:type="dxa"/>
          </w:tcPr>
          <w:p>
            <w:pPr>
              <w:pStyle w:val="Compact"/>
              <w:spacing w:after="40"/>
              <w:jc w:val="left"/>
            </w:pPr>
            <w:r>
              <w:rPr>
                <w:sz w:val="18"/>
              </w:rPr>
              <w:t xml:space="preserve">Evaluation result, attempt, recording reference</w:t>
            </w:r>
          </w:p>
        </w:tc>
        <w:tc>
          <w:tcPr>
            <w:tcW w:w="1436" w:type="dxa"/>
          </w:tcPr>
          <w:p>
            <w:pPr>
              <w:pStyle w:val="Compact"/>
              <w:spacing w:after="40"/>
              <w:jc w:val="left"/>
            </w:pPr>
            <w:r>
              <w:rPr>
                <w:sz w:val="18"/>
              </w:rPr>
              <w:t xml:space="preserve">Real time</w:t>
            </w:r>
          </w:p>
        </w:tc>
        <w:tc>
          <w:tcPr>
            <w:tcW w:w="2805" w:type="dxa"/>
          </w:tcPr>
          <w:p>
            <w:pPr>
              <w:pStyle w:val="Compact"/>
              <w:spacing w:after="40"/>
              <w:jc w:val="left"/>
            </w:pPr>
            <w:r>
              <w:rPr>
                <w:rStyle w:val="VerbatimChar"/>
                <w:sz w:val="18"/>
              </w:rPr>
              <w:t xml:space="preserve">CollectionActivityLogged</w:t>
            </w:r>
            <w:r>
              <w:rPr>
                <w:sz w:val="18"/>
              </w:rPr>
              <w:t xml:space="preserve">,</w:t>
            </w:r>
            <w:r>
              <w:rPr>
                <w:sz w:val="18"/>
              </w:rPr>
              <w:t xml:space="preserve"> </w:t>
            </w:r>
            <w:r>
              <w:rPr>
                <w:rStyle w:val="VerbatimChar"/>
                <w:sz w:val="18"/>
              </w:rPr>
              <w:t xml:space="preserve">FieldVisitLogged</w:t>
            </w:r>
          </w:p>
        </w:tc>
      </w:tr>
      <w:tr>
        <w:tc>
          <w:tcPr>
            <w:tcW w:w="2500" w:type="dxa"/>
          </w:tcPr>
          <w:p>
            <w:pPr>
              <w:pStyle w:val="Compact"/>
              <w:spacing w:after="40"/>
              <w:jc w:val="left"/>
            </w:pPr>
            <w:r>
              <w:rPr>
                <w:sz w:val="18"/>
              </w:rPr>
              <w:t xml:space="preserve">Cash receipts (UR4)</w:t>
            </w:r>
          </w:p>
        </w:tc>
        <w:tc>
          <w:tcPr>
            <w:tcW w:w="2897" w:type="dxa"/>
          </w:tcPr>
          <w:p>
            <w:pPr>
              <w:pStyle w:val="Compact"/>
              <w:spacing w:after="40"/>
              <w:jc w:val="left"/>
            </w:pPr>
            <w:r>
              <w:rPr>
                <w:sz w:val="18"/>
              </w:rPr>
              <w:t xml:space="preserve">Full amount, receipt number, agent, time</w:t>
            </w:r>
          </w:p>
        </w:tc>
        <w:tc>
          <w:tcPr>
            <w:tcW w:w="1436" w:type="dxa"/>
          </w:tcPr>
          <w:p>
            <w:pPr>
              <w:pStyle w:val="Compact"/>
              <w:spacing w:after="40"/>
              <w:jc w:val="left"/>
            </w:pPr>
            <w:r>
              <w:rPr>
                <w:sz w:val="18"/>
              </w:rPr>
              <w:t xml:space="preserve">Same day</w:t>
            </w:r>
          </w:p>
        </w:tc>
        <w:tc>
          <w:tcPr>
            <w:tcW w:w="2805" w:type="dxa"/>
          </w:tcPr>
          <w:p>
            <w:pPr>
              <w:pStyle w:val="Compact"/>
              <w:spacing w:after="40"/>
              <w:jc w:val="left"/>
            </w:pPr>
            <w:r>
              <w:rPr>
                <w:rStyle w:val="VerbatimChar"/>
                <w:sz w:val="18"/>
              </w:rPr>
              <w:t xml:space="preserve">ReceiptIssued</w:t>
            </w:r>
          </w:p>
        </w:tc>
      </w:tr>
      <w:tr>
        <w:tc>
          <w:tcPr>
            <w:tcW w:w="2500" w:type="dxa"/>
          </w:tcPr>
          <w:p>
            <w:pPr>
              <w:pStyle w:val="Compact"/>
              <w:spacing w:after="40"/>
              <w:jc w:val="left"/>
            </w:pPr>
            <w:r>
              <w:rPr>
                <w:sz w:val="18"/>
              </w:rPr>
              <w:t xml:space="preserve">Notice delivery on Udofin’s channel</w:t>
            </w:r>
          </w:p>
        </w:tc>
        <w:tc>
          <w:tcPr>
            <w:tcW w:w="2897" w:type="dxa"/>
          </w:tcPr>
          <w:p>
            <w:pPr>
              <w:pStyle w:val="Compact"/>
              <w:spacing w:after="40"/>
              <w:jc w:val="left"/>
            </w:pPr>
            <w:r>
              <w:rPr>
                <w:sz w:val="18"/>
              </w:rPr>
              <w:t xml:space="preserve">Delivered, opened, read</w:t>
            </w:r>
          </w:p>
        </w:tc>
        <w:tc>
          <w:tcPr>
            <w:tcW w:w="1436" w:type="dxa"/>
          </w:tcPr>
          <w:p>
            <w:pPr>
              <w:pStyle w:val="Compact"/>
              <w:spacing w:after="40"/>
              <w:jc w:val="left"/>
            </w:pPr>
            <w:r>
              <w:rPr>
                <w:sz w:val="18"/>
              </w:rPr>
              <w:t xml:space="preserve">Real time</w:t>
            </w:r>
          </w:p>
        </w:tc>
        <w:tc>
          <w:tcPr>
            <w:tcW w:w="2805" w:type="dxa"/>
          </w:tcPr>
          <w:p>
            <w:pPr>
              <w:pStyle w:val="Compact"/>
              <w:spacing w:after="40"/>
              <w:jc w:val="left"/>
            </w:pPr>
            <w:r>
              <w:rPr>
                <w:rStyle w:val="VerbatimChar"/>
                <w:sz w:val="18"/>
              </w:rPr>
              <w:t xml:space="preserve">NoticeServiceUpdated</w:t>
            </w:r>
          </w:p>
        </w:tc>
      </w:tr>
      <w:tr>
        <w:tc>
          <w:tcPr>
            <w:tcW w:w="2500" w:type="dxa"/>
          </w:tcPr>
          <w:p>
            <w:pPr>
              <w:pStyle w:val="Compact"/>
              <w:spacing w:after="40"/>
              <w:jc w:val="left"/>
            </w:pPr>
            <w:r>
              <w:rPr>
                <w:sz w:val="18"/>
              </w:rPr>
              <w:t xml:space="preserve">Consent and rights requests</w:t>
            </w:r>
          </w:p>
        </w:tc>
        <w:tc>
          <w:tcPr>
            <w:tcW w:w="2897" w:type="dxa"/>
          </w:tcPr>
          <w:p>
            <w:pPr>
              <w:pStyle w:val="Compact"/>
              <w:spacing w:after="40"/>
              <w:jc w:val="left"/>
            </w:pPr>
            <w:r>
              <w:rPr>
                <w:sz w:val="18"/>
              </w:rPr>
              <w:t xml:space="preserve">Withdrawal, erasure, access</w:t>
            </w:r>
          </w:p>
        </w:tc>
        <w:tc>
          <w:tcPr>
            <w:tcW w:w="1436" w:type="dxa"/>
          </w:tcPr>
          <w:p>
            <w:pPr>
              <w:pStyle w:val="Compact"/>
              <w:spacing w:after="40"/>
              <w:jc w:val="left"/>
            </w:pPr>
            <w:r>
              <w:rPr>
                <w:sz w:val="18"/>
              </w:rPr>
              <w:t xml:space="preserve">Real time</w:t>
            </w:r>
          </w:p>
        </w:tc>
        <w:tc>
          <w:tcPr>
            <w:tcW w:w="2805" w:type="dxa"/>
          </w:tcPr>
          <w:p>
            <w:pPr>
              <w:pStyle w:val="Compact"/>
              <w:spacing w:after="40"/>
              <w:jc w:val="left"/>
            </w:pPr>
            <w:r>
              <w:rPr>
                <w:rStyle w:val="VerbatimChar"/>
                <w:sz w:val="18"/>
              </w:rPr>
              <w:t xml:space="preserve">ConsentWithdrawn</w:t>
            </w:r>
            <w:r>
              <w:rPr>
                <w:sz w:val="18"/>
              </w:rPr>
              <w:t xml:space="preserve">,</w:t>
            </w:r>
            <w:r>
              <w:rPr>
                <w:sz w:val="18"/>
              </w:rPr>
              <w:t xml:space="preserve"> </w:t>
            </w:r>
            <w:r>
              <w:rPr>
                <w:rStyle w:val="VerbatimChar"/>
                <w:sz w:val="18"/>
              </w:rPr>
              <w:t xml:space="preserve">DataPrincipalRequest</w:t>
            </w:r>
          </w:p>
        </w:tc>
      </w:tr>
      <w:tr>
        <w:tc>
          <w:tcPr>
            <w:tcW w:w="2500" w:type="dxa"/>
          </w:tcPr>
          <w:p>
            <w:pPr>
              <w:pStyle w:val="Compact"/>
              <w:spacing w:after="40"/>
              <w:jc w:val="left"/>
            </w:pPr>
            <w:r>
              <w:rPr>
                <w:sz w:val="18"/>
              </w:rPr>
              <w:t xml:space="preserve">Risk signals</w:t>
            </w:r>
          </w:p>
        </w:tc>
        <w:tc>
          <w:tcPr>
            <w:tcW w:w="2897" w:type="dxa"/>
          </w:tcPr>
          <w:p>
            <w:pPr>
              <w:pStyle w:val="Compact"/>
              <w:spacing w:after="40"/>
              <w:jc w:val="left"/>
            </w:pPr>
            <w:r>
              <w:rPr>
                <w:sz w:val="18"/>
              </w:rPr>
              <w:t xml:space="preserve">Payment-failure patterns, suspected fraud</w:t>
            </w:r>
          </w:p>
        </w:tc>
        <w:tc>
          <w:tcPr>
            <w:tcW w:w="1436" w:type="dxa"/>
          </w:tcPr>
          <w:p>
            <w:pPr>
              <w:pStyle w:val="Compact"/>
              <w:spacing w:after="40"/>
              <w:jc w:val="left"/>
            </w:pPr>
            <w:r>
              <w:rPr>
                <w:sz w:val="18"/>
              </w:rPr>
              <w:t xml:space="preserve">Real time</w:t>
            </w:r>
          </w:p>
        </w:tc>
        <w:tc>
          <w:tcPr>
            <w:tcW w:w="2805" w:type="dxa"/>
          </w:tcPr>
          <w:p>
            <w:pPr>
              <w:pStyle w:val="Compact"/>
              <w:spacing w:after="40"/>
              <w:jc w:val="left"/>
            </w:pPr>
            <w:r>
              <w:rPr>
                <w:rStyle w:val="VerbatimChar"/>
                <w:sz w:val="18"/>
              </w:rPr>
              <w:t xml:space="preserve">RiskSignalRaised</w:t>
            </w:r>
          </w:p>
        </w:tc>
      </w:tr>
      <w:tr>
        <w:tc>
          <w:tcPr>
            <w:tcW w:w="2500" w:type="dxa"/>
          </w:tcPr>
          <w:p>
            <w:pPr>
              <w:pStyle w:val="Compact"/>
              <w:spacing w:after="40"/>
              <w:jc w:val="left"/>
            </w:pPr>
            <w:r>
              <w:rPr>
                <w:sz w:val="18"/>
              </w:rPr>
              <w:t xml:space="preserve">Engagement summary</w:t>
            </w:r>
          </w:p>
        </w:tc>
        <w:tc>
          <w:tcPr>
            <w:tcW w:w="2897" w:type="dxa"/>
          </w:tcPr>
          <w:p>
            <w:pPr>
              <w:pStyle w:val="Compact"/>
              <w:spacing w:after="40"/>
              <w:jc w:val="left"/>
            </w:pPr>
            <w:r>
              <w:rPr>
                <w:sz w:val="18"/>
              </w:rPr>
              <w:t xml:space="preserve">Overdue-centre views, payment intents per loan</w:t>
            </w:r>
          </w:p>
        </w:tc>
        <w:tc>
          <w:tcPr>
            <w:tcW w:w="1436" w:type="dxa"/>
          </w:tcPr>
          <w:p>
            <w:pPr>
              <w:pStyle w:val="Compact"/>
              <w:spacing w:after="40"/>
              <w:jc w:val="left"/>
            </w:pPr>
            <w:r>
              <w:rPr>
                <w:sz w:val="18"/>
              </w:rPr>
              <w:t xml:space="preserve">Daily</w:t>
            </w:r>
          </w:p>
        </w:tc>
        <w:tc>
          <w:tcPr>
            <w:tcW w:w="2805" w:type="dxa"/>
          </w:tcPr>
          <w:p>
            <w:pPr>
              <w:pStyle w:val="Compact"/>
              <w:spacing w:after="40"/>
              <w:jc w:val="left"/>
            </w:pPr>
            <w:r>
              <w:rPr>
                <w:rStyle w:val="VerbatimChar"/>
                <w:sz w:val="18"/>
              </w:rPr>
              <w:t xml:space="preserve">DailyReconciliationFile</w:t>
            </w:r>
            <w:r>
              <w:rPr>
                <w:sz w:val="18"/>
              </w:rPr>
              <w:t xml:space="preserve"> </w:t>
            </w:r>
            <w:r>
              <w:rPr>
                <w:sz w:val="18"/>
              </w:rPr>
              <w:t xml:space="preserve">extension</w:t>
            </w:r>
          </w:p>
        </w:tc>
      </w:tr>
    </w:tbl>
    <w:p>
      <w:pPr>
        <w:pStyle w:val="BodyText"/>
      </w:pPr>
      <w:r>
        <w:rPr>
          <w:bCs/>
          <w:b/>
        </w:rPr>
        <w:t xml:space="preserve">Rules:</w:t>
      </w:r>
    </w:p>
    <w:p>
      <w:pPr>
        <w:numPr>
          <w:ilvl w:val="0"/>
          <w:numId w:val="1063"/>
        </w:numPr>
        <w:pStyle w:val="Compact"/>
      </w:pPr>
      <w:r>
        <w:t xml:space="preserve">CloudEvents 1.0 envelope with</w:t>
      </w:r>
      <w:r>
        <w:t xml:space="preserve"> </w:t>
      </w:r>
      <w:r>
        <w:rPr>
          <w:rStyle w:val="VerbatimChar"/>
        </w:rPr>
        <w:t xml:space="preserve">tenantid</w:t>
      </w:r>
      <w:r>
        <w:t xml:space="preserve">,</w:t>
      </w:r>
      <w:r>
        <w:t xml:space="preserve"> </w:t>
      </w:r>
      <w:r>
        <w:rPr>
          <w:rStyle w:val="VerbatimChar"/>
        </w:rPr>
        <w:t xml:space="preserve">reid</w:t>
      </w:r>
      <w:r>
        <w:t xml:space="preserve">,</w:t>
      </w:r>
      <w:r>
        <w:t xml:space="preserve"> </w:t>
      </w:r>
      <w:r>
        <w:rPr>
          <w:rStyle w:val="VerbatimChar"/>
        </w:rPr>
        <w:t xml:space="preserve">consentref</w:t>
      </w:r>
      <w:r>
        <w:t xml:space="preserve"> </w:t>
      </w:r>
      <w:r>
        <w:t xml:space="preserve">and</w:t>
      </w:r>
      <w:r>
        <w:t xml:space="preserve"> </w:t>
      </w:r>
      <w:r>
        <w:rPr>
          <w:rStyle w:val="VerbatimChar"/>
        </w:rPr>
        <w:t xml:space="preserve">seq</w:t>
      </w:r>
      <w:r>
        <w:t xml:space="preserve">; OpenAPI pull for backfill; SFTP file fallback for REs without APIs (Part 5.3); every payload cites a consent reference or a contractual or statutory basis flag (CF para 13(4)).</w:t>
      </w:r>
    </w:p>
    <w:p>
      <w:pPr>
        <w:numPr>
          <w:ilvl w:val="0"/>
          <w:numId w:val="1063"/>
        </w:numPr>
        <w:pStyle w:val="Compact"/>
      </w:pPr>
      <w:r>
        <w:t xml:space="preserve">Minimum data: no device data, no contact lists, no borrower location, no inferred hardship from device signals.</w:t>
      </w:r>
    </w:p>
    <w:p>
      <w:pPr>
        <w:numPr>
          <w:ilvl w:val="0"/>
          <w:numId w:val="1063"/>
        </w:numPr>
        <w:pStyle w:val="Compact"/>
      </w:pPr>
      <w:r>
        <w:rPr>
          <w:bCs/>
          <w:b/>
        </w:rPr>
        <w:t xml:space="preserve">Routing:</w:t>
      </w:r>
      <w:r>
        <w:t xml:space="preserve"> </w:t>
      </w:r>
      <w:r>
        <w:t xml:space="preserve">co-lending feeds go to the servicer RE named as the single point of interface (TDCR paras 104–105); transferred loans follow</w:t>
      </w:r>
      <w:r>
        <w:t xml:space="preserve"> </w:t>
      </w:r>
      <w:r>
        <w:rPr>
          <w:rStyle w:val="VerbatimChar"/>
        </w:rPr>
        <w:t xml:space="preserve">ServicerChanged</w:t>
      </w:r>
      <w:r>
        <w:t xml:space="preserve">.</w:t>
      </w:r>
    </w:p>
    <w:p>
      <w:pPr>
        <w:numPr>
          <w:ilvl w:val="0"/>
          <w:numId w:val="1063"/>
        </w:numPr>
        <w:pStyle w:val="Compact"/>
      </w:pPr>
      <w:r>
        <w:rPr>
          <w:bCs/>
          <w:b/>
        </w:rPr>
        <w:t xml:space="preserve">Daily reconciliation:</w:t>
      </w:r>
      <w:r>
        <w:t xml:space="preserve"> </w:t>
      </w:r>
      <w:r>
        <w:t xml:space="preserve">allocations vs activity, PTPs vs payments, cash receipts vs RE postings (same day), notices delivered, settlement requests acknowledged; breaks aged for the RE’s audit committee (OUT paras 12(2), 39).</w:t>
      </w:r>
    </w:p>
    <w:p>
      <w:pPr>
        <w:pStyle w:val="FirstParagraph"/>
      </w:pPr>
      <w:r>
        <w:rPr>
          <w:bCs/>
          <w:b/>
        </w:rPr>
        <w:t xml:space="preserve">States:</w:t>
      </w:r>
      <w:r>
        <w:t xml:space="preserve"> </w:t>
      </w:r>
      <w:r>
        <w:rPr>
          <w:rStyle w:val="VerbatimChar"/>
        </w:rPr>
        <w:t xml:space="preserve">feed_delivery</w:t>
      </w:r>
      <w:r>
        <w:t xml:space="preserve">:</w:t>
      </w:r>
      <w:r>
        <w:t xml:space="preserve"> </w:t>
      </w:r>
      <w:r>
        <w:rPr>
          <w:rStyle w:val="VerbatimChar"/>
        </w:rPr>
        <w:t xml:space="preserve">QUEUED → SENT → ACKED → {APPLIED | REJECTED (schema or consent)} → RECONCILED</w:t>
      </w:r>
      <w:r>
        <w:t xml:space="preserve">, with dead-letter and maker-checker replay.</w:t>
      </w:r>
    </w:p>
    <w:p>
      <w:pPr>
        <w:pStyle w:val="BodyText"/>
      </w:pPr>
      <w:r>
        <w:rPr>
          <w:bCs/>
          <w:b/>
        </w:rPr>
        <w:t xml:space="preserve">Mobile and web:</w:t>
      </w:r>
      <w:r>
        <w:t xml:space="preserve"> </w:t>
      </w:r>
      <w:r>
        <w:t xml:space="preserve">back-end only; feed health and breaks in the operations and lender portals.</w:t>
      </w:r>
    </w:p>
    <w:p>
      <w:pPr>
        <w:pStyle w:val="BodyText"/>
      </w:pPr>
      <w:r>
        <w:rPr>
          <w:bCs/>
          <w:b/>
        </w:rPr>
        <w:t xml:space="preserve">Events:</w:t>
      </w:r>
      <w:r>
        <w:t xml:space="preserve"> </w:t>
      </w:r>
      <w:r>
        <w:t xml:space="preserve">produces the events in the table; consumes RE acknowledgements and</w:t>
      </w:r>
      <w:r>
        <w:t xml:space="preserve"> </w:t>
      </w:r>
      <w:r>
        <w:rPr>
          <w:rStyle w:val="VerbatimChar"/>
        </w:rPr>
        <w:t xml:space="preserve">ConnectorCertified</w:t>
      </w:r>
      <w:r>
        <w:t xml:space="preserve">.</w:t>
      </w:r>
    </w:p>
    <w:p>
      <w:pPr>
        <w:pStyle w:val="BodyText"/>
      </w:pPr>
      <w:r>
        <w:rPr>
          <w:bCs/>
          <w:b/>
        </w:rPr>
        <w:t xml:space="preserve">Tests:</w:t>
      </w:r>
      <w:r>
        <w:t xml:space="preserve"> </w:t>
      </w:r>
      <w:r>
        <w:t xml:space="preserve">payload without consent or basis is rejected before sending; schema registry rejects a breaking change without a new version; duplicate delivery is idempotent; a co-lending feed never reaches the partner RE directly; reconciliation flags a cash receipt without a same-day RE posting.</w:t>
      </w:r>
    </w:p>
    <w:bookmarkEnd w:id="104"/>
    <w:bookmarkStart w:id="105" w:name="Xae34828f61d685d6a33144e4b6ca7fbce61de24"/>
    <w:p>
      <w:pPr>
        <w:pStyle w:val="Heading2"/>
      </w:pPr>
      <w:r>
        <w:t xml:space="preserve">UR6. Conduct, consent and evidence controls</w:t>
      </w:r>
    </w:p>
    <w:p>
      <w:pPr>
        <w:pStyle w:val="FirstParagraph"/>
      </w:pPr>
      <w:r>
        <w:rPr>
          <w:bCs/>
          <w:b/>
        </w:rPr>
        <w:t xml:space="preserve">Purpose:</w:t>
      </w:r>
      <w:r>
        <w:t xml:space="preserve"> </w:t>
      </w:r>
      <w:r>
        <w:t xml:space="preserve">make every recovery conduct rule provable to the RE, its auditors, RBI and the RE’s GRC tool.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77"/>
        <w:gridCol w:w="3394"/>
        <w:gridCol w:w="2449"/>
        <w:gridCol w:w="2618"/>
      </w:tblGrid>
      <w:tr>
        <w:trPr>
          <w:tblHeader w:val="true"/>
          <w:tblHeader w:val="true"/>
        </w:trPr>
        <w:tc>
          <w:tcPr>
            <w:tcW w:w="1177" w:type="dxa"/>
            <w:shd w:val="clear" w:color="auto" w:fill="1F3A5F"/>
          </w:tcPr>
          <w:p>
            <w:pPr>
              <w:pStyle w:val="Compact"/>
              <w:spacing w:after="40"/>
              <w:jc w:val="left"/>
            </w:pPr>
            <w:r>
              <w:rPr>
                <w:b/>
                <w:color w:val="FFFFFF"/>
                <w:sz w:val="18"/>
              </w:rPr>
              <w:t xml:space="preserve">Control</w:t>
            </w:r>
          </w:p>
        </w:tc>
        <w:tc>
          <w:tcPr>
            <w:tcW w:w="3394" w:type="dxa"/>
            <w:shd w:val="clear" w:color="auto" w:fill="1F3A5F"/>
          </w:tcPr>
          <w:p>
            <w:pPr>
              <w:pStyle w:val="Compact"/>
              <w:spacing w:after="40"/>
              <w:jc w:val="left"/>
            </w:pPr>
            <w:r>
              <w:rPr>
                <w:b/>
                <w:color w:val="FFFFFF"/>
                <w:sz w:val="18"/>
              </w:rPr>
              <w:t xml:space="preserve">Rule</w:t>
            </w:r>
          </w:p>
        </w:tc>
        <w:tc>
          <w:tcPr>
            <w:tcW w:w="2449" w:type="dxa"/>
            <w:shd w:val="clear" w:color="auto" w:fill="1F3A5F"/>
          </w:tcPr>
          <w:p>
            <w:pPr>
              <w:pStyle w:val="Compact"/>
              <w:spacing w:after="40"/>
              <w:jc w:val="left"/>
            </w:pPr>
            <w:r>
              <w:rPr>
                <w:b/>
                <w:color w:val="FFFFFF"/>
                <w:sz w:val="18"/>
              </w:rPr>
              <w:t xml:space="preserve">Mechanism</w:t>
            </w:r>
          </w:p>
        </w:tc>
        <w:tc>
          <w:tcPr>
            <w:tcW w:w="2618" w:type="dxa"/>
            <w:shd w:val="clear" w:color="auto" w:fill="1F3A5F"/>
          </w:tcPr>
          <w:p>
            <w:pPr>
              <w:pStyle w:val="Compact"/>
              <w:spacing w:after="40"/>
              <w:jc w:val="left"/>
            </w:pPr>
            <w:r>
              <w:rPr>
                <w:b/>
                <w:color w:val="FFFFFF"/>
                <w:sz w:val="18"/>
              </w:rPr>
              <w:t xml:space="preserve">Evidence</w:t>
            </w:r>
          </w:p>
        </w:tc>
      </w:tr>
      <w:tr>
        <w:tc>
          <w:tcPr>
            <w:tcW w:w="1177" w:type="dxa"/>
          </w:tcPr>
          <w:p>
            <w:pPr>
              <w:pStyle w:val="Compact"/>
              <w:spacing w:after="40"/>
              <w:jc w:val="left"/>
            </w:pPr>
            <w:r>
              <w:rPr>
                <w:sz w:val="18"/>
              </w:rPr>
              <w:t xml:space="preserve">UR6-C01</w:t>
            </w:r>
          </w:p>
        </w:tc>
        <w:tc>
          <w:tcPr>
            <w:tcW w:w="3394" w:type="dxa"/>
          </w:tcPr>
          <w:p>
            <w:pPr>
              <w:pStyle w:val="Compact"/>
              <w:spacing w:after="40"/>
              <w:jc w:val="left"/>
            </w:pPr>
            <w:r>
              <w:rPr>
                <w:sz w:val="18"/>
              </w:rPr>
              <w:t xml:space="preserve">Contact window and frequency (RBC paras 91(2), 100; para 100Y(4))</w:t>
            </w:r>
          </w:p>
        </w:tc>
        <w:tc>
          <w:tcPr>
            <w:tcW w:w="2449" w:type="dxa"/>
          </w:tcPr>
          <w:p>
            <w:pPr>
              <w:pStyle w:val="Compact"/>
              <w:spacing w:after="40"/>
              <w:jc w:val="left"/>
            </w:pPr>
            <w:r>
              <w:rPr>
                <w:rStyle w:val="VerbatimChar"/>
                <w:sz w:val="18"/>
              </w:rPr>
              <w:t xml:space="preserve">canContact</w:t>
            </w:r>
            <w:r>
              <w:rPr>
                <w:sz w:val="18"/>
              </w:rPr>
              <w:t xml:space="preserve"> </w:t>
            </w:r>
            <w:r>
              <w:rPr>
                <w:sz w:val="18"/>
              </w:rPr>
              <w:t xml:space="preserve">before every attempt</w:t>
            </w:r>
          </w:p>
        </w:tc>
        <w:tc>
          <w:tcPr>
            <w:tcW w:w="2618" w:type="dxa"/>
          </w:tcPr>
          <w:p>
            <w:pPr>
              <w:pStyle w:val="Compact"/>
              <w:spacing w:after="40"/>
              <w:jc w:val="left"/>
            </w:pPr>
            <w:r>
              <w:rPr>
                <w:sz w:val="18"/>
              </w:rPr>
              <w:t xml:space="preserve">Evaluation log incl. denials; zero out-of-window attempts</w:t>
            </w:r>
          </w:p>
        </w:tc>
      </w:tr>
      <w:tr>
        <w:tc>
          <w:tcPr>
            <w:tcW w:w="1177" w:type="dxa"/>
          </w:tcPr>
          <w:p>
            <w:pPr>
              <w:pStyle w:val="Compact"/>
              <w:spacing w:after="40"/>
              <w:jc w:val="left"/>
            </w:pPr>
            <w:r>
              <w:rPr>
                <w:sz w:val="18"/>
              </w:rPr>
              <w:t xml:space="preserve">UR6-C02</w:t>
            </w:r>
          </w:p>
        </w:tc>
        <w:tc>
          <w:tcPr>
            <w:tcW w:w="3394" w:type="dxa"/>
          </w:tcPr>
          <w:p>
            <w:pPr>
              <w:pStyle w:val="Compact"/>
              <w:spacing w:after="40"/>
              <w:jc w:val="left"/>
            </w:pPr>
            <w:r>
              <w:rPr>
                <w:sz w:val="18"/>
              </w:rPr>
              <w:t xml:space="preserve">Notice before contact (CF para 9(6); para 100L)</w:t>
            </w:r>
          </w:p>
        </w:tc>
        <w:tc>
          <w:tcPr>
            <w:tcW w:w="2449" w:type="dxa"/>
          </w:tcPr>
          <w:p>
            <w:pPr>
              <w:pStyle w:val="Compact"/>
              <w:spacing w:after="40"/>
              <w:jc w:val="left"/>
            </w:pPr>
            <w:r>
              <w:rPr>
                <w:sz w:val="18"/>
              </w:rPr>
              <w:t xml:space="preserve">UR4 gate</w:t>
            </w:r>
          </w:p>
        </w:tc>
        <w:tc>
          <w:tcPr>
            <w:tcW w:w="2618" w:type="dxa"/>
          </w:tcPr>
          <w:p>
            <w:pPr>
              <w:pStyle w:val="Compact"/>
              <w:spacing w:after="40"/>
              <w:jc w:val="left"/>
            </w:pPr>
            <w:r>
              <w:rPr>
                <w:sz w:val="18"/>
              </w:rPr>
              <w:t xml:space="preserve">Delivered-notice reference per allocation</w:t>
            </w:r>
          </w:p>
        </w:tc>
      </w:tr>
      <w:tr>
        <w:tc>
          <w:tcPr>
            <w:tcW w:w="1177" w:type="dxa"/>
          </w:tcPr>
          <w:p>
            <w:pPr>
              <w:pStyle w:val="Compact"/>
              <w:spacing w:after="40"/>
              <w:jc w:val="left"/>
            </w:pPr>
            <w:r>
              <w:rPr>
                <w:sz w:val="18"/>
              </w:rPr>
              <w:t xml:space="preserve">UR6-C03</w:t>
            </w:r>
          </w:p>
        </w:tc>
        <w:tc>
          <w:tcPr>
            <w:tcW w:w="3394" w:type="dxa"/>
          </w:tcPr>
          <w:p>
            <w:pPr>
              <w:pStyle w:val="Compact"/>
              <w:spacing w:after="40"/>
              <w:jc w:val="left"/>
            </w:pPr>
            <w:r>
              <w:rPr>
                <w:sz w:val="18"/>
              </w:rPr>
              <w:t xml:space="preserve">Agent eligibility (RBC paras 94, 98–99; para 100I)</w:t>
            </w:r>
          </w:p>
        </w:tc>
        <w:tc>
          <w:tcPr>
            <w:tcW w:w="2449" w:type="dxa"/>
          </w:tcPr>
          <w:p>
            <w:pPr>
              <w:pStyle w:val="Compact"/>
              <w:spacing w:after="40"/>
              <w:jc w:val="left"/>
            </w:pPr>
            <w:r>
              <w:rPr>
                <w:sz w:val="18"/>
              </w:rPr>
              <w:t xml:space="preserve">Register gate</w:t>
            </w:r>
          </w:p>
        </w:tc>
        <w:tc>
          <w:tcPr>
            <w:tcW w:w="2618" w:type="dxa"/>
          </w:tcPr>
          <w:p>
            <w:pPr>
              <w:pStyle w:val="Compact"/>
              <w:spacing w:after="40"/>
              <w:jc w:val="left"/>
            </w:pPr>
            <w:r>
              <w:rPr>
                <w:sz w:val="18"/>
              </w:rPr>
              <w:t xml:space="preserve">No allocation to an ineligible agent</w:t>
            </w:r>
          </w:p>
        </w:tc>
      </w:tr>
      <w:tr>
        <w:tc>
          <w:tcPr>
            <w:tcW w:w="1177" w:type="dxa"/>
          </w:tcPr>
          <w:p>
            <w:pPr>
              <w:pStyle w:val="Compact"/>
              <w:spacing w:after="40"/>
              <w:jc w:val="left"/>
            </w:pPr>
            <w:r>
              <w:rPr>
                <w:sz w:val="18"/>
              </w:rPr>
              <w:t xml:space="preserve">UR6-C04</w:t>
            </w:r>
          </w:p>
        </w:tc>
        <w:tc>
          <w:tcPr>
            <w:tcW w:w="3394" w:type="dxa"/>
          </w:tcPr>
          <w:p>
            <w:pPr>
              <w:pStyle w:val="Compact"/>
              <w:spacing w:after="40"/>
              <w:jc w:val="left"/>
            </w:pPr>
            <w:r>
              <w:rPr>
                <w:sz w:val="18"/>
              </w:rPr>
              <w:t xml:space="preserve">Recording and logging (para 100P)</w:t>
            </w:r>
          </w:p>
        </w:tc>
        <w:tc>
          <w:tcPr>
            <w:tcW w:w="2449" w:type="dxa"/>
          </w:tcPr>
          <w:p>
            <w:pPr>
              <w:pStyle w:val="Compact"/>
              <w:spacing w:after="40"/>
              <w:jc w:val="left"/>
            </w:pPr>
            <w:r>
              <w:rPr>
                <w:sz w:val="18"/>
              </w:rPr>
              <w:t xml:space="preserve">Recording service</w:t>
            </w:r>
          </w:p>
        </w:tc>
        <w:tc>
          <w:tcPr>
            <w:tcW w:w="2618" w:type="dxa"/>
          </w:tcPr>
          <w:p>
            <w:pPr>
              <w:pStyle w:val="Compact"/>
              <w:spacing w:after="40"/>
              <w:jc w:val="left"/>
            </w:pPr>
            <w:r>
              <w:rPr>
                <w:sz w:val="18"/>
              </w:rPr>
              <w:t xml:space="preserve">Coverage % and retention dates</w:t>
            </w:r>
          </w:p>
        </w:tc>
      </w:tr>
      <w:tr>
        <w:tc>
          <w:tcPr>
            <w:tcW w:w="1177" w:type="dxa"/>
          </w:tcPr>
          <w:p>
            <w:pPr>
              <w:pStyle w:val="Compact"/>
              <w:spacing w:after="40"/>
              <w:jc w:val="left"/>
            </w:pPr>
            <w:r>
              <w:rPr>
                <w:sz w:val="18"/>
              </w:rPr>
              <w:t xml:space="preserve">UR6-C05</w:t>
            </w:r>
          </w:p>
        </w:tc>
        <w:tc>
          <w:tcPr>
            <w:tcW w:w="3394" w:type="dxa"/>
          </w:tcPr>
          <w:p>
            <w:pPr>
              <w:pStyle w:val="Compact"/>
              <w:spacing w:after="40"/>
              <w:jc w:val="left"/>
            </w:pPr>
            <w:r>
              <w:rPr>
                <w:sz w:val="18"/>
              </w:rPr>
              <w:t xml:space="preserve">Pre-approved, vernacular communications with grievance block (RBC para 10; paras 100Y(8), 100AA)</w:t>
            </w:r>
          </w:p>
        </w:tc>
        <w:tc>
          <w:tcPr>
            <w:tcW w:w="2449" w:type="dxa"/>
          </w:tcPr>
          <w:p>
            <w:pPr>
              <w:pStyle w:val="Compact"/>
              <w:spacing w:after="40"/>
              <w:jc w:val="left"/>
            </w:pPr>
            <w:r>
              <w:rPr>
                <w:sz w:val="18"/>
              </w:rPr>
              <w:t xml:space="preserve">Template registry</w:t>
            </w:r>
          </w:p>
        </w:tc>
        <w:tc>
          <w:tcPr>
            <w:tcW w:w="2618" w:type="dxa"/>
          </w:tcPr>
          <w:p>
            <w:pPr>
              <w:pStyle w:val="Compact"/>
              <w:spacing w:after="40"/>
              <w:jc w:val="left"/>
            </w:pPr>
            <w:r>
              <w:rPr>
                <w:sz w:val="18"/>
              </w:rPr>
              <w:t xml:space="preserve">Template ID on every message</w:t>
            </w:r>
          </w:p>
        </w:tc>
      </w:tr>
      <w:tr>
        <w:tc>
          <w:tcPr>
            <w:tcW w:w="1177" w:type="dxa"/>
          </w:tcPr>
          <w:p>
            <w:pPr>
              <w:pStyle w:val="Compact"/>
              <w:spacing w:after="40"/>
              <w:jc w:val="left"/>
            </w:pPr>
            <w:r>
              <w:rPr>
                <w:sz w:val="18"/>
              </w:rPr>
              <w:t xml:space="preserve">UR6-C06</w:t>
            </w:r>
          </w:p>
        </w:tc>
        <w:tc>
          <w:tcPr>
            <w:tcW w:w="3394" w:type="dxa"/>
          </w:tcPr>
          <w:p>
            <w:pPr>
              <w:pStyle w:val="Compact"/>
              <w:spacing w:after="40"/>
              <w:jc w:val="left"/>
            </w:pPr>
            <w:r>
              <w:rPr>
                <w:sz w:val="18"/>
              </w:rPr>
              <w:t xml:space="preserve">No threats, humiliation or false statements (RBC para 100; para 100Z)</w:t>
            </w:r>
          </w:p>
        </w:tc>
        <w:tc>
          <w:tcPr>
            <w:tcW w:w="2449" w:type="dxa"/>
          </w:tcPr>
          <w:p>
            <w:pPr>
              <w:pStyle w:val="Compact"/>
              <w:spacing w:after="40"/>
              <w:jc w:val="left"/>
            </w:pPr>
            <w:r>
              <w:rPr>
                <w:sz w:val="18"/>
              </w:rPr>
              <w:t xml:space="preserve">Content lint on scripts and templates; QA sampling</w:t>
            </w:r>
          </w:p>
        </w:tc>
        <w:tc>
          <w:tcPr>
            <w:tcW w:w="2618" w:type="dxa"/>
          </w:tcPr>
          <w:p>
            <w:pPr>
              <w:pStyle w:val="Compact"/>
              <w:spacing w:after="40"/>
              <w:jc w:val="left"/>
            </w:pPr>
            <w:r>
              <w:rPr>
                <w:sz w:val="18"/>
              </w:rPr>
              <w:t xml:space="preserve">Lint results; QA scores</w:t>
            </w:r>
          </w:p>
        </w:tc>
      </w:tr>
      <w:tr>
        <w:tc>
          <w:tcPr>
            <w:tcW w:w="1177" w:type="dxa"/>
          </w:tcPr>
          <w:p>
            <w:pPr>
              <w:pStyle w:val="Compact"/>
              <w:spacing w:after="40"/>
              <w:jc w:val="left"/>
            </w:pPr>
            <w:r>
              <w:rPr>
                <w:sz w:val="18"/>
              </w:rPr>
              <w:t xml:space="preserve">UR6-C07</w:t>
            </w:r>
          </w:p>
        </w:tc>
        <w:tc>
          <w:tcPr>
            <w:tcW w:w="3394" w:type="dxa"/>
          </w:tcPr>
          <w:p>
            <w:pPr>
              <w:pStyle w:val="Compact"/>
              <w:spacing w:after="40"/>
              <w:jc w:val="left"/>
            </w:pPr>
            <w:r>
              <w:rPr>
                <w:sz w:val="18"/>
              </w:rPr>
              <w:t xml:space="preserve">No third-party contact or device data (CF para 13(1); para 100U)</w:t>
            </w:r>
          </w:p>
        </w:tc>
        <w:tc>
          <w:tcPr>
            <w:tcW w:w="2449" w:type="dxa"/>
          </w:tcPr>
          <w:p>
            <w:pPr>
              <w:pStyle w:val="Compact"/>
              <w:spacing w:after="40"/>
              <w:jc w:val="left"/>
            </w:pPr>
            <w:r>
              <w:rPr>
                <w:sz w:val="18"/>
              </w:rPr>
              <w:t xml:space="preserve">Party-of-record check; permission audit</w:t>
            </w:r>
          </w:p>
        </w:tc>
        <w:tc>
          <w:tcPr>
            <w:tcW w:w="2618" w:type="dxa"/>
          </w:tcPr>
          <w:p>
            <w:pPr>
              <w:pStyle w:val="Compact"/>
              <w:spacing w:after="40"/>
              <w:jc w:val="left"/>
            </w:pPr>
            <w:r>
              <w:rPr>
                <w:sz w:val="18"/>
              </w:rPr>
              <w:t xml:space="preserve">Denials; manifest scans</w:t>
            </w:r>
          </w:p>
        </w:tc>
      </w:tr>
      <w:tr>
        <w:tc>
          <w:tcPr>
            <w:tcW w:w="1177" w:type="dxa"/>
          </w:tcPr>
          <w:p>
            <w:pPr>
              <w:pStyle w:val="Compact"/>
              <w:spacing w:after="40"/>
              <w:jc w:val="left"/>
            </w:pPr>
            <w:r>
              <w:rPr>
                <w:sz w:val="18"/>
              </w:rPr>
              <w:t xml:space="preserve">UR6-C08</w:t>
            </w:r>
          </w:p>
        </w:tc>
        <w:tc>
          <w:tcPr>
            <w:tcW w:w="3394" w:type="dxa"/>
          </w:tcPr>
          <w:p>
            <w:pPr>
              <w:pStyle w:val="Compact"/>
              <w:spacing w:after="40"/>
              <w:jc w:val="left"/>
            </w:pPr>
            <w:r>
              <w:rPr>
                <w:sz w:val="18"/>
              </w:rPr>
              <w:t xml:space="preserve">Money rules (CF para 10(2)–(5))</w:t>
            </w:r>
          </w:p>
        </w:tc>
        <w:tc>
          <w:tcPr>
            <w:tcW w:w="2449" w:type="dxa"/>
          </w:tcPr>
          <w:p>
            <w:pPr>
              <w:pStyle w:val="Compact"/>
              <w:spacing w:after="40"/>
              <w:jc w:val="left"/>
            </w:pPr>
            <w:r>
              <w:rPr>
                <w:sz w:val="18"/>
              </w:rPr>
              <w:t xml:space="preserve">Account validator; cash ledger</w:t>
            </w:r>
          </w:p>
        </w:tc>
        <w:tc>
          <w:tcPr>
            <w:tcW w:w="2618" w:type="dxa"/>
          </w:tcPr>
          <w:p>
            <w:pPr>
              <w:pStyle w:val="Compact"/>
              <w:spacing w:after="40"/>
              <w:jc w:val="left"/>
            </w:pPr>
            <w:r>
              <w:rPr>
                <w:sz w:val="18"/>
              </w:rPr>
              <w:t xml:space="preserve">Zero Udofin accounts; same-day posting rate</w:t>
            </w:r>
          </w:p>
        </w:tc>
      </w:tr>
      <w:tr>
        <w:tc>
          <w:tcPr>
            <w:tcW w:w="1177" w:type="dxa"/>
          </w:tcPr>
          <w:p>
            <w:pPr>
              <w:pStyle w:val="Compact"/>
              <w:spacing w:after="40"/>
              <w:jc w:val="left"/>
            </w:pPr>
            <w:r>
              <w:rPr>
                <w:sz w:val="18"/>
              </w:rPr>
              <w:t xml:space="preserve">UR6-C09</w:t>
            </w:r>
          </w:p>
        </w:tc>
        <w:tc>
          <w:tcPr>
            <w:tcW w:w="3394" w:type="dxa"/>
          </w:tcPr>
          <w:p>
            <w:pPr>
              <w:pStyle w:val="Compact"/>
              <w:spacing w:after="40"/>
              <w:jc w:val="left"/>
            </w:pPr>
            <w:r>
              <w:rPr>
                <w:sz w:val="18"/>
              </w:rPr>
              <w:t xml:space="preserve">Settlement authority (RSA para 16(5); OUT para 15)</w:t>
            </w:r>
          </w:p>
        </w:tc>
        <w:tc>
          <w:tcPr>
            <w:tcW w:w="2449" w:type="dxa"/>
          </w:tcPr>
          <w:p>
            <w:pPr>
              <w:pStyle w:val="Compact"/>
              <w:spacing w:after="40"/>
              <w:jc w:val="left"/>
            </w:pPr>
            <w:r>
              <w:rPr>
                <w:sz w:val="18"/>
              </w:rPr>
              <w:t xml:space="preserve">Permission matrix</w:t>
            </w:r>
          </w:p>
        </w:tc>
        <w:tc>
          <w:tcPr>
            <w:tcW w:w="2618" w:type="dxa"/>
          </w:tcPr>
          <w:p>
            <w:pPr>
              <w:pStyle w:val="Compact"/>
              <w:spacing w:after="40"/>
              <w:jc w:val="left"/>
            </w:pPr>
            <w:r>
              <w:rPr>
                <w:sz w:val="18"/>
              </w:rPr>
              <w:t xml:space="preserve">Quarterly access review</w:t>
            </w:r>
          </w:p>
        </w:tc>
      </w:tr>
      <w:tr>
        <w:tc>
          <w:tcPr>
            <w:tcW w:w="1177" w:type="dxa"/>
          </w:tcPr>
          <w:p>
            <w:pPr>
              <w:pStyle w:val="Compact"/>
              <w:spacing w:after="40"/>
              <w:jc w:val="left"/>
            </w:pPr>
            <w:r>
              <w:rPr>
                <w:sz w:val="18"/>
              </w:rPr>
              <w:t xml:space="preserve">UR6-C10</w:t>
            </w:r>
          </w:p>
        </w:tc>
        <w:tc>
          <w:tcPr>
            <w:tcW w:w="3394" w:type="dxa"/>
          </w:tcPr>
          <w:p>
            <w:pPr>
              <w:pStyle w:val="Compact"/>
              <w:spacing w:after="40"/>
              <w:jc w:val="left"/>
            </w:pPr>
            <w:r>
              <w:rPr>
                <w:sz w:val="18"/>
              </w:rPr>
              <w:t xml:space="preserve">ADR referral basis (</w:t>
            </w:r>
            <w:r>
              <w:rPr>
                <w:iCs/>
                <w:i/>
                <w:sz w:val="18"/>
              </w:rPr>
              <w:t xml:space="preserve">CORE</w:t>
            </w:r>
            <w:r>
              <w:rPr>
                <w:sz w:val="18"/>
              </w:rPr>
              <w:t xml:space="preserve">, 8 Nov 2024;</w:t>
            </w:r>
            <w:r>
              <w:rPr>
                <w:sz w:val="18"/>
              </w:rPr>
              <w:t xml:space="preserve"> </w:t>
            </w:r>
            <w:r>
              <w:rPr>
                <w:iCs/>
                <w:i/>
                <w:sz w:val="18"/>
              </w:rPr>
              <w:t xml:space="preserve">L&amp;T Finance</w:t>
            </w:r>
            <w:r>
              <w:rPr>
                <w:sz w:val="18"/>
              </w:rPr>
              <w:t xml:space="preserve">, 14 May 2026)</w:t>
            </w:r>
          </w:p>
        </w:tc>
        <w:tc>
          <w:tcPr>
            <w:tcW w:w="2449" w:type="dxa"/>
          </w:tcPr>
          <w:p>
            <w:pPr>
              <w:pStyle w:val="Compact"/>
              <w:spacing w:after="40"/>
              <w:jc w:val="left"/>
            </w:pPr>
            <w:r>
              <w:rPr>
                <w:sz w:val="18"/>
              </w:rPr>
              <w:t xml:space="preserve">Scope denial; basis check</w:t>
            </w:r>
          </w:p>
        </w:tc>
        <w:tc>
          <w:tcPr>
            <w:tcW w:w="2618" w:type="dxa"/>
          </w:tcPr>
          <w:p>
            <w:pPr>
              <w:pStyle w:val="Compact"/>
              <w:spacing w:after="40"/>
              <w:jc w:val="left"/>
            </w:pPr>
            <w:r>
              <w:rPr>
                <w:sz w:val="18"/>
              </w:rPr>
              <w:t xml:space="preserve">Denied calls; issues raised</w:t>
            </w:r>
          </w:p>
        </w:tc>
      </w:tr>
      <w:tr>
        <w:tc>
          <w:tcPr>
            <w:tcW w:w="1177" w:type="dxa"/>
          </w:tcPr>
          <w:p>
            <w:pPr>
              <w:pStyle w:val="Compact"/>
              <w:spacing w:after="40"/>
              <w:jc w:val="left"/>
            </w:pPr>
            <w:r>
              <w:rPr>
                <w:sz w:val="18"/>
              </w:rPr>
              <w:t xml:space="preserve">UR6-C11</w:t>
            </w:r>
          </w:p>
        </w:tc>
        <w:tc>
          <w:tcPr>
            <w:tcW w:w="3394" w:type="dxa"/>
          </w:tcPr>
          <w:p>
            <w:pPr>
              <w:pStyle w:val="Compact"/>
              <w:spacing w:after="40"/>
              <w:jc w:val="left"/>
            </w:pPr>
            <w:r>
              <w:rPr>
                <w:sz w:val="18"/>
              </w:rPr>
              <w:t xml:space="preserve">Notices sent only by the RE</w:t>
            </w:r>
          </w:p>
        </w:tc>
        <w:tc>
          <w:tcPr>
            <w:tcW w:w="2449" w:type="dxa"/>
          </w:tcPr>
          <w:p>
            <w:pPr>
              <w:pStyle w:val="Compact"/>
              <w:spacing w:after="40"/>
              <w:jc w:val="left"/>
            </w:pPr>
            <w:r>
              <w:rPr>
                <w:sz w:val="18"/>
              </w:rPr>
              <w:t xml:space="preserve">Sender check on templates</w:t>
            </w:r>
          </w:p>
        </w:tc>
        <w:tc>
          <w:tcPr>
            <w:tcW w:w="2618" w:type="dxa"/>
          </w:tcPr>
          <w:p>
            <w:pPr>
              <w:pStyle w:val="Compact"/>
              <w:spacing w:after="40"/>
              <w:jc w:val="left"/>
            </w:pPr>
            <w:r>
              <w:rPr>
                <w:sz w:val="18"/>
              </w:rPr>
              <w:t xml:space="preserve">Template metadata</w:t>
            </w:r>
          </w:p>
        </w:tc>
      </w:tr>
      <w:tr>
        <w:tc>
          <w:tcPr>
            <w:tcW w:w="1177" w:type="dxa"/>
          </w:tcPr>
          <w:p>
            <w:pPr>
              <w:pStyle w:val="Compact"/>
              <w:spacing w:after="40"/>
              <w:jc w:val="left"/>
            </w:pPr>
            <w:r>
              <w:rPr>
                <w:sz w:val="18"/>
              </w:rPr>
              <w:t xml:space="preserve">UR6-C12</w:t>
            </w:r>
          </w:p>
        </w:tc>
        <w:tc>
          <w:tcPr>
            <w:tcW w:w="3394" w:type="dxa"/>
          </w:tcPr>
          <w:p>
            <w:pPr>
              <w:pStyle w:val="Compact"/>
              <w:spacing w:after="40"/>
              <w:jc w:val="left"/>
            </w:pPr>
            <w:r>
              <w:rPr>
                <w:sz w:val="18"/>
              </w:rPr>
              <w:t xml:space="preserve">No WhatsApp in recovery (platform policy)</w:t>
            </w:r>
          </w:p>
        </w:tc>
        <w:tc>
          <w:tcPr>
            <w:tcW w:w="2449" w:type="dxa"/>
          </w:tcPr>
          <w:p>
            <w:pPr>
              <w:pStyle w:val="Compact"/>
              <w:spacing w:after="40"/>
              <w:jc w:val="left"/>
            </w:pPr>
            <w:r>
              <w:rPr>
                <w:sz w:val="18"/>
              </w:rPr>
              <w:t xml:space="preserve">Channel configuration test</w:t>
            </w:r>
          </w:p>
        </w:tc>
        <w:tc>
          <w:tcPr>
            <w:tcW w:w="2618" w:type="dxa"/>
          </w:tcPr>
          <w:p>
            <w:pPr>
              <w:pStyle w:val="Compact"/>
              <w:spacing w:after="40"/>
              <w:jc w:val="left"/>
            </w:pPr>
            <w:r>
              <w:rPr>
                <w:sz w:val="18"/>
              </w:rPr>
              <w:t xml:space="preserve">CI result</w:t>
            </w:r>
          </w:p>
        </w:tc>
      </w:tr>
      <w:tr>
        <w:tc>
          <w:tcPr>
            <w:tcW w:w="1177" w:type="dxa"/>
          </w:tcPr>
          <w:p>
            <w:pPr>
              <w:pStyle w:val="Compact"/>
              <w:spacing w:after="40"/>
              <w:jc w:val="left"/>
            </w:pPr>
            <w:r>
              <w:rPr>
                <w:sz w:val="18"/>
              </w:rPr>
              <w:t xml:space="preserve">UR6-C13</w:t>
            </w:r>
          </w:p>
        </w:tc>
        <w:tc>
          <w:tcPr>
            <w:tcW w:w="3394" w:type="dxa"/>
          </w:tcPr>
          <w:p>
            <w:pPr>
              <w:pStyle w:val="Compact"/>
              <w:spacing w:after="40"/>
              <w:jc w:val="left"/>
            </w:pPr>
            <w:r>
              <w:rPr>
                <w:sz w:val="18"/>
              </w:rPr>
              <w:t xml:space="preserve">Grievance routing and CMS display (CF para 12; RBC para 92)</w:t>
            </w:r>
          </w:p>
        </w:tc>
        <w:tc>
          <w:tcPr>
            <w:tcW w:w="2449" w:type="dxa"/>
          </w:tcPr>
          <w:p>
            <w:pPr>
              <w:pStyle w:val="Compact"/>
              <w:spacing w:after="40"/>
              <w:jc w:val="left"/>
            </w:pPr>
            <w:r>
              <w:rPr>
                <w:sz w:val="18"/>
              </w:rPr>
              <w:t xml:space="preserve">U15 routing</w:t>
            </w:r>
          </w:p>
        </w:tc>
        <w:tc>
          <w:tcPr>
            <w:tcW w:w="2618" w:type="dxa"/>
          </w:tcPr>
          <w:p>
            <w:pPr>
              <w:pStyle w:val="Compact"/>
              <w:spacing w:after="40"/>
              <w:jc w:val="left"/>
            </w:pPr>
            <w:r>
              <w:rPr>
                <w:sz w:val="18"/>
              </w:rPr>
              <w:t xml:space="preserve">Forwarding receipts</w:t>
            </w:r>
          </w:p>
        </w:tc>
      </w:tr>
      <w:tr>
        <w:tc>
          <w:tcPr>
            <w:tcW w:w="1177" w:type="dxa"/>
          </w:tcPr>
          <w:p>
            <w:pPr>
              <w:pStyle w:val="Compact"/>
              <w:spacing w:after="40"/>
              <w:jc w:val="left"/>
            </w:pPr>
            <w:r>
              <w:rPr>
                <w:sz w:val="18"/>
              </w:rPr>
              <w:t xml:space="preserve">UR6-C14</w:t>
            </w:r>
          </w:p>
        </w:tc>
        <w:tc>
          <w:tcPr>
            <w:tcW w:w="3394" w:type="dxa"/>
          </w:tcPr>
          <w:p>
            <w:pPr>
              <w:pStyle w:val="Compact"/>
              <w:spacing w:after="40"/>
              <w:jc w:val="left"/>
            </w:pPr>
            <w:r>
              <w:rPr>
                <w:sz w:val="18"/>
              </w:rPr>
              <w:t xml:space="preserve">India storage, retention and legal hold (CF para 14(4); para 100P)</w:t>
            </w:r>
          </w:p>
        </w:tc>
        <w:tc>
          <w:tcPr>
            <w:tcW w:w="2449" w:type="dxa"/>
          </w:tcPr>
          <w:p>
            <w:pPr>
              <w:pStyle w:val="Compact"/>
              <w:spacing w:after="40"/>
              <w:jc w:val="left"/>
            </w:pPr>
            <w:r>
              <w:rPr>
                <w:sz w:val="18"/>
              </w:rPr>
              <w:t xml:space="preserve">Retention engine</w:t>
            </w:r>
          </w:p>
        </w:tc>
        <w:tc>
          <w:tcPr>
            <w:tcW w:w="2618" w:type="dxa"/>
          </w:tcPr>
          <w:p>
            <w:pPr>
              <w:pStyle w:val="Compact"/>
              <w:spacing w:after="40"/>
              <w:jc w:val="left"/>
            </w:pPr>
            <w:r>
              <w:rPr>
                <w:sz w:val="18"/>
              </w:rPr>
              <w:t xml:space="preserve">Purge and hold logs</w:t>
            </w:r>
          </w:p>
        </w:tc>
      </w:tr>
      <w:tr>
        <w:tc>
          <w:tcPr>
            <w:tcW w:w="1177" w:type="dxa"/>
          </w:tcPr>
          <w:p>
            <w:pPr>
              <w:pStyle w:val="Compact"/>
              <w:spacing w:after="40"/>
              <w:jc w:val="left"/>
            </w:pPr>
            <w:r>
              <w:rPr>
                <w:sz w:val="18"/>
              </w:rPr>
              <w:t xml:space="preserve">UR6-C15</w:t>
            </w:r>
          </w:p>
        </w:tc>
        <w:tc>
          <w:tcPr>
            <w:tcW w:w="3394" w:type="dxa"/>
          </w:tcPr>
          <w:p>
            <w:pPr>
              <w:pStyle w:val="Compact"/>
              <w:spacing w:after="40"/>
              <w:jc w:val="left"/>
            </w:pPr>
            <w:r>
              <w:rPr>
                <w:sz w:val="18"/>
              </w:rPr>
              <w:t xml:space="preserve">Bot disclosure and human hand-over [REC; FREE-AI report]</w:t>
            </w:r>
          </w:p>
        </w:tc>
        <w:tc>
          <w:tcPr>
            <w:tcW w:w="2449" w:type="dxa"/>
          </w:tcPr>
          <w:p>
            <w:pPr>
              <w:pStyle w:val="Compact"/>
              <w:spacing w:after="40"/>
              <w:jc w:val="left"/>
            </w:pPr>
            <w:r>
              <w:rPr>
                <w:sz w:val="18"/>
              </w:rPr>
              <w:t xml:space="preserve">Bot policy</w:t>
            </w:r>
          </w:p>
        </w:tc>
        <w:tc>
          <w:tcPr>
            <w:tcW w:w="2618" w:type="dxa"/>
          </w:tcPr>
          <w:p>
            <w:pPr>
              <w:pStyle w:val="Compact"/>
              <w:spacing w:after="40"/>
              <w:jc w:val="left"/>
            </w:pPr>
            <w:r>
              <w:rPr>
                <w:sz w:val="18"/>
              </w:rPr>
              <w:t xml:space="preserve">Transcript samples</w:t>
            </w:r>
          </w:p>
        </w:tc>
      </w:tr>
      <w:tr>
        <w:tc>
          <w:tcPr>
            <w:tcW w:w="1177" w:type="dxa"/>
          </w:tcPr>
          <w:p>
            <w:pPr>
              <w:pStyle w:val="Compact"/>
              <w:spacing w:after="40"/>
              <w:jc w:val="left"/>
            </w:pPr>
            <w:r>
              <w:rPr>
                <w:sz w:val="18"/>
              </w:rPr>
              <w:t xml:space="preserve">UR6-C16</w:t>
            </w:r>
          </w:p>
        </w:tc>
        <w:tc>
          <w:tcPr>
            <w:tcW w:w="3394" w:type="dxa"/>
          </w:tcPr>
          <w:p>
            <w:pPr>
              <w:pStyle w:val="Compact"/>
              <w:spacing w:after="40"/>
              <w:jc w:val="left"/>
            </w:pPr>
            <w:r>
              <w:rPr>
                <w:sz w:val="18"/>
              </w:rPr>
              <w:t xml:space="preserve">DLG neutrality (Part 4.4)</w:t>
            </w:r>
          </w:p>
        </w:tc>
        <w:tc>
          <w:tcPr>
            <w:tcW w:w="2449" w:type="dxa"/>
          </w:tcPr>
          <w:p>
            <w:pPr>
              <w:pStyle w:val="Compact"/>
              <w:spacing w:after="40"/>
              <w:jc w:val="left"/>
            </w:pPr>
            <w:r>
              <w:rPr>
                <w:sz w:val="18"/>
              </w:rPr>
              <w:t xml:space="preserve">No DLG fields in UR4 data</w:t>
            </w:r>
          </w:p>
        </w:tc>
        <w:tc>
          <w:tcPr>
            <w:tcW w:w="2618" w:type="dxa"/>
          </w:tcPr>
          <w:p>
            <w:pPr>
              <w:pStyle w:val="Compact"/>
              <w:spacing w:after="40"/>
              <w:jc w:val="left"/>
            </w:pPr>
            <w:r>
              <w:rPr>
                <w:sz w:val="18"/>
              </w:rPr>
              <w:t xml:space="preserve">Schema test</w:t>
            </w:r>
          </w:p>
        </w:tc>
      </w:tr>
    </w:tbl>
    <w:p>
      <w:pPr>
        <w:pStyle w:val="BodyText"/>
      </w:pPr>
      <w:r>
        <w:rPr>
          <w:bCs/>
          <w:b/>
        </w:rPr>
        <w:t xml:space="preserve">Capabilities:</w:t>
      </w:r>
      <w:r>
        <w:t xml:space="preserve"> </w:t>
      </w:r>
      <w:r>
        <w:t xml:space="preserve">conduct dashboard per RE (complaints per 1,000 allocated accounts, out-of-window attempts, recording coverage, QA score, notice-before-contact rate, same-day cash posting rate) feeding the RE’s FPC conduct pack (RBC para 8); breach workflow that suspends the agent, raises</w:t>
      </w:r>
      <w:r>
        <w:t xml:space="preserve"> </w:t>
      </w:r>
      <w:r>
        <w:rPr>
          <w:rStyle w:val="VerbatimChar"/>
        </w:rPr>
        <w:t xml:space="preserve">ComplianceIssueRaised</w:t>
      </w:r>
      <w:r>
        <w:t xml:space="preserve"> </w:t>
      </w:r>
      <w:r>
        <w:t xml:space="preserve">within 24 hours [REC] and supports the RE’s compensation process (para 100F) [VERIFY]; evidence to LawDocsComply or a third-party GRC tool as</w:t>
      </w:r>
      <w:r>
        <w:t xml:space="preserve"> </w:t>
      </w:r>
      <w:r>
        <w:rPr>
          <w:rStyle w:val="VerbatimChar"/>
        </w:rPr>
        <w:t xml:space="preserve">ControlTestResultPublished</w:t>
      </w:r>
      <w:r>
        <w:t xml:space="preserve"> </w:t>
      </w:r>
      <w:r>
        <w:t xml:space="preserve">and</w:t>
      </w:r>
      <w:r>
        <w:t xml:space="preserve"> </w:t>
      </w:r>
      <w:r>
        <w:rPr>
          <w:rStyle w:val="VerbatimChar"/>
        </w:rPr>
        <w:t xml:space="preserve">EvidenceSubmitted</w:t>
      </w:r>
      <w:r>
        <w:t xml:space="preserve">, with periodic OSCAL assessment-results export; aggregate counts and masked sample IDs only, hash-chained, stored in India.</w:t>
      </w:r>
    </w:p>
    <w:p>
      <w:pPr>
        <w:pStyle w:val="BodyText"/>
      </w:pPr>
      <w:r>
        <w:rPr>
          <w:bCs/>
          <w:b/>
        </w:rPr>
        <w:t xml:space="preserve">Mobile and web:</w:t>
      </w:r>
      <w:r>
        <w:t xml:space="preserve"> </w:t>
      </w:r>
      <w:r>
        <w:t xml:space="preserve">operations and lender portals only; borrowers see the grievance route and agent verification (UR4).</w:t>
      </w:r>
    </w:p>
    <w:p>
      <w:pPr>
        <w:pStyle w:val="BodyText"/>
      </w:pPr>
      <w:r>
        <w:rPr>
          <w:bCs/>
          <w:b/>
        </w:rPr>
        <w:t xml:space="preserve">States:</w:t>
      </w:r>
      <w:r>
        <w:t xml:space="preserve"> </w:t>
      </w:r>
      <w:r>
        <w:rPr>
          <w:rStyle w:val="VerbatimChar"/>
        </w:rPr>
        <w:t xml:space="preserve">control_test_run</w:t>
      </w:r>
      <w:r>
        <w:t xml:space="preserve">:</w:t>
      </w:r>
      <w:r>
        <w:t xml:space="preserve"> </w:t>
      </w:r>
      <w:r>
        <w:rPr>
          <w:rStyle w:val="VerbatimChar"/>
        </w:rPr>
        <w:t xml:space="preserve">SCHEDULED → RUNNING → {PASSED | FAILED → ISSUE_RAISED → REMEDIATED → RETESTED}</w:t>
      </w:r>
      <w:r>
        <w:t xml:space="preserve">.</w:t>
      </w:r>
    </w:p>
    <w:p>
      <w:pPr>
        <w:pStyle w:val="BodyText"/>
      </w:pPr>
      <w:r>
        <w:rPr>
          <w:bCs/>
          <w:b/>
        </w:rPr>
        <w:t xml:space="preserve">Events:</w:t>
      </w:r>
      <w:r>
        <w:t xml:space="preserve"> </w:t>
      </w:r>
      <w:r>
        <w:t xml:space="preserve">produces</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PolicyAttested</w:t>
      </w:r>
      <w:r>
        <w:t xml:space="preserve">; consumes</w:t>
      </w:r>
      <w:r>
        <w:t xml:space="preserve"> </w:t>
      </w:r>
      <w:r>
        <w:rPr>
          <w:rStyle w:val="VerbatimChar"/>
        </w:rPr>
        <w:t xml:space="preserve">ObligationPublished</w:t>
      </w:r>
      <w:r>
        <w:t xml:space="preserve">.</w:t>
      </w:r>
    </w:p>
    <w:p>
      <w:pPr>
        <w:pStyle w:val="BodyText"/>
      </w:pPr>
      <w:r>
        <w:rPr>
          <w:bCs/>
          <w:b/>
        </w:rPr>
        <w:t xml:space="preserve">Tests:</w:t>
      </w:r>
      <w:r>
        <w:t xml:space="preserve"> </w:t>
      </w:r>
      <w:r>
        <w:t xml:space="preserve">every UR6 control has an automated test and an owner; a synthetic out-of-window attempt fails C01 and raises an issue; evidence export contains no unmasked identifier; a detached module still publishes retention evidence; the OSCAL export validates against the OSCAL 1.2.x schema [VERIFY: version in use by each GRC tool].</w:t>
      </w:r>
    </w:p>
    <w:p>
      <w:r>
        <w:pict>
          <v:rect style="width:0;height:1.5pt" o:hralign="center" o:hrstd="t" o:hr="t"/>
        </w:pict>
      </w:r>
    </w:p>
    <w:bookmarkEnd w:id="105"/>
    <w:bookmarkEnd w:id="106"/>
    <w:bookmarkStart w:id="159" w:name="X05ffa5a1d16756b3d913af187ba9f9256f56b22"/>
    <w:p>
      <w:pPr>
        <w:pStyle w:val="Heading1"/>
      </w:pPr>
      <w:r>
        <w:t xml:space="preserve">PART 7B — LENDER PARTNERSHIPS, DEAL CONFIGURATION AND RE AUDIT EXPORTS</w:t>
      </w:r>
    </w:p>
    <w:p>
      <w:pPr>
        <w:pStyle w:val="FirstParagraph"/>
      </w:pPr>
      <w:r>
        <w:rPr>
          <w:bCs/>
          <w:b/>
        </w:rPr>
        <w:t xml:space="preserve">Purpose.</w:t>
      </w:r>
      <w:r>
        <w:t xml:space="preserve"> </w:t>
      </w:r>
      <w:r>
        <w:t xml:space="preserve">Turn every lender relationship into a governed, versioned</w:t>
      </w:r>
      <w:r>
        <w:t xml:space="preserve"> </w:t>
      </w:r>
      <w:r>
        <w:rPr>
          <w:bCs/>
          <w:b/>
        </w:rPr>
        <w:t xml:space="preserve">deal</w:t>
      </w:r>
      <w:r>
        <w:t xml:space="preserve"> </w:t>
      </w:r>
      <w:r>
        <w:t xml:space="preserve">that passes due diligence, legal execution, technical certification and a controlled pilot before going live; configure it without code inside the guard-rails; give each RE self-service audit, inspection and CIMS export packs; admit credit co-operative societies through a ring-fenced non-RE track; and suspend or exit a deal without stranding a borrower.</w:t>
      </w:r>
    </w:p>
    <w:p>
      <w:pPr>
        <w:pStyle w:val="BodyText"/>
      </w:pPr>
      <w:r>
        <w:rPr>
          <w:bCs/>
          <w:b/>
        </w:rPr>
        <w:t xml:space="preserve">Extends, does not replace.</w:t>
      </w:r>
      <w:r>
        <w:t xml:space="preserve"> </w:t>
      </w:r>
      <w:r>
        <w:t xml:space="preserve">U1 (tenancy, LSP agreement registry, activity gate), U2 (product catalogue), U18 (DLA register, evidence, audit access), U19 (lender dashboards), Part 5.3 (connector certification), Part 7A.0.3 (module attach and detach) and Part 10.8 (vendor obligations). Where this Part and U1 or U2 differ, this Part prevails. Read-only access for RE auditors and RBI-authorised persons is RA2 (Part 7H); archive format and RE-controlled storage are RA3; co-operative member journeys are MG1 (Part 7E).</w:t>
      </w:r>
    </w:p>
    <w:p>
      <w:pPr>
        <w:pStyle w:val="BodyText"/>
      </w:pPr>
      <w:r>
        <w:rPr>
          <w:bCs/>
          <w:b/>
        </w:rPr>
        <w:t xml:space="preserve">Applicability.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63"/>
        <w:gridCol w:w="1793"/>
        <w:gridCol w:w="3384"/>
        <w:gridCol w:w="2198"/>
      </w:tblGrid>
      <w:tr>
        <w:trPr>
          <w:tblHeader w:val="true"/>
          <w:tblHeader w:val="true"/>
        </w:trPr>
        <w:tc>
          <w:tcPr>
            <w:tcW w:w="2263" w:type="dxa"/>
            <w:shd w:val="clear" w:color="auto" w:fill="1F3A5F"/>
          </w:tcPr>
          <w:p>
            <w:pPr>
              <w:pStyle w:val="Compact"/>
              <w:spacing w:after="40"/>
              <w:jc w:val="left"/>
            </w:pPr>
            <w:r>
              <w:rPr>
                <w:b/>
                <w:color w:val="FFFFFF"/>
                <w:sz w:val="18"/>
              </w:rPr>
              <w:t xml:space="preserve">Lender class</w:t>
            </w:r>
          </w:p>
        </w:tc>
        <w:tc>
          <w:tcPr>
            <w:tcW w:w="1793" w:type="dxa"/>
            <w:shd w:val="clear" w:color="auto" w:fill="1F3A5F"/>
          </w:tcPr>
          <w:p>
            <w:pPr>
              <w:pStyle w:val="Compact"/>
              <w:spacing w:after="40"/>
              <w:jc w:val="left"/>
            </w:pPr>
            <w:r>
              <w:rPr>
                <w:b/>
                <w:color w:val="FFFFFF"/>
                <w:sz w:val="18"/>
              </w:rPr>
              <w:t xml:space="preserve">Track</w:t>
            </w:r>
          </w:p>
        </w:tc>
        <w:tc>
          <w:tcPr>
            <w:tcW w:w="3384" w:type="dxa"/>
            <w:shd w:val="clear" w:color="auto" w:fill="1F3A5F"/>
          </w:tcPr>
          <w:p>
            <w:pPr>
              <w:pStyle w:val="Compact"/>
              <w:spacing w:after="40"/>
              <w:jc w:val="left"/>
            </w:pPr>
            <w:r>
              <w:rPr>
                <w:b/>
                <w:color w:val="FFFFFF"/>
                <w:sz w:val="18"/>
              </w:rPr>
              <w:t xml:space="preserve">Binding source</w:t>
            </w:r>
          </w:p>
        </w:tc>
        <w:tc>
          <w:tcPr>
            <w:tcW w:w="2198" w:type="dxa"/>
            <w:shd w:val="clear" w:color="auto" w:fill="1F3A5F"/>
          </w:tcPr>
          <w:p>
            <w:pPr>
              <w:pStyle w:val="Compact"/>
              <w:spacing w:after="40"/>
              <w:jc w:val="left"/>
            </w:pPr>
            <w:r>
              <w:rPr>
                <w:b/>
                <w:color w:val="FFFFFF"/>
                <w:sz w:val="18"/>
              </w:rPr>
              <w:t xml:space="preserve">Udofin role</w:t>
            </w:r>
          </w:p>
        </w:tc>
      </w:tr>
      <w:tr>
        <w:tc>
          <w:tcPr>
            <w:tcW w:w="2263" w:type="dxa"/>
          </w:tcPr>
          <w:p>
            <w:pPr>
              <w:pStyle w:val="Compact"/>
              <w:spacing w:after="40"/>
              <w:jc w:val="left"/>
            </w:pPr>
            <w:r>
              <w:rPr>
                <w:sz w:val="18"/>
              </w:rPr>
              <w:t xml:space="preserve">NBFC (BL, ML, UL, TL), NBFC-MFI, NBFC-ICC, HFC</w:t>
            </w:r>
          </w:p>
        </w:tc>
        <w:tc>
          <w:tcPr>
            <w:tcW w:w="1793" w:type="dxa"/>
          </w:tcPr>
          <w:p>
            <w:pPr>
              <w:pStyle w:val="Compact"/>
              <w:spacing w:after="40"/>
              <w:jc w:val="left"/>
            </w:pPr>
            <w:r>
              <w:rPr>
                <w:sz w:val="18"/>
              </w:rPr>
              <w:t xml:space="preserve">RE track (UP1–UP3, UP5)</w:t>
            </w:r>
          </w:p>
        </w:tc>
        <w:tc>
          <w:tcPr>
            <w:tcW w:w="3384" w:type="dxa"/>
          </w:tcPr>
          <w:p>
            <w:pPr>
              <w:pStyle w:val="Compact"/>
              <w:spacing w:after="40"/>
              <w:jc w:val="left"/>
            </w:pPr>
            <w:r>
              <w:rPr>
                <w:sz w:val="18"/>
              </w:rPr>
              <w:t xml:space="preserve">CF Ch III paras 6–30 through the RE’s contract; OUT Ch III and, where material IT outsourcing, Ch IV</w:t>
            </w:r>
          </w:p>
        </w:tc>
        <w:tc>
          <w:tcPr>
            <w:tcW w:w="2198" w:type="dxa"/>
          </w:tcPr>
          <w:p>
            <w:pPr>
              <w:pStyle w:val="Compact"/>
              <w:spacing w:after="40"/>
              <w:jc w:val="left"/>
            </w:pPr>
            <w:r>
              <w:rPr>
                <w:sz w:val="18"/>
              </w:rPr>
              <w:t xml:space="preserve">LSP and outsourcing service provider</w:t>
            </w:r>
          </w:p>
        </w:tc>
      </w:tr>
      <w:tr>
        <w:tc>
          <w:tcPr>
            <w:tcW w:w="2263" w:type="dxa"/>
          </w:tcPr>
          <w:p>
            <w:pPr>
              <w:pStyle w:val="Compact"/>
              <w:spacing w:after="40"/>
              <w:jc w:val="left"/>
            </w:pPr>
            <w:r>
              <w:rPr>
                <w:sz w:val="18"/>
              </w:rPr>
              <w:t xml:space="preserve">Commercial bank, SFB, UCB, StCB, DCCB</w:t>
            </w:r>
          </w:p>
        </w:tc>
        <w:tc>
          <w:tcPr>
            <w:tcW w:w="1793" w:type="dxa"/>
          </w:tcPr>
          <w:p>
            <w:pPr>
              <w:pStyle w:val="Compact"/>
              <w:spacing w:after="40"/>
              <w:jc w:val="left"/>
            </w:pPr>
            <w:r>
              <w:rPr>
                <w:sz w:val="18"/>
              </w:rPr>
              <w:t xml:space="preserve">RE track with the bank rule pack</w:t>
            </w:r>
          </w:p>
        </w:tc>
        <w:tc>
          <w:tcPr>
            <w:tcW w:w="3384" w:type="dxa"/>
          </w:tcPr>
          <w:p>
            <w:pPr>
              <w:pStyle w:val="Compact"/>
              <w:spacing w:after="40"/>
              <w:jc w:val="left"/>
            </w:pPr>
            <w:r>
              <w:rPr>
                <w:sz w:val="18"/>
              </w:rPr>
              <w:t xml:space="preserve">Bank digital-lending and outsourcing Directions [VERIFY: texts not supplied; onboarding blocked until mapped]</w:t>
            </w:r>
          </w:p>
        </w:tc>
        <w:tc>
          <w:tcPr>
            <w:tcW w:w="2198" w:type="dxa"/>
          </w:tcPr>
          <w:p>
            <w:pPr>
              <w:pStyle w:val="Compact"/>
              <w:spacing w:after="40"/>
              <w:jc w:val="left"/>
            </w:pPr>
            <w:r>
              <w:rPr>
                <w:sz w:val="18"/>
              </w:rPr>
              <w:t xml:space="preserve">LSP</w:t>
            </w:r>
          </w:p>
        </w:tc>
      </w:tr>
      <w:tr>
        <w:tc>
          <w:tcPr>
            <w:tcW w:w="2263" w:type="dxa"/>
          </w:tcPr>
          <w:p>
            <w:pPr>
              <w:pStyle w:val="Compact"/>
              <w:spacing w:after="40"/>
              <w:jc w:val="left"/>
            </w:pPr>
            <w:r>
              <w:rPr>
                <w:sz w:val="18"/>
              </w:rPr>
              <w:t xml:space="preserve">Credit co-operative society (State Act or MSCS Act)</w:t>
            </w:r>
          </w:p>
        </w:tc>
        <w:tc>
          <w:tcPr>
            <w:tcW w:w="1793" w:type="dxa"/>
          </w:tcPr>
          <w:p>
            <w:pPr>
              <w:pStyle w:val="Compact"/>
              <w:spacing w:after="40"/>
              <w:jc w:val="left"/>
            </w:pPr>
            <w:r>
              <w:rPr>
                <w:sz w:val="18"/>
              </w:rPr>
              <w:t xml:space="preserve">Non-RE track (UP4)</w:t>
            </w:r>
          </w:p>
        </w:tc>
        <w:tc>
          <w:tcPr>
            <w:tcW w:w="3384" w:type="dxa"/>
          </w:tcPr>
          <w:p>
            <w:pPr>
              <w:pStyle w:val="Compact"/>
              <w:spacing w:after="40"/>
              <w:jc w:val="left"/>
            </w:pPr>
            <w:r>
              <w:rPr>
                <w:sz w:val="18"/>
              </w:rPr>
              <w:t xml:space="preserve">Not an RBI RE; State Act or MSCS Act 2002 (as amended 2023); DPDP; consumer law; RE-equivalent conduct by contract</w:t>
            </w:r>
          </w:p>
        </w:tc>
        <w:tc>
          <w:tcPr>
            <w:tcW w:w="2198" w:type="dxa"/>
          </w:tcPr>
          <w:p>
            <w:pPr>
              <w:pStyle w:val="Compact"/>
              <w:spacing w:after="40"/>
              <w:jc w:val="left"/>
            </w:pPr>
            <w:r>
              <w:rPr>
                <w:sz w:val="18"/>
              </w:rPr>
              <w:t xml:space="preserve">Technology and sourcing provider; DPDP processor</w:t>
            </w:r>
          </w:p>
        </w:tc>
      </w:tr>
      <w:tr>
        <w:tc>
          <w:tcPr>
            <w:tcW w:w="2263" w:type="dxa"/>
          </w:tcPr>
          <w:p>
            <w:pPr>
              <w:pStyle w:val="Compact"/>
              <w:spacing w:after="40"/>
              <w:jc w:val="left"/>
            </w:pPr>
            <w:r>
              <w:rPr>
                <w:sz w:val="18"/>
              </w:rPr>
              <w:t xml:space="preserve">Infrabyx group RE</w:t>
            </w:r>
          </w:p>
        </w:tc>
        <w:tc>
          <w:tcPr>
            <w:tcW w:w="1793" w:type="dxa"/>
          </w:tcPr>
          <w:p>
            <w:pPr>
              <w:pStyle w:val="Compact"/>
              <w:spacing w:after="40"/>
              <w:jc w:val="left"/>
            </w:pPr>
            <w:r>
              <w:rPr>
                <w:sz w:val="18"/>
              </w:rPr>
              <w:t xml:space="preserve">RE track plus group controls</w:t>
            </w:r>
          </w:p>
        </w:tc>
        <w:tc>
          <w:tcPr>
            <w:tcW w:w="3384" w:type="dxa"/>
          </w:tcPr>
          <w:p>
            <w:pPr>
              <w:pStyle w:val="Compact"/>
              <w:spacing w:after="40"/>
              <w:jc w:val="left"/>
            </w:pPr>
            <w:r>
              <w:rPr>
                <w:sz w:val="18"/>
              </w:rPr>
              <w:t xml:space="preserve">OUT paras 45–51, 90–92</w:t>
            </w:r>
          </w:p>
        </w:tc>
        <w:tc>
          <w:tcPr>
            <w:tcW w:w="2198" w:type="dxa"/>
          </w:tcPr>
          <w:p>
            <w:pPr>
              <w:pStyle w:val="Compact"/>
              <w:spacing w:after="40"/>
              <w:jc w:val="left"/>
            </w:pPr>
            <w:r>
              <w:rPr>
                <w:sz w:val="18"/>
              </w:rPr>
              <w:t xml:space="preserve">Arm’s length; same clause matrix</w:t>
            </w:r>
          </w:p>
        </w:tc>
      </w:tr>
    </w:tbl>
    <w:p>
      <w:pPr>
        <w:pStyle w:val="BodyText"/>
      </w:pPr>
      <w:r>
        <w:rPr>
          <w:bCs/>
          <w:b/>
        </w:rPr>
        <w:t xml:space="preserve">Codes used.</w:t>
      </w:r>
      <w:r>
        <w:t xml:space="preserve"> </w:t>
      </w:r>
      <w:r>
        <w:t xml:space="preserve">CF, OUT, RBC, CIR, KYC, AA, MFI, TDCR, CYB, FRM, SR (supervisory returns, for RE references only); non-RBI:</w:t>
      </w:r>
      <w:r>
        <w:t xml:space="preserve"> </w:t>
      </w:r>
      <w:r>
        <w:rPr>
          <w:rStyle w:val="VerbatimChar"/>
        </w:rPr>
        <w:t xml:space="preserve">MSCS</w:t>
      </w:r>
      <w:r>
        <w:t xml:space="preserve">,</w:t>
      </w:r>
      <w:r>
        <w:t xml:space="preserve"> </w:t>
      </w:r>
      <w:r>
        <w:rPr>
          <w:rStyle w:val="VerbatimChar"/>
        </w:rPr>
        <w:t xml:space="preserve">SCS</w:t>
      </w:r>
      <w:r>
        <w:t xml:space="preserve"> </w:t>
      </w:r>
      <w:r>
        <w:t xml:space="preserve">(State co-operative Acts),</w:t>
      </w:r>
      <w:r>
        <w:t xml:space="preserve"> </w:t>
      </w:r>
      <w:r>
        <w:rPr>
          <w:rStyle w:val="VerbatimChar"/>
        </w:rPr>
        <w:t xml:space="preserve">DPDP</w:t>
      </w:r>
      <w:r>
        <w:t xml:space="preserve">,</w:t>
      </w:r>
      <w:r>
        <w:t xml:space="preserve"> </w:t>
      </w:r>
      <w:r>
        <w:rPr>
          <w:rStyle w:val="VerbatimChar"/>
        </w:rPr>
        <w:t xml:space="preserve">CICRA</w:t>
      </w:r>
      <w:r>
        <w:t xml:space="preserve">,</w:t>
      </w:r>
      <w:r>
        <w:t xml:space="preserve"> </w:t>
      </w:r>
      <w:r>
        <w:rPr>
          <w:rStyle w:val="VerbatimChar"/>
        </w:rPr>
        <w:t xml:space="preserve">TRAI</w:t>
      </w:r>
      <w:r>
        <w:t xml:space="preserve">,</w:t>
      </w:r>
      <w:r>
        <w:t xml:space="preserve"> </w:t>
      </w:r>
      <w:r>
        <w:rPr>
          <w:rStyle w:val="VerbatimChar"/>
        </w:rPr>
        <w:t xml:space="preserve">CCPA-DP</w:t>
      </w:r>
      <w:r>
        <w:t xml:space="preserve"> </w:t>
      </w:r>
      <w:r>
        <w:t xml:space="preserve">(CCPA Guidelines for Prevention and Regulation of Dark Patterns, 2023),</w:t>
      </w:r>
      <w:r>
        <w:t xml:space="preserve"> </w:t>
      </w:r>
      <w:r>
        <w:rPr>
          <w:rStyle w:val="VerbatimChar"/>
        </w:rPr>
        <w:t xml:space="preserve">GUID</w:t>
      </w:r>
      <w:r>
        <w:t xml:space="preserve"> </w:t>
      </w:r>
      <w:r>
        <w:t xml:space="preserve">(RBI FREE-AI report, 13 Aug 2025). Requirement IDs follow Part 8A (</w:t>
      </w:r>
      <w:r>
        <w:rPr>
          <w:rStyle w:val="VerbatimChar"/>
        </w:rPr>
        <w:t xml:space="preserve">REQ-CF-6(2)</w:t>
      </w:r>
      <w:r>
        <w:t xml:space="preserve">,</w:t>
      </w:r>
      <w:r>
        <w:t xml:space="preserve"> </w:t>
      </w:r>
      <w:r>
        <w:rPr>
          <w:rStyle w:val="VerbatimChar"/>
        </w:rPr>
        <w:t xml:space="preserve">REQ-OUT-34(iv)</w:t>
      </w:r>
      <w:r>
        <w:t xml:space="preserve">); new Udofin-only controls are</w:t>
      </w:r>
      <w:r>
        <w:t xml:space="preserve"> </w:t>
      </w:r>
      <w:r>
        <w:rPr>
          <w:rStyle w:val="VerbatimChar"/>
        </w:rPr>
        <w:t xml:space="preserve">UP-Cnn</w:t>
      </w:r>
      <w:r>
        <w:t xml:space="preserve">. Labels:</w:t>
      </w:r>
      <w:r>
        <w:t xml:space="preserve"> </w:t>
      </w:r>
      <w:r>
        <w:rPr>
          <w:bCs/>
          <w:b/>
        </w:rPr>
        <w:t xml:space="preserve">[LAW]</w:t>
      </w:r>
      <w:r>
        <w:t xml:space="preserve"> </w:t>
      </w:r>
      <w:r>
        <w:t xml:space="preserve">statute,</w:t>
      </w:r>
      <w:r>
        <w:t xml:space="preserve"> </w:t>
      </w:r>
      <w:r>
        <w:rPr>
          <w:bCs/>
          <w:b/>
        </w:rPr>
        <w:t xml:space="preserve">[REG]</w:t>
      </w:r>
      <w:r>
        <w:t xml:space="preserve"> </w:t>
      </w:r>
      <w:r>
        <w:t xml:space="preserve">RBI or other regulator’s Direction,</w:t>
      </w:r>
      <w:r>
        <w:t xml:space="preserve"> </w:t>
      </w:r>
      <w:r>
        <w:rPr>
          <w:bCs/>
          <w:b/>
        </w:rPr>
        <w:t xml:space="preserve">[INTERP]</w:t>
      </w:r>
      <w:r>
        <w:t xml:space="preserve"> </w:t>
      </w:r>
      <w:r>
        <w:t xml:space="preserve">our reading,</w:t>
      </w:r>
      <w:r>
        <w:t xml:space="preserve"> </w:t>
      </w:r>
      <w:r>
        <w:rPr>
          <w:bCs/>
          <w:b/>
        </w:rPr>
        <w:t xml:space="preserve">[REC]</w:t>
      </w:r>
      <w:r>
        <w:t xml:space="preserve"> </w:t>
      </w:r>
      <w:r>
        <w:t xml:space="preserve">recommendation,</w:t>
      </w:r>
      <w:r>
        <w:t xml:space="preserve"> </w:t>
      </w:r>
      <w:r>
        <w:rPr>
          <w:bCs/>
          <w:b/>
        </w:rPr>
        <w:t xml:space="preserve">[MKT]</w:t>
      </w:r>
      <w:r>
        <w:t xml:space="preserve"> </w:t>
      </w:r>
      <w:r>
        <w:t xml:space="preserve">market practice; anything unconfirmed carries</w:t>
      </w:r>
      <w:r>
        <w:t xml:space="preserve"> </w:t>
      </w:r>
      <w:r>
        <w:rPr>
          <w:rStyle w:val="VerbatimChar"/>
        </w:rPr>
        <w:t xml:space="preserve">[VERIFY: …]</w:t>
      </w:r>
      <w:r>
        <w:t xml:space="preserve">.</w:t>
      </w:r>
    </w:p>
    <w:p>
      <w:pPr>
        <w:pStyle w:val="BodyText"/>
      </w:pPr>
      <w:r>
        <w:rPr>
          <w:bCs/>
          <w:b/>
        </w:rPr>
        <w:t xml:space="preserve">Data owned by Udofin.</w:t>
      </w:r>
      <w:r>
        <w:t xml:space="preserve"> </w:t>
      </w:r>
      <w:r>
        <w:t xml:space="preserve">Deal records, due-diligence packs and Udofin’s declarations, the per-deal configuration versions, the RE’s approval artefacts, export-pack manifests and delivery logs, the non-RE lender profile and eligibility checks, exit plans and data-return certificates.</w:t>
      </w:r>
      <w:r>
        <w:t xml:space="preserve"> </w:t>
      </w:r>
      <w:r>
        <w:rPr>
          <w:bCs/>
          <w:b/>
        </w:rPr>
        <w:t xml:space="preserve">Not owned:</w:t>
      </w:r>
      <w:r>
        <w:t xml:space="preserve"> </w:t>
      </w:r>
      <w:r>
        <w:t xml:space="preserve">the RE’s Board policies (Udofin holds evidence copies only), the RE’s credit policy and BRE rules (hosted for the RE, never edited: OUT para 15), CIMS filings (the RE files: CF para 18), loan records (Part 5.1).</w:t>
      </w:r>
    </w:p>
    <w:p>
      <w:pPr>
        <w:pStyle w:val="BodyText"/>
      </w:pPr>
      <w:r>
        <w:rPr>
          <w:bCs/>
          <w:b/>
        </w:rPr>
        <w:t xml:space="preserve">Events and APIs (Integration Specification v1.1 section 6.28).</w:t>
      </w:r>
      <w:r>
        <w:t xml:space="preserve"> </w:t>
      </w:r>
      <w:r>
        <w:t xml:space="preserve">Udofin produces</w:t>
      </w:r>
      <w:r>
        <w:t xml:space="preserve"> </w:t>
      </w:r>
      <w:r>
        <w:rPr>
          <w:rStyle w:val="VerbatimChar"/>
        </w:rPr>
        <w:t xml:space="preserve">LenderDealProposed</w:t>
      </w:r>
      <w:r>
        <w:t xml:space="preserve">,</w:t>
      </w:r>
      <w:r>
        <w:t xml:space="preserve"> </w:t>
      </w:r>
      <w:r>
        <w:rPr>
          <w:rStyle w:val="VerbatimChar"/>
        </w:rPr>
        <w:t xml:space="preserve">LenderDealApproved</w:t>
      </w:r>
      <w:r>
        <w:t xml:space="preserve">,</w:t>
      </w:r>
      <w:r>
        <w:t xml:space="preserve"> </w:t>
      </w:r>
      <w:r>
        <w:rPr>
          <w:rStyle w:val="VerbatimChar"/>
        </w:rPr>
        <w:t xml:space="preserve">LenderDealActivated</w:t>
      </w:r>
      <w:r>
        <w:t xml:space="preserve">,</w:t>
      </w:r>
      <w:r>
        <w:t xml:space="preserve"> </w:t>
      </w:r>
      <w:r>
        <w:rPr>
          <w:rStyle w:val="VerbatimChar"/>
        </w:rPr>
        <w:t xml:space="preserve">LenderDealSuspended</w:t>
      </w:r>
      <w:r>
        <w:t xml:space="preserve">,</w:t>
      </w:r>
      <w:r>
        <w:t xml:space="preserve"> </w:t>
      </w:r>
      <w:r>
        <w:rPr>
          <w:rStyle w:val="VerbatimChar"/>
        </w:rPr>
        <w:t xml:space="preserve">LenderDealTerminated</w:t>
      </w:r>
      <w:r>
        <w:t xml:space="preserve">; Finbyx (or the RE’s GRC tool) consumes them to maintain the RE’s LSP register and the OUT para 36 central record of material outsourcing; LawDocsComply receives them in the RE’s compliance mode. Every deal event carries</w:t>
      </w:r>
      <w:r>
        <w:t xml:space="preserve"> </w:t>
      </w:r>
      <w:r>
        <w:rPr>
          <w:rStyle w:val="VerbatimChar"/>
        </w:rPr>
        <w:t xml:space="preserve">lender_type</w:t>
      </w:r>
      <w:r>
        <w:t xml:space="preserve"> </w:t>
      </w:r>
      <w:r>
        <w:t xml:space="preserve">(</w:t>
      </w:r>
      <w:r>
        <w:rPr>
          <w:rStyle w:val="VerbatimChar"/>
        </w:rPr>
        <w:t xml:space="preserve">RE</w:t>
      </w:r>
      <w:r>
        <w:t xml:space="preserve"> </w:t>
      </w:r>
      <w:r>
        <w:t xml:space="preserve">or</w:t>
      </w:r>
      <w:r>
        <w:t xml:space="preserve"> </w:t>
      </w:r>
      <w:r>
        <w:rPr>
          <w:rStyle w:val="VerbatimChar"/>
        </w:rPr>
        <w:t xml:space="preserve">NON_RE_SOCIETY</w:t>
      </w:r>
      <w:r>
        <w:t xml:space="preserve">); the internal tenant class is</w:t>
      </w:r>
      <w:r>
        <w:t xml:space="preserve"> </w:t>
      </w:r>
      <w:r>
        <w:rPr>
          <w:rStyle w:val="VerbatimChar"/>
        </w:rPr>
        <w:t xml:space="preserve">lender_class</w:t>
      </w:r>
      <w:r>
        <w:t xml:space="preserve"> </w:t>
      </w:r>
      <w:r>
        <w:t xml:space="preserve">(</w:t>
      </w:r>
      <w:r>
        <w:rPr>
          <w:rStyle w:val="VerbatimChar"/>
        </w:rPr>
        <w:t xml:space="preserve">RE</w:t>
      </w:r>
      <w:r>
        <w:t xml:space="preserve"> </w:t>
      </w:r>
      <w:r>
        <w:t xml:space="preserve">or</w:t>
      </w:r>
      <w:r>
        <w:t xml:space="preserve"> </w:t>
      </w:r>
      <w:r>
        <w:rPr>
          <w:rStyle w:val="VerbatimChar"/>
        </w:rPr>
        <w:t xml:space="preserve">NON_RE_COOP</w:t>
      </w:r>
      <w:r>
        <w:t xml:space="preserve">), mapped one to one. The RE’s system reads configuration versions through</w:t>
      </w:r>
      <w:r>
        <w:t xml:space="preserve"> </w:t>
      </w:r>
      <w:r>
        <w:rPr>
          <w:rStyle w:val="VerbatimChar"/>
        </w:rPr>
        <w:t xml:space="preserve">GET /v1/deals/{id}/config-versions/{version}</w:t>
      </w:r>
      <w:r>
        <w:t xml:space="preserve"> </w:t>
      </w:r>
      <w:r>
        <w:t xml:space="preserve">and countersigns transitions and versions through</w:t>
      </w:r>
      <w:r>
        <w:t xml:space="preserve"> </w:t>
      </w:r>
      <w:r>
        <w:rPr>
          <w:rStyle w:val="VerbatimChar"/>
        </w:rPr>
        <w:t xml:space="preserve">POST /v1/deals/{id}/approvals</w:t>
      </w:r>
      <w:r>
        <w:t xml:space="preserve"> </w:t>
      </w:r>
      <w:r>
        <w:t xml:space="preserve">(or the same actions in the lender portal). Export packs use</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(scope</w:t>
      </w:r>
      <w:r>
        <w:t xml:space="preserve"> </w:t>
      </w:r>
      <w:r>
        <w:rPr>
          <w:rStyle w:val="VerbatimChar"/>
        </w:rPr>
        <w:t xml:space="preserve">RE_PACK</w:t>
      </w:r>
      <w:r>
        <w:t xml:space="preserve">, section 6.26). Module attachment uses</w:t>
      </w:r>
      <w:r>
        <w:t xml:space="preserve"> </w:t>
      </w:r>
      <w:r>
        <w:rPr>
          <w:rStyle w:val="VerbatimChar"/>
        </w:rPr>
        <w:t xml:space="preserve">ModuleAttached</w:t>
      </w:r>
      <w:r>
        <w:t xml:space="preserve"> </w:t>
      </w:r>
      <w:r>
        <w:t xml:space="preserve">and</w:t>
      </w:r>
      <w:r>
        <w:t xml:space="preserve"> </w:t>
      </w:r>
      <w:r>
        <w:rPr>
          <w:rStyle w:val="VerbatimChar"/>
        </w:rPr>
        <w:t xml:space="preserve">ModuleDetached</w:t>
      </w:r>
      <w:r>
        <w:t xml:space="preserve"> </w:t>
      </w:r>
      <w:r>
        <w:t xml:space="preserve">unchanged.</w:t>
      </w:r>
    </w:p>
    <w:p>
      <w:pPr>
        <w:pStyle w:val="BodyText"/>
      </w:pPr>
      <w:r>
        <w:rPr>
          <w:bCs/>
          <w:b/>
        </w:rPr>
        <w:t xml:space="preserve">Workspaces.</w:t>
      </w:r>
      <w:r>
        <w:t xml:space="preserve"> </w:t>
      </w:r>
      <w:r>
        <w:t xml:space="preserve">Operations portal (channel C) and lender portal (channel D) both use the top-level menu</w:t>
      </w:r>
      <w:r>
        <w:t xml:space="preserve"> </w:t>
      </w:r>
      <w:r>
        <w:rPr>
          <w:bCs/>
          <w:b/>
        </w:rPr>
        <w:t xml:space="preserve">Partners</w:t>
      </w:r>
      <w:r>
        <w:t xml:space="preserve">, filtered by role and, in channel D, to the RE’s own deals:</w:t>
      </w:r>
      <w:r>
        <w:t xml:space="preserve"> </w:t>
      </w:r>
      <w:r>
        <w:rPr>
          <w:rStyle w:val="VerbatimChar"/>
        </w:rPr>
        <w:t xml:space="preserve">Partners › Deals</w:t>
      </w:r>
      <w:r>
        <w:t xml:space="preserve">,</w:t>
      </w:r>
      <w:r>
        <w:t xml:space="preserve"> </w:t>
      </w:r>
      <w:r>
        <w:rPr>
          <w:rStyle w:val="VerbatimChar"/>
        </w:rPr>
        <w:t xml:space="preserve">Partners › Due diligence</w:t>
      </w:r>
      <w:r>
        <w:t xml:space="preserve">,</w:t>
      </w:r>
      <w:r>
        <w:t xml:space="preserve"> </w:t>
      </w:r>
      <w:r>
        <w:rPr>
          <w:rStyle w:val="VerbatimChar"/>
        </w:rPr>
        <w:t xml:space="preserve">Partners › Configuration</w:t>
      </w:r>
      <w:r>
        <w:t xml:space="preserve">,</w:t>
      </w:r>
      <w:r>
        <w:t xml:space="preserve"> </w:t>
      </w:r>
      <w:r>
        <w:rPr>
          <w:rStyle w:val="VerbatimChar"/>
        </w:rPr>
        <w:t xml:space="preserve">Partners › Exports</w:t>
      </w:r>
      <w:r>
        <w:t xml:space="preserve">,</w:t>
      </w:r>
      <w:r>
        <w:t xml:space="preserve"> </w:t>
      </w:r>
      <w:r>
        <w:rPr>
          <w:rStyle w:val="VerbatimChar"/>
        </w:rPr>
        <w:t xml:space="preserve">Partners › Exit</w:t>
      </w:r>
      <w:r>
        <w:t xml:space="preserve">, and</w:t>
      </w:r>
      <w:r>
        <w:t xml:space="preserve"> </w:t>
      </w:r>
      <w:r>
        <w:rPr>
          <w:rStyle w:val="VerbatimChar"/>
        </w:rPr>
        <w:t xml:space="preserve">Partners › Members</w:t>
      </w:r>
      <w:r>
        <w:t xml:space="preserve"> </w:t>
      </w:r>
      <w:r>
        <w:t xml:space="preserve">for society staff. The society track (UP4) uses the same menu with society labels. Every list screen supports saved views, CSV export of the visible columns (no PII),</w:t>
      </w:r>
      <w:r>
        <w:t xml:space="preserve"> </w:t>
      </w:r>
      <w:r>
        <w:rPr>
          <w:rStyle w:val="VerbatimChar"/>
        </w:rPr>
        <w:t xml:space="preserve">/</w:t>
      </w:r>
      <w:r>
        <w:t xml:space="preserve"> </w:t>
      </w:r>
      <w:r>
        <w:t xml:space="preserve">to search,</w:t>
      </w:r>
      <w:r>
        <w:t xml:space="preserve"> </w:t>
      </w:r>
      <w:r>
        <w:rPr>
          <w:rStyle w:val="VerbatimChar"/>
        </w:rPr>
        <w:t xml:space="preserve">j</w:t>
      </w:r>
      <w:r>
        <w:t xml:space="preserve">/</w:t>
      </w:r>
      <w:r>
        <w:rPr>
          <w:rStyle w:val="VerbatimChar"/>
        </w:rPr>
        <w:t xml:space="preserve">k</w:t>
      </w:r>
      <w:r>
        <w:t xml:space="preserve"> </w:t>
      </w:r>
      <w:r>
        <w:t xml:space="preserve">to move and</w:t>
      </w:r>
      <w:r>
        <w:t xml:space="preserve"> </w:t>
      </w:r>
      <w:r>
        <w:rPr>
          <w:rStyle w:val="VerbatimChar"/>
        </w:rPr>
        <w:t xml:space="preserve">a</w:t>
      </w:r>
      <w:r>
        <w:t xml:space="preserve"> </w:t>
      </w:r>
      <w:r>
        <w:t xml:space="preserve">to approve where the role permits; all screens meet WCAG 2.2 AA.</w:t>
      </w:r>
    </w:p>
    <w:p>
      <w:r>
        <w:pict>
          <v:rect style="width:0;height:1.5pt" o:hralign="center" o:hrstd="t" o:hr="t"/>
        </w:pict>
      </w:r>
    </w:p>
    <w:bookmarkStart w:id="116" w:name="X8d537b77b48963372b597d96d7f903178e635e3"/>
    <w:p>
      <w:pPr>
        <w:pStyle w:val="Heading2"/>
      </w:pPr>
      <w:r>
        <w:t xml:space="preserve">UP1. Partner onboarding and due-diligence workflow</w:t>
      </w:r>
    </w:p>
    <w:bookmarkStart w:id="107" w:name="purpose-and-scope"/>
    <w:p>
      <w:pPr>
        <w:pStyle w:val="Heading3"/>
      </w:pPr>
      <w:r>
        <w:t xml:space="preserve">Purpose and scope</w:t>
      </w:r>
    </w:p>
    <w:p>
      <w:pPr>
        <w:pStyle w:val="FirstParagraph"/>
      </w:pPr>
      <w:r>
        <w:t xml:space="preserve">One workflow takes a prospective lender from first proposal to live operation and keeps it under periodic review. It produces the evidence the RE needs for its own enhanced due diligence on Udofin (CF para 6(2); OUT paras 29–32), records Udofin’s counter-party diligence on the RE, and blocks go-live until every regulatory precondition is evidenced. It replaces the U1</w:t>
      </w:r>
      <w:r>
        <w:t xml:space="preserve"> </w:t>
      </w:r>
      <w:r>
        <w:t xml:space="preserve">“</w:t>
      </w:r>
      <w:r>
        <w:t xml:space="preserve">onboarding workflow</w:t>
      </w:r>
      <w:r>
        <w:t xml:space="preserve">”</w:t>
      </w:r>
      <w:r>
        <w:t xml:space="preserve"> </w:t>
      </w:r>
      <w:r>
        <w:t xml:space="preserve">bullet with a full state machine.</w:t>
      </w:r>
    </w:p>
    <w:bookmarkEnd w:id="107"/>
    <w:bookmarkStart w:id="108" w:name="deal-state-machine"/>
    <w:p>
      <w:pPr>
        <w:pStyle w:val="Heading3"/>
      </w:pPr>
      <w:r>
        <w:t xml:space="preserve">Deal state machine</w:t>
      </w:r>
    </w:p>
    <w:p>
      <w:pPr>
        <w:pStyle w:val="FirstParagraph"/>
      </w:pPr>
      <w:r>
        <w:rPr>
          <w:rStyle w:val="VerbatimChar"/>
        </w:rPr>
        <w:t xml:space="preserve">lender_deal</w:t>
      </w:r>
      <w:r>
        <w:t xml:space="preserve">:</w:t>
      </w:r>
      <w:r>
        <w:t xml:space="preserve"> </w:t>
      </w:r>
      <w:r>
        <w:rPr>
          <w:rStyle w:val="VerbatimChar"/>
        </w:rPr>
        <w:t xml:space="preserve">PROPOSED → DUE_DILIGENCE → LEGAL → TECHNICAL_CERTIFICATION → PILOT → ACTIVE</w:t>
      </w:r>
      <w:r>
        <w:t xml:space="preserve">, with</w:t>
      </w:r>
      <w:r>
        <w:t xml:space="preserve"> </w:t>
      </w:r>
      <w:r>
        <w:rPr>
          <w:rStyle w:val="VerbatimChar"/>
        </w:rPr>
        <w:t xml:space="preserve">PILOT</w:t>
      </w:r>
      <w:r>
        <w:t xml:space="preserve"> </w:t>
      </w:r>
      <w:r>
        <w:t xml:space="preserve">or</w:t>
      </w:r>
      <w:r>
        <w:t xml:space="preserve"> </w:t>
      </w:r>
      <w:r>
        <w:rPr>
          <w:rStyle w:val="VerbatimChar"/>
        </w:rPr>
        <w:t xml:space="preserve">ACTIVE ⇄ SUSPENDED</w:t>
      </w:r>
      <w:r>
        <w:t xml:space="preserve">, then</w:t>
      </w:r>
      <w:r>
        <w:t xml:space="preserve"> </w:t>
      </w:r>
      <w:r>
        <w:rPr>
          <w:rStyle w:val="VerbatimChar"/>
        </w:rPr>
        <w:t xml:space="preserve">TERMINATING → TERMINATED</w:t>
      </w:r>
      <w:r>
        <w:t xml:space="preserve">;</w:t>
      </w:r>
      <w:r>
        <w:t xml:space="preserve"> </w:t>
      </w:r>
      <w:r>
        <w:rPr>
          <w:rStyle w:val="VerbatimChar"/>
        </w:rPr>
        <w:t xml:space="preserve">WITHDRAWN</w:t>
      </w:r>
      <w:r>
        <w:t xml:space="preserve"> </w:t>
      </w:r>
      <w:r>
        <w:t xml:space="preserve">is reachable from</w:t>
      </w:r>
      <w:r>
        <w:t xml:space="preserve"> </w:t>
      </w:r>
      <w:r>
        <w:rPr>
          <w:rStyle w:val="VerbatimChar"/>
        </w:rPr>
        <w:t xml:space="preserve">PROPOSED</w:t>
      </w:r>
      <w:r>
        <w:t xml:space="preserve">,</w:t>
      </w:r>
      <w:r>
        <w:t xml:space="preserve"> </w:t>
      </w:r>
      <w:r>
        <w:rPr>
          <w:rStyle w:val="VerbatimChar"/>
        </w:rPr>
        <w:t xml:space="preserve">DUE_DILIGENCE</w:t>
      </w:r>
      <w:r>
        <w:t xml:space="preserve"> </w:t>
      </w:r>
      <w:r>
        <w:t xml:space="preserve">and</w:t>
      </w:r>
      <w:r>
        <w:t xml:space="preserve"> </w:t>
      </w:r>
      <w:r>
        <w:rPr>
          <w:rStyle w:val="VerbatimChar"/>
        </w:rPr>
        <w:t xml:space="preserve">LEGAL</w:t>
      </w:r>
      <w:r>
        <w:t xml:space="preserve">, and</w:t>
      </w:r>
      <w:r>
        <w:t xml:space="preserve"> </w:t>
      </w:r>
      <w:r>
        <w:rPr>
          <w:rStyle w:val="VerbatimChar"/>
        </w:rPr>
        <w:t xml:space="preserve">UNDER_REVIEW</w:t>
      </w:r>
      <w:r>
        <w:t xml:space="preserve"> </w:t>
      </w:r>
      <w:r>
        <w:t xml:space="preserve">is an overlay flag on</w:t>
      </w:r>
      <w:r>
        <w:t xml:space="preserve"> </w:t>
      </w:r>
      <w:r>
        <w:rPr>
          <w:rStyle w:val="VerbatimChar"/>
        </w:rPr>
        <w:t xml:space="preserve">PILOT</w:t>
      </w:r>
      <w:r>
        <w:t xml:space="preserve"> </w:t>
      </w:r>
      <w:r>
        <w:t xml:space="preserve">or</w:t>
      </w:r>
      <w:r>
        <w:t xml:space="preserve"> </w:t>
      </w:r>
      <w:r>
        <w:rPr>
          <w:rStyle w:val="VerbatimChar"/>
        </w:rPr>
        <w:t xml:space="preserve">ACTIVE</w:t>
      </w:r>
      <w:r>
        <w:t xml:space="preserve"> </w:t>
      </w:r>
      <w:r>
        <w:t xml:space="preserve">that never stops service.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26"/>
        <w:gridCol w:w="4194"/>
        <w:gridCol w:w="2239"/>
        <w:gridCol w:w="1679"/>
      </w:tblGrid>
      <w:tr>
        <w:trPr>
          <w:tblHeader w:val="true"/>
          <w:tblHeader w:val="true"/>
        </w:trPr>
        <w:tc>
          <w:tcPr>
            <w:tcW w:w="1526" w:type="dxa"/>
            <w:shd w:val="clear" w:color="auto" w:fill="1F3A5F"/>
          </w:tcPr>
          <w:p>
            <w:pPr>
              <w:pStyle w:val="Compact"/>
              <w:spacing w:after="40"/>
              <w:jc w:val="left"/>
            </w:pPr>
            <w:r>
              <w:rPr>
                <w:b/>
                <w:color w:val="FFFFFF"/>
                <w:sz w:val="18"/>
              </w:rPr>
              <w:t xml:space="preserve">Transition</w:t>
            </w:r>
          </w:p>
        </w:tc>
        <w:tc>
          <w:tcPr>
            <w:tcW w:w="4194" w:type="dxa"/>
            <w:shd w:val="clear" w:color="auto" w:fill="1F3A5F"/>
          </w:tcPr>
          <w:p>
            <w:pPr>
              <w:pStyle w:val="Compact"/>
              <w:spacing w:after="40"/>
              <w:jc w:val="left"/>
            </w:pPr>
            <w:r>
              <w:rPr>
                <w:b/>
                <w:color w:val="FFFFFF"/>
                <w:sz w:val="18"/>
              </w:rPr>
              <w:t xml:space="preserve">Gate (all must pass; fail closed)</w:t>
            </w:r>
          </w:p>
        </w:tc>
        <w:tc>
          <w:tcPr>
            <w:tcW w:w="2239" w:type="dxa"/>
            <w:shd w:val="clear" w:color="auto" w:fill="1F3A5F"/>
          </w:tcPr>
          <w:p>
            <w:pPr>
              <w:pStyle w:val="Compact"/>
              <w:spacing w:after="40"/>
              <w:jc w:val="left"/>
            </w:pPr>
            <w:r>
              <w:rPr>
                <w:b/>
                <w:color w:val="FFFFFF"/>
                <w:sz w:val="18"/>
              </w:rPr>
              <w:t xml:space="preserve">Evidence captured</w:t>
            </w:r>
          </w:p>
        </w:tc>
        <w:tc>
          <w:tcPr>
            <w:tcW w:w="1679" w:type="dxa"/>
            <w:shd w:val="clear" w:color="auto" w:fill="1F3A5F"/>
          </w:tcPr>
          <w:p>
            <w:pPr>
              <w:pStyle w:val="Compact"/>
              <w:spacing w:after="40"/>
              <w:jc w:val="left"/>
            </w:pPr>
            <w:r>
              <w:rPr>
                <w:b/>
                <w:color w:val="FFFFFF"/>
                <w:sz w:val="18"/>
              </w:rPr>
              <w:t xml:space="preserve">Event</w:t>
            </w:r>
          </w:p>
        </w:tc>
      </w:tr>
      <w:tr>
        <w:tc>
          <w:tcPr>
            <w:tcW w:w="1526" w:type="dxa"/>
          </w:tcPr>
          <w:p>
            <w:pPr>
              <w:pStyle w:val="Compact"/>
              <w:spacing w:after="40"/>
              <w:jc w:val="left"/>
            </w:pPr>
            <w:r>
              <w:rPr>
                <w:sz w:val="18"/>
              </w:rPr>
              <w:t xml:space="preserve">(new) → PROPOSED</w:t>
            </w:r>
          </w:p>
        </w:tc>
        <w:tc>
          <w:tcPr>
            <w:tcW w:w="4194" w:type="dxa"/>
          </w:tcPr>
          <w:p>
            <w:pPr>
              <w:pStyle w:val="Compact"/>
              <w:spacing w:after="40"/>
              <w:jc w:val="left"/>
            </w:pPr>
            <w:r>
              <w:rPr>
                <w:sz w:val="18"/>
              </w:rPr>
              <w:t xml:space="preserve">Lender class identified (RE or non-RE); RE type and layer from the RBI CoR or registry certificate; conflict pre-check (OUT para 18(vi)); NDA executed</w:t>
            </w:r>
          </w:p>
        </w:tc>
        <w:tc>
          <w:tcPr>
            <w:tcW w:w="2239" w:type="dxa"/>
          </w:tcPr>
          <w:p>
            <w:pPr>
              <w:pStyle w:val="Compact"/>
              <w:spacing w:after="40"/>
              <w:jc w:val="left"/>
            </w:pPr>
            <w:r>
              <w:rPr>
                <w:sz w:val="18"/>
              </w:rPr>
              <w:t xml:space="preserve">Proposal record, CoR or registration certificate, NDA</w:t>
            </w:r>
          </w:p>
        </w:tc>
        <w:tc>
          <w:tcPr>
            <w:tcW w:w="1679" w:type="dxa"/>
          </w:tcPr>
          <w:p>
            <w:pPr>
              <w:pStyle w:val="Compact"/>
              <w:spacing w:after="40"/>
              <w:jc w:val="left"/>
            </w:pPr>
            <w:r>
              <w:rPr>
                <w:rStyle w:val="VerbatimChar"/>
                <w:sz w:val="18"/>
              </w:rPr>
              <w:t xml:space="preserve">LenderDealProposed</w:t>
            </w:r>
          </w:p>
        </w:tc>
      </w:tr>
      <w:tr>
        <w:tc>
          <w:tcPr>
            <w:tcW w:w="1526" w:type="dxa"/>
          </w:tcPr>
          <w:p>
            <w:pPr>
              <w:pStyle w:val="Compact"/>
              <w:spacing w:after="40"/>
              <w:jc w:val="left"/>
            </w:pPr>
            <w:r>
              <w:rPr>
                <w:sz w:val="18"/>
              </w:rPr>
              <w:t xml:space="preserve">PROPOSED → DUE_DILIGENCE</w:t>
            </w:r>
          </w:p>
        </w:tc>
        <w:tc>
          <w:tcPr>
            <w:tcW w:w="4194" w:type="dxa"/>
          </w:tcPr>
          <w:p>
            <w:pPr>
              <w:pStyle w:val="Compact"/>
              <w:spacing w:after="40"/>
              <w:jc w:val="left"/>
            </w:pPr>
            <w:r>
              <w:rPr>
                <w:sz w:val="18"/>
              </w:rPr>
              <w:t xml:space="preserve">Udofin’s DD pack published (below); RE questionnaire received</w:t>
            </w:r>
          </w:p>
        </w:tc>
        <w:tc>
          <w:tcPr>
            <w:tcW w:w="2239" w:type="dxa"/>
          </w:tcPr>
          <w:p>
            <w:pPr>
              <w:pStyle w:val="Compact"/>
              <w:spacing w:after="40"/>
              <w:jc w:val="left"/>
            </w:pPr>
            <w:r>
              <w:rPr>
                <w:sz w:val="18"/>
              </w:rPr>
              <w:t xml:space="preserve">Pack hash, delivery receipt</w:t>
            </w:r>
          </w:p>
        </w:tc>
        <w:tc>
          <w:tcPr>
            <w:tcW w:w="1679" w:type="dxa"/>
          </w:tcPr>
          <w:p>
            <w:pPr>
              <w:pStyle w:val="Compact"/>
              <w:spacing w:after="40"/>
              <w:jc w:val="left"/>
            </w:pPr>
            <w:r>
              <w:rPr>
                <w:sz w:val="18"/>
              </w:rPr>
              <w:t xml:space="preserve">—</w:t>
            </w:r>
          </w:p>
        </w:tc>
      </w:tr>
      <w:tr>
        <w:tc>
          <w:tcPr>
            <w:tcW w:w="1526" w:type="dxa"/>
          </w:tcPr>
          <w:p>
            <w:pPr>
              <w:pStyle w:val="Compact"/>
              <w:spacing w:after="40"/>
              <w:jc w:val="left"/>
            </w:pPr>
            <w:r>
              <w:rPr>
                <w:sz w:val="18"/>
              </w:rPr>
              <w:t xml:space="preserve">DUE_DILIGENCE → LEGAL</w:t>
            </w:r>
          </w:p>
        </w:tc>
        <w:tc>
          <w:tcPr>
            <w:tcW w:w="4194" w:type="dxa"/>
          </w:tcPr>
          <w:p>
            <w:pPr>
              <w:pStyle w:val="Compact"/>
              <w:spacing w:after="40"/>
              <w:jc w:val="left"/>
            </w:pPr>
            <w:r>
              <w:rPr>
                <w:sz w:val="18"/>
              </w:rPr>
              <w:t xml:space="preserve">RE confirms DD complete and records its materiality assessment (OUT para 14) and approving authority under its Board outsourcing policy (OUT para 20(ii)); Udofin’s counter-party DD passed or exceptions approved by Udofin’s compliance head</w:t>
            </w:r>
          </w:p>
        </w:tc>
        <w:tc>
          <w:tcPr>
            <w:tcW w:w="2239" w:type="dxa"/>
          </w:tcPr>
          <w:p>
            <w:pPr>
              <w:pStyle w:val="Compact"/>
              <w:spacing w:after="40"/>
              <w:jc w:val="left"/>
            </w:pPr>
            <w:r>
              <w:rPr>
                <w:sz w:val="18"/>
              </w:rPr>
              <w:t xml:space="preserve">RE DD completion letter, materiality note, Udofin DD result</w:t>
            </w:r>
          </w:p>
        </w:tc>
        <w:tc>
          <w:tcPr>
            <w:tcW w:w="1679" w:type="dxa"/>
          </w:tcPr>
          <w:p>
            <w:pPr>
              <w:pStyle w:val="Compact"/>
              <w:spacing w:after="40"/>
              <w:jc w:val="left"/>
            </w:pPr>
            <w:r>
              <w:rPr>
                <w:sz w:val="18"/>
              </w:rPr>
              <w:t xml:space="preserve">—</w:t>
            </w:r>
          </w:p>
        </w:tc>
      </w:tr>
      <w:tr>
        <w:tc>
          <w:tcPr>
            <w:tcW w:w="1526" w:type="dxa"/>
          </w:tcPr>
          <w:p>
            <w:pPr>
              <w:pStyle w:val="Compact"/>
              <w:spacing w:after="40"/>
              <w:jc w:val="left"/>
            </w:pPr>
            <w:r>
              <w:rPr>
                <w:sz w:val="18"/>
              </w:rPr>
              <w:t xml:space="preserve">LEGAL → TECHNICAL_CERTIFICATION</w:t>
            </w:r>
          </w:p>
        </w:tc>
        <w:tc>
          <w:tcPr>
            <w:tcW w:w="4194" w:type="dxa"/>
          </w:tcPr>
          <w:p>
            <w:pPr>
              <w:pStyle w:val="Compact"/>
              <w:spacing w:after="40"/>
              <w:jc w:val="left"/>
            </w:pPr>
            <w:r>
              <w:rPr>
                <w:sz w:val="18"/>
              </w:rPr>
              <w:t xml:space="preserve">LSP agreement executed with every OUT para 34 clause and, for IT scope, para 74 clause marked present in the clause matrix (</w:t>
            </w:r>
            <w:r>
              <w:rPr>
                <w:rStyle w:val="VerbatimChar"/>
                <w:sz w:val="18"/>
              </w:rPr>
              <w:t xml:space="preserve">outsourcing_clause_check</w:t>
            </w:r>
            <w:r>
              <w:rPr>
                <w:sz w:val="18"/>
              </w:rPr>
              <w:t xml:space="preserve">); DPA executed; DLG agreement if chosen (CF para 22); recovery-agent contract if chosen (CF para 6(5)); counsel vetting recorded by the RE (OUT para 33)</w:t>
            </w:r>
          </w:p>
        </w:tc>
        <w:tc>
          <w:tcPr>
            <w:tcW w:w="2239" w:type="dxa"/>
          </w:tcPr>
          <w:p>
            <w:pPr>
              <w:pStyle w:val="Compact"/>
              <w:spacing w:after="40"/>
              <w:jc w:val="left"/>
            </w:pPr>
            <w:r>
              <w:rPr>
                <w:sz w:val="18"/>
              </w:rPr>
              <w:t xml:space="preserve">Executed agreements (hashes), clause matrix, counsel vetting reference</w:t>
            </w:r>
          </w:p>
        </w:tc>
        <w:tc>
          <w:tcPr>
            <w:tcW w:w="1679" w:type="dxa"/>
          </w:tcPr>
          <w:p>
            <w:pPr>
              <w:pStyle w:val="Compact"/>
              <w:spacing w:after="40"/>
              <w:jc w:val="left"/>
            </w:pPr>
            <w:r>
              <w:rPr>
                <w:rStyle w:val="VerbatimChar"/>
                <w:sz w:val="18"/>
              </w:rPr>
              <w:t xml:space="preserve">LenderDealApproved</w:t>
            </w:r>
          </w:p>
        </w:tc>
      </w:tr>
      <w:tr>
        <w:tc>
          <w:tcPr>
            <w:tcW w:w="1526" w:type="dxa"/>
          </w:tcPr>
          <w:p>
            <w:pPr>
              <w:pStyle w:val="Compact"/>
              <w:spacing w:after="40"/>
              <w:jc w:val="left"/>
            </w:pPr>
            <w:r>
              <w:rPr>
                <w:sz w:val="18"/>
              </w:rPr>
              <w:t xml:space="preserve">TECHNICAL_CERTIFICATION → PILOT</w:t>
            </w:r>
          </w:p>
        </w:tc>
        <w:tc>
          <w:tcPr>
            <w:tcW w:w="4194" w:type="dxa"/>
          </w:tcPr>
          <w:p>
            <w:pPr>
              <w:pStyle w:val="Compact"/>
              <w:spacing w:after="40"/>
              <w:jc w:val="left"/>
            </w:pPr>
            <w:r>
              <w:rPr>
                <w:sz w:val="18"/>
              </w:rPr>
              <w:t xml:space="preserve">Connector certification passed (Part 5.3;</w:t>
            </w:r>
            <w:r>
              <w:rPr>
                <w:sz w:val="18"/>
              </w:rPr>
              <w:t xml:space="preserve"> </w:t>
            </w:r>
            <w:r>
              <w:rPr>
                <w:rStyle w:val="VerbatimChar"/>
                <w:sz w:val="18"/>
              </w:rPr>
              <w:t xml:space="preserve">ConnectorCertified</w:t>
            </w:r>
            <w:r>
              <w:rPr>
                <w:sz w:val="18"/>
              </w:rPr>
              <w:t xml:space="preserve">); deal configuration version approved by both sides (UP2); products published and approved (U2);</w:t>
            </w:r>
            <w:r>
              <w:rPr>
                <w:sz w:val="18"/>
              </w:rPr>
              <w:t xml:space="preserve"> </w:t>
            </w:r>
            <w:r>
              <w:rPr>
                <w:bCs/>
                <w:b/>
                <w:sz w:val="18"/>
              </w:rPr>
              <w:t xml:space="preserve">RE has reported each Udofin DLA on CIMS</w:t>
            </w:r>
            <w:r>
              <w:rPr>
                <w:sz w:val="18"/>
              </w:rPr>
              <w:t xml:space="preserve"> </w:t>
            </w:r>
            <w:r>
              <w:rPr>
                <w:sz w:val="18"/>
              </w:rPr>
              <w:t xml:space="preserve">and uploaded acknowledgement evidence (CF para 18(1)–(2));</w:t>
            </w:r>
            <w:r>
              <w:rPr>
                <w:sz w:val="18"/>
              </w:rPr>
              <w:t xml:space="preserve"> </w:t>
            </w:r>
            <w:r>
              <w:rPr>
                <w:bCs/>
                <w:b/>
                <w:sz w:val="18"/>
              </w:rPr>
              <w:t xml:space="preserve">RE website disclosure page lists Udofin, its DLAs and activities</w:t>
            </w:r>
            <w:r>
              <w:rPr>
                <w:sz w:val="18"/>
              </w:rPr>
              <w:t xml:space="preserve"> </w:t>
            </w:r>
            <w:r>
              <w:rPr>
                <w:sz w:val="18"/>
              </w:rPr>
              <w:t xml:space="preserve">(CF para 9(4)); app-store listing names the RE as partner (Google Play India personal-loan policy) [VERIFY current policy text]; GRO and nodal-officer contacts live on DLA and in the KFS template (CF para 12(2)); current redress profile (UB-C09)</w:t>
            </w:r>
          </w:p>
        </w:tc>
        <w:tc>
          <w:tcPr>
            <w:tcW w:w="2239" w:type="dxa"/>
          </w:tcPr>
          <w:p>
            <w:pPr>
              <w:pStyle w:val="Compact"/>
              <w:spacing w:after="40"/>
              <w:jc w:val="left"/>
            </w:pPr>
            <w:r>
              <w:rPr>
                <w:sz w:val="18"/>
              </w:rPr>
              <w:t xml:space="preserve">CIMS acknowledgement, website screenshot with timestamp and URL hash, store listing snapshot, certification report</w:t>
            </w:r>
          </w:p>
        </w:tc>
        <w:tc>
          <w:tcPr>
            <w:tcW w:w="1679" w:type="dxa"/>
          </w:tcPr>
          <w:p>
            <w:pPr>
              <w:pStyle w:val="Compact"/>
              <w:spacing w:after="40"/>
              <w:jc w:val="left"/>
            </w:pPr>
            <w:r>
              <w:rPr>
                <w:rStyle w:val="VerbatimChar"/>
                <w:sz w:val="18"/>
              </w:rPr>
              <w:t xml:space="preserve">LenderDealActivated</w:t>
            </w:r>
            <w:r>
              <w:rPr>
                <w:sz w:val="18"/>
              </w:rPr>
              <w:t xml:space="preserve"> </w:t>
            </w:r>
            <w:r>
              <w:rPr>
                <w:sz w:val="18"/>
              </w:rPr>
              <w:t xml:space="preserve">(</w:t>
            </w:r>
            <w:r>
              <w:rPr>
                <w:rStyle w:val="VerbatimChar"/>
                <w:sz w:val="18"/>
              </w:rPr>
              <w:t xml:space="preserve">mode = PILOT</w:t>
            </w:r>
            <w:r>
              <w:rPr>
                <w:sz w:val="18"/>
              </w:rPr>
              <w:t xml:space="preserve">,</w:t>
            </w:r>
            <w:r>
              <w:rPr>
                <w:sz w:val="18"/>
              </w:rPr>
              <w:t xml:space="preserve"> </w:t>
            </w:r>
            <w:r>
              <w:rPr>
                <w:rStyle w:val="VerbatimChar"/>
                <w:sz w:val="18"/>
              </w:rPr>
              <w:t xml:space="preserve">resumed = false</w:t>
            </w:r>
            <w:r>
              <w:rPr>
                <w:sz w:val="18"/>
              </w:rPr>
              <w:t xml:space="preserve">)</w:t>
            </w:r>
          </w:p>
        </w:tc>
      </w:tr>
      <w:tr>
        <w:tc>
          <w:tcPr>
            <w:tcW w:w="1526" w:type="dxa"/>
          </w:tcPr>
          <w:p>
            <w:pPr>
              <w:pStyle w:val="Compact"/>
              <w:spacing w:after="40"/>
              <w:jc w:val="left"/>
            </w:pPr>
            <w:r>
              <w:rPr>
                <w:sz w:val="18"/>
              </w:rPr>
              <w:t xml:space="preserve">PILOT → ACTIVE</w:t>
            </w:r>
          </w:p>
        </w:tc>
        <w:tc>
          <w:tcPr>
            <w:tcW w:w="4194" w:type="dxa"/>
          </w:tcPr>
          <w:p>
            <w:pPr>
              <w:pStyle w:val="Compact"/>
              <w:spacing w:after="40"/>
              <w:jc w:val="left"/>
            </w:pPr>
            <w:r>
              <w:rPr>
                <w:sz w:val="18"/>
              </w:rPr>
              <w:t xml:space="preserve">Pilot exit criteria met (below); RE sign-off; Udofin compliance sign-off</w:t>
            </w:r>
          </w:p>
        </w:tc>
        <w:tc>
          <w:tcPr>
            <w:tcW w:w="2239" w:type="dxa"/>
          </w:tcPr>
          <w:p>
            <w:pPr>
              <w:pStyle w:val="Compact"/>
              <w:spacing w:after="40"/>
              <w:jc w:val="left"/>
            </w:pPr>
            <w:r>
              <w:rPr>
                <w:sz w:val="18"/>
              </w:rPr>
              <w:t xml:space="preserve">Pilot report</w:t>
            </w:r>
          </w:p>
        </w:tc>
        <w:tc>
          <w:tcPr>
            <w:tcW w:w="1679" w:type="dxa"/>
          </w:tcPr>
          <w:p>
            <w:pPr>
              <w:pStyle w:val="Compact"/>
              <w:spacing w:after="40"/>
              <w:jc w:val="left"/>
            </w:pPr>
            <w:r>
              <w:rPr>
                <w:rStyle w:val="VerbatimChar"/>
                <w:sz w:val="18"/>
              </w:rPr>
              <w:t xml:space="preserve">LenderDealActivated</w:t>
            </w:r>
            <w:r>
              <w:rPr>
                <w:sz w:val="18"/>
              </w:rPr>
              <w:t xml:space="preserve"> </w:t>
            </w:r>
            <w:r>
              <w:rPr>
                <w:sz w:val="18"/>
              </w:rPr>
              <w:t xml:space="preserve">(</w:t>
            </w:r>
            <w:r>
              <w:rPr>
                <w:rStyle w:val="VerbatimChar"/>
                <w:sz w:val="18"/>
              </w:rPr>
              <w:t xml:space="preserve">mode = GENERAL</w:t>
            </w:r>
            <w:r>
              <w:rPr>
                <w:sz w:val="18"/>
              </w:rPr>
              <w:t xml:space="preserve">,</w:t>
            </w:r>
            <w:r>
              <w:rPr>
                <w:sz w:val="18"/>
              </w:rPr>
              <w:t xml:space="preserve"> </w:t>
            </w:r>
            <w:r>
              <w:rPr>
                <w:rStyle w:val="VerbatimChar"/>
                <w:sz w:val="18"/>
              </w:rPr>
              <w:t xml:space="preserve">resumed = false</w:t>
            </w:r>
            <w:r>
              <w:rPr>
                <w:sz w:val="18"/>
              </w:rPr>
              <w:t xml:space="preserve">)</w:t>
            </w:r>
          </w:p>
        </w:tc>
      </w:tr>
      <w:tr>
        <w:tc>
          <w:tcPr>
            <w:tcW w:w="1526" w:type="dxa"/>
          </w:tcPr>
          <w:p>
            <w:pPr>
              <w:pStyle w:val="Compact"/>
              <w:spacing w:after="40"/>
              <w:jc w:val="left"/>
            </w:pPr>
            <w:r>
              <w:rPr>
                <w:sz w:val="18"/>
              </w:rPr>
              <w:t xml:space="preserve">PILOT or ACTIVE → SUSPENDED</w:t>
            </w:r>
          </w:p>
        </w:tc>
        <w:tc>
          <w:tcPr>
            <w:tcW w:w="4194" w:type="dxa"/>
          </w:tcPr>
          <w:p>
            <w:pPr>
              <w:pStyle w:val="Compact"/>
              <w:spacing w:after="40"/>
              <w:jc w:val="left"/>
            </w:pPr>
            <w:r>
              <w:rPr>
                <w:sz w:val="18"/>
              </w:rPr>
              <w:t xml:space="preserve">RE suspension switch (OUT paras 17, 43), Udofin suspension (UP5), regulatory trigger</w:t>
            </w:r>
          </w:p>
        </w:tc>
        <w:tc>
          <w:tcPr>
            <w:tcW w:w="2239" w:type="dxa"/>
          </w:tcPr>
          <w:p>
            <w:pPr>
              <w:pStyle w:val="Compact"/>
              <w:spacing w:after="40"/>
              <w:jc w:val="left"/>
            </w:pPr>
            <w:r>
              <w:rPr>
                <w:sz w:val="18"/>
              </w:rPr>
              <w:t xml:space="preserve">Reason code, suspension type (UP5)</w:t>
            </w:r>
          </w:p>
        </w:tc>
        <w:tc>
          <w:tcPr>
            <w:tcW w:w="1679" w:type="dxa"/>
          </w:tcPr>
          <w:p>
            <w:pPr>
              <w:pStyle w:val="Compact"/>
              <w:spacing w:after="40"/>
              <w:jc w:val="left"/>
            </w:pPr>
            <w:r>
              <w:rPr>
                <w:rStyle w:val="VerbatimChar"/>
                <w:sz w:val="18"/>
              </w:rPr>
              <w:t xml:space="preserve">LenderDealSuspended</w:t>
            </w:r>
          </w:p>
        </w:tc>
      </w:tr>
      <w:tr>
        <w:tc>
          <w:tcPr>
            <w:tcW w:w="1526" w:type="dxa"/>
          </w:tcPr>
          <w:p>
            <w:pPr>
              <w:pStyle w:val="Compact"/>
              <w:spacing w:after="40"/>
              <w:jc w:val="left"/>
            </w:pPr>
            <w:r>
              <w:rPr>
                <w:sz w:val="18"/>
              </w:rPr>
              <w:t xml:space="preserve">SUSPENDED → PILOT or ACTIVE (state before suspension)</w:t>
            </w:r>
          </w:p>
        </w:tc>
        <w:tc>
          <w:tcPr>
            <w:tcW w:w="4194" w:type="dxa"/>
          </w:tcPr>
          <w:p>
            <w:pPr>
              <w:pStyle w:val="Compact"/>
              <w:spacing w:after="40"/>
              <w:jc w:val="left"/>
            </w:pPr>
            <w:r>
              <w:rPr>
                <w:sz w:val="18"/>
              </w:rPr>
              <w:t xml:space="preserve">Cause cured and both sides approve</w:t>
            </w:r>
          </w:p>
        </w:tc>
        <w:tc>
          <w:tcPr>
            <w:tcW w:w="2239" w:type="dxa"/>
          </w:tcPr>
          <w:p>
            <w:pPr>
              <w:pStyle w:val="Compact"/>
              <w:spacing w:after="40"/>
              <w:jc w:val="left"/>
            </w:pPr>
            <w:r>
              <w:rPr>
                <w:sz w:val="18"/>
              </w:rPr>
              <w:t xml:space="preserve">Cure evidence</w:t>
            </w:r>
          </w:p>
        </w:tc>
        <w:tc>
          <w:tcPr>
            <w:tcW w:w="1679" w:type="dxa"/>
          </w:tcPr>
          <w:p>
            <w:pPr>
              <w:pStyle w:val="Compact"/>
              <w:spacing w:after="40"/>
              <w:jc w:val="left"/>
            </w:pPr>
            <w:r>
              <w:rPr>
                <w:rStyle w:val="VerbatimChar"/>
                <w:sz w:val="18"/>
              </w:rPr>
              <w:t xml:space="preserve">LenderDealActivated</w:t>
            </w:r>
            <w:r>
              <w:rPr>
                <w:sz w:val="18"/>
              </w:rPr>
              <w:t xml:space="preserve"> </w:t>
            </w:r>
            <w:r>
              <w:rPr>
                <w:sz w:val="18"/>
              </w:rPr>
              <w:t xml:space="preserve">(</w:t>
            </w:r>
            <w:r>
              <w:rPr>
                <w:rStyle w:val="VerbatimChar"/>
                <w:sz w:val="18"/>
              </w:rPr>
              <w:t xml:space="preserve">mode</w:t>
            </w:r>
            <w:r>
              <w:rPr>
                <w:sz w:val="18"/>
              </w:rPr>
              <w:t xml:space="preserve"> </w:t>
            </w:r>
            <w:r>
              <w:rPr>
                <w:sz w:val="18"/>
              </w:rPr>
              <w:t xml:space="preserve">of the restored state,</w:t>
            </w:r>
            <w:r>
              <w:rPr>
                <w:sz w:val="18"/>
              </w:rPr>
              <w:t xml:space="preserve"> </w:t>
            </w:r>
            <w:r>
              <w:rPr>
                <w:rStyle w:val="VerbatimChar"/>
                <w:sz w:val="18"/>
              </w:rPr>
              <w:t xml:space="preserve">resumed = true</w:t>
            </w:r>
            <w:r>
              <w:rPr>
                <w:sz w:val="18"/>
              </w:rPr>
              <w:t xml:space="preserve">)</w:t>
            </w:r>
          </w:p>
        </w:tc>
      </w:tr>
      <w:tr>
        <w:tc>
          <w:tcPr>
            <w:tcW w:w="1526" w:type="dxa"/>
          </w:tcPr>
          <w:p>
            <w:pPr>
              <w:pStyle w:val="Compact"/>
              <w:spacing w:after="40"/>
              <w:jc w:val="left"/>
            </w:pPr>
            <w:r>
              <w:rPr>
                <w:sz w:val="18"/>
              </w:rPr>
              <w:t xml:space="preserve">PILOT, ACTIVE or SUSPENDED → TERMINATING → TERMINATED</w:t>
            </w:r>
          </w:p>
        </w:tc>
        <w:tc>
          <w:tcPr>
            <w:tcW w:w="4194" w:type="dxa"/>
          </w:tcPr>
          <w:p>
            <w:pPr>
              <w:pStyle w:val="Compact"/>
              <w:spacing w:after="40"/>
              <w:jc w:val="left"/>
            </w:pPr>
            <w:r>
              <w:rPr>
                <w:sz w:val="18"/>
              </w:rPr>
              <w:t xml:space="preserve">Exit plan approved and executed (UP5)</w:t>
            </w:r>
          </w:p>
        </w:tc>
        <w:tc>
          <w:tcPr>
            <w:tcW w:w="2239" w:type="dxa"/>
          </w:tcPr>
          <w:p>
            <w:pPr>
              <w:pStyle w:val="Compact"/>
              <w:spacing w:after="40"/>
              <w:jc w:val="left"/>
            </w:pPr>
            <w:r>
              <w:rPr>
                <w:sz w:val="18"/>
              </w:rPr>
              <w:t xml:space="preserve">Exit plan, data-return certificate</w:t>
            </w:r>
          </w:p>
        </w:tc>
        <w:tc>
          <w:tcPr>
            <w:tcW w:w="1679" w:type="dxa"/>
          </w:tcPr>
          <w:p>
            <w:pPr>
              <w:pStyle w:val="Compact"/>
              <w:spacing w:after="40"/>
              <w:jc w:val="left"/>
            </w:pPr>
            <w:r>
              <w:rPr>
                <w:rStyle w:val="VerbatimChar"/>
                <w:sz w:val="18"/>
              </w:rPr>
              <w:t xml:space="preserve">LenderDealTerminated</w:t>
            </w:r>
            <w:r>
              <w:rPr>
                <w:sz w:val="18"/>
              </w:rPr>
              <w:t xml:space="preserve"> </w:t>
            </w:r>
            <w:r>
              <w:rPr>
                <w:sz w:val="18"/>
              </w:rPr>
              <w:t xml:space="preserve">on entering TERMINATED</w:t>
            </w:r>
          </w:p>
        </w:tc>
      </w:tr>
    </w:tbl>
    <w:p>
      <w:pPr>
        <w:pStyle w:val="BodyText"/>
      </w:pPr>
      <w:r>
        <w:rPr>
          <w:bCs/>
          <w:b/>
        </w:rPr>
        <w:t xml:space="preserve">Rules.</w:t>
      </w:r>
    </w:p>
    <w:p>
      <w:pPr>
        <w:numPr>
          <w:ilvl w:val="0"/>
          <w:numId w:val="1064"/>
        </w:numPr>
        <w:pStyle w:val="Compact"/>
      </w:pPr>
      <w:r>
        <w:t xml:space="preserve">No borrower-facing journey, offer or communication for a lender exists before</w:t>
      </w:r>
      <w:r>
        <w:t xml:space="preserve"> </w:t>
      </w:r>
      <w:r>
        <w:rPr>
          <w:rStyle w:val="VerbatimChar"/>
        </w:rPr>
        <w:t xml:space="preserve">LenderDealActivated</w:t>
      </w:r>
      <w:r>
        <w:t xml:space="preserve"> </w:t>
      </w:r>
      <w:r>
        <w:t xml:space="preserve">with</w:t>
      </w:r>
      <w:r>
        <w:t xml:space="preserve"> </w:t>
      </w:r>
      <w:r>
        <w:rPr>
          <w:rStyle w:val="VerbatimChar"/>
        </w:rPr>
        <w:t xml:space="preserve">mode = PILOT</w:t>
      </w:r>
      <w:r>
        <w:t xml:space="preserve">. The activity gate in U1 reads the deal state, not only the agreement.</w:t>
      </w:r>
    </w:p>
    <w:p>
      <w:pPr>
        <w:numPr>
          <w:ilvl w:val="0"/>
          <w:numId w:val="1064"/>
        </w:numPr>
        <w:pStyle w:val="Compact"/>
      </w:pPr>
      <w:r>
        <w:t xml:space="preserve">Each transition is maker-checker inside Udofin and records the RE approver’s name, role and authority reference (</w:t>
      </w:r>
      <w:r>
        <w:rPr>
          <w:rStyle w:val="VerbatimChar"/>
        </w:rPr>
        <w:t xml:space="preserve">re_change_approval</w:t>
      </w:r>
      <w:r>
        <w:t xml:space="preserve">, received through</w:t>
      </w:r>
      <w:r>
        <w:t xml:space="preserve"> </w:t>
      </w:r>
      <w:r>
        <w:rPr>
          <w:rStyle w:val="VerbatimChar"/>
        </w:rPr>
        <w:t xml:space="preserve">POST /v1/deals/{id}/approvals</w:t>
      </w:r>
      <w:r>
        <w:t xml:space="preserve"> </w:t>
      </w:r>
      <w:r>
        <w:t xml:space="preserve">or the lender portal). A rejected gate returns the deal to the same state with the failing items named; nothing is partially applied.</w:t>
      </w:r>
    </w:p>
    <w:p>
      <w:pPr>
        <w:numPr>
          <w:ilvl w:val="0"/>
          <w:numId w:val="1064"/>
        </w:numPr>
        <w:pStyle w:val="Compact"/>
      </w:pPr>
      <w:r>
        <w:t xml:space="preserve">Timers: a deal idle in</w:t>
      </w:r>
      <w:r>
        <w:t xml:space="preserve"> </w:t>
      </w:r>
      <w:r>
        <w:rPr>
          <w:rStyle w:val="VerbatimChar"/>
        </w:rPr>
        <w:t xml:space="preserve">PROPOSED</w:t>
      </w:r>
      <w:r>
        <w:t xml:space="preserve">,</w:t>
      </w:r>
      <w:r>
        <w:t xml:space="preserve"> </w:t>
      </w:r>
      <w:r>
        <w:rPr>
          <w:rStyle w:val="VerbatimChar"/>
        </w:rPr>
        <w:t xml:space="preserve">DUE_DILIGENCE</w:t>
      </w:r>
      <w:r>
        <w:t xml:space="preserve"> </w:t>
      </w:r>
      <w:r>
        <w:t xml:space="preserve">or</w:t>
      </w:r>
      <w:r>
        <w:t xml:space="preserve"> </w:t>
      </w:r>
      <w:r>
        <w:rPr>
          <w:rStyle w:val="VerbatimChar"/>
        </w:rPr>
        <w:t xml:space="preserve">LEGAL</w:t>
      </w:r>
      <w:r>
        <w:t xml:space="preserve"> </w:t>
      </w:r>
      <w:r>
        <w:t xml:space="preserve">for 90 days raises a reminder to both owners and, after 180 days, a proposal to withdraw [REC];</w:t>
      </w:r>
      <w:r>
        <w:t xml:space="preserve"> </w:t>
      </w:r>
      <w:r>
        <w:rPr>
          <w:rStyle w:val="VerbatimChar"/>
        </w:rPr>
        <w:t xml:space="preserve">PILOT</w:t>
      </w:r>
      <w:r>
        <w:t xml:space="preserve"> </w:t>
      </w:r>
      <w:r>
        <w:t xml:space="preserve">ends on the pilot plan’s end date with an exit decision (go-live, extend once by up to 90 days, or terminate).</w:t>
      </w:r>
    </w:p>
    <w:p>
      <w:pPr>
        <w:numPr>
          <w:ilvl w:val="0"/>
          <w:numId w:val="1064"/>
        </w:numPr>
        <w:pStyle w:val="Compact"/>
      </w:pPr>
      <w:r>
        <w:rPr>
          <w:rStyle w:val="VerbatimChar"/>
        </w:rPr>
        <w:t xml:space="preserve">LenderDealSuspended</w:t>
      </w:r>
      <w:r>
        <w:t xml:space="preserve"> </w:t>
      </w:r>
      <w:r>
        <w:t xml:space="preserve">carries the event scope</w:t>
      </w:r>
      <w:r>
        <w:t xml:space="preserve"> </w:t>
      </w:r>
      <w:r>
        <w:rPr>
          <w:rStyle w:val="VerbatimChar"/>
        </w:rPr>
        <w:t xml:space="preserve">NEW_BUSINESS</w:t>
      </w:r>
      <w:r>
        <w:t xml:space="preserve"> </w:t>
      </w:r>
      <w:r>
        <w:t xml:space="preserve">for</w:t>
      </w:r>
      <w:r>
        <w:t xml:space="preserve"> </w:t>
      </w:r>
      <w:r>
        <w:rPr>
          <w:rStyle w:val="VerbatimChar"/>
        </w:rPr>
        <w:t xml:space="preserve">NEW_SOURCING_PAUSED</w:t>
      </w:r>
      <w:r>
        <w:t xml:space="preserve"> </w:t>
      </w:r>
      <w:r>
        <w:t xml:space="preserve">and</w:t>
      </w:r>
      <w:r>
        <w:t xml:space="preserve"> </w:t>
      </w:r>
      <w:r>
        <w:rPr>
          <w:rStyle w:val="VerbatimChar"/>
        </w:rPr>
        <w:t xml:space="preserve">ALL</w:t>
      </w:r>
      <w:r>
        <w:t xml:space="preserve"> </w:t>
      </w:r>
      <w:r>
        <w:t xml:space="preserve">for the other suspension types, with the Udofin suspension type in the reason code (UP5).</w:t>
      </w:r>
    </w:p>
    <w:p>
      <w:pPr>
        <w:numPr>
          <w:ilvl w:val="0"/>
          <w:numId w:val="1064"/>
        </w:numPr>
        <w:pStyle w:val="Compact"/>
      </w:pPr>
      <w:r>
        <w:t xml:space="preserve">A deal is per lender legal entity; products, channels and states are scoped in UP2. One RE may have several deals only if they differ by legal entity [REC].</w:t>
      </w:r>
    </w:p>
    <w:bookmarkEnd w:id="108"/>
    <w:bookmarkStart w:id="109" w:name="two-way-due-diligence"/>
    <w:p>
      <w:pPr>
        <w:pStyle w:val="Heading3"/>
      </w:pPr>
      <w:r>
        <w:t xml:space="preserve">Two-way due diligence</w:t>
      </w:r>
    </w:p>
    <w:p>
      <w:pPr>
        <w:pStyle w:val="FirstParagraph"/>
      </w:pPr>
      <w:r>
        <w:rPr>
          <w:bCs/>
          <w:b/>
        </w:rPr>
        <w:t xml:space="preserve">A. Udofin’s pack for the RE (versioned, each item with an expiry date; refreshed at least annually and on material change: OUT para 38).</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640"/>
        <w:gridCol w:w="2328"/>
        <w:gridCol w:w="3670"/>
      </w:tblGrid>
      <w:tr>
        <w:trPr>
          <w:tblHeader w:val="true"/>
          <w:tblHeader w:val="true"/>
        </w:trPr>
        <w:tc>
          <w:tcPr>
            <w:tcW w:w="3640" w:type="dxa"/>
            <w:shd w:val="clear" w:color="auto" w:fill="1F3A5F"/>
          </w:tcPr>
          <w:p>
            <w:pPr>
              <w:pStyle w:val="Compact"/>
              <w:spacing w:after="40"/>
              <w:jc w:val="left"/>
            </w:pPr>
            <w:r>
              <w:rPr>
                <w:b/>
                <w:color w:val="FFFFFF"/>
                <w:sz w:val="18"/>
              </w:rPr>
              <w:t xml:space="preserve">Item</w:t>
            </w:r>
          </w:p>
        </w:tc>
        <w:tc>
          <w:tcPr>
            <w:tcW w:w="2328" w:type="dxa"/>
            <w:shd w:val="clear" w:color="auto" w:fill="1F3A5F"/>
          </w:tcPr>
          <w:p>
            <w:pPr>
              <w:pStyle w:val="Compact"/>
              <w:spacing w:after="40"/>
              <w:jc w:val="left"/>
            </w:pPr>
            <w:r>
              <w:rPr>
                <w:b/>
                <w:color w:val="FFFFFF"/>
                <w:sz w:val="18"/>
              </w:rPr>
              <w:t xml:space="preserve">Source requirement</w:t>
            </w:r>
          </w:p>
        </w:tc>
        <w:tc>
          <w:tcPr>
            <w:tcW w:w="3670" w:type="dxa"/>
            <w:shd w:val="clear" w:color="auto" w:fill="1F3A5F"/>
          </w:tcPr>
          <w:p>
            <w:pPr>
              <w:pStyle w:val="Compact"/>
              <w:spacing w:after="40"/>
              <w:jc w:val="left"/>
            </w:pPr>
            <w:r>
              <w:rPr>
                <w:b/>
                <w:color w:val="FFFFFF"/>
                <w:sz w:val="18"/>
              </w:rPr>
              <w:t xml:space="preserve">Udofin evidence</w:t>
            </w:r>
          </w:p>
        </w:tc>
      </w:tr>
      <w:tr>
        <w:tc>
          <w:tcPr>
            <w:tcW w:w="3640" w:type="dxa"/>
          </w:tcPr>
          <w:p>
            <w:pPr>
              <w:pStyle w:val="Compact"/>
              <w:spacing w:after="40"/>
              <w:jc w:val="left"/>
            </w:pPr>
            <w:r>
              <w:rPr>
                <w:sz w:val="18"/>
              </w:rPr>
              <w:t xml:space="preserve">Incorporation, CIN, shareholding, directors and KMP</w:t>
            </w:r>
          </w:p>
        </w:tc>
        <w:tc>
          <w:tcPr>
            <w:tcW w:w="2328" w:type="dxa"/>
          </w:tcPr>
          <w:p>
            <w:pPr>
              <w:pStyle w:val="Compact"/>
              <w:spacing w:after="40"/>
              <w:jc w:val="left"/>
            </w:pPr>
            <w:r>
              <w:rPr>
                <w:sz w:val="18"/>
              </w:rPr>
              <w:t xml:space="preserve">CF para 19 (company for DLG); OUT para 30(i)</w:t>
            </w:r>
          </w:p>
        </w:tc>
        <w:tc>
          <w:tcPr>
            <w:tcW w:w="3670" w:type="dxa"/>
          </w:tcPr>
          <w:p>
            <w:pPr>
              <w:pStyle w:val="Compact"/>
              <w:spacing w:after="40"/>
              <w:jc w:val="left"/>
            </w:pPr>
            <w:r>
              <w:rPr>
                <w:sz w:val="18"/>
              </w:rPr>
              <w:t xml:space="preserve">MCA master data extract, shareholding register extract</w:t>
            </w:r>
          </w:p>
        </w:tc>
      </w:tr>
      <w:tr>
        <w:tc>
          <w:tcPr>
            <w:tcW w:w="3640" w:type="dxa"/>
          </w:tcPr>
          <w:p>
            <w:pPr>
              <w:pStyle w:val="Compact"/>
              <w:spacing w:after="40"/>
              <w:jc w:val="left"/>
            </w:pPr>
            <w:r>
              <w:rPr>
                <w:sz w:val="18"/>
              </w:rPr>
              <w:t xml:space="preserve">Ownership and control declaration: no RE director or relative owns or controls Udofin; for IT scope, no RE KMP, approver or relative</w:t>
            </w:r>
          </w:p>
        </w:tc>
        <w:tc>
          <w:tcPr>
            <w:tcW w:w="2328" w:type="dxa"/>
          </w:tcPr>
          <w:p>
            <w:pPr>
              <w:pStyle w:val="Compact"/>
              <w:spacing w:after="40"/>
              <w:jc w:val="left"/>
            </w:pPr>
            <w:r>
              <w:rPr>
                <w:sz w:val="18"/>
              </w:rPr>
              <w:t xml:space="preserve">OUT paras 18(vi), 59</w:t>
            </w:r>
          </w:p>
        </w:tc>
        <w:tc>
          <w:tcPr>
            <w:tcW w:w="3670" w:type="dxa"/>
          </w:tcPr>
          <w:p>
            <w:pPr>
              <w:pStyle w:val="Compact"/>
              <w:spacing w:after="40"/>
              <w:jc w:val="left"/>
            </w:pPr>
            <w:r>
              <w:rPr>
                <w:sz w:val="18"/>
              </w:rPr>
              <w:t xml:space="preserve">Signed</w:t>
            </w:r>
            <w:r>
              <w:rPr>
                <w:sz w:val="18"/>
              </w:rPr>
              <w:t xml:space="preserve"> </w:t>
            </w:r>
            <w:r>
              <w:rPr>
                <w:rStyle w:val="VerbatimChar"/>
                <w:sz w:val="18"/>
              </w:rPr>
              <w:t xml:space="preserve">lsp_declaration</w:t>
            </w:r>
            <w:r>
              <w:rPr>
                <w:sz w:val="18"/>
              </w:rPr>
              <w:t xml:space="preserve"> </w:t>
            </w:r>
            <w:r>
              <w:rPr>
                <w:sz w:val="18"/>
              </w:rPr>
              <w:t xml:space="preserve">per RE, annual re-declaration</w:t>
            </w:r>
          </w:p>
        </w:tc>
      </w:tr>
      <w:tr>
        <w:tc>
          <w:tcPr>
            <w:tcW w:w="3640" w:type="dxa"/>
          </w:tcPr>
          <w:p>
            <w:pPr>
              <w:pStyle w:val="Compact"/>
              <w:spacing w:after="40"/>
              <w:jc w:val="left"/>
            </w:pPr>
            <w:r>
              <w:rPr>
                <w:sz w:val="18"/>
              </w:rPr>
              <w:t xml:space="preserve">Financial soundness: audited financials, net worth, going-concern note</w:t>
            </w:r>
          </w:p>
        </w:tc>
        <w:tc>
          <w:tcPr>
            <w:tcW w:w="2328" w:type="dxa"/>
          </w:tcPr>
          <w:p>
            <w:pPr>
              <w:pStyle w:val="Compact"/>
              <w:spacing w:after="40"/>
              <w:jc w:val="left"/>
            </w:pPr>
            <w:r>
              <w:rPr>
                <w:sz w:val="18"/>
              </w:rPr>
              <w:t xml:space="preserve">OUT para 30(iv)</w:t>
            </w:r>
          </w:p>
        </w:tc>
        <w:tc>
          <w:tcPr>
            <w:tcW w:w="3670" w:type="dxa"/>
          </w:tcPr>
          <w:p>
            <w:pPr>
              <w:pStyle w:val="Compact"/>
              <w:spacing w:after="40"/>
              <w:jc w:val="left"/>
            </w:pPr>
            <w:r>
              <w:rPr>
                <w:sz w:val="18"/>
              </w:rPr>
              <w:t xml:space="preserve">Audited statements, auditor’s report</w:t>
            </w:r>
          </w:p>
        </w:tc>
      </w:tr>
      <w:tr>
        <w:tc>
          <w:tcPr>
            <w:tcW w:w="3640" w:type="dxa"/>
          </w:tcPr>
          <w:p>
            <w:pPr>
              <w:pStyle w:val="Compact"/>
              <w:spacing w:after="40"/>
              <w:jc w:val="left"/>
            </w:pPr>
            <w:r>
              <w:rPr>
                <w:sz w:val="18"/>
              </w:rPr>
              <w:t xml:space="preserve">Litigation, regulatory actions, complaint statistics</w:t>
            </w:r>
          </w:p>
        </w:tc>
        <w:tc>
          <w:tcPr>
            <w:tcW w:w="2328" w:type="dxa"/>
          </w:tcPr>
          <w:p>
            <w:pPr>
              <w:pStyle w:val="Compact"/>
              <w:spacing w:after="40"/>
              <w:jc w:val="left"/>
            </w:pPr>
            <w:r>
              <w:rPr>
                <w:sz w:val="18"/>
              </w:rPr>
              <w:t xml:space="preserve">OUT para 30(v); CF para 6(2)</w:t>
            </w:r>
            <w:r>
              <w:rPr>
                <w:sz w:val="18"/>
              </w:rPr>
              <w:t xml:space="preserve"> </w:t>
            </w:r>
            <w:r>
              <w:rPr>
                <w:sz w:val="18"/>
              </w:rPr>
              <w:t xml:space="preserve">“</w:t>
            </w:r>
            <w:r>
              <w:rPr>
                <w:sz w:val="18"/>
              </w:rPr>
              <w:t xml:space="preserve">past records of conduct</w:t>
            </w:r>
            <w:r>
              <w:rPr>
                <w:sz w:val="18"/>
              </w:rPr>
              <w:t xml:space="preserve">”</w:t>
            </w:r>
          </w:p>
        </w:tc>
        <w:tc>
          <w:tcPr>
            <w:tcW w:w="3670" w:type="dxa"/>
          </w:tcPr>
          <w:p>
            <w:pPr>
              <w:pStyle w:val="Compact"/>
              <w:spacing w:after="40"/>
              <w:jc w:val="left"/>
            </w:pPr>
            <w:r>
              <w:rPr>
                <w:sz w:val="18"/>
              </w:rPr>
              <w:t xml:space="preserve">Litigation register extract; complaints by category and TAT (U19)</w:t>
            </w:r>
          </w:p>
        </w:tc>
      </w:tr>
      <w:tr>
        <w:tc>
          <w:tcPr>
            <w:tcW w:w="3640" w:type="dxa"/>
          </w:tcPr>
          <w:p>
            <w:pPr>
              <w:pStyle w:val="Compact"/>
              <w:spacing w:after="40"/>
              <w:jc w:val="left"/>
            </w:pPr>
            <w:r>
              <w:rPr>
                <w:sz w:val="18"/>
              </w:rPr>
              <w:t xml:space="preserve">Technical capability, architecture, uptime history, DR</w:t>
            </w:r>
          </w:p>
        </w:tc>
        <w:tc>
          <w:tcPr>
            <w:tcW w:w="2328" w:type="dxa"/>
          </w:tcPr>
          <w:p>
            <w:pPr>
              <w:pStyle w:val="Compact"/>
              <w:spacing w:after="40"/>
              <w:jc w:val="left"/>
            </w:pPr>
            <w:r>
              <w:rPr>
                <w:sz w:val="18"/>
              </w:rPr>
              <w:t xml:space="preserve">CF para 6(2); OUT paras 30(vii), 32, 40</w:t>
            </w:r>
          </w:p>
        </w:tc>
        <w:tc>
          <w:tcPr>
            <w:tcW w:w="3670" w:type="dxa"/>
          </w:tcPr>
          <w:p>
            <w:pPr>
              <w:pStyle w:val="Compact"/>
              <w:spacing w:after="40"/>
              <w:jc w:val="left"/>
            </w:pPr>
            <w:r>
              <w:rPr>
                <w:sz w:val="18"/>
              </w:rPr>
              <w:t xml:space="preserve">Architecture summary, SLA history, BCP and DR test reports</w:t>
            </w:r>
          </w:p>
        </w:tc>
      </w:tr>
      <w:tr>
        <w:tc>
          <w:tcPr>
            <w:tcW w:w="3640" w:type="dxa"/>
          </w:tcPr>
          <w:p>
            <w:pPr>
              <w:pStyle w:val="Compact"/>
              <w:spacing w:after="40"/>
              <w:jc w:val="left"/>
            </w:pPr>
            <w:r>
              <w:rPr>
                <w:sz w:val="18"/>
              </w:rPr>
              <w:t xml:space="preserve">Security assurance: VAPT and IS audit summaries, CERT-In empanelled auditor reports, certification</w:t>
            </w:r>
            <w:r>
              <w:rPr>
                <w:sz w:val="18"/>
              </w:rPr>
              <w:t xml:space="preserve"> </w:t>
            </w:r>
            <w:r>
              <w:rPr>
                <w:bCs/>
                <w:b/>
                <w:sz w:val="18"/>
              </w:rPr>
              <w:t xml:space="preserve">readiness</w:t>
            </w:r>
            <w:r>
              <w:rPr>
                <w:sz w:val="18"/>
              </w:rPr>
              <w:t xml:space="preserve"> </w:t>
            </w:r>
            <w:r>
              <w:rPr>
                <w:sz w:val="18"/>
              </w:rPr>
              <w:t xml:space="preserve">status</w:t>
            </w:r>
          </w:p>
        </w:tc>
        <w:tc>
          <w:tcPr>
            <w:tcW w:w="2328" w:type="dxa"/>
          </w:tcPr>
          <w:p>
            <w:pPr>
              <w:pStyle w:val="Compact"/>
              <w:spacing w:after="40"/>
              <w:jc w:val="left"/>
            </w:pPr>
            <w:r>
              <w:rPr>
                <w:sz w:val="18"/>
              </w:rPr>
              <w:t xml:space="preserve">OUT paras 30(vii), 79; CYB paras 121–126</w:t>
            </w:r>
          </w:p>
        </w:tc>
        <w:tc>
          <w:tcPr>
            <w:tcW w:w="3670" w:type="dxa"/>
          </w:tcPr>
          <w:p>
            <w:pPr>
              <w:pStyle w:val="Compact"/>
              <w:spacing w:after="40"/>
              <w:jc w:val="left"/>
            </w:pPr>
            <w:r>
              <w:rPr>
                <w:sz w:val="18"/>
              </w:rPr>
              <w:t xml:space="preserve">Summaries with remediation status; ISO/IEC 27001 and SOC 2 shown only as programme status, never as a certificate unless one is issued</w:t>
            </w:r>
          </w:p>
        </w:tc>
      </w:tr>
      <w:tr>
        <w:tc>
          <w:tcPr>
            <w:tcW w:w="3640" w:type="dxa"/>
          </w:tcPr>
          <w:p>
            <w:pPr>
              <w:pStyle w:val="Compact"/>
              <w:spacing w:after="40"/>
              <w:jc w:val="left"/>
            </w:pPr>
            <w:r>
              <w:rPr>
                <w:sz w:val="18"/>
              </w:rPr>
              <w:t xml:space="preserve">Data privacy and storage: privacy policy, storage and destruction policy, data map, localisation attestation</w:t>
            </w:r>
          </w:p>
        </w:tc>
        <w:tc>
          <w:tcPr>
            <w:tcW w:w="2328" w:type="dxa"/>
          </w:tcPr>
          <w:p>
            <w:pPr>
              <w:pStyle w:val="Compact"/>
              <w:spacing w:after="40"/>
              <w:jc w:val="left"/>
            </w:pPr>
            <w:r>
              <w:rPr>
                <w:sz w:val="18"/>
              </w:rPr>
              <w:t xml:space="preserve">CF paras 14(1)–(4), 15</w:t>
            </w:r>
          </w:p>
        </w:tc>
        <w:tc>
          <w:tcPr>
            <w:tcW w:w="3670" w:type="dxa"/>
          </w:tcPr>
          <w:p>
            <w:pPr>
              <w:pStyle w:val="Compact"/>
              <w:spacing w:after="40"/>
              <w:jc w:val="left"/>
            </w:pPr>
            <w:r>
              <w:rPr>
                <w:sz w:val="18"/>
              </w:rPr>
              <w:t xml:space="preserve">Published policy versions and hashes; India-only hosting attestation; sub-processor locations</w:t>
            </w:r>
          </w:p>
        </w:tc>
      </w:tr>
      <w:tr>
        <w:tc>
          <w:tcPr>
            <w:tcW w:w="3640" w:type="dxa"/>
          </w:tcPr>
          <w:p>
            <w:pPr>
              <w:pStyle w:val="Compact"/>
              <w:spacing w:after="40"/>
              <w:jc w:val="left"/>
            </w:pPr>
            <w:r>
              <w:rPr>
                <w:sz w:val="18"/>
              </w:rPr>
              <w:t xml:space="preserve">DLA permission manifest per build and platform</w:t>
            </w:r>
          </w:p>
        </w:tc>
        <w:tc>
          <w:tcPr>
            <w:tcW w:w="2328" w:type="dxa"/>
          </w:tcPr>
          <w:p>
            <w:pPr>
              <w:pStyle w:val="Compact"/>
              <w:spacing w:after="40"/>
              <w:jc w:val="left"/>
            </w:pPr>
            <w:r>
              <w:rPr>
                <w:sz w:val="18"/>
              </w:rPr>
              <w:t xml:space="preserve">CF para 13(1)</w:t>
            </w:r>
          </w:p>
        </w:tc>
        <w:tc>
          <w:tcPr>
            <w:tcW w:w="3670" w:type="dxa"/>
          </w:tcPr>
          <w:p>
            <w:pPr>
              <w:pStyle w:val="Compact"/>
              <w:spacing w:after="40"/>
              <w:jc w:val="left"/>
            </w:pPr>
            <w:r>
              <w:rPr>
                <w:rStyle w:val="VerbatimChar"/>
                <w:sz w:val="18"/>
              </w:rPr>
              <w:t xml:space="preserve">permission_manifest</w:t>
            </w:r>
            <w:r>
              <w:rPr>
                <w:sz w:val="18"/>
              </w:rPr>
              <w:t xml:space="preserve"> </w:t>
            </w:r>
            <w:r>
              <w:rPr>
                <w:sz w:val="18"/>
              </w:rPr>
              <w:t xml:space="preserve">scan results</w:t>
            </w:r>
          </w:p>
        </w:tc>
      </w:tr>
      <w:tr>
        <w:tc>
          <w:tcPr>
            <w:tcW w:w="3640" w:type="dxa"/>
          </w:tcPr>
          <w:p>
            <w:pPr>
              <w:pStyle w:val="Compact"/>
              <w:spacing w:after="40"/>
              <w:jc w:val="left"/>
            </w:pPr>
            <w:r>
              <w:rPr>
                <w:sz w:val="18"/>
              </w:rPr>
              <w:t xml:space="preserve">Sub-processor and supply-chain list</w:t>
            </w:r>
          </w:p>
        </w:tc>
        <w:tc>
          <w:tcPr>
            <w:tcW w:w="2328" w:type="dxa"/>
          </w:tcPr>
          <w:p>
            <w:pPr>
              <w:pStyle w:val="Compact"/>
              <w:spacing w:after="40"/>
              <w:jc w:val="left"/>
            </w:pPr>
            <w:r>
              <w:rPr>
                <w:sz w:val="18"/>
              </w:rPr>
              <w:t xml:space="preserve">OUT paras 34(iv), 74(xi), 82</w:t>
            </w:r>
          </w:p>
        </w:tc>
        <w:tc>
          <w:tcPr>
            <w:tcW w:w="3670" w:type="dxa"/>
          </w:tcPr>
          <w:p>
            <w:pPr>
              <w:pStyle w:val="Compact"/>
              <w:spacing w:after="40"/>
              <w:jc w:val="left"/>
            </w:pPr>
            <w:r>
              <w:rPr>
                <w:rStyle w:val="VerbatimChar"/>
                <w:sz w:val="18"/>
              </w:rPr>
              <w:t xml:space="preserve">subprocessor</w:t>
            </w:r>
            <w:r>
              <w:rPr>
                <w:sz w:val="18"/>
              </w:rPr>
              <w:t xml:space="preserve"> </w:t>
            </w:r>
            <w:r>
              <w:rPr>
                <w:sz w:val="18"/>
              </w:rPr>
              <w:t xml:space="preserve">register with processing location</w:t>
            </w:r>
          </w:p>
        </w:tc>
      </w:tr>
      <w:tr>
        <w:tc>
          <w:tcPr>
            <w:tcW w:w="3640" w:type="dxa"/>
          </w:tcPr>
          <w:p>
            <w:pPr>
              <w:pStyle w:val="Compact"/>
              <w:spacing w:after="40"/>
              <w:jc w:val="left"/>
            </w:pPr>
            <w:r>
              <w:rPr>
                <w:sz w:val="18"/>
              </w:rPr>
              <w:t xml:space="preserve">Nodal grievance officer and grievance process</w:t>
            </w:r>
          </w:p>
        </w:tc>
        <w:tc>
          <w:tcPr>
            <w:tcW w:w="2328" w:type="dxa"/>
          </w:tcPr>
          <w:p>
            <w:pPr>
              <w:pStyle w:val="Compact"/>
              <w:spacing w:after="40"/>
              <w:jc w:val="left"/>
            </w:pPr>
            <w:r>
              <w:rPr>
                <w:sz w:val="18"/>
              </w:rPr>
              <w:t xml:space="preserve">CF para 12(1)–(3)</w:t>
            </w:r>
          </w:p>
        </w:tc>
        <w:tc>
          <w:tcPr>
            <w:tcW w:w="3670" w:type="dxa"/>
          </w:tcPr>
          <w:p>
            <w:pPr>
              <w:pStyle w:val="Compact"/>
              <w:spacing w:after="40"/>
              <w:jc w:val="left"/>
            </w:pPr>
            <w:r>
              <w:rPr>
                <w:sz w:val="18"/>
              </w:rPr>
              <w:t xml:space="preserve">Appointment letter, process note, contact details</w:t>
            </w:r>
          </w:p>
        </w:tc>
      </w:tr>
      <w:tr>
        <w:tc>
          <w:tcPr>
            <w:tcW w:w="3640" w:type="dxa"/>
          </w:tcPr>
          <w:p>
            <w:pPr>
              <w:pStyle w:val="Compact"/>
              <w:spacing w:after="40"/>
              <w:jc w:val="left"/>
            </w:pPr>
            <w:r>
              <w:rPr>
                <w:sz w:val="18"/>
              </w:rPr>
              <w:t xml:space="preserve">Matching mechanism and change log; ranking metric publication</w:t>
            </w:r>
          </w:p>
        </w:tc>
        <w:tc>
          <w:tcPr>
            <w:tcW w:w="2328" w:type="dxa"/>
          </w:tcPr>
          <w:p>
            <w:pPr>
              <w:pStyle w:val="Compact"/>
              <w:spacing w:after="40"/>
              <w:jc w:val="left"/>
            </w:pPr>
            <w:r>
              <w:rPr>
                <w:sz w:val="18"/>
              </w:rPr>
              <w:t xml:space="preserve">CF para 7(2), 7(4)</w:t>
            </w:r>
          </w:p>
        </w:tc>
        <w:tc>
          <w:tcPr>
            <w:tcW w:w="3670" w:type="dxa"/>
          </w:tcPr>
          <w:p>
            <w:pPr>
              <w:pStyle w:val="Compact"/>
              <w:spacing w:after="40"/>
              <w:jc w:val="left"/>
            </w:pPr>
            <w:r>
              <w:rPr>
                <w:rStyle w:val="VerbatimChar"/>
                <w:sz w:val="18"/>
              </w:rPr>
              <w:t xml:space="preserve">matching_mechanism_version</w:t>
            </w:r>
            <w:r>
              <w:rPr>
                <w:sz w:val="18"/>
              </w:rPr>
              <w:t xml:space="preserve"> </w:t>
            </w:r>
            <w:r>
              <w:rPr>
                <w:sz w:val="18"/>
              </w:rPr>
              <w:t xml:space="preserve">history; published metric</w:t>
            </w:r>
          </w:p>
        </w:tc>
      </w:tr>
      <w:tr>
        <w:tc>
          <w:tcPr>
            <w:tcW w:w="3640" w:type="dxa"/>
          </w:tcPr>
          <w:p>
            <w:pPr>
              <w:pStyle w:val="Compact"/>
              <w:spacing w:after="40"/>
              <w:jc w:val="left"/>
            </w:pPr>
            <w:r>
              <w:rPr>
                <w:sz w:val="18"/>
              </w:rPr>
              <w:t xml:space="preserve">Money-flow design: RE accounts only</w:t>
            </w:r>
          </w:p>
        </w:tc>
        <w:tc>
          <w:tcPr>
            <w:tcW w:w="2328" w:type="dxa"/>
          </w:tcPr>
          <w:p>
            <w:pPr>
              <w:pStyle w:val="Compact"/>
              <w:spacing w:after="40"/>
              <w:jc w:val="left"/>
            </w:pPr>
            <w:r>
              <w:rPr>
                <w:sz w:val="18"/>
              </w:rPr>
              <w:t xml:space="preserve">CF para 10(1)–(4)</w:t>
            </w:r>
          </w:p>
        </w:tc>
        <w:tc>
          <w:tcPr>
            <w:tcW w:w="3670" w:type="dxa"/>
          </w:tcPr>
          <w:p>
            <w:pPr>
              <w:pStyle w:val="Compact"/>
              <w:spacing w:after="40"/>
              <w:jc w:val="left"/>
            </w:pPr>
            <w:r>
              <w:rPr>
                <w:sz w:val="18"/>
              </w:rPr>
              <w:t xml:space="preserve">Configuration-validator report; reconciliation proof (Part 4.3)</w:t>
            </w:r>
          </w:p>
        </w:tc>
      </w:tr>
      <w:tr>
        <w:tc>
          <w:tcPr>
            <w:tcW w:w="3640" w:type="dxa"/>
          </w:tcPr>
          <w:p>
            <w:pPr>
              <w:pStyle w:val="Compact"/>
              <w:spacing w:after="40"/>
              <w:jc w:val="left"/>
            </w:pPr>
            <w:r>
              <w:rPr>
                <w:sz w:val="18"/>
              </w:rPr>
              <w:t xml:space="preserve">DLG provider declaration (only if DLG is offered)</w:t>
            </w:r>
          </w:p>
        </w:tc>
        <w:tc>
          <w:tcPr>
            <w:tcW w:w="2328" w:type="dxa"/>
          </w:tcPr>
          <w:p>
            <w:pPr>
              <w:pStyle w:val="Compact"/>
              <w:spacing w:after="40"/>
              <w:jc w:val="left"/>
            </w:pPr>
            <w:r>
              <w:rPr>
                <w:sz w:val="18"/>
              </w:rPr>
              <w:t xml:space="preserve">CF para 20(3)</w:t>
            </w:r>
          </w:p>
        </w:tc>
        <w:tc>
          <w:tcPr>
            <w:tcW w:w="3670" w:type="dxa"/>
          </w:tcPr>
          <w:p>
            <w:pPr>
              <w:pStyle w:val="Compact"/>
              <w:spacing w:after="40"/>
              <w:jc w:val="left"/>
            </w:pPr>
            <w:r>
              <w:rPr>
                <w:sz w:val="18"/>
              </w:rPr>
              <w:t xml:space="preserve">Statutory-auditor-certified declaration (U14)</w:t>
            </w:r>
          </w:p>
        </w:tc>
      </w:tr>
      <w:tr>
        <w:tc>
          <w:tcPr>
            <w:tcW w:w="3640" w:type="dxa"/>
          </w:tcPr>
          <w:p>
            <w:pPr>
              <w:pStyle w:val="Compact"/>
              <w:spacing w:after="40"/>
              <w:jc w:val="left"/>
            </w:pPr>
            <w:r>
              <w:rPr>
                <w:sz w:val="18"/>
              </w:rPr>
              <w:t xml:space="preserve">AI inventory; PI and cyber insurance</w:t>
            </w:r>
          </w:p>
        </w:tc>
        <w:tc>
          <w:tcPr>
            <w:tcW w:w="2328" w:type="dxa"/>
          </w:tcPr>
          <w:p>
            <w:pPr>
              <w:pStyle w:val="Compact"/>
              <w:spacing w:after="40"/>
              <w:jc w:val="left"/>
            </w:pPr>
            <w:r>
              <w:rPr>
                <w:sz w:val="18"/>
              </w:rPr>
              <w:t xml:space="preserve">[GUID] FREE-AI report; OUT para 30(iv) [REC]</w:t>
            </w:r>
          </w:p>
        </w:tc>
        <w:tc>
          <w:tcPr>
            <w:tcW w:w="3670" w:type="dxa"/>
          </w:tcPr>
          <w:p>
            <w:pPr>
              <w:pStyle w:val="Compact"/>
              <w:spacing w:after="40"/>
              <w:jc w:val="left"/>
            </w:pPr>
            <w:r>
              <w:rPr>
                <w:rStyle w:val="VerbatimChar"/>
                <w:sz w:val="18"/>
              </w:rPr>
              <w:t xml:space="preserve">ai_model_inventory</w:t>
            </w:r>
            <w:r>
              <w:rPr>
                <w:sz w:val="18"/>
              </w:rPr>
              <w:t xml:space="preserve"> </w:t>
            </w:r>
            <w:r>
              <w:rPr>
                <w:sz w:val="18"/>
              </w:rPr>
              <w:t xml:space="preserve">extract; policy schedules</w:t>
            </w:r>
          </w:p>
        </w:tc>
      </w:tr>
    </w:tbl>
    <w:p>
      <w:pPr>
        <w:pStyle w:val="BodyText"/>
      </w:pPr>
      <w:r>
        <w:rPr>
          <w:bCs/>
          <w:b/>
        </w:rPr>
        <w:t xml:space="preserve">B. Udofin’s diligence on the lender (counter-party diligence) [REC].</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561"/>
        <w:gridCol w:w="2466"/>
        <w:gridCol w:w="2611"/>
      </w:tblGrid>
      <w:tr>
        <w:trPr>
          <w:tblHeader w:val="true"/>
          <w:tblHeader w:val="true"/>
        </w:trPr>
        <w:tc>
          <w:tcPr>
            <w:tcW w:w="4561" w:type="dxa"/>
            <w:shd w:val="clear" w:color="auto" w:fill="1F3A5F"/>
          </w:tcPr>
          <w:p>
            <w:pPr>
              <w:pStyle w:val="Compact"/>
              <w:spacing w:after="40"/>
              <w:jc w:val="left"/>
            </w:pPr>
            <w:r>
              <w:rPr>
                <w:b/>
                <w:color w:val="FFFFFF"/>
                <w:sz w:val="18"/>
              </w:rPr>
              <w:t xml:space="preserve">Check</w:t>
            </w:r>
          </w:p>
        </w:tc>
        <w:tc>
          <w:tcPr>
            <w:tcW w:w="2466" w:type="dxa"/>
            <w:shd w:val="clear" w:color="auto" w:fill="1F3A5F"/>
          </w:tcPr>
          <w:p>
            <w:pPr>
              <w:pStyle w:val="Compact"/>
              <w:spacing w:after="40"/>
              <w:jc w:val="left"/>
            </w:pPr>
            <w:r>
              <w:rPr>
                <w:b/>
                <w:color w:val="FFFFFF"/>
                <w:sz w:val="18"/>
              </w:rPr>
              <w:t xml:space="preserve">Why</w:t>
            </w:r>
          </w:p>
        </w:tc>
        <w:tc>
          <w:tcPr>
            <w:tcW w:w="2611" w:type="dxa"/>
            <w:shd w:val="clear" w:color="auto" w:fill="1F3A5F"/>
          </w:tcPr>
          <w:p>
            <w:pPr>
              <w:pStyle w:val="Compact"/>
              <w:spacing w:after="40"/>
              <w:jc w:val="left"/>
            </w:pPr>
            <w:r>
              <w:rPr>
                <w:b/>
                <w:color w:val="FFFFFF"/>
                <w:sz w:val="18"/>
              </w:rPr>
              <w:t xml:space="preserve">Evidence</w:t>
            </w:r>
          </w:p>
        </w:tc>
      </w:tr>
      <w:tr>
        <w:tc>
          <w:tcPr>
            <w:tcW w:w="4561" w:type="dxa"/>
          </w:tcPr>
          <w:p>
            <w:pPr>
              <w:pStyle w:val="Compact"/>
              <w:spacing w:after="40"/>
              <w:jc w:val="left"/>
            </w:pPr>
            <w:r>
              <w:rPr>
                <w:sz w:val="18"/>
              </w:rPr>
              <w:t xml:space="preserve">CoR verified on RBI’s public list; RE type and layer; asset size and date</w:t>
            </w:r>
          </w:p>
        </w:tc>
        <w:tc>
          <w:tcPr>
            <w:tcW w:w="2466" w:type="dxa"/>
          </w:tcPr>
          <w:p>
            <w:pPr>
              <w:pStyle w:val="Compact"/>
              <w:spacing w:after="40"/>
              <w:jc w:val="left"/>
            </w:pPr>
            <w:r>
              <w:rPr>
                <w:sz w:val="18"/>
              </w:rPr>
              <w:t xml:space="preserve">Rule-pack selection (CYB chapter, OUT Ch IV scope, RB-IOS coverage, IO applicability)</w:t>
            </w:r>
          </w:p>
        </w:tc>
        <w:tc>
          <w:tcPr>
            <w:tcW w:w="2611" w:type="dxa"/>
          </w:tcPr>
          <w:p>
            <w:pPr>
              <w:pStyle w:val="Compact"/>
              <w:spacing w:after="40"/>
              <w:jc w:val="left"/>
            </w:pPr>
            <w:r>
              <w:rPr>
                <w:rStyle w:val="VerbatimChar"/>
                <w:sz w:val="18"/>
              </w:rPr>
              <w:t xml:space="preserve">re_regulatory_profile</w:t>
            </w:r>
            <w:r>
              <w:rPr>
                <w:sz w:val="18"/>
              </w:rPr>
              <w:t xml:space="preserve"> </w:t>
            </w:r>
            <w:r>
              <w:rPr>
                <w:sz w:val="18"/>
              </w:rPr>
              <w:t xml:space="preserve">with source and date</w:t>
            </w:r>
          </w:p>
        </w:tc>
      </w:tr>
      <w:tr>
        <w:tc>
          <w:tcPr>
            <w:tcW w:w="4561" w:type="dxa"/>
          </w:tcPr>
          <w:p>
            <w:pPr>
              <w:pStyle w:val="Compact"/>
              <w:spacing w:after="40"/>
              <w:jc w:val="left"/>
            </w:pPr>
            <w:r>
              <w:rPr>
                <w:bCs/>
                <w:b/>
                <w:sz w:val="18"/>
              </w:rPr>
              <w:t xml:space="preserve">Board-policy evidence</w:t>
            </w:r>
            <w:r>
              <w:rPr>
                <w:sz w:val="18"/>
              </w:rPr>
              <w:t xml:space="preserve">: outsourcing policy (OUT para 20), FPC (RBC para 7(1)), grievance mechanism with next-higher-level review (RBC para 7(2) Note), interest-rate and charges policy (RBC para 7(3)), microfinance FPC where relevant (RBC para 7(5)), recovery-agent engagement policy and code of conduct (RBC para 7(7)–(8)), DLG policy if DLG (CF para 20(1)), CIR policy (CIR para 20), monitoring mechanism for LSP-originated portfolios (CF para 6(4)), digital-lending and KYC policies</w:t>
            </w:r>
          </w:p>
        </w:tc>
        <w:tc>
          <w:tcPr>
            <w:tcW w:w="2466" w:type="dxa"/>
          </w:tcPr>
          <w:p>
            <w:pPr>
              <w:pStyle w:val="Compact"/>
              <w:spacing w:after="40"/>
              <w:jc w:val="left"/>
            </w:pPr>
            <w:r>
              <w:rPr>
                <w:sz w:val="18"/>
              </w:rPr>
              <w:t xml:space="preserve">Udofin applies these policies; it must hold the version it applies</w:t>
            </w:r>
          </w:p>
        </w:tc>
        <w:tc>
          <w:tcPr>
            <w:tcW w:w="2611" w:type="dxa"/>
          </w:tcPr>
          <w:p>
            <w:pPr>
              <w:pStyle w:val="Compact"/>
              <w:spacing w:after="40"/>
              <w:jc w:val="left"/>
            </w:pPr>
            <w:r>
              <w:rPr>
                <w:rStyle w:val="VerbatimChar"/>
                <w:sz w:val="18"/>
              </w:rPr>
              <w:t xml:space="preserve">re_board_policy_evidence</w:t>
            </w:r>
            <w:r>
              <w:rPr>
                <w:sz w:val="18"/>
              </w:rPr>
              <w:t xml:space="preserve"> </w:t>
            </w:r>
            <w:r>
              <w:rPr>
                <w:sz w:val="18"/>
              </w:rPr>
              <w:t xml:space="preserve">(policy type, version, Board or committee approval date, extract or certified copy, expiry or review date)</w:t>
            </w:r>
          </w:p>
        </w:tc>
      </w:tr>
      <w:tr>
        <w:tc>
          <w:tcPr>
            <w:tcW w:w="4561" w:type="dxa"/>
          </w:tcPr>
          <w:p>
            <w:pPr>
              <w:pStyle w:val="Compact"/>
              <w:spacing w:after="40"/>
              <w:jc w:val="left"/>
            </w:pPr>
            <w:r>
              <w:rPr>
                <w:sz w:val="18"/>
              </w:rPr>
              <w:t xml:space="preserve">CIC memberships (all four)</w:t>
            </w:r>
          </w:p>
        </w:tc>
        <w:tc>
          <w:tcPr>
            <w:tcW w:w="2466" w:type="dxa"/>
          </w:tcPr>
          <w:p>
            <w:pPr>
              <w:pStyle w:val="Compact"/>
              <w:spacing w:after="40"/>
              <w:jc w:val="left"/>
            </w:pPr>
            <w:r>
              <w:rPr>
                <w:sz w:val="18"/>
              </w:rPr>
              <w:t xml:space="preserve">CIR para 6; U6 bureau mode</w:t>
            </w:r>
          </w:p>
        </w:tc>
        <w:tc>
          <w:tcPr>
            <w:tcW w:w="2611" w:type="dxa"/>
          </w:tcPr>
          <w:p>
            <w:pPr>
              <w:pStyle w:val="Compact"/>
              <w:spacing w:after="40"/>
              <w:jc w:val="left"/>
            </w:pPr>
            <w:r>
              <w:rPr>
                <w:sz w:val="18"/>
              </w:rPr>
              <w:t xml:space="preserve">Membership confirmations</w:t>
            </w:r>
          </w:p>
        </w:tc>
      </w:tr>
      <w:tr>
        <w:tc>
          <w:tcPr>
            <w:tcW w:w="4561" w:type="dxa"/>
          </w:tcPr>
          <w:p>
            <w:pPr>
              <w:pStyle w:val="Compact"/>
              <w:spacing w:after="40"/>
              <w:jc w:val="left"/>
            </w:pPr>
            <w:r>
              <w:rPr>
                <w:sz w:val="18"/>
              </w:rPr>
              <w:t xml:space="preserve">AA FIU status</w:t>
            </w:r>
          </w:p>
        </w:tc>
        <w:tc>
          <w:tcPr>
            <w:tcW w:w="2466" w:type="dxa"/>
          </w:tcPr>
          <w:p>
            <w:pPr>
              <w:pStyle w:val="Compact"/>
              <w:spacing w:after="40"/>
              <w:jc w:val="left"/>
            </w:pPr>
            <w:r>
              <w:rPr>
                <w:sz w:val="18"/>
              </w:rPr>
              <w:t xml:space="preserve">AA para 8(12); U6</w:t>
            </w:r>
          </w:p>
        </w:tc>
        <w:tc>
          <w:tcPr>
            <w:tcW w:w="2611" w:type="dxa"/>
          </w:tcPr>
          <w:p>
            <w:pPr>
              <w:pStyle w:val="Compact"/>
              <w:spacing w:after="40"/>
              <w:jc w:val="left"/>
            </w:pPr>
            <w:r>
              <w:rPr>
                <w:sz w:val="18"/>
              </w:rPr>
              <w:t xml:space="preserve">FIU registration reference</w:t>
            </w:r>
          </w:p>
        </w:tc>
      </w:tr>
      <w:tr>
        <w:tc>
          <w:tcPr>
            <w:tcW w:w="4561" w:type="dxa"/>
          </w:tcPr>
          <w:p>
            <w:pPr>
              <w:pStyle w:val="Compact"/>
              <w:spacing w:after="40"/>
              <w:jc w:val="left"/>
            </w:pPr>
            <w:r>
              <w:rPr>
                <w:sz w:val="18"/>
              </w:rPr>
              <w:t xml:space="preserve">PML Act s.11A notification status</w:t>
            </w:r>
          </w:p>
        </w:tc>
        <w:tc>
          <w:tcPr>
            <w:tcW w:w="2466" w:type="dxa"/>
          </w:tcPr>
          <w:p>
            <w:pPr>
              <w:pStyle w:val="Compact"/>
              <w:spacing w:after="40"/>
              <w:jc w:val="left"/>
            </w:pPr>
            <w:r>
              <w:rPr>
                <w:sz w:val="18"/>
              </w:rPr>
              <w:t xml:space="preserve">Aadhaar OTP e-KYC routing (U5)</w:t>
            </w:r>
          </w:p>
        </w:tc>
        <w:tc>
          <w:tcPr>
            <w:tcW w:w="2611" w:type="dxa"/>
          </w:tcPr>
          <w:p>
            <w:pPr>
              <w:pStyle w:val="Compact"/>
              <w:spacing w:after="40"/>
              <w:jc w:val="left"/>
            </w:pPr>
            <w:r>
              <w:rPr>
                <w:sz w:val="18"/>
              </w:rPr>
              <w:t xml:space="preserve">Notification reference or</w:t>
            </w:r>
            <w:r>
              <w:rPr>
                <w:sz w:val="18"/>
              </w:rPr>
              <w:t xml:space="preserve"> </w:t>
            </w:r>
            <w:r>
              <w:rPr>
                <w:sz w:val="18"/>
              </w:rPr>
              <w:t xml:space="preserve">“</w:t>
            </w:r>
            <w:r>
              <w:rPr>
                <w:sz w:val="18"/>
              </w:rPr>
              <w:t xml:space="preserve">not notified</w:t>
            </w:r>
            <w:r>
              <w:rPr>
                <w:sz w:val="18"/>
              </w:rPr>
              <w:t xml:space="preserve">”</w:t>
            </w:r>
          </w:p>
        </w:tc>
      </w:tr>
      <w:tr>
        <w:tc>
          <w:tcPr>
            <w:tcW w:w="4561" w:type="dxa"/>
          </w:tcPr>
          <w:p>
            <w:pPr>
              <w:pStyle w:val="Compact"/>
              <w:spacing w:after="40"/>
              <w:jc w:val="left"/>
            </w:pPr>
            <w:r>
              <w:rPr>
                <w:sz w:val="18"/>
              </w:rPr>
              <w:t xml:space="preserve">Penalties and adverse RBI actions in the last 3 years; caution lists</w:t>
            </w:r>
          </w:p>
        </w:tc>
        <w:tc>
          <w:tcPr>
            <w:tcW w:w="2466" w:type="dxa"/>
          </w:tcPr>
          <w:p>
            <w:pPr>
              <w:pStyle w:val="Compact"/>
              <w:spacing w:after="40"/>
              <w:jc w:val="left"/>
            </w:pPr>
            <w:r>
              <w:rPr>
                <w:sz w:val="18"/>
              </w:rPr>
              <w:t xml:space="preserve">Reputational risk [REC]</w:t>
            </w:r>
          </w:p>
        </w:tc>
        <w:tc>
          <w:tcPr>
            <w:tcW w:w="2611" w:type="dxa"/>
          </w:tcPr>
          <w:p>
            <w:pPr>
              <w:pStyle w:val="Compact"/>
              <w:spacing w:after="40"/>
              <w:jc w:val="left"/>
            </w:pPr>
            <w:r>
              <w:rPr>
                <w:sz w:val="18"/>
              </w:rPr>
              <w:t xml:space="preserve">Search log</w:t>
            </w:r>
          </w:p>
        </w:tc>
      </w:tr>
      <w:tr>
        <w:tc>
          <w:tcPr>
            <w:tcW w:w="4561" w:type="dxa"/>
          </w:tcPr>
          <w:p>
            <w:pPr>
              <w:pStyle w:val="Compact"/>
              <w:spacing w:after="40"/>
              <w:jc w:val="left"/>
            </w:pPr>
            <w:r>
              <w:rPr>
                <w:sz w:val="18"/>
              </w:rPr>
              <w:t xml:space="preserve">GRO, nodal officer, PNO (if RB-IOS applies), IO (if applicable), CIC nodal officer, recovery-grievance contact</w:t>
            </w:r>
          </w:p>
        </w:tc>
        <w:tc>
          <w:tcPr>
            <w:tcW w:w="2466" w:type="dxa"/>
          </w:tcPr>
          <w:p>
            <w:pPr>
              <w:pStyle w:val="Compact"/>
              <w:spacing w:after="40"/>
              <w:jc w:val="left"/>
            </w:pPr>
            <w:r>
              <w:rPr>
                <w:sz w:val="18"/>
              </w:rPr>
              <w:t xml:space="preserve">CF para 12; RBC para 92; CIR para 34(2); RB-IOS cl.18(2)</w:t>
            </w:r>
          </w:p>
        </w:tc>
        <w:tc>
          <w:tcPr>
            <w:tcW w:w="2611" w:type="dxa"/>
          </w:tcPr>
          <w:p>
            <w:pPr>
              <w:pStyle w:val="Compact"/>
              <w:spacing w:after="40"/>
              <w:jc w:val="left"/>
            </w:pPr>
            <w:r>
              <w:rPr>
                <w:rStyle w:val="VerbatimChar"/>
                <w:sz w:val="18"/>
              </w:rPr>
              <w:t xml:space="preserve">deal_grievance_contact</w:t>
            </w:r>
            <w:r>
              <w:rPr>
                <w:sz w:val="18"/>
              </w:rPr>
              <w:t xml:space="preserve"> </w:t>
            </w:r>
            <w:r>
              <w:rPr>
                <w:sz w:val="18"/>
              </w:rPr>
              <w:t xml:space="preserve">(UB3)</w:t>
            </w:r>
          </w:p>
        </w:tc>
      </w:tr>
      <w:tr>
        <w:tc>
          <w:tcPr>
            <w:tcW w:w="4561" w:type="dxa"/>
          </w:tcPr>
          <w:p>
            <w:pPr>
              <w:pStyle w:val="Compact"/>
              <w:spacing w:after="40"/>
              <w:jc w:val="left"/>
            </w:pPr>
            <w:r>
              <w:rPr>
                <w:sz w:val="18"/>
              </w:rPr>
              <w:t xml:space="preserve">Website disclosure page and FPC URL</w:t>
            </w:r>
          </w:p>
        </w:tc>
        <w:tc>
          <w:tcPr>
            <w:tcW w:w="2466" w:type="dxa"/>
          </w:tcPr>
          <w:p>
            <w:pPr>
              <w:pStyle w:val="Compact"/>
              <w:spacing w:after="40"/>
              <w:jc w:val="left"/>
            </w:pPr>
            <w:r>
              <w:rPr>
                <w:sz w:val="18"/>
              </w:rPr>
              <w:t xml:space="preserve">CF para 9(4)–(5); RBC para 21</w:t>
            </w:r>
          </w:p>
        </w:tc>
        <w:tc>
          <w:tcPr>
            <w:tcW w:w="2611" w:type="dxa"/>
          </w:tcPr>
          <w:p>
            <w:pPr>
              <w:pStyle w:val="Compact"/>
              <w:spacing w:after="40"/>
              <w:jc w:val="left"/>
            </w:pPr>
            <w:r>
              <w:rPr>
                <w:sz w:val="18"/>
              </w:rPr>
              <w:t xml:space="preserve">URL and snapshot hash</w:t>
            </w:r>
          </w:p>
        </w:tc>
      </w:tr>
      <w:tr>
        <w:tc>
          <w:tcPr>
            <w:tcW w:w="4561" w:type="dxa"/>
          </w:tcPr>
          <w:p>
            <w:pPr>
              <w:pStyle w:val="Compact"/>
              <w:spacing w:after="40"/>
              <w:jc w:val="left"/>
            </w:pPr>
            <w:r>
              <w:rPr>
                <w:sz w:val="18"/>
              </w:rPr>
              <w:t xml:space="preserve">1600-series number registration for RE service calls</w:t>
            </w:r>
          </w:p>
        </w:tc>
        <w:tc>
          <w:tcPr>
            <w:tcW w:w="2466" w:type="dxa"/>
          </w:tcPr>
          <w:p>
            <w:pPr>
              <w:pStyle w:val="Compact"/>
              <w:spacing w:after="40"/>
              <w:jc w:val="left"/>
            </w:pPr>
            <w:r>
              <w:rPr>
                <w:sz w:val="18"/>
              </w:rPr>
              <w:t xml:space="preserve">TRAI Direction of 19 Nov 2025 for RBI-regulated entities (NBFCs other than those above ₹5,000 crore: from 1 Mar 2026)</w:t>
            </w:r>
          </w:p>
        </w:tc>
        <w:tc>
          <w:tcPr>
            <w:tcW w:w="2611" w:type="dxa"/>
          </w:tcPr>
          <w:p>
            <w:pPr>
              <w:pStyle w:val="Compact"/>
              <w:spacing w:after="40"/>
              <w:jc w:val="left"/>
            </w:pPr>
            <w:r>
              <w:rPr>
                <w:sz w:val="18"/>
              </w:rPr>
              <w:t xml:space="preserve">Number list for RA5</w:t>
            </w:r>
          </w:p>
        </w:tc>
      </w:tr>
    </w:tbl>
    <w:p>
      <w:pPr>
        <w:pStyle w:val="BodyText"/>
      </w:pPr>
      <w:r>
        <w:rPr>
          <w:bCs/>
          <w:b/>
        </w:rPr>
        <w:t xml:space="preserve">C. LSP declarations at LEGAL and annually</w:t>
      </w:r>
      <w:r>
        <w:t xml:space="preserve"> </w:t>
      </w:r>
      <w:r>
        <w:t xml:space="preserve">(</w:t>
      </w:r>
      <w:r>
        <w:rPr>
          <w:rStyle w:val="VerbatimChar"/>
        </w:rPr>
        <w:t xml:space="preserve">lsp_declaration</w:t>
      </w:r>
      <w:r>
        <w:t xml:space="preserve">, signed by an authorised Udofin officer with a DSC or Aadhaar eSign, stored with its hash): ownership and control (OUT 18(vi), 59); no borrower fees (CF 10(4)); no control of funds or pool account (CF 10(1)–(3)); India-only storage (CF 14(4)); no prohibited permissions or biometric storage (CF 13(1), 14(3)); CIMS never marketed as RBI registration (CF 18(6)); RBI access and inspection of Udofin and subcontractors (OUT 34(viii)–(ix), 81); subcontractor consent (OUT 34(iv)); incident notice (OUT 61); no erasure during transition (OUT 87); AI usage disclosure [GUID].</w:t>
      </w:r>
    </w:p>
    <w:bookmarkEnd w:id="109"/>
    <w:bookmarkStart w:id="110" w:name="pilot"/>
    <w:p>
      <w:pPr>
        <w:pStyle w:val="Heading3"/>
      </w:pPr>
      <w:r>
        <w:t xml:space="preserve">Pilot</w:t>
      </w:r>
    </w:p>
    <w:p>
      <w:pPr>
        <w:numPr>
          <w:ilvl w:val="0"/>
          <w:numId w:val="1065"/>
        </w:numPr>
        <w:pStyle w:val="Compact"/>
      </w:pPr>
      <w:r>
        <w:rPr>
          <w:bCs/>
          <w:b/>
        </w:rPr>
        <w:t xml:space="preserve">Plan (</w:t>
      </w:r>
      <w:r>
        <w:rPr>
          <w:rStyle w:val="VerbatimChar"/>
          <w:bCs/>
          <w:b/>
        </w:rPr>
        <w:t xml:space="preserve">deal_pilot_plan</w:t>
      </w:r>
      <w:r>
        <w:rPr>
          <w:bCs/>
          <w:b/>
        </w:rPr>
        <w:t xml:space="preserve">):</w:t>
      </w:r>
      <w:r>
        <w:t xml:space="preserve"> </w:t>
      </w:r>
      <w:r>
        <w:t xml:space="preserve">products, channels (web first allowed), states, application and disbursal caps, duration (default 90 days [REC]), owners. Caps are enforced by the activity gate; a breach pauses new applications, never servicing.</w:t>
      </w:r>
    </w:p>
    <w:p>
      <w:pPr>
        <w:numPr>
          <w:ilvl w:val="0"/>
          <w:numId w:val="1065"/>
        </w:numPr>
        <w:pStyle w:val="Compact"/>
      </w:pPr>
      <w:r>
        <w:rPr>
          <w:bCs/>
          <w:b/>
        </w:rPr>
        <w:t xml:space="preserve">Exit criteria (system-measured):</w:t>
      </w:r>
      <w:r>
        <w:t xml:space="preserve"> </w:t>
      </w:r>
      <w:r>
        <w:t xml:space="preserve">connector errors below threshold; no reconciliation break older than T+2 in the last 15 business days; KFS acknowledgement evidence on 100% of executed loans; zero money-flow validator exceptions; 100% of grievances forwarded within the U15 target; zero permission-manifest deviations; offer-neutrality audit passed (U19).</w:t>
      </w:r>
    </w:p>
    <w:bookmarkEnd w:id="110"/>
    <w:bookmarkStart w:id="111" w:name="periodic-review-overlay"/>
    <w:p>
      <w:pPr>
        <w:pStyle w:val="Heading3"/>
      </w:pPr>
      <w:r>
        <w:t xml:space="preserve">Periodic review (overlay)</w:t>
      </w:r>
    </w:p>
    <w:p>
      <w:pPr>
        <w:numPr>
          <w:ilvl w:val="0"/>
          <w:numId w:val="1066"/>
        </w:numPr>
        <w:pStyle w:val="Compact"/>
      </w:pPr>
      <w:r>
        <w:rPr>
          <w:bCs/>
          <w:b/>
        </w:rPr>
        <w:t xml:space="preserve">Annual</w:t>
      </w:r>
      <w:r>
        <w:t xml:space="preserve"> </w:t>
      </w:r>
      <w:r>
        <w:t xml:space="preserve">(OUT para 38; conduct review, CF para 6(3)): DD pack refreshed, declarations re-signed, conduct pack P3 sent.</w:t>
      </w:r>
      <w:r>
        <w:t xml:space="preserve"> </w:t>
      </w:r>
      <w:r>
        <w:rPr>
          <w:bCs/>
          <w:b/>
        </w:rPr>
        <w:t xml:space="preserve">Half-yearly:</w:t>
      </w:r>
      <w:r>
        <w:t xml:space="preserve"> </w:t>
      </w:r>
      <w:r>
        <w:t xml:space="preserve">central-record feed for the RE’s Board or RMC review (OUT para 36).</w:t>
      </w:r>
    </w:p>
    <w:p>
      <w:pPr>
        <w:numPr>
          <w:ilvl w:val="0"/>
          <w:numId w:val="1066"/>
        </w:numPr>
        <w:pStyle w:val="Compact"/>
      </w:pPr>
      <w:r>
        <w:rPr>
          <w:bCs/>
          <w:b/>
        </w:rPr>
        <w:t xml:space="preserve">Triggered</w:t>
      </w:r>
      <w:r>
        <w:t xml:space="preserve"> </w:t>
      </w:r>
      <w:r>
        <w:t xml:space="preserve">by change of control, new subcontractor, data-centre move, severity-1 or 2 incident, new product category or regulatory action: the deal enters</w:t>
      </w:r>
      <w:r>
        <w:t xml:space="preserve"> </w:t>
      </w:r>
      <w:r>
        <w:rPr>
          <w:rStyle w:val="VerbatimChar"/>
        </w:rPr>
        <w:t xml:space="preserve">UNDER_REVIEW</w:t>
      </w:r>
      <w:r>
        <w:t xml:space="preserve">; service continues unless the RE suspends.</w:t>
      </w:r>
    </w:p>
    <w:p>
      <w:pPr>
        <w:numPr>
          <w:ilvl w:val="0"/>
          <w:numId w:val="1066"/>
        </w:numPr>
        <w:pStyle w:val="Compact"/>
      </w:pPr>
      <w:r>
        <w:t xml:space="preserve">Findings carry owners and due dates; overdue findings raise</w:t>
      </w:r>
      <w:r>
        <w:t xml:space="preserve"> </w:t>
      </w:r>
      <w:r>
        <w:rPr>
          <w:rStyle w:val="VerbatimChar"/>
        </w:rPr>
        <w:t xml:space="preserve">ComplianceIssueRaised</w:t>
      </w:r>
      <w:r>
        <w:t xml:space="preserve"> </w:t>
      </w:r>
      <w:r>
        <w:t xml:space="preserve">(U18).</w:t>
      </w:r>
    </w:p>
    <w:bookmarkEnd w:id="111"/>
    <w:bookmarkStart w:id="112" w:name="settings-and-options"/>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33"/>
        <w:gridCol w:w="1276"/>
        <w:gridCol w:w="2654"/>
        <w:gridCol w:w="3275"/>
      </w:tblGrid>
      <w:tr>
        <w:trPr>
          <w:tblHeader w:val="true"/>
          <w:tblHeader w:val="true"/>
        </w:trPr>
        <w:tc>
          <w:tcPr>
            <w:tcW w:w="2433" w:type="dxa"/>
            <w:shd w:val="clear" w:color="auto" w:fill="1F3A5F"/>
          </w:tcPr>
          <w:p>
            <w:pPr>
              <w:pStyle w:val="Compact"/>
              <w:spacing w:after="40"/>
              <w:jc w:val="left"/>
            </w:pPr>
            <w:r>
              <w:rPr>
                <w:b/>
                <w:color w:val="FFFFFF"/>
                <w:sz w:val="18"/>
              </w:rPr>
              <w:t xml:space="preserve">Setting</w:t>
            </w:r>
          </w:p>
        </w:tc>
        <w:tc>
          <w:tcPr>
            <w:tcW w:w="1276" w:type="dxa"/>
            <w:shd w:val="clear" w:color="auto" w:fill="1F3A5F"/>
          </w:tcPr>
          <w:p>
            <w:pPr>
              <w:pStyle w:val="Compact"/>
              <w:spacing w:after="40"/>
              <w:jc w:val="left"/>
            </w:pPr>
            <w:r>
              <w:rPr>
                <w:b/>
                <w:color w:val="FFFFFF"/>
                <w:sz w:val="18"/>
              </w:rPr>
              <w:t xml:space="preserve">Level</w:t>
            </w:r>
          </w:p>
        </w:tc>
        <w:tc>
          <w:tcPr>
            <w:tcW w:w="2654" w:type="dxa"/>
            <w:shd w:val="clear" w:color="auto" w:fill="1F3A5F"/>
          </w:tcPr>
          <w:p>
            <w:pPr>
              <w:pStyle w:val="Compact"/>
              <w:spacing w:after="40"/>
              <w:jc w:val="left"/>
            </w:pPr>
            <w:r>
              <w:rPr>
                <w:b/>
                <w:color w:val="FFFFFF"/>
                <w:sz w:val="18"/>
              </w:rPr>
              <w:t xml:space="preserve">Default</w:t>
            </w:r>
          </w:p>
        </w:tc>
        <w:tc>
          <w:tcPr>
            <w:tcW w:w="3275" w:type="dxa"/>
            <w:shd w:val="clear" w:color="auto" w:fill="1F3A5F"/>
          </w:tcPr>
          <w:p>
            <w:pPr>
              <w:pStyle w:val="Compact"/>
              <w:spacing w:after="40"/>
              <w:jc w:val="left"/>
            </w:pPr>
            <w:r>
              <w:rPr>
                <w:b/>
                <w:color w:val="FFFFFF"/>
                <w:sz w:val="18"/>
              </w:rPr>
              <w:t xml:space="preserve">Nature</w:t>
            </w:r>
          </w:p>
        </w:tc>
      </w:tr>
      <w:tr>
        <w:tc>
          <w:tcPr>
            <w:tcW w:w="2433" w:type="dxa"/>
          </w:tcPr>
          <w:p>
            <w:pPr>
              <w:pStyle w:val="Compact"/>
              <w:spacing w:after="40"/>
              <w:jc w:val="left"/>
            </w:pPr>
            <w:r>
              <w:rPr>
                <w:sz w:val="18"/>
              </w:rPr>
              <w:t xml:space="preserve">DD item validity and refresh</w:t>
            </w:r>
          </w:p>
        </w:tc>
        <w:tc>
          <w:tcPr>
            <w:tcW w:w="1276" w:type="dxa"/>
          </w:tcPr>
          <w:p>
            <w:pPr>
              <w:pStyle w:val="Compact"/>
              <w:spacing w:after="40"/>
              <w:jc w:val="left"/>
            </w:pPr>
            <w:r>
              <w:rPr>
                <w:sz w:val="18"/>
              </w:rPr>
              <w:t xml:space="preserve">Item type</w:t>
            </w:r>
          </w:p>
        </w:tc>
        <w:tc>
          <w:tcPr>
            <w:tcW w:w="2654" w:type="dxa"/>
          </w:tcPr>
          <w:p>
            <w:pPr>
              <w:pStyle w:val="Compact"/>
              <w:spacing w:after="40"/>
              <w:jc w:val="left"/>
            </w:pPr>
            <w:r>
              <w:rPr>
                <w:sz w:val="18"/>
              </w:rPr>
              <w:t xml:space="preserve">12 months; refresh on material change</w:t>
            </w:r>
          </w:p>
        </w:tc>
        <w:tc>
          <w:tcPr>
            <w:tcW w:w="3275" w:type="dxa"/>
          </w:tcPr>
          <w:p>
            <w:pPr>
              <w:pStyle w:val="Compact"/>
              <w:spacing w:after="40"/>
              <w:jc w:val="left"/>
            </w:pPr>
            <w:r>
              <w:rPr>
                <w:sz w:val="18"/>
              </w:rPr>
              <w:t xml:space="preserve">Regulatory floor (OUT para 38): may shorten, never lengthen beyond 12 months</w:t>
            </w:r>
          </w:p>
        </w:tc>
      </w:tr>
      <w:tr>
        <w:tc>
          <w:tcPr>
            <w:tcW w:w="2433" w:type="dxa"/>
          </w:tcPr>
          <w:p>
            <w:pPr>
              <w:pStyle w:val="Compact"/>
              <w:spacing w:after="40"/>
              <w:jc w:val="left"/>
            </w:pPr>
            <w:r>
              <w:rPr>
                <w:sz w:val="18"/>
              </w:rPr>
              <w:t xml:space="preserve">Expiry alert lead time</w:t>
            </w:r>
          </w:p>
        </w:tc>
        <w:tc>
          <w:tcPr>
            <w:tcW w:w="1276" w:type="dxa"/>
          </w:tcPr>
          <w:p>
            <w:pPr>
              <w:pStyle w:val="Compact"/>
              <w:spacing w:after="40"/>
              <w:jc w:val="left"/>
            </w:pPr>
            <w:r>
              <w:rPr>
                <w:sz w:val="18"/>
              </w:rPr>
              <w:t xml:space="preserve">Platform</w:t>
            </w:r>
          </w:p>
        </w:tc>
        <w:tc>
          <w:tcPr>
            <w:tcW w:w="2654" w:type="dxa"/>
          </w:tcPr>
          <w:p>
            <w:pPr>
              <w:pStyle w:val="Compact"/>
              <w:spacing w:after="40"/>
              <w:jc w:val="left"/>
            </w:pPr>
            <w:r>
              <w:rPr>
                <w:sz w:val="18"/>
              </w:rPr>
              <w:t xml:space="preserve">30 days</w:t>
            </w:r>
          </w:p>
        </w:tc>
        <w:tc>
          <w:tcPr>
            <w:tcW w:w="3275" w:type="dxa"/>
          </w:tcPr>
          <w:p>
            <w:pPr>
              <w:pStyle w:val="Compact"/>
              <w:spacing w:after="40"/>
              <w:jc w:val="left"/>
            </w:pPr>
            <w:r>
              <w:rPr>
                <w:sz w:val="18"/>
              </w:rPr>
              <w:t xml:space="preserve">Commercial</w:t>
            </w:r>
          </w:p>
        </w:tc>
      </w:tr>
      <w:tr>
        <w:tc>
          <w:tcPr>
            <w:tcW w:w="2433" w:type="dxa"/>
          </w:tcPr>
          <w:p>
            <w:pPr>
              <w:pStyle w:val="Compact"/>
              <w:spacing w:after="40"/>
              <w:jc w:val="left"/>
            </w:pPr>
            <w:r>
              <w:rPr>
                <w:sz w:val="18"/>
              </w:rPr>
              <w:t xml:space="preserve">Pilot caps and duration</w:t>
            </w:r>
          </w:p>
        </w:tc>
        <w:tc>
          <w:tcPr>
            <w:tcW w:w="1276" w:type="dxa"/>
          </w:tcPr>
          <w:p>
            <w:pPr>
              <w:pStyle w:val="Compact"/>
              <w:spacing w:after="40"/>
              <w:jc w:val="left"/>
            </w:pPr>
            <w:r>
              <w:rPr>
                <w:sz w:val="18"/>
              </w:rPr>
              <w:t xml:space="preserve">Deal</w:t>
            </w:r>
          </w:p>
        </w:tc>
        <w:tc>
          <w:tcPr>
            <w:tcW w:w="2654" w:type="dxa"/>
          </w:tcPr>
          <w:p>
            <w:pPr>
              <w:pStyle w:val="Compact"/>
              <w:spacing w:after="40"/>
              <w:jc w:val="left"/>
            </w:pPr>
            <w:r>
              <w:rPr>
                <w:sz w:val="18"/>
              </w:rPr>
              <w:t xml:space="preserve">90 days; caps set per deal</w:t>
            </w:r>
          </w:p>
        </w:tc>
        <w:tc>
          <w:tcPr>
            <w:tcW w:w="3275" w:type="dxa"/>
          </w:tcPr>
          <w:p>
            <w:pPr>
              <w:pStyle w:val="Compact"/>
              <w:spacing w:after="40"/>
              <w:jc w:val="left"/>
            </w:pPr>
            <w:r>
              <w:rPr>
                <w:sz w:val="18"/>
              </w:rPr>
              <w:t xml:space="preserve">Commercial; caps enforced server-side</w:t>
            </w:r>
          </w:p>
        </w:tc>
      </w:tr>
      <w:tr>
        <w:tc>
          <w:tcPr>
            <w:tcW w:w="2433" w:type="dxa"/>
          </w:tcPr>
          <w:p>
            <w:pPr>
              <w:pStyle w:val="Compact"/>
              <w:spacing w:after="40"/>
              <w:jc w:val="left"/>
            </w:pPr>
            <w:r>
              <w:rPr>
                <w:sz w:val="18"/>
              </w:rPr>
              <w:t xml:space="preserve">Pilot exit thresholds</w:t>
            </w:r>
          </w:p>
        </w:tc>
        <w:tc>
          <w:tcPr>
            <w:tcW w:w="1276" w:type="dxa"/>
          </w:tcPr>
          <w:p>
            <w:pPr>
              <w:pStyle w:val="Compact"/>
              <w:spacing w:after="40"/>
              <w:jc w:val="left"/>
            </w:pPr>
            <w:r>
              <w:rPr>
                <w:sz w:val="18"/>
              </w:rPr>
              <w:t xml:space="preserve">Deal</w:t>
            </w:r>
          </w:p>
        </w:tc>
        <w:tc>
          <w:tcPr>
            <w:tcW w:w="2654" w:type="dxa"/>
          </w:tcPr>
          <w:p>
            <w:pPr>
              <w:pStyle w:val="Compact"/>
              <w:spacing w:after="40"/>
              <w:jc w:val="left"/>
            </w:pPr>
            <w:r>
              <w:rPr>
                <w:sz w:val="18"/>
              </w:rPr>
              <w:t xml:space="preserve">As listed under Pilot</w:t>
            </w:r>
          </w:p>
        </w:tc>
        <w:tc>
          <w:tcPr>
            <w:tcW w:w="3275" w:type="dxa"/>
          </w:tcPr>
          <w:p>
            <w:pPr>
              <w:pStyle w:val="Compact"/>
              <w:spacing w:after="40"/>
              <w:jc w:val="left"/>
            </w:pPr>
            <w:r>
              <w:rPr>
                <w:sz w:val="18"/>
              </w:rPr>
              <w:t xml:space="preserve">Tighten only</w:t>
            </w:r>
          </w:p>
        </w:tc>
      </w:tr>
      <w:tr>
        <w:tc>
          <w:tcPr>
            <w:tcW w:w="2433" w:type="dxa"/>
          </w:tcPr>
          <w:p>
            <w:pPr>
              <w:pStyle w:val="Compact"/>
              <w:spacing w:after="40"/>
              <w:jc w:val="left"/>
            </w:pPr>
            <w:r>
              <w:rPr>
                <w:sz w:val="18"/>
              </w:rPr>
              <w:t xml:space="preserve">Idle-deal reminder and withdrawal proposal</w:t>
            </w:r>
          </w:p>
        </w:tc>
        <w:tc>
          <w:tcPr>
            <w:tcW w:w="1276" w:type="dxa"/>
          </w:tcPr>
          <w:p>
            <w:pPr>
              <w:pStyle w:val="Compact"/>
              <w:spacing w:after="40"/>
              <w:jc w:val="left"/>
            </w:pPr>
            <w:r>
              <w:rPr>
                <w:sz w:val="18"/>
              </w:rPr>
              <w:t xml:space="preserve">Platform</w:t>
            </w:r>
          </w:p>
        </w:tc>
        <w:tc>
          <w:tcPr>
            <w:tcW w:w="2654" w:type="dxa"/>
          </w:tcPr>
          <w:p>
            <w:pPr>
              <w:pStyle w:val="Compact"/>
              <w:spacing w:after="40"/>
              <w:jc w:val="left"/>
            </w:pPr>
            <w:r>
              <w:rPr>
                <w:sz w:val="18"/>
              </w:rPr>
              <w:t xml:space="preserve">90 and 180 days</w:t>
            </w:r>
          </w:p>
        </w:tc>
        <w:tc>
          <w:tcPr>
            <w:tcW w:w="3275" w:type="dxa"/>
          </w:tcPr>
          <w:p>
            <w:pPr>
              <w:pStyle w:val="Compact"/>
              <w:spacing w:after="40"/>
              <w:jc w:val="left"/>
            </w:pPr>
            <w:r>
              <w:rPr>
                <w:sz w:val="18"/>
              </w:rPr>
              <w:t xml:space="preserve">Commercial</w:t>
            </w:r>
          </w:p>
        </w:tc>
      </w:tr>
      <w:tr>
        <w:tc>
          <w:tcPr>
            <w:tcW w:w="2433" w:type="dxa"/>
          </w:tcPr>
          <w:p>
            <w:pPr>
              <w:pStyle w:val="Compact"/>
              <w:spacing w:after="40"/>
              <w:jc w:val="left"/>
            </w:pPr>
            <w:r>
              <w:rPr>
                <w:sz w:val="18"/>
              </w:rPr>
              <w:t xml:space="preserve">Counter-party exception approver</w:t>
            </w:r>
          </w:p>
        </w:tc>
        <w:tc>
          <w:tcPr>
            <w:tcW w:w="1276" w:type="dxa"/>
          </w:tcPr>
          <w:p>
            <w:pPr>
              <w:pStyle w:val="Compact"/>
              <w:spacing w:after="40"/>
              <w:jc w:val="left"/>
            </w:pPr>
            <w:r>
              <w:rPr>
                <w:sz w:val="18"/>
              </w:rPr>
              <w:t xml:space="preserve">Platform</w:t>
            </w:r>
          </w:p>
        </w:tc>
        <w:tc>
          <w:tcPr>
            <w:tcW w:w="2654" w:type="dxa"/>
          </w:tcPr>
          <w:p>
            <w:pPr>
              <w:pStyle w:val="Compact"/>
              <w:spacing w:after="40"/>
              <w:jc w:val="left"/>
            </w:pPr>
            <w:r>
              <w:rPr>
                <w:sz w:val="18"/>
              </w:rPr>
              <w:t xml:space="preserve">Udofin compliance head</w:t>
            </w:r>
          </w:p>
        </w:tc>
        <w:tc>
          <w:tcPr>
            <w:tcW w:w="3275" w:type="dxa"/>
          </w:tcPr>
          <w:p>
            <w:pPr>
              <w:pStyle w:val="Compact"/>
              <w:spacing w:after="40"/>
              <w:jc w:val="left"/>
            </w:pPr>
            <w:r>
              <w:rPr>
                <w:sz w:val="18"/>
              </w:rPr>
              <w:t xml:space="preserve">Fixed role</w:t>
            </w:r>
          </w:p>
        </w:tc>
      </w:tr>
      <w:tr>
        <w:tc>
          <w:tcPr>
            <w:tcW w:w="2433" w:type="dxa"/>
          </w:tcPr>
          <w:p>
            <w:pPr>
              <w:pStyle w:val="Compact"/>
              <w:spacing w:after="40"/>
              <w:jc w:val="left"/>
            </w:pPr>
            <w:r>
              <w:rPr>
                <w:sz w:val="18"/>
              </w:rPr>
              <w:t xml:space="preserve">RE approver roles and authority references</w:t>
            </w:r>
          </w:p>
        </w:tc>
        <w:tc>
          <w:tcPr>
            <w:tcW w:w="1276" w:type="dxa"/>
          </w:tcPr>
          <w:p>
            <w:pPr>
              <w:pStyle w:val="Compact"/>
              <w:spacing w:after="40"/>
              <w:jc w:val="left"/>
            </w:pPr>
            <w:r>
              <w:rPr>
                <w:sz w:val="18"/>
              </w:rPr>
              <w:t xml:space="preserve">Deal</w:t>
            </w:r>
          </w:p>
        </w:tc>
        <w:tc>
          <w:tcPr>
            <w:tcW w:w="2654" w:type="dxa"/>
          </w:tcPr>
          <w:p>
            <w:pPr>
              <w:pStyle w:val="Compact"/>
              <w:spacing w:after="40"/>
              <w:jc w:val="left"/>
            </w:pPr>
            <w:r>
              <w:rPr>
                <w:sz w:val="18"/>
              </w:rPr>
              <w:t xml:space="preserve">From the RE’s outsourcing policy (OUT para 20(ii))</w:t>
            </w:r>
          </w:p>
        </w:tc>
        <w:tc>
          <w:tcPr>
            <w:tcW w:w="3275" w:type="dxa"/>
          </w:tcPr>
          <w:p>
            <w:pPr>
              <w:pStyle w:val="Compact"/>
              <w:spacing w:after="40"/>
              <w:jc w:val="left"/>
            </w:pPr>
            <w:r>
              <w:rPr>
                <w:sz w:val="18"/>
              </w:rPr>
              <w:t xml:space="preserve">RE-defined; mandatory</w:t>
            </w:r>
          </w:p>
        </w:tc>
      </w:tr>
    </w:tbl>
    <w:bookmarkEnd w:id="112"/>
    <w:bookmarkStart w:id="113" w:name="menu-and-screens"/>
    <w:p>
      <w:pPr>
        <w:pStyle w:val="Heading3"/>
      </w:pPr>
      <w:r>
        <w:t xml:space="preserve">Menu and screens</w:t>
      </w:r>
    </w:p>
    <w:p>
      <w:pPr>
        <w:numPr>
          <w:ilvl w:val="0"/>
          <w:numId w:val="1067"/>
        </w:numPr>
        <w:pStyle w:val="Compact"/>
      </w:pPr>
      <w:r>
        <w:rPr>
          <w:bCs/>
          <w:b/>
        </w:rPr>
        <w:t xml:space="preserve">Partners › Deals</w:t>
      </w:r>
      <w:r>
        <w:t xml:space="preserve"> </w:t>
      </w:r>
      <w:r>
        <w:t xml:space="preserve">(C: partnerships, compliance; D: RE CCO, outsourcing owner): pipeline board by state with ageing chips and filters (lender class, RE layer, state, owner, under review); deal detail with tabs Overview, Gates, Due diligence, Configuration, Pilot, Reviews, Events, Audit trail;</w:t>
      </w:r>
      <w:r>
        <w:t xml:space="preserve"> </w:t>
      </w:r>
      <w:r>
        <w:rPr>
          <w:bCs/>
          <w:b/>
        </w:rPr>
        <w:t xml:space="preserve">New deal</w:t>
      </w:r>
      <w:r>
        <w:t xml:space="preserve"> </w:t>
      </w:r>
      <w:r>
        <w:t xml:space="preserve">wizard (lender identity from CoR or registry → class and track → NDA → conflict check → owners); actions</w:t>
      </w:r>
      <w:r>
        <w:t xml:space="preserve"> </w:t>
      </w:r>
      <w:r>
        <w:rPr>
          <w:bCs/>
          <w:b/>
        </w:rPr>
        <w:t xml:space="preserve">Advance</w:t>
      </w:r>
      <w:r>
        <w:t xml:space="preserve"> </w:t>
      </w:r>
      <w:r>
        <w:t xml:space="preserve">(runs the gate engine and lists each failing item with a fix link),</w:t>
      </w:r>
      <w:r>
        <w:t xml:space="preserve"> </w:t>
      </w:r>
      <w:r>
        <w:rPr>
          <w:bCs/>
          <w:b/>
        </w:rPr>
        <w:t xml:space="preserve">Suspend</w:t>
      </w:r>
      <w:r>
        <w:t xml:space="preserve">,</w:t>
      </w:r>
      <w:r>
        <w:t xml:space="preserve"> </w:t>
      </w:r>
      <w:r>
        <w:rPr>
          <w:bCs/>
          <w:b/>
        </w:rPr>
        <w:t xml:space="preserve">Withdraw</w:t>
      </w:r>
      <w:r>
        <w:t xml:space="preserve">,</w:t>
      </w:r>
      <w:r>
        <w:t xml:space="preserve"> </w:t>
      </w:r>
      <w:r>
        <w:rPr>
          <w:bCs/>
          <w:b/>
        </w:rPr>
        <w:t xml:space="preserve">Start exit</w:t>
      </w:r>
      <w:r>
        <w:t xml:space="preserve">; approval queue (maker-checker and RE countersign).</w:t>
      </w:r>
    </w:p>
    <w:p>
      <w:pPr>
        <w:numPr>
          <w:ilvl w:val="0"/>
          <w:numId w:val="1067"/>
        </w:numPr>
        <w:pStyle w:val="Compact"/>
      </w:pPr>
      <w:r>
        <w:rPr>
          <w:bCs/>
          <w:b/>
        </w:rPr>
        <w:t xml:space="preserve">Partners › Due diligence</w:t>
      </w:r>
      <w:r>
        <w:t xml:space="preserve">: Udofin pack builder (items, evidence upload, expiry), RE questionnaire inbox, counter-party checks, declarations to sign (DSC or Aadhaar eSign), expiry calendar; bulk action</w:t>
      </w:r>
      <w:r>
        <w:t xml:space="preserve"> </w:t>
      </w:r>
      <w:r>
        <w:rPr>
          <w:bCs/>
          <w:b/>
        </w:rPr>
        <w:t xml:space="preserve">Request refresh</w:t>
      </w:r>
      <w:r>
        <w:t xml:space="preserve">.</w:t>
      </w:r>
    </w:p>
    <w:p>
      <w:pPr>
        <w:numPr>
          <w:ilvl w:val="0"/>
          <w:numId w:val="1067"/>
        </w:numPr>
        <w:pStyle w:val="Compact"/>
      </w:pPr>
      <w:r>
        <w:t xml:space="preserve">Empty and error states:</w:t>
      </w:r>
      <w:r>
        <w:t xml:space="preserve"> </w:t>
      </w:r>
      <w:r>
        <w:t xml:space="preserve">“</w:t>
      </w:r>
      <w:r>
        <w:t xml:space="preserve">No deal yet: start with the lender’s CoR</w:t>
      </w:r>
      <w:r>
        <w:t xml:space="preserve">”</w:t>
      </w:r>
      <w:r>
        <w:t xml:space="preserve">; a blocked transition names the clause or paragraph (for example</w:t>
      </w:r>
      <w:r>
        <w:t xml:space="preserve"> </w:t>
      </w:r>
      <w:r>
        <w:t xml:space="preserve">“</w:t>
      </w:r>
      <w:r>
        <w:t xml:space="preserve">CIMS acknowledgement missing for Udofin iOS (CF para 18(2))</w:t>
      </w:r>
      <w:r>
        <w:t xml:space="preserve">”</w:t>
      </w:r>
      <w:r>
        <w:t xml:space="preserve">). Borrower channels show nothing for the lender before</w:t>
      </w:r>
      <w:r>
        <w:t xml:space="preserve"> </w:t>
      </w:r>
      <w:r>
        <w:rPr>
          <w:rStyle w:val="VerbatimChar"/>
        </w:rPr>
        <w:t xml:space="preserve">PILOT</w:t>
      </w:r>
      <w:r>
        <w:t xml:space="preserve">.</w:t>
      </w:r>
    </w:p>
    <w:bookmarkEnd w:id="113"/>
    <w:bookmarkStart w:id="114" w:name="controls"/>
    <w:p>
      <w:pPr>
        <w:pStyle w:val="Heading3"/>
      </w:pPr>
      <w:r>
        <w:t xml:space="preserve">Controls</w:t>
      </w:r>
    </w:p>
    <w:p>
      <w:pPr>
        <w:numPr>
          <w:ilvl w:val="0"/>
          <w:numId w:val="1068"/>
        </w:numPr>
        <w:pStyle w:val="Compact"/>
      </w:pPr>
      <w:r>
        <w:t xml:space="preserve">UP-C01: transitions only through the gate engine; no state skip.</w:t>
      </w:r>
    </w:p>
    <w:p>
      <w:pPr>
        <w:numPr>
          <w:ilvl w:val="0"/>
          <w:numId w:val="1068"/>
        </w:numPr>
        <w:pStyle w:val="Compact"/>
      </w:pPr>
      <w:r>
        <w:t xml:space="preserve">UP-C02: DD items alert 30 days before expiry and move the deal to</w:t>
      </w:r>
      <w:r>
        <w:t xml:space="preserve"> </w:t>
      </w:r>
      <w:r>
        <w:rPr>
          <w:rStyle w:val="VerbatimChar"/>
        </w:rPr>
        <w:t xml:space="preserve">UNDER_REVIEW</w:t>
      </w:r>
      <w:r>
        <w:t xml:space="preserve"> </w:t>
      </w:r>
      <w:r>
        <w:t xml:space="preserve">on expiry.</w:t>
      </w:r>
    </w:p>
    <w:p>
      <w:pPr>
        <w:numPr>
          <w:ilvl w:val="0"/>
          <w:numId w:val="1068"/>
        </w:numPr>
        <w:pStyle w:val="Compact"/>
      </w:pPr>
      <w:r>
        <w:t xml:space="preserve">UP-C03: a bank or co-operative-bank RE cannot pass</w:t>
      </w:r>
      <w:r>
        <w:t xml:space="preserve"> </w:t>
      </w:r>
      <w:r>
        <w:rPr>
          <w:rStyle w:val="VerbatimChar"/>
        </w:rPr>
        <w:t xml:space="preserve">DUE_DILIGENCE</w:t>
      </w:r>
      <w:r>
        <w:t xml:space="preserve"> </w:t>
      </w:r>
      <w:r>
        <w:t xml:space="preserve">while its rule pack is</w:t>
      </w:r>
      <w:r>
        <w:t xml:space="preserve"> </w:t>
      </w:r>
      <w:r>
        <w:rPr>
          <w:rStyle w:val="VerbatimChar"/>
        </w:rPr>
        <w:t xml:space="preserve">unmapped</w:t>
      </w:r>
      <w:r>
        <w:t xml:space="preserve"> </w:t>
      </w:r>
      <w:r>
        <w:t xml:space="preserve">[VERIFY: bank texts].</w:t>
      </w:r>
    </w:p>
    <w:p>
      <w:pPr>
        <w:numPr>
          <w:ilvl w:val="0"/>
          <w:numId w:val="1068"/>
        </w:numPr>
        <w:pStyle w:val="Compact"/>
      </w:pPr>
      <w:r>
        <w:t xml:space="preserve">UP-C04: published declarations and DD packs are immutable; corrections create a new version.</w:t>
      </w:r>
    </w:p>
    <w:bookmarkEnd w:id="114"/>
    <w:bookmarkStart w:id="115" w:name="acceptance-tests"/>
    <w:p>
      <w:pPr>
        <w:pStyle w:val="Heading3"/>
      </w:pPr>
      <w:r>
        <w:t xml:space="preserve">Acceptance tests</w:t>
      </w:r>
    </w:p>
    <w:p>
      <w:pPr>
        <w:numPr>
          <w:ilvl w:val="0"/>
          <w:numId w:val="1069"/>
        </w:numPr>
        <w:pStyle w:val="Compact"/>
      </w:pPr>
      <w:r>
        <w:t xml:space="preserve">A deal cannot move from</w:t>
      </w:r>
      <w:r>
        <w:t xml:space="preserve"> </w:t>
      </w:r>
      <w:r>
        <w:rPr>
          <w:rStyle w:val="VerbatimChar"/>
        </w:rPr>
        <w:t xml:space="preserve">TECHNICAL_CERTIFICATION</w:t>
      </w:r>
      <w:r>
        <w:t xml:space="preserve"> </w:t>
      </w:r>
      <w:r>
        <w:t xml:space="preserve">to</w:t>
      </w:r>
      <w:r>
        <w:t xml:space="preserve"> </w:t>
      </w:r>
      <w:r>
        <w:rPr>
          <w:rStyle w:val="VerbatimChar"/>
        </w:rPr>
        <w:t xml:space="preserve">PILOT</w:t>
      </w:r>
      <w:r>
        <w:t xml:space="preserve"> </w:t>
      </w:r>
      <w:r>
        <w:t xml:space="preserve">without a CIMS acknowledgement file, a website disclosure snapshot and a store-listing snapshot; each missing item is named in the error.</w:t>
      </w:r>
    </w:p>
    <w:p>
      <w:pPr>
        <w:numPr>
          <w:ilvl w:val="0"/>
          <w:numId w:val="1069"/>
        </w:numPr>
        <w:pStyle w:val="Compact"/>
      </w:pPr>
      <w:r>
        <w:t xml:space="preserve">A deal in</w:t>
      </w:r>
      <w:r>
        <w:t xml:space="preserve"> </w:t>
      </w:r>
      <w:r>
        <w:rPr>
          <w:rStyle w:val="VerbatimChar"/>
        </w:rPr>
        <w:t xml:space="preserve">PROPOSED</w:t>
      </w:r>
      <w:r>
        <w:t xml:space="preserve"> </w:t>
      </w:r>
      <w:r>
        <w:t xml:space="preserve">can be</w:t>
      </w:r>
      <w:r>
        <w:t xml:space="preserve"> </w:t>
      </w:r>
      <w:r>
        <w:rPr>
          <w:rStyle w:val="VerbatimChar"/>
        </w:rPr>
        <w:t xml:space="preserve">WITHDRAWN</w:t>
      </w:r>
      <w:r>
        <w:t xml:space="preserve">; a deal in</w:t>
      </w:r>
      <w:r>
        <w:t xml:space="preserve"> </w:t>
      </w:r>
      <w:r>
        <w:rPr>
          <w:rStyle w:val="VerbatimChar"/>
        </w:rPr>
        <w:t xml:space="preserve">PILOT</w:t>
      </w:r>
      <w:r>
        <w:t xml:space="preserve"> </w:t>
      </w:r>
      <w:r>
        <w:t xml:space="preserve">cannot be withdrawn, only terminated through UP5.</w:t>
      </w:r>
    </w:p>
    <w:p>
      <w:pPr>
        <w:numPr>
          <w:ilvl w:val="0"/>
          <w:numId w:val="1069"/>
        </w:numPr>
        <w:pStyle w:val="Compact"/>
      </w:pPr>
      <w:r>
        <w:t xml:space="preserve">An expired VAPT summary moves an</w:t>
      </w:r>
      <w:r>
        <w:t xml:space="preserve"> </w:t>
      </w:r>
      <w:r>
        <w:rPr>
          <w:rStyle w:val="VerbatimChar"/>
        </w:rPr>
        <w:t xml:space="preserve">ACTIVE</w:t>
      </w:r>
      <w:r>
        <w:t xml:space="preserve"> </w:t>
      </w:r>
      <w:r>
        <w:t xml:space="preserve">deal to</w:t>
      </w:r>
      <w:r>
        <w:t xml:space="preserve"> </w:t>
      </w:r>
      <w:r>
        <w:rPr>
          <w:rStyle w:val="VerbatimChar"/>
        </w:rPr>
        <w:t xml:space="preserve">UNDER_REVIEW</w:t>
      </w:r>
      <w:r>
        <w:t xml:space="preserve"> </w:t>
      </w:r>
      <w:r>
        <w:t xml:space="preserve">without stopping borrower journeys.</w:t>
      </w:r>
    </w:p>
    <w:p>
      <w:pPr>
        <w:numPr>
          <w:ilvl w:val="0"/>
          <w:numId w:val="1069"/>
        </w:numPr>
        <w:pStyle w:val="Compact"/>
      </w:pPr>
      <w:r>
        <w:t xml:space="preserve">The clause-matrix check fails</w:t>
      </w:r>
      <w:r>
        <w:t xml:space="preserve"> </w:t>
      </w:r>
      <w:r>
        <w:rPr>
          <w:rStyle w:val="VerbatimChar"/>
        </w:rPr>
        <w:t xml:space="preserve">LEGAL</w:t>
      </w:r>
      <w:r>
        <w:t xml:space="preserve"> </w:t>
      </w:r>
      <w:r>
        <w:t xml:space="preserve">exit when OUT para 34(iv) (subcontractor consent) is not marked present.</w:t>
      </w:r>
    </w:p>
    <w:p>
      <w:pPr>
        <w:numPr>
          <w:ilvl w:val="0"/>
          <w:numId w:val="1069"/>
        </w:numPr>
        <w:pStyle w:val="Compact"/>
      </w:pPr>
      <w:r>
        <w:t xml:space="preserve">An RE user from deal A cannot see deal B’s DD pack, review findings or approvals (RLS test).</w:t>
      </w:r>
    </w:p>
    <w:p>
      <w:pPr>
        <w:numPr>
          <w:ilvl w:val="0"/>
          <w:numId w:val="1069"/>
        </w:numPr>
        <w:pStyle w:val="Compact"/>
      </w:pPr>
      <w:r>
        <w:t xml:space="preserve">Pilot cap of N applications: application N+1 is refused with an honest</w:t>
      </w:r>
      <w:r>
        <w:t xml:space="preserve"> </w:t>
      </w:r>
      <w:r>
        <w:t xml:space="preserve">“</w:t>
      </w:r>
      <w:r>
        <w:t xml:space="preserve">not available</w:t>
      </w:r>
      <w:r>
        <w:t xml:space="preserve">”</w:t>
      </w:r>
      <w:r>
        <w:t xml:space="preserve"> </w:t>
      </w:r>
      <w:r>
        <w:t xml:space="preserve">status and the RE is notified.</w:t>
      </w:r>
    </w:p>
    <w:p>
      <w:pPr>
        <w:numPr>
          <w:ilvl w:val="0"/>
          <w:numId w:val="1069"/>
        </w:numPr>
        <w:pStyle w:val="Compact"/>
      </w:pPr>
      <w:r>
        <w:t xml:space="preserve">Each state change publishes exactly one event with the correct</w:t>
      </w:r>
      <w:r>
        <w:t xml:space="preserve"> </w:t>
      </w:r>
      <w:r>
        <w:rPr>
          <w:rStyle w:val="VerbatimChar"/>
        </w:rPr>
        <w:t xml:space="preserve">mode</w:t>
      </w:r>
      <w:r>
        <w:t xml:space="preserve"> </w:t>
      </w:r>
      <w:r>
        <w:t xml:space="preserve">attribute; replay is idempotent; resuming a deal suspended during</w:t>
      </w:r>
      <w:r>
        <w:t xml:space="preserve"> </w:t>
      </w:r>
      <w:r>
        <w:rPr>
          <w:rStyle w:val="VerbatimChar"/>
        </w:rPr>
        <w:t xml:space="preserve">PILOT</w:t>
      </w:r>
      <w:r>
        <w:t xml:space="preserve"> </w:t>
      </w:r>
      <w:r>
        <w:t xml:space="preserve">publishes</w:t>
      </w:r>
      <w:r>
        <w:t xml:space="preserve"> </w:t>
      </w:r>
      <w:r>
        <w:rPr>
          <w:rStyle w:val="VerbatimChar"/>
        </w:rPr>
        <w:t xml:space="preserve">mode = PILOT</w:t>
      </w:r>
      <w:r>
        <w:t xml:space="preserve"> </w:t>
      </w:r>
      <w:r>
        <w:t xml:space="preserve">and</w:t>
      </w:r>
      <w:r>
        <w:t xml:space="preserve"> </w:t>
      </w:r>
      <w:r>
        <w:rPr>
          <w:rStyle w:val="VerbatimChar"/>
        </w:rPr>
        <w:t xml:space="preserve">resumed = true</w:t>
      </w:r>
      <w:r>
        <w:t xml:space="preserve">.</w:t>
      </w:r>
    </w:p>
    <w:p>
      <w:pPr>
        <w:numPr>
          <w:ilvl w:val="0"/>
          <w:numId w:val="1069"/>
        </w:numPr>
        <w:pStyle w:val="Compact"/>
      </w:pPr>
      <w:r>
        <w:t xml:space="preserve">A</w:t>
      </w:r>
      <w:r>
        <w:t xml:space="preserve"> </w:t>
      </w:r>
      <w:r>
        <w:rPr>
          <w:rStyle w:val="VerbatimChar"/>
        </w:rPr>
        <w:t xml:space="preserve">NEW_SOURCING_PAUSED</w:t>
      </w:r>
      <w:r>
        <w:t xml:space="preserve"> </w:t>
      </w:r>
      <w:r>
        <w:t xml:space="preserve">suspension publishes</w:t>
      </w:r>
      <w:r>
        <w:t xml:space="preserve"> </w:t>
      </w:r>
      <w:r>
        <w:rPr>
          <w:rStyle w:val="VerbatimChar"/>
        </w:rPr>
        <w:t xml:space="preserve">LenderDealSuspended</w:t>
      </w:r>
      <w:r>
        <w:t xml:space="preserve"> </w:t>
      </w:r>
      <w:r>
        <w:t xml:space="preserve">with scope</w:t>
      </w:r>
      <w:r>
        <w:t xml:space="preserve"> </w:t>
      </w:r>
      <w:r>
        <w:rPr>
          <w:rStyle w:val="VerbatimChar"/>
        </w:rPr>
        <w:t xml:space="preserve">NEW_BUSINESS</w:t>
      </w:r>
      <w:r>
        <w:t xml:space="preserve">; a</w:t>
      </w:r>
      <w:r>
        <w:t xml:space="preserve"> </w:t>
      </w:r>
      <w:r>
        <w:rPr>
          <w:rStyle w:val="VerbatimChar"/>
        </w:rPr>
        <w:t xml:space="preserve">FULL</w:t>
      </w:r>
      <w:r>
        <w:t xml:space="preserve"> </w:t>
      </w:r>
      <w:r>
        <w:t xml:space="preserve">suspension publishes scope</w:t>
      </w:r>
      <w:r>
        <w:t xml:space="preserve"> </w:t>
      </w:r>
      <w:r>
        <w:rPr>
          <w:rStyle w:val="VerbatimChar"/>
        </w:rPr>
        <w:t xml:space="preserve">ALL</w:t>
      </w:r>
      <w:r>
        <w:t xml:space="preserve">.</w:t>
      </w:r>
    </w:p>
    <w:p>
      <w:r>
        <w:pict>
          <v:rect style="width:0;height:1.5pt" o:hralign="center" o:hrstd="t" o:hr="t"/>
        </w:pict>
      </w:r>
    </w:p>
    <w:bookmarkEnd w:id="115"/>
    <w:bookmarkEnd w:id="116"/>
    <w:bookmarkStart w:id="125" w:name="up2.-per-deal-configurator"/>
    <w:p>
      <w:pPr>
        <w:pStyle w:val="Heading2"/>
      </w:pPr>
      <w:r>
        <w:t xml:space="preserve">UP2. Per-deal configurator</w:t>
      </w:r>
    </w:p>
    <w:bookmarkStart w:id="117" w:name="purpose-and-scope-1"/>
    <w:p>
      <w:pPr>
        <w:pStyle w:val="Heading3"/>
      </w:pPr>
      <w:r>
        <w:t xml:space="preserve">Purpose and scope</w:t>
      </w:r>
    </w:p>
    <w:p>
      <w:pPr>
        <w:pStyle w:val="FirstParagraph"/>
      </w:pPr>
      <w:r>
        <w:t xml:space="preserve">A single, versioned</w:t>
      </w:r>
      <w:r>
        <w:t xml:space="preserve"> </w:t>
      </w:r>
      <w:r>
        <w:rPr>
          <w:rStyle w:val="VerbatimChar"/>
        </w:rPr>
        <w:t xml:space="preserve">deal_config</w:t>
      </w:r>
      <w:r>
        <w:t xml:space="preserve"> </w:t>
      </w:r>
      <w:r>
        <w:t xml:space="preserve">object per deal captures everything negotiated with the lender, validated against the guard-rails in Part 3.4 and the RE’s own policies. It is the only place where per-lender variation lives; code never branches on a lender’s identity.</w:t>
      </w:r>
    </w:p>
    <w:bookmarkEnd w:id="117"/>
    <w:bookmarkStart w:id="118" w:name="configuration-sections"/>
    <w:p>
      <w:pPr>
        <w:pStyle w:val="Heading3"/>
      </w:pPr>
      <w:r>
        <w:t xml:space="preserve">Configuration sections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38"/>
        <w:gridCol w:w="3272"/>
        <w:gridCol w:w="1697"/>
        <w:gridCol w:w="3431"/>
      </w:tblGrid>
      <w:tr>
        <w:trPr>
          <w:tblHeader w:val="true"/>
          <w:tblHeader w:val="true"/>
        </w:trPr>
        <w:tc>
          <w:tcPr>
            <w:tcW w:w="1238" w:type="dxa"/>
            <w:shd w:val="clear" w:color="auto" w:fill="1F3A5F"/>
          </w:tcPr>
          <w:p>
            <w:pPr>
              <w:pStyle w:val="Compact"/>
              <w:spacing w:after="40"/>
              <w:jc w:val="left"/>
            </w:pPr>
            <w:r>
              <w:rPr>
                <w:b/>
                <w:color w:val="FFFFFF"/>
                <w:sz w:val="18"/>
              </w:rPr>
              <w:t xml:space="preserve">Section</w:t>
            </w:r>
          </w:p>
        </w:tc>
        <w:tc>
          <w:tcPr>
            <w:tcW w:w="3272" w:type="dxa"/>
            <w:shd w:val="clear" w:color="auto" w:fill="1F3A5F"/>
          </w:tcPr>
          <w:p>
            <w:pPr>
              <w:pStyle w:val="Compact"/>
              <w:spacing w:after="40"/>
              <w:jc w:val="left"/>
            </w:pPr>
            <w:r>
              <w:rPr>
                <w:b/>
                <w:color w:val="FFFFFF"/>
                <w:sz w:val="18"/>
              </w:rPr>
              <w:t xml:space="preserve">What is configured</w:t>
            </w:r>
          </w:p>
        </w:tc>
        <w:tc>
          <w:tcPr>
            <w:tcW w:w="1697" w:type="dxa"/>
            <w:shd w:val="clear" w:color="auto" w:fill="1F3A5F"/>
          </w:tcPr>
          <w:p>
            <w:pPr>
              <w:pStyle w:val="Compact"/>
              <w:spacing w:after="40"/>
              <w:jc w:val="left"/>
            </w:pPr>
            <w:r>
              <w:rPr>
                <w:b/>
                <w:color w:val="FFFFFF"/>
                <w:sz w:val="18"/>
              </w:rPr>
              <w:t xml:space="preserve">Owner and approval</w:t>
            </w:r>
          </w:p>
        </w:tc>
        <w:tc>
          <w:tcPr>
            <w:tcW w:w="3431" w:type="dxa"/>
            <w:shd w:val="clear" w:color="auto" w:fill="1F3A5F"/>
          </w:tcPr>
          <w:p>
            <w:pPr>
              <w:pStyle w:val="Compact"/>
              <w:spacing w:after="40"/>
              <w:jc w:val="left"/>
            </w:pPr>
            <w:r>
              <w:rPr>
                <w:b/>
                <w:color w:val="FFFFFF"/>
                <w:sz w:val="18"/>
              </w:rPr>
              <w:t xml:space="preserve">Guard-rails (cannot be overridden)</w:t>
            </w:r>
          </w:p>
        </w:tc>
      </w:tr>
      <w:tr>
        <w:tc>
          <w:tcPr>
            <w:tcW w:w="1238" w:type="dxa"/>
          </w:tcPr>
          <w:p>
            <w:pPr>
              <w:pStyle w:val="Compact"/>
              <w:spacing w:after="40"/>
              <w:jc w:val="left"/>
            </w:pPr>
            <w:r>
              <w:rPr>
                <w:sz w:val="18"/>
              </w:rPr>
              <w:t xml:space="preserve">1. Commercials</w:t>
            </w:r>
          </w:p>
        </w:tc>
        <w:tc>
          <w:tcPr>
            <w:tcW w:w="3272" w:type="dxa"/>
          </w:tcPr>
          <w:p>
            <w:pPr>
              <w:pStyle w:val="Compact"/>
              <w:spacing w:after="40"/>
              <w:jc w:val="left"/>
            </w:pPr>
            <w:r>
              <w:rPr>
                <w:sz w:val="18"/>
              </w:rPr>
              <w:t xml:space="preserve">Sourcing, platform, servicing, recovery (only with a recovery-agent contract), DLG and module licence fees (Part 7A, Part 7G); GST, TDS, invoicing and payment terms</w:t>
            </w:r>
          </w:p>
        </w:tc>
        <w:tc>
          <w:tcPr>
            <w:tcW w:w="1697" w:type="dxa"/>
          </w:tcPr>
          <w:p>
            <w:pPr>
              <w:pStyle w:val="Compact"/>
              <w:spacing w:after="40"/>
              <w:jc w:val="left"/>
            </w:pPr>
            <w:r>
              <w:rPr>
                <w:sz w:val="18"/>
              </w:rPr>
              <w:t xml:space="preserve">Udofin and RE finance; legal-review layer</w:t>
            </w:r>
          </w:p>
        </w:tc>
        <w:tc>
          <w:tcPr>
            <w:tcW w:w="3431" w:type="dxa"/>
          </w:tcPr>
          <w:p>
            <w:pPr>
              <w:pStyle w:val="Compact"/>
              <w:spacing w:after="40"/>
              <w:jc w:val="left"/>
            </w:pPr>
            <w:r>
              <w:rPr>
                <w:bCs/>
                <w:b/>
                <w:sz w:val="18"/>
              </w:rPr>
              <w:t xml:space="preserve">Paid by the RE only</w:t>
            </w:r>
            <w:r>
              <w:rPr>
                <w:sz w:val="18"/>
              </w:rPr>
              <w:t xml:space="preserve"> </w:t>
            </w:r>
            <w:r>
              <w:rPr>
                <w:sz w:val="18"/>
              </w:rPr>
              <w:t xml:space="preserve">(CF para 10(4)); never netted from disbursal or recovery proceeds (CF para 10(5)); any clawback or first-loss term is implicit DLG within the 5% cap (CF para 24; U14); held in the isolated</w:t>
            </w:r>
            <w:r>
              <w:rPr>
                <w:sz w:val="18"/>
              </w:rPr>
              <w:t xml:space="preserve"> </w:t>
            </w:r>
            <w:r>
              <w:rPr>
                <w:rStyle w:val="VerbatimChar"/>
                <w:sz w:val="18"/>
              </w:rPr>
              <w:t xml:space="preserve">deal_commercials</w:t>
            </w:r>
            <w:r>
              <w:rPr>
                <w:sz w:val="18"/>
              </w:rPr>
              <w:t xml:space="preserve"> </w:t>
            </w:r>
            <w:r>
              <w:rPr>
                <w:sz w:val="18"/>
              </w:rPr>
              <w:t xml:space="preserve">schema with no read grant to matching, ranking, routing, offer, AI or marketing services</w:t>
            </w:r>
          </w:p>
        </w:tc>
      </w:tr>
      <w:tr>
        <w:tc>
          <w:tcPr>
            <w:tcW w:w="1238" w:type="dxa"/>
          </w:tcPr>
          <w:p>
            <w:pPr>
              <w:pStyle w:val="Compact"/>
              <w:spacing w:after="40"/>
              <w:jc w:val="left"/>
            </w:pPr>
            <w:r>
              <w:rPr>
                <w:sz w:val="18"/>
              </w:rPr>
              <w:t xml:space="preserve">2. Products and scope</w:t>
            </w:r>
          </w:p>
        </w:tc>
        <w:tc>
          <w:tcPr>
            <w:tcW w:w="3272" w:type="dxa"/>
          </w:tcPr>
          <w:p>
            <w:pPr>
              <w:pStyle w:val="Compact"/>
              <w:spacing w:after="40"/>
              <w:jc w:val="left"/>
            </w:pPr>
            <w:r>
              <w:rPr>
                <w:sz w:val="18"/>
              </w:rPr>
              <w:t xml:space="preserve">Products (links to</w:t>
            </w:r>
            <w:r>
              <w:rPr>
                <w:sz w:val="18"/>
              </w:rPr>
              <w:t xml:space="preserve"> </w:t>
            </w:r>
            <w:r>
              <w:rPr>
                <w:rStyle w:val="VerbatimChar"/>
                <w:sz w:val="18"/>
              </w:rPr>
              <w:t xml:space="preserve">product_offer_version</w:t>
            </w:r>
            <w:r>
              <w:rPr>
                <w:sz w:val="18"/>
              </w:rPr>
              <w:t xml:space="preserve">), channels (Android, iOS, web, assisted), states and pin-code exclusions, borrower segments the RE serves, product-level store-policy gates</w:t>
            </w:r>
          </w:p>
        </w:tc>
        <w:tc>
          <w:tcPr>
            <w:tcW w:w="1697" w:type="dxa"/>
          </w:tcPr>
          <w:p>
            <w:pPr>
              <w:pStyle w:val="Compact"/>
              <w:spacing w:after="40"/>
              <w:jc w:val="left"/>
            </w:pPr>
            <w:r>
              <w:rPr>
                <w:sz w:val="18"/>
              </w:rPr>
              <w:t xml:space="preserve">RE product owner; Udofin product</w:t>
            </w:r>
          </w:p>
        </w:tc>
        <w:tc>
          <w:tcPr>
            <w:tcW w:w="3431" w:type="dxa"/>
          </w:tcPr>
          <w:p>
            <w:pPr>
              <w:pStyle w:val="Compact"/>
              <w:spacing w:after="40"/>
              <w:jc w:val="left"/>
            </w:pPr>
            <w:r>
              <w:rPr>
                <w:sz w:val="18"/>
              </w:rPr>
              <w:t xml:space="preserve">Store-policy gate applies per channel (no loan repayable in full in 60 days or less in either store app; no APR above 36% in the iOS app; Part 4.6); unmatched-lender disclosure unaffected by scope (CF para 7(1))</w:t>
            </w:r>
          </w:p>
        </w:tc>
      </w:tr>
      <w:tr>
        <w:tc>
          <w:tcPr>
            <w:tcW w:w="1238" w:type="dxa"/>
          </w:tcPr>
          <w:p>
            <w:pPr>
              <w:pStyle w:val="Compact"/>
              <w:spacing w:after="40"/>
              <w:jc w:val="left"/>
            </w:pPr>
            <w:r>
              <w:rPr>
                <w:sz w:val="18"/>
              </w:rPr>
              <w:t xml:space="preserve">3. Credit-policy hooks and BRE parameters</w:t>
            </w:r>
          </w:p>
        </w:tc>
        <w:tc>
          <w:tcPr>
            <w:tcW w:w="3272" w:type="dxa"/>
          </w:tcPr>
          <w:p>
            <w:pPr>
              <w:pStyle w:val="Compact"/>
              <w:spacing w:after="40"/>
              <w:jc w:val="left"/>
            </w:pPr>
            <w:r>
              <w:rPr>
                <w:sz w:val="18"/>
              </w:rPr>
              <w:t xml:space="preserve">Pre-qualification rules and BRE parameters</w:t>
            </w:r>
            <w:r>
              <w:rPr>
                <w:sz w:val="18"/>
              </w:rPr>
              <w:t xml:space="preserve"> </w:t>
            </w:r>
            <w:r>
              <w:rPr>
                <w:bCs/>
                <w:b/>
                <w:sz w:val="18"/>
              </w:rPr>
              <w:t xml:space="preserve">supplied by the RE</w:t>
            </w:r>
            <w:r>
              <w:rPr>
                <w:sz w:val="18"/>
              </w:rPr>
              <w:t xml:space="preserve">, hosted as RE-owned GoRules decision models; CIC preference and fallback order (CIR para 20); new-to-credit acceptance (CIR para 38(5)); AA usage; microfinance household-income questionnaire fields (CF para 52)</w:t>
            </w:r>
          </w:p>
        </w:tc>
        <w:tc>
          <w:tcPr>
            <w:tcW w:w="1697" w:type="dxa"/>
          </w:tcPr>
          <w:p>
            <w:pPr>
              <w:pStyle w:val="Compact"/>
              <w:spacing w:after="40"/>
              <w:jc w:val="left"/>
            </w:pPr>
            <w:r>
              <w:rPr>
                <w:sz w:val="18"/>
              </w:rPr>
              <w:t xml:space="preserve">RE credit, approved by the RE’s authorised user; Udofin validates syntax only</w:t>
            </w:r>
          </w:p>
        </w:tc>
        <w:tc>
          <w:tcPr>
            <w:tcW w:w="3431" w:type="dxa"/>
          </w:tcPr>
          <w:p>
            <w:pPr>
              <w:pStyle w:val="Compact"/>
              <w:spacing w:after="40"/>
              <w:jc w:val="left"/>
            </w:pPr>
            <w:r>
              <w:rPr>
                <w:sz w:val="18"/>
              </w:rPr>
              <w:t xml:space="preserve">Udofin cannot author or edit RE rules (OUT para 15); no DLG, fee or conversion input to any rule (CF para 20(2); Part 4.4); every evaluation logs the rule version</w:t>
            </w:r>
          </w:p>
        </w:tc>
      </w:tr>
      <w:tr>
        <w:tc>
          <w:tcPr>
            <w:tcW w:w="1238" w:type="dxa"/>
          </w:tcPr>
          <w:p>
            <w:pPr>
              <w:pStyle w:val="Compact"/>
              <w:spacing w:after="40"/>
              <w:jc w:val="left"/>
            </w:pPr>
            <w:r>
              <w:rPr>
                <w:sz w:val="18"/>
              </w:rPr>
              <w:t xml:space="preserve">4. KFS and document templates</w:t>
            </w:r>
          </w:p>
        </w:tc>
        <w:tc>
          <w:tcPr>
            <w:tcW w:w="3272" w:type="dxa"/>
          </w:tcPr>
          <w:p>
            <w:pPr>
              <w:pStyle w:val="Compact"/>
              <w:spacing w:after="40"/>
              <w:jc w:val="left"/>
            </w:pPr>
            <w:r>
              <w:rPr>
                <w:sz w:val="18"/>
              </w:rPr>
              <w:t xml:space="preserve">KFS template version and languages (RBC para 29(1)), Annex I Part 2 items (GRO contacts, co-lending block, cooling-off, LSP recovery role), sanction letter, agreement with KFS summary box (RBC para 29(6)), enclosure list (RBC para 14), loan card for microfinance (RBC paras 78–79)</w:t>
            </w:r>
          </w:p>
        </w:tc>
        <w:tc>
          <w:tcPr>
            <w:tcW w:w="1697" w:type="dxa"/>
          </w:tcPr>
          <w:p>
            <w:pPr>
              <w:pStyle w:val="Compact"/>
              <w:spacing w:after="40"/>
              <w:jc w:val="left"/>
            </w:pPr>
            <w:r>
              <w:rPr>
                <w:sz w:val="18"/>
              </w:rPr>
              <w:t xml:space="preserve">RE legal</w:t>
            </w:r>
          </w:p>
        </w:tc>
        <w:tc>
          <w:tcPr>
            <w:tcW w:w="3431" w:type="dxa"/>
          </w:tcPr>
          <w:p>
            <w:pPr>
              <w:pStyle w:val="Compact"/>
              <w:spacing w:after="40"/>
              <w:jc w:val="left"/>
            </w:pPr>
            <w:r>
              <w:rPr>
                <w:sz w:val="18"/>
              </w:rPr>
              <w:t xml:space="preserve">KFS must be RE-issued; Udofin never re-renders (CF para 9(3)); missing Annex I Part 2 items block display</w:t>
            </w:r>
          </w:p>
        </w:tc>
      </w:tr>
      <w:tr>
        <w:tc>
          <w:tcPr>
            <w:tcW w:w="1238" w:type="dxa"/>
          </w:tcPr>
          <w:p>
            <w:pPr>
              <w:pStyle w:val="Compact"/>
              <w:spacing w:after="40"/>
              <w:jc w:val="left"/>
            </w:pPr>
            <w:r>
              <w:rPr>
                <w:sz w:val="18"/>
              </w:rPr>
              <w:t xml:space="preserve">5. Data-sharing scope</w:t>
            </w:r>
          </w:p>
        </w:tc>
        <w:tc>
          <w:tcPr>
            <w:tcW w:w="3272" w:type="dxa"/>
          </w:tcPr>
          <w:p>
            <w:pPr>
              <w:pStyle w:val="Compact"/>
              <w:spacing w:after="40"/>
              <w:jc w:val="left"/>
            </w:pPr>
            <w:r>
              <w:rPr>
                <w:sz w:val="18"/>
              </w:rPr>
              <w:t xml:space="preserve">Field-level allow-list by stage (eligibility, application, servicing, collections), minimal data set Udofin may keep (CF para 14(1)), retention per data class, purge-on-acknowledgement rules, RE-controlled keys option (OUT para 97(vii)), offshore processing (default: none; OUT para 53)</w:t>
            </w:r>
          </w:p>
        </w:tc>
        <w:tc>
          <w:tcPr>
            <w:tcW w:w="1697" w:type="dxa"/>
          </w:tcPr>
          <w:p>
            <w:pPr>
              <w:pStyle w:val="Compact"/>
              <w:spacing w:after="40"/>
              <w:jc w:val="left"/>
            </w:pPr>
            <w:r>
              <w:rPr>
                <w:sz w:val="18"/>
              </w:rPr>
              <w:t xml:space="preserve">RE DPO or CISO; Udofin DPO</w:t>
            </w:r>
          </w:p>
        </w:tc>
        <w:tc>
          <w:tcPr>
            <w:tcW w:w="3431" w:type="dxa"/>
          </w:tcPr>
          <w:p>
            <w:pPr>
              <w:pStyle w:val="Compact"/>
              <w:spacing w:after="40"/>
              <w:jc w:val="left"/>
            </w:pPr>
            <w:r>
              <w:rPr>
                <w:sz w:val="18"/>
              </w:rPr>
              <w:t xml:space="preserve">No field leaves without a live consent reference (CF para 13(4)); India-only storage (CF para 14(4)); no device data, contacts or call logs exist to share (CF para 13(1))</w:t>
            </w:r>
          </w:p>
        </w:tc>
      </w:tr>
      <w:tr>
        <w:tc>
          <w:tcPr>
            <w:tcW w:w="1238" w:type="dxa"/>
          </w:tcPr>
          <w:p>
            <w:pPr>
              <w:pStyle w:val="Compact"/>
              <w:spacing w:after="40"/>
              <w:jc w:val="left"/>
            </w:pPr>
            <w:r>
              <w:rPr>
                <w:sz w:val="18"/>
              </w:rPr>
              <w:t xml:space="preserve">6. SLAs</w:t>
            </w:r>
          </w:p>
        </w:tc>
        <w:tc>
          <w:tcPr>
            <w:tcW w:w="3272" w:type="dxa"/>
          </w:tcPr>
          <w:p>
            <w:pPr>
              <w:pStyle w:val="Compact"/>
              <w:spacing w:after="40"/>
              <w:jc w:val="left"/>
            </w:pPr>
            <w:r>
              <w:rPr>
                <w:sz w:val="18"/>
              </w:rPr>
              <w:t xml:space="preserve">Uptime, API latency, TAT per journey step, incident notice (target 2 hours from Udofin’s detection; OUT para 61), complaint forwarding (target 1 hour; U15), reconciliation (T+1), export-pack turnaround (UP3), support hours</w:t>
            </w:r>
          </w:p>
        </w:tc>
        <w:tc>
          <w:tcPr>
            <w:tcW w:w="1697" w:type="dxa"/>
          </w:tcPr>
          <w:p>
            <w:pPr>
              <w:pStyle w:val="Compact"/>
              <w:spacing w:after="40"/>
              <w:jc w:val="left"/>
            </w:pPr>
            <w:r>
              <w:rPr>
                <w:sz w:val="18"/>
              </w:rPr>
              <w:t xml:space="preserve">Both</w:t>
            </w:r>
          </w:p>
        </w:tc>
        <w:tc>
          <w:tcPr>
            <w:tcW w:w="3431" w:type="dxa"/>
          </w:tcPr>
          <w:p>
            <w:pPr>
              <w:pStyle w:val="Compact"/>
              <w:spacing w:after="40"/>
              <w:jc w:val="left"/>
            </w:pPr>
            <w:r>
              <w:rPr>
                <w:sz w:val="18"/>
              </w:rPr>
              <w:t xml:space="preserve">SLA breaches feed UP3 pack P2 and the RE’s annual review (OUT para 38)</w:t>
            </w:r>
          </w:p>
        </w:tc>
      </w:tr>
      <w:tr>
        <w:tc>
          <w:tcPr>
            <w:tcW w:w="1238" w:type="dxa"/>
          </w:tcPr>
          <w:p>
            <w:pPr>
              <w:pStyle w:val="Compact"/>
              <w:spacing w:after="40"/>
              <w:jc w:val="left"/>
            </w:pPr>
            <w:r>
              <w:rPr>
                <w:sz w:val="18"/>
              </w:rPr>
              <w:t xml:space="preserve">7. Branding and co-branding</w:t>
            </w:r>
          </w:p>
        </w:tc>
        <w:tc>
          <w:tcPr>
            <w:tcW w:w="3272" w:type="dxa"/>
          </w:tcPr>
          <w:p>
            <w:pPr>
              <w:pStyle w:val="Compact"/>
              <w:spacing w:after="40"/>
              <w:jc w:val="left"/>
            </w:pPr>
            <w:r>
              <w:rPr>
                <w:sz w:val="18"/>
              </w:rPr>
              <w:t xml:space="preserve">RE name, logo and legal name on every offer, KFS, payment and document screen; co-branded pages and campaigns outside the offer view; white-label (Part 3.1 model 4)</w:t>
            </w:r>
          </w:p>
        </w:tc>
        <w:tc>
          <w:tcPr>
            <w:tcW w:w="1697" w:type="dxa"/>
          </w:tcPr>
          <w:p>
            <w:pPr>
              <w:pStyle w:val="Compact"/>
              <w:spacing w:after="40"/>
              <w:jc w:val="left"/>
            </w:pPr>
            <w:r>
              <w:rPr>
                <w:sz w:val="18"/>
              </w:rPr>
              <w:t xml:space="preserve">RE marketing and Udofin legal</w:t>
            </w:r>
          </w:p>
        </w:tc>
        <w:tc>
          <w:tcPr>
            <w:tcW w:w="3431" w:type="dxa"/>
          </w:tcPr>
          <w:p>
            <w:pPr>
              <w:pStyle w:val="Compact"/>
              <w:spacing w:after="40"/>
              <w:jc w:val="left"/>
            </w:pPr>
            <w:r>
              <w:rPr>
                <w:sz w:val="18"/>
              </w:rPr>
              <w:t xml:space="preserve">RE named as lender everywhere (Part 4.1); equal visual weight in the offer view (U23); no</w:t>
            </w:r>
            <w:r>
              <w:rPr>
                <w:sz w:val="18"/>
              </w:rPr>
              <w:t xml:space="preserve"> </w:t>
            </w:r>
            <w:r>
              <w:rPr>
                <w:sz w:val="18"/>
              </w:rPr>
              <w:t xml:space="preserve">“</w:t>
            </w:r>
            <w:r>
              <w:rPr>
                <w:sz w:val="18"/>
              </w:rPr>
              <w:t xml:space="preserve">RBI approved</w:t>
            </w:r>
            <w:r>
              <w:rPr>
                <w:sz w:val="18"/>
              </w:rPr>
              <w:t xml:space="preserve">”</w:t>
            </w:r>
            <w:r>
              <w:rPr>
                <w:sz w:val="18"/>
              </w:rPr>
              <w:t xml:space="preserve"> </w:t>
            </w:r>
            <w:r>
              <w:rPr>
                <w:sz w:val="18"/>
              </w:rPr>
              <w:t xml:space="preserve">claims (CF para 18(6)); no implied group guarantee (OUT para 46); no co-branded content inside the offer view (CF para 7(4))</w:t>
            </w:r>
          </w:p>
        </w:tc>
      </w:tr>
      <w:tr>
        <w:tc>
          <w:tcPr>
            <w:tcW w:w="1238" w:type="dxa"/>
          </w:tcPr>
          <w:p>
            <w:pPr>
              <w:pStyle w:val="Compact"/>
              <w:spacing w:after="40"/>
              <w:jc w:val="left"/>
            </w:pPr>
            <w:r>
              <w:rPr>
                <w:sz w:val="18"/>
              </w:rPr>
              <w:t xml:space="preserve">8. Recovery-agent options</w:t>
            </w:r>
          </w:p>
        </w:tc>
        <w:tc>
          <w:tcPr>
            <w:tcW w:w="3272" w:type="dxa"/>
          </w:tcPr>
          <w:p>
            <w:pPr>
              <w:pStyle w:val="Compact"/>
              <w:spacing w:after="40"/>
              <w:jc w:val="left"/>
            </w:pPr>
            <w:r>
              <w:rPr>
                <w:sz w:val="18"/>
              </w:rPr>
              <w:t xml:space="preserve">None; reminders only; tele-calling; field; cash (overdue loans only); Part 7A capabilities UR1–UR6 attached per product; rule pack A or B by date</w:t>
            </w:r>
          </w:p>
        </w:tc>
        <w:tc>
          <w:tcPr>
            <w:tcW w:w="1697" w:type="dxa"/>
          </w:tcPr>
          <w:p>
            <w:pPr>
              <w:pStyle w:val="Compact"/>
              <w:spacing w:after="40"/>
              <w:jc w:val="left"/>
            </w:pPr>
            <w:r>
              <w:rPr>
                <w:sz w:val="18"/>
              </w:rPr>
              <w:t xml:space="preserve">RE recovery head; requires a separate</w:t>
            </w:r>
            <w:r>
              <w:rPr>
                <w:sz w:val="18"/>
              </w:rPr>
              <w:t xml:space="preserve"> </w:t>
            </w:r>
            <w:r>
              <w:rPr>
                <w:rStyle w:val="VerbatimChar"/>
                <w:sz w:val="18"/>
              </w:rPr>
              <w:t xml:space="preserve">recovery_agent_contract</w:t>
            </w:r>
          </w:p>
        </w:tc>
        <w:tc>
          <w:tcPr>
            <w:tcW w:w="3431" w:type="dxa"/>
          </w:tcPr>
          <w:p>
            <w:pPr>
              <w:pStyle w:val="Compact"/>
              <w:spacing w:after="40"/>
              <w:jc w:val="left"/>
            </w:pPr>
            <w:r>
              <w:rPr>
                <w:sz w:val="18"/>
              </w:rPr>
              <w:t xml:space="preserve">Never inferred from DLG (Part 4.4); CF para 9(6) notice before contact; RBC paras 94–100 and Third Amendment paras 100A–100AB from 1 Jan 2027 [VERIFY official text]</w:t>
            </w:r>
          </w:p>
        </w:tc>
      </w:tr>
      <w:tr>
        <w:tc>
          <w:tcPr>
            <w:tcW w:w="1238" w:type="dxa"/>
          </w:tcPr>
          <w:p>
            <w:pPr>
              <w:pStyle w:val="Compact"/>
              <w:spacing w:after="40"/>
              <w:jc w:val="left"/>
            </w:pPr>
            <w:r>
              <w:rPr>
                <w:sz w:val="18"/>
              </w:rPr>
              <w:t xml:space="preserve">9. DLG options</w:t>
            </w:r>
          </w:p>
        </w:tc>
        <w:tc>
          <w:tcPr>
            <w:tcW w:w="3272" w:type="dxa"/>
          </w:tcPr>
          <w:p>
            <w:pPr>
              <w:pStyle w:val="Compact"/>
              <w:spacing w:after="40"/>
              <w:jc w:val="left"/>
            </w:pPr>
            <w:r>
              <w:rPr>
                <w:sz w:val="18"/>
              </w:rPr>
              <w:t xml:space="preserve">None; cash with the RE; FD with an SCB under lien; bank guarantee (CF para 23); set definition, cap, term, invocation timeline, disclosure clause</w:t>
            </w:r>
          </w:p>
        </w:tc>
        <w:tc>
          <w:tcPr>
            <w:tcW w:w="1697" w:type="dxa"/>
          </w:tcPr>
          <w:p>
            <w:pPr>
              <w:pStyle w:val="Compact"/>
              <w:spacing w:after="40"/>
              <w:jc w:val="left"/>
            </w:pPr>
            <w:r>
              <w:rPr>
                <w:sz w:val="18"/>
              </w:rPr>
              <w:t xml:space="preserve">RE risk; Udofin finance; statutory-auditor declaration</w:t>
            </w:r>
          </w:p>
        </w:tc>
        <w:tc>
          <w:tcPr>
            <w:tcW w:w="3431" w:type="dxa"/>
          </w:tcPr>
          <w:p>
            <w:pPr>
              <w:pStyle w:val="Compact"/>
              <w:spacing w:after="40"/>
              <w:jc w:val="left"/>
            </w:pPr>
            <w:r>
              <w:rPr>
                <w:sz w:val="18"/>
              </w:rPr>
              <w:t xml:space="preserve">Cap 5% of disbursed amount of the set (CF para 24); no reinstatement (CF para 25(4)); term not shorter than the longest loan tenor (CF para 27(2)); invisible to matching and agents</w:t>
            </w:r>
          </w:p>
        </w:tc>
      </w:tr>
      <w:tr>
        <w:tc>
          <w:tcPr>
            <w:tcW w:w="1238" w:type="dxa"/>
          </w:tcPr>
          <w:p>
            <w:pPr>
              <w:pStyle w:val="Compact"/>
              <w:spacing w:after="40"/>
              <w:jc w:val="left"/>
            </w:pPr>
            <w:r>
              <w:rPr>
                <w:sz w:val="18"/>
              </w:rPr>
              <w:t xml:space="preserve">10. Grievance contacts and host</w:t>
            </w:r>
          </w:p>
        </w:tc>
        <w:tc>
          <w:tcPr>
            <w:tcW w:w="3272" w:type="dxa"/>
          </w:tcPr>
          <w:p>
            <w:pPr>
              <w:pStyle w:val="Compact"/>
              <w:spacing w:after="40"/>
              <w:jc w:val="left"/>
            </w:pPr>
            <w:r>
              <w:rPr>
                <w:sz w:val="18"/>
              </w:rPr>
              <w:t xml:space="preserve">RE GRO, Udofin nodal officer, PNO (if covered), IO applicability, CIC nodal officer, recovery-grievance mechanism, RB-IOS coverage flag and CEPC regional office, languages for RB-IOS salient features; grievance-host switch (Part 2)</w:t>
            </w:r>
          </w:p>
        </w:tc>
        <w:tc>
          <w:tcPr>
            <w:tcW w:w="1697" w:type="dxa"/>
          </w:tcPr>
          <w:p>
            <w:pPr>
              <w:pStyle w:val="Compact"/>
              <w:spacing w:after="40"/>
              <w:jc w:val="left"/>
            </w:pPr>
            <w:r>
              <w:rPr>
                <w:sz w:val="18"/>
              </w:rPr>
              <w:t xml:space="preserve">RE GRO and Udofin GRO</w:t>
            </w:r>
          </w:p>
        </w:tc>
        <w:tc>
          <w:tcPr>
            <w:tcW w:w="3431" w:type="dxa"/>
          </w:tcPr>
          <w:p>
            <w:pPr>
              <w:pStyle w:val="Compact"/>
              <w:spacing w:after="40"/>
              <w:jc w:val="left"/>
            </w:pPr>
            <w:r>
              <w:rPr>
                <w:sz w:val="18"/>
              </w:rPr>
              <w:t xml:space="preserve">Contacts present before PILOT (CF para 12(2)); display rules in UB3</w:t>
            </w:r>
          </w:p>
        </w:tc>
      </w:tr>
      <w:tr>
        <w:tc>
          <w:tcPr>
            <w:tcW w:w="1238" w:type="dxa"/>
          </w:tcPr>
          <w:p>
            <w:pPr>
              <w:pStyle w:val="Compact"/>
              <w:spacing w:after="40"/>
              <w:jc w:val="left"/>
            </w:pPr>
            <w:r>
              <w:rPr>
                <w:sz w:val="18"/>
              </w:rPr>
              <w:t xml:space="preserve">11. DLA listing</w:t>
            </w:r>
          </w:p>
        </w:tc>
        <w:tc>
          <w:tcPr>
            <w:tcW w:w="3272" w:type="dxa"/>
          </w:tcPr>
          <w:p>
            <w:pPr>
              <w:pStyle w:val="Compact"/>
              <w:spacing w:after="40"/>
              <w:jc w:val="left"/>
            </w:pPr>
            <w:r>
              <w:rPr>
                <w:sz w:val="18"/>
              </w:rPr>
              <w:t xml:space="preserve">Which Udofin DLAs (Android, iOS, web, white-label) carry this RE; CIMS Annex-I lines per DLA per platform; RE website disclosure URL; store description partner list</w:t>
            </w:r>
          </w:p>
        </w:tc>
        <w:tc>
          <w:tcPr>
            <w:tcW w:w="1697" w:type="dxa"/>
          </w:tcPr>
          <w:p>
            <w:pPr>
              <w:pStyle w:val="Compact"/>
              <w:spacing w:after="40"/>
              <w:jc w:val="left"/>
            </w:pPr>
            <w:r>
              <w:rPr>
                <w:sz w:val="18"/>
              </w:rPr>
              <w:t xml:space="preserve">RE CCO and Udofin compliance</w:t>
            </w:r>
          </w:p>
        </w:tc>
        <w:tc>
          <w:tcPr>
            <w:tcW w:w="3431" w:type="dxa"/>
          </w:tcPr>
          <w:p>
            <w:pPr>
              <w:pStyle w:val="Compact"/>
              <w:spacing w:after="40"/>
              <w:jc w:val="left"/>
            </w:pPr>
            <w:r>
              <w:rPr>
                <w:sz w:val="18"/>
              </w:rPr>
              <w:t xml:space="preserve">One CIMS line per DLA per platform (CF para 18, Annex-I footnotes); change notices to the RE on every add, rename or withdrawal (CF para 18(2))</w:t>
            </w:r>
          </w:p>
        </w:tc>
      </w:tr>
      <w:tr>
        <w:tc>
          <w:tcPr>
            <w:tcW w:w="1238" w:type="dxa"/>
          </w:tcPr>
          <w:p>
            <w:pPr>
              <w:pStyle w:val="Compact"/>
              <w:spacing w:after="40"/>
              <w:jc w:val="left"/>
            </w:pPr>
            <w:r>
              <w:rPr>
                <w:sz w:val="18"/>
              </w:rPr>
              <w:t xml:space="preserve">12. Modules and add-ons</w:t>
            </w:r>
          </w:p>
        </w:tc>
        <w:tc>
          <w:tcPr>
            <w:tcW w:w="3272" w:type="dxa"/>
          </w:tcPr>
          <w:p>
            <w:pPr>
              <w:pStyle w:val="Compact"/>
              <w:spacing w:after="40"/>
              <w:jc w:val="left"/>
            </w:pPr>
            <w:r>
              <w:rPr>
                <w:sz w:val="18"/>
              </w:rPr>
              <w:t xml:space="preserve">Part 7A pack, 7E member and group lending, 7F product plug-ins (only where the RE holds the licence)</w:t>
            </w:r>
          </w:p>
        </w:tc>
        <w:tc>
          <w:tcPr>
            <w:tcW w:w="1697" w:type="dxa"/>
          </w:tcPr>
          <w:p>
            <w:pPr>
              <w:pStyle w:val="Compact"/>
              <w:spacing w:after="40"/>
              <w:jc w:val="left"/>
            </w:pPr>
            <w:r>
              <w:rPr>
                <w:sz w:val="18"/>
              </w:rPr>
              <w:t xml:space="preserve">RE</w:t>
            </w:r>
          </w:p>
        </w:tc>
        <w:tc>
          <w:tcPr>
            <w:tcW w:w="3431" w:type="dxa"/>
          </w:tcPr>
          <w:p>
            <w:pPr>
              <w:pStyle w:val="Compact"/>
              <w:spacing w:after="40"/>
              <w:jc w:val="left"/>
            </w:pPr>
            <w:r>
              <w:rPr>
                <w:sz w:val="18"/>
              </w:rPr>
              <w:t xml:space="preserve">Wellness add-ons (Part 7D) are</w:t>
            </w:r>
            <w:r>
              <w:rPr>
                <w:sz w:val="18"/>
              </w:rPr>
              <w:t xml:space="preserve"> </w:t>
            </w:r>
            <w:r>
              <w:rPr>
                <w:bCs/>
                <w:b/>
                <w:sz w:val="18"/>
              </w:rPr>
              <w:t xml:space="preserve">never</w:t>
            </w:r>
            <w:r>
              <w:rPr>
                <w:sz w:val="18"/>
              </w:rPr>
              <w:t xml:space="preserve"> </w:t>
            </w:r>
            <w:r>
              <w:rPr>
                <w:sz w:val="18"/>
              </w:rPr>
              <w:t xml:space="preserve">a deal item: an RE cannot buy, sponsor, see or configure them</w:t>
            </w:r>
          </w:p>
        </w:tc>
      </w:tr>
    </w:tbl>
    <w:bookmarkEnd w:id="118"/>
    <w:bookmarkStart w:id="119" w:name="neutrality-firewall-cf-para-74"/>
    <w:p>
      <w:pPr>
        <w:pStyle w:val="Heading3"/>
      </w:pPr>
      <w:r>
        <w:t xml:space="preserve">Neutrality firewall (CF para 7(4))</w:t>
      </w:r>
    </w:p>
    <w:p>
      <w:pPr>
        <w:numPr>
          <w:ilvl w:val="0"/>
          <w:numId w:val="1070"/>
        </w:numPr>
        <w:pStyle w:val="Compact"/>
      </w:pPr>
      <w:r>
        <w:rPr>
          <w:bCs/>
          <w:b/>
        </w:rPr>
        <w:t xml:space="preserve">No ranking or placement field exists in</w:t>
      </w:r>
      <w:r>
        <w:rPr>
          <w:bCs/>
          <w:b/>
        </w:rPr>
        <w:t xml:space="preserve"> </w:t>
      </w:r>
      <w:r>
        <w:rPr>
          <w:rStyle w:val="VerbatimChar"/>
          <w:bCs/>
          <w:b/>
        </w:rPr>
        <w:t xml:space="preserve">deal_config</w:t>
      </w:r>
      <w:r>
        <w:rPr>
          <w:bCs/>
          <w:b/>
        </w:rPr>
        <w:t xml:space="preserve">.</w:t>
      </w:r>
      <w:r>
        <w:t xml:space="preserve"> </w:t>
      </w:r>
      <w:r>
        <w:t xml:space="preserve">The schema validator rejects keys such as priority, boost, featured, sponsored, default_selected, rank_weight or badge.</w:t>
      </w:r>
    </w:p>
    <w:p>
      <w:pPr>
        <w:numPr>
          <w:ilvl w:val="0"/>
          <w:numId w:val="1070"/>
        </w:numPr>
        <w:pStyle w:val="Compact"/>
      </w:pPr>
      <w:r>
        <w:t xml:space="preserve">Matching inputs remain only the borrower’s request, the RE’s published eligibility rules and the RE’s</w:t>
      </w:r>
      <w:r>
        <w:t xml:space="preserve"> </w:t>
      </w:r>
      <w:r>
        <w:rPr>
          <w:rStyle w:val="VerbatimChar"/>
        </w:rPr>
        <w:t xml:space="preserve">EligibilityCheck</w:t>
      </w:r>
      <w:r>
        <w:t xml:space="preserve"> </w:t>
      </w:r>
      <w:r>
        <w:t xml:space="preserve">response (Part 4.6). The ranking service runs under a database role with no grant on</w:t>
      </w:r>
      <w:r>
        <w:t xml:space="preserve"> </w:t>
      </w:r>
      <w:r>
        <w:rPr>
          <w:rStyle w:val="VerbatimChar"/>
        </w:rPr>
        <w:t xml:space="preserve">deal_commercials</w:t>
      </w:r>
      <w:r>
        <w:t xml:space="preserve">,</w:t>
      </w:r>
      <w:r>
        <w:t xml:space="preserve"> </w:t>
      </w:r>
      <w:r>
        <w:rPr>
          <w:rStyle w:val="VerbatimChar"/>
        </w:rPr>
        <w:t xml:space="preserve">dlg_*</w:t>
      </w:r>
      <w:r>
        <w:t xml:space="preserve"> </w:t>
      </w:r>
      <w:r>
        <w:t xml:space="preserve">or</w:t>
      </w:r>
      <w:r>
        <w:t xml:space="preserve"> </w:t>
      </w:r>
      <w:r>
        <w:rPr>
          <w:rStyle w:val="VerbatimChar"/>
        </w:rPr>
        <w:t xml:space="preserve">deal_config.commercials</w:t>
      </w:r>
      <w:r>
        <w:t xml:space="preserve">; a CI test proves the grant does not exist.</w:t>
      </w:r>
    </w:p>
    <w:p>
      <w:pPr>
        <w:numPr>
          <w:ilvl w:val="0"/>
          <w:numId w:val="1070"/>
        </w:numPr>
        <w:pStyle w:val="Compact"/>
      </w:pPr>
      <w:r>
        <w:t xml:space="preserve">A U19 conduct test compares rank-selection shares and display order before and after any commercial change; a statistically significant shift with no change in APR inputs raises</w:t>
      </w:r>
      <w:r>
        <w:t xml:space="preserve"> </w:t>
      </w:r>
      <w:r>
        <w:rPr>
          <w:rStyle w:val="VerbatimChar"/>
        </w:rPr>
        <w:t xml:space="preserve">ComplianceIssueRaised</w:t>
      </w:r>
      <w:r>
        <w:t xml:space="preserve"> </w:t>
      </w:r>
      <w:r>
        <w:t xml:space="preserve">[REC].</w:t>
      </w:r>
    </w:p>
    <w:p>
      <w:pPr>
        <w:numPr>
          <w:ilvl w:val="0"/>
          <w:numId w:val="1070"/>
        </w:numPr>
        <w:pStyle w:val="Compact"/>
      </w:pPr>
      <w:r>
        <w:t xml:space="preserve">Commercial differences are disclosed to the RE only, never to borrowers as a ranking cue.</w:t>
      </w:r>
    </w:p>
    <w:bookmarkEnd w:id="119"/>
    <w:bookmarkStart w:id="120" w:name="versioning-and-re-countersign"/>
    <w:p>
      <w:pPr>
        <w:pStyle w:val="Heading3"/>
      </w:pPr>
      <w:r>
        <w:t xml:space="preserve">Versioning and RE countersign</w:t>
      </w:r>
    </w:p>
    <w:p>
      <w:pPr>
        <w:pStyle w:val="FirstParagraph"/>
      </w:pPr>
      <w:r>
        <w:rPr>
          <w:rStyle w:val="VerbatimChar"/>
        </w:rPr>
        <w:t xml:space="preserve">deal_config_version</w:t>
      </w:r>
      <w:r>
        <w:t xml:space="preserve">:</w:t>
      </w:r>
      <w:r>
        <w:t xml:space="preserve"> </w:t>
      </w:r>
      <w:r>
        <w:rPr>
          <w:rStyle w:val="VerbatimChar"/>
        </w:rPr>
        <w:t xml:space="preserve">DRAFT → VALIDATED → UDOFIN_APPROVED → SENT_TO_RE → RE_COUNTERSIGNED → SCHEDULED → EFFECTIVE → SUPERSEDED</w:t>
      </w:r>
      <w:r>
        <w:t xml:space="preserve">, with</w:t>
      </w:r>
      <w:r>
        <w:t xml:space="preserve"> </w:t>
      </w:r>
      <w:r>
        <w:rPr>
          <w:rStyle w:val="VerbatimChar"/>
        </w:rPr>
        <w:t xml:space="preserve">REJECTED_BY_RE</w:t>
      </w:r>
      <w:r>
        <w:t xml:space="preserve"> </w:t>
      </w:r>
      <w:r>
        <w:t xml:space="preserve">(back to a new</w:t>
      </w:r>
      <w:r>
        <w:t xml:space="preserve"> </w:t>
      </w:r>
      <w:r>
        <w:rPr>
          <w:rStyle w:val="VerbatimChar"/>
        </w:rPr>
        <w:t xml:space="preserve">DRAFT</w:t>
      </w:r>
      <w:r>
        <w:t xml:space="preserve"> </w:t>
      </w:r>
      <w:r>
        <w:t xml:space="preserve">copy),</w:t>
      </w:r>
      <w:r>
        <w:t xml:space="preserve"> </w:t>
      </w:r>
      <w:r>
        <w:rPr>
          <w:rStyle w:val="VerbatimChar"/>
        </w:rPr>
        <w:t xml:space="preserve">WITHDRAWN</w:t>
      </w:r>
      <w:r>
        <w:t xml:space="preserve"> </w:t>
      </w:r>
      <w:r>
        <w:t xml:space="preserve">(before</w:t>
      </w:r>
      <w:r>
        <w:t xml:space="preserve"> </w:t>
      </w:r>
      <w:r>
        <w:rPr>
          <w:rStyle w:val="VerbatimChar"/>
        </w:rPr>
        <w:t xml:space="preserve">RE_COUNTERSIGNED</w:t>
      </w:r>
      <w:r>
        <w:t xml:space="preserve">) and</w:t>
      </w:r>
      <w:r>
        <w:t xml:space="preserve"> </w:t>
      </w:r>
      <w:r>
        <w:rPr>
          <w:rStyle w:val="VerbatimChar"/>
        </w:rPr>
        <w:t xml:space="preserve">EXPIRED</w:t>
      </w:r>
      <w:r>
        <w:t xml:space="preserve"> </w:t>
      </w:r>
      <w:r>
        <w:t xml:space="preserve">(not countersigned within 15 business days [REC]).</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75"/>
        <w:gridCol w:w="2289"/>
        <w:gridCol w:w="5474"/>
      </w:tblGrid>
      <w:tr>
        <w:trPr>
          <w:tblHeader w:val="true"/>
          <w:tblHeader w:val="true"/>
        </w:trPr>
        <w:tc>
          <w:tcPr>
            <w:tcW w:w="1875" w:type="dxa"/>
            <w:shd w:val="clear" w:color="auto" w:fill="1F3A5F"/>
          </w:tcPr>
          <w:p>
            <w:pPr>
              <w:pStyle w:val="Compact"/>
              <w:spacing w:after="40"/>
              <w:jc w:val="left"/>
            </w:pPr>
            <w:r>
              <w:rPr>
                <w:b/>
                <w:color w:val="FFFFFF"/>
                <w:sz w:val="18"/>
              </w:rPr>
              <w:t xml:space="preserve">Step</w:t>
            </w:r>
          </w:p>
        </w:tc>
        <w:tc>
          <w:tcPr>
            <w:tcW w:w="2289" w:type="dxa"/>
            <w:shd w:val="clear" w:color="auto" w:fill="1F3A5F"/>
          </w:tcPr>
          <w:p>
            <w:pPr>
              <w:pStyle w:val="Compact"/>
              <w:spacing w:after="40"/>
              <w:jc w:val="left"/>
            </w:pPr>
            <w:r>
              <w:rPr>
                <w:b/>
                <w:color w:val="FFFFFF"/>
                <w:sz w:val="18"/>
              </w:rPr>
              <w:t xml:space="preserve">Owner</w:t>
            </w:r>
          </w:p>
        </w:tc>
        <w:tc>
          <w:tcPr>
            <w:tcW w:w="5474" w:type="dxa"/>
            <w:shd w:val="clear" w:color="auto" w:fill="1F3A5F"/>
          </w:tcPr>
          <w:p>
            <w:pPr>
              <w:pStyle w:val="Compact"/>
              <w:spacing w:after="40"/>
              <w:jc w:val="left"/>
            </w:pPr>
            <w:r>
              <w:rPr>
                <w:b/>
                <w:color w:val="FFFFFF"/>
                <w:sz w:val="18"/>
              </w:rPr>
              <w:t xml:space="preserve">Rule</w:t>
            </w:r>
          </w:p>
        </w:tc>
      </w:tr>
      <w:tr>
        <w:tc>
          <w:tcPr>
            <w:tcW w:w="1875" w:type="dxa"/>
          </w:tcPr>
          <w:p>
            <w:pPr>
              <w:pStyle w:val="Compact"/>
              <w:spacing w:after="40"/>
              <w:jc w:val="left"/>
            </w:pPr>
            <w:r>
              <w:rPr>
                <w:sz w:val="18"/>
              </w:rPr>
              <w:t xml:space="preserve">DRAFT → VALIDATED</w:t>
            </w:r>
          </w:p>
        </w:tc>
        <w:tc>
          <w:tcPr>
            <w:tcW w:w="2289" w:type="dxa"/>
          </w:tcPr>
          <w:p>
            <w:pPr>
              <w:pStyle w:val="Compact"/>
              <w:spacing w:after="40"/>
              <w:jc w:val="left"/>
            </w:pPr>
            <w:r>
              <w:rPr>
                <w:sz w:val="18"/>
              </w:rPr>
              <w:t xml:space="preserve">Udofin maker</w:t>
            </w:r>
          </w:p>
        </w:tc>
        <w:tc>
          <w:tcPr>
            <w:tcW w:w="5474" w:type="dxa"/>
          </w:tcPr>
          <w:p>
            <w:pPr>
              <w:pStyle w:val="Compact"/>
              <w:spacing w:after="40"/>
              <w:jc w:val="left"/>
            </w:pPr>
            <w:r>
              <w:rPr>
                <w:sz w:val="18"/>
              </w:rPr>
              <w:t xml:space="preserve">Guard-rail validator passes (UP-C05); diff against the current</w:t>
            </w:r>
            <w:r>
              <w:rPr>
                <w:sz w:val="18"/>
              </w:rPr>
              <w:t xml:space="preserve"> </w:t>
            </w:r>
            <w:r>
              <w:rPr>
                <w:rStyle w:val="VerbatimChar"/>
                <w:sz w:val="18"/>
              </w:rPr>
              <w:t xml:space="preserve">EFFECTIVE</w:t>
            </w:r>
            <w:r>
              <w:rPr>
                <w:sz w:val="18"/>
              </w:rPr>
              <w:t xml:space="preserve"> </w:t>
            </w:r>
            <w:r>
              <w:rPr>
                <w:sz w:val="18"/>
              </w:rPr>
              <w:t xml:space="preserve">version and impact analysis generated (products, journeys and in-flight applications affected; synthetic-borrower offer-order check under the neutrality firewall)</w:t>
            </w:r>
          </w:p>
        </w:tc>
      </w:tr>
      <w:tr>
        <w:tc>
          <w:tcPr>
            <w:tcW w:w="1875" w:type="dxa"/>
          </w:tcPr>
          <w:p>
            <w:pPr>
              <w:pStyle w:val="Compact"/>
              <w:spacing w:after="40"/>
              <w:jc w:val="left"/>
            </w:pPr>
            <w:r>
              <w:rPr>
                <w:sz w:val="18"/>
              </w:rPr>
              <w:t xml:space="preserve">VALIDATED → UDOFIN_APPROVED</w:t>
            </w:r>
          </w:p>
        </w:tc>
        <w:tc>
          <w:tcPr>
            <w:tcW w:w="2289" w:type="dxa"/>
          </w:tcPr>
          <w:p>
            <w:pPr>
              <w:pStyle w:val="Compact"/>
              <w:spacing w:after="40"/>
              <w:jc w:val="left"/>
            </w:pPr>
            <w:r>
              <w:rPr>
                <w:sz w:val="18"/>
              </w:rPr>
              <w:t xml:space="preserve">Udofin checker; Udofin legal for sections 4, 7, 8, 9 and 10 (Part 3.4)</w:t>
            </w:r>
          </w:p>
        </w:tc>
        <w:tc>
          <w:tcPr>
            <w:tcW w:w="5474" w:type="dxa"/>
          </w:tcPr>
          <w:p>
            <w:pPr>
              <w:pStyle w:val="Compact"/>
              <w:spacing w:after="40"/>
              <w:jc w:val="left"/>
            </w:pPr>
            <w:r>
              <w:rPr>
                <w:sz w:val="18"/>
              </w:rPr>
              <w:t xml:space="preserve">Checker differs from maker; legal sign-off reference stored</w:t>
            </w:r>
          </w:p>
        </w:tc>
      </w:tr>
      <w:tr>
        <w:tc>
          <w:tcPr>
            <w:tcW w:w="1875" w:type="dxa"/>
          </w:tcPr>
          <w:p>
            <w:pPr>
              <w:pStyle w:val="Compact"/>
              <w:spacing w:after="40"/>
              <w:jc w:val="left"/>
            </w:pPr>
            <w:r>
              <w:rPr>
                <w:sz w:val="18"/>
              </w:rPr>
              <w:t xml:space="preserve">UDOFIN_APPROVED → SENT_TO_RE → RE_COUNTERSIGNED</w:t>
            </w:r>
          </w:p>
        </w:tc>
        <w:tc>
          <w:tcPr>
            <w:tcW w:w="2289" w:type="dxa"/>
          </w:tcPr>
          <w:p>
            <w:pPr>
              <w:pStyle w:val="Compact"/>
              <w:spacing w:after="40"/>
              <w:jc w:val="left"/>
            </w:pPr>
            <w:r>
              <w:rPr>
                <w:sz w:val="18"/>
              </w:rPr>
              <w:t xml:space="preserve">RE authorised approver</w:t>
            </w:r>
          </w:p>
        </w:tc>
        <w:tc>
          <w:tcPr>
            <w:tcW w:w="5474" w:type="dxa"/>
          </w:tcPr>
          <w:p>
            <w:pPr>
              <w:pStyle w:val="Compact"/>
              <w:spacing w:after="40"/>
              <w:jc w:val="left"/>
            </w:pPr>
            <w:r>
              <w:rPr>
                <w:sz w:val="18"/>
              </w:rPr>
              <w:t xml:space="preserve">Read through</w:t>
            </w:r>
            <w:r>
              <w:rPr>
                <w:sz w:val="18"/>
              </w:rPr>
              <w:t xml:space="preserve"> </w:t>
            </w:r>
            <w:r>
              <w:rPr>
                <w:rStyle w:val="VerbatimChar"/>
                <w:sz w:val="18"/>
              </w:rPr>
              <w:t xml:space="preserve">GET /v1/deals/{id}/config-versions/{version}</w:t>
            </w:r>
            <w:r>
              <w:rPr>
                <w:sz w:val="18"/>
              </w:rPr>
              <w:t xml:space="preserve"> </w:t>
            </w:r>
            <w:r>
              <w:rPr>
                <w:sz w:val="18"/>
              </w:rPr>
              <w:t xml:space="preserve">(no commercials) or the lender portal; countersign through</w:t>
            </w:r>
            <w:r>
              <w:rPr>
                <w:sz w:val="18"/>
              </w:rPr>
              <w:t xml:space="preserve"> </w:t>
            </w:r>
            <w:r>
              <w:rPr>
                <w:rStyle w:val="VerbatimChar"/>
                <w:sz w:val="18"/>
              </w:rPr>
              <w:t xml:space="preserve">POST /v1/deals/{id}/approvals</w:t>
            </w:r>
            <w:r>
              <w:rPr>
                <w:sz w:val="18"/>
              </w:rPr>
              <w:t xml:space="preserve"> </w:t>
            </w:r>
            <w:r>
              <w:rPr>
                <w:sz w:val="18"/>
              </w:rPr>
              <w:t xml:space="preserve">with name, role, authority reference and decision; the countersigned PDF summary is sealed with Udofin’s document-signing key and both approvals are hashed into the version (</w:t>
            </w:r>
            <w:r>
              <w:rPr>
                <w:rStyle w:val="VerbatimChar"/>
                <w:sz w:val="18"/>
              </w:rPr>
              <w:t xml:space="preserve">re_change_approval</w:t>
            </w:r>
            <w:r>
              <w:rPr>
                <w:sz w:val="18"/>
              </w:rPr>
              <w:t xml:space="preserve">); commercials are countersigned by the RE’s finance user in the separate</w:t>
            </w:r>
            <w:r>
              <w:rPr>
                <w:sz w:val="18"/>
              </w:rPr>
              <w:t xml:space="preserve"> </w:t>
            </w:r>
            <w:r>
              <w:rPr>
                <w:rStyle w:val="VerbatimChar"/>
                <w:sz w:val="18"/>
              </w:rPr>
              <w:t xml:space="preserve">deal_commercials</w:t>
            </w:r>
            <w:r>
              <w:rPr>
                <w:sz w:val="18"/>
              </w:rPr>
              <w:t xml:space="preserve"> </w:t>
            </w:r>
            <w:r>
              <w:rPr>
                <w:sz w:val="18"/>
              </w:rPr>
              <w:t xml:space="preserve">flow</w:t>
            </w:r>
          </w:p>
        </w:tc>
      </w:tr>
      <w:tr>
        <w:tc>
          <w:tcPr>
            <w:tcW w:w="1875" w:type="dxa"/>
          </w:tcPr>
          <w:p>
            <w:pPr>
              <w:pStyle w:val="Compact"/>
              <w:spacing w:after="40"/>
              <w:jc w:val="left"/>
            </w:pPr>
            <w:r>
              <w:rPr>
                <w:sz w:val="18"/>
              </w:rPr>
              <w:t xml:space="preserve">RE_COUNTERSIGNED → SCHEDULED → EFFECTIVE</w:t>
            </w:r>
          </w:p>
        </w:tc>
        <w:tc>
          <w:tcPr>
            <w:tcW w:w="2289" w:type="dxa"/>
          </w:tcPr>
          <w:p>
            <w:pPr>
              <w:pStyle w:val="Compact"/>
              <w:spacing w:after="40"/>
              <w:jc w:val="left"/>
            </w:pPr>
            <w:r>
              <w:rPr>
                <w:sz w:val="18"/>
              </w:rPr>
              <w:t xml:space="preserve">System</w:t>
            </w:r>
          </w:p>
        </w:tc>
        <w:tc>
          <w:tcPr>
            <w:tcW w:w="5474" w:type="dxa"/>
          </w:tcPr>
          <w:p>
            <w:pPr>
              <w:pStyle w:val="Compact"/>
              <w:spacing w:after="40"/>
              <w:jc w:val="left"/>
            </w:pPr>
            <w:r>
              <w:rPr>
                <w:sz w:val="18"/>
              </w:rPr>
              <w:t xml:space="preserve">Effective at the stated time (never back-dated); a version may be scheduled up to 90 days ahead; two versions cannot share an effective time</w:t>
            </w:r>
          </w:p>
        </w:tc>
      </w:tr>
      <w:tr>
        <w:tc>
          <w:tcPr>
            <w:tcW w:w="1875" w:type="dxa"/>
          </w:tcPr>
          <w:p>
            <w:pPr>
              <w:pStyle w:val="Compact"/>
              <w:spacing w:after="40"/>
              <w:jc w:val="left"/>
            </w:pPr>
            <w:r>
              <w:rPr>
                <w:sz w:val="18"/>
              </w:rPr>
              <w:t xml:space="preserve">Rollback</w:t>
            </w:r>
          </w:p>
        </w:tc>
        <w:tc>
          <w:tcPr>
            <w:tcW w:w="2289" w:type="dxa"/>
          </w:tcPr>
          <w:p>
            <w:pPr>
              <w:pStyle w:val="Compact"/>
              <w:spacing w:after="40"/>
              <w:jc w:val="left"/>
            </w:pPr>
            <w:r>
              <w:rPr>
                <w:sz w:val="18"/>
              </w:rPr>
              <w:t xml:space="preserve">Udofin maker plus RE countersign</w:t>
            </w:r>
          </w:p>
        </w:tc>
        <w:tc>
          <w:tcPr>
            <w:tcW w:w="5474" w:type="dxa"/>
          </w:tcPr>
          <w:p>
            <w:pPr>
              <w:pStyle w:val="Compact"/>
              <w:spacing w:after="40"/>
              <w:jc w:val="left"/>
            </w:pPr>
            <w:r>
              <w:rPr>
                <w:sz w:val="18"/>
              </w:rPr>
              <w:t xml:space="preserve">A rollback is a new version copying an earlier one; no version is ever edited or deleted</w:t>
            </w:r>
          </w:p>
        </w:tc>
      </w:tr>
    </w:tbl>
    <w:p>
      <w:pPr>
        <w:numPr>
          <w:ilvl w:val="0"/>
          <w:numId w:val="1071"/>
        </w:numPr>
        <w:pStyle w:val="Compact"/>
      </w:pPr>
      <w:r>
        <w:rPr>
          <w:bCs/>
          <w:b/>
        </w:rPr>
        <w:t xml:space="preserve">In-flight rule:</w:t>
      </w:r>
      <w:r>
        <w:t xml:space="preserve"> </w:t>
      </w:r>
      <w:r>
        <w:t xml:space="preserve">an application keeps the version in force at submission; a KFS accepted within validity binds the RE (RBC para 29(2) Explanation) and no later version changes it.</w:t>
      </w:r>
    </w:p>
    <w:p>
      <w:pPr>
        <w:numPr>
          <w:ilvl w:val="0"/>
          <w:numId w:val="1071"/>
        </w:numPr>
        <w:pStyle w:val="Compact"/>
      </w:pPr>
      <w:r>
        <w:rPr>
          <w:bCs/>
          <w:b/>
        </w:rPr>
        <w:t xml:space="preserve">Emergency change</w:t>
      </w:r>
      <w:r>
        <w:t xml:space="preserve"> </w:t>
      </w:r>
      <w:r>
        <w:t xml:space="preserve">by the RE (product suspension, template withdrawal: OUT paras 17, 43) applies at once as an</w:t>
      </w:r>
      <w:r>
        <w:t xml:space="preserve"> </w:t>
      </w:r>
      <w:r>
        <w:rPr>
          <w:rStyle w:val="VerbatimChar"/>
        </w:rPr>
        <w:t xml:space="preserve">EFFECTIVE</w:t>
      </w:r>
      <w:r>
        <w:t xml:space="preserve"> </w:t>
      </w:r>
      <w:r>
        <w:t xml:space="preserve">version marked</w:t>
      </w:r>
      <w:r>
        <w:t xml:space="preserve"> </w:t>
      </w:r>
      <w:r>
        <w:rPr>
          <w:rStyle w:val="VerbatimChar"/>
        </w:rPr>
        <w:t xml:space="preserve">EMERGENCY</w:t>
      </w:r>
      <w:r>
        <w:t xml:space="preserve">, with Udofin’s second approval within 1 business day [REC]; an emergency change can only narrow scope, never widen it.</w:t>
      </w:r>
    </w:p>
    <w:p>
      <w:pPr>
        <w:numPr>
          <w:ilvl w:val="0"/>
          <w:numId w:val="1071"/>
        </w:numPr>
        <w:pStyle w:val="Compact"/>
      </w:pPr>
      <w:r>
        <w:t xml:space="preserve">Notifications: the RE approver receives a task with a 5-business-day reminder; Udofin owners see versions awaiting countersign on the deal page.</w:t>
      </w:r>
    </w:p>
    <w:bookmarkEnd w:id="120"/>
    <w:bookmarkStart w:id="121" w:name="settings-and-options-1"/>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79"/>
        <w:gridCol w:w="1588"/>
        <w:gridCol w:w="1868"/>
        <w:gridCol w:w="3303"/>
      </w:tblGrid>
      <w:tr>
        <w:trPr>
          <w:tblHeader w:val="true"/>
          <w:tblHeader w:val="true"/>
        </w:trPr>
        <w:tc>
          <w:tcPr>
            <w:tcW w:w="2879" w:type="dxa"/>
            <w:shd w:val="clear" w:color="auto" w:fill="1F3A5F"/>
          </w:tcPr>
          <w:p>
            <w:pPr>
              <w:pStyle w:val="Compact"/>
              <w:spacing w:after="40"/>
              <w:jc w:val="left"/>
            </w:pPr>
            <w:r>
              <w:rPr>
                <w:b/>
                <w:color w:val="FFFFFF"/>
                <w:sz w:val="18"/>
              </w:rPr>
              <w:t xml:space="preserve">Setting</w:t>
            </w:r>
          </w:p>
        </w:tc>
        <w:tc>
          <w:tcPr>
            <w:tcW w:w="1588" w:type="dxa"/>
            <w:shd w:val="clear" w:color="auto" w:fill="1F3A5F"/>
          </w:tcPr>
          <w:p>
            <w:pPr>
              <w:pStyle w:val="Compact"/>
              <w:spacing w:after="40"/>
              <w:jc w:val="left"/>
            </w:pPr>
            <w:r>
              <w:rPr>
                <w:b/>
                <w:color w:val="FFFFFF"/>
                <w:sz w:val="18"/>
              </w:rPr>
              <w:t xml:space="preserve">Level</w:t>
            </w:r>
          </w:p>
        </w:tc>
        <w:tc>
          <w:tcPr>
            <w:tcW w:w="1868" w:type="dxa"/>
            <w:shd w:val="clear" w:color="auto" w:fill="1F3A5F"/>
          </w:tcPr>
          <w:p>
            <w:pPr>
              <w:pStyle w:val="Compact"/>
              <w:spacing w:after="40"/>
              <w:jc w:val="left"/>
            </w:pPr>
            <w:r>
              <w:rPr>
                <w:b/>
                <w:color w:val="FFFFFF"/>
                <w:sz w:val="18"/>
              </w:rPr>
              <w:t xml:space="preserve">Default</w:t>
            </w:r>
          </w:p>
        </w:tc>
        <w:tc>
          <w:tcPr>
            <w:tcW w:w="3303" w:type="dxa"/>
            <w:shd w:val="clear" w:color="auto" w:fill="1F3A5F"/>
          </w:tcPr>
          <w:p>
            <w:pPr>
              <w:pStyle w:val="Compact"/>
              <w:spacing w:after="40"/>
              <w:jc w:val="left"/>
            </w:pPr>
            <w:r>
              <w:rPr>
                <w:b/>
                <w:color w:val="FFFFFF"/>
                <w:sz w:val="18"/>
              </w:rPr>
              <w:t xml:space="preserve">Nature</w:t>
            </w:r>
          </w:p>
        </w:tc>
      </w:tr>
      <w:tr>
        <w:tc>
          <w:tcPr>
            <w:tcW w:w="2879" w:type="dxa"/>
          </w:tcPr>
          <w:p>
            <w:pPr>
              <w:pStyle w:val="Compact"/>
              <w:spacing w:after="40"/>
              <w:jc w:val="left"/>
            </w:pPr>
            <w:r>
              <w:rPr>
                <w:sz w:val="18"/>
              </w:rPr>
              <w:t xml:space="preserve">Countersign window before</w:t>
            </w:r>
            <w:r>
              <w:rPr>
                <w:sz w:val="18"/>
              </w:rPr>
              <w:t xml:space="preserve"> </w:t>
            </w:r>
            <w:r>
              <w:rPr>
                <w:rStyle w:val="VerbatimChar"/>
                <w:sz w:val="18"/>
              </w:rPr>
              <w:t xml:space="preserve">EXPIRED</w:t>
            </w:r>
          </w:p>
        </w:tc>
        <w:tc>
          <w:tcPr>
            <w:tcW w:w="1588" w:type="dxa"/>
          </w:tcPr>
          <w:p>
            <w:pPr>
              <w:pStyle w:val="Compact"/>
              <w:spacing w:after="40"/>
              <w:jc w:val="left"/>
            </w:pPr>
            <w:r>
              <w:rPr>
                <w:sz w:val="18"/>
              </w:rPr>
              <w:t xml:space="preserve">Platform</w:t>
            </w:r>
          </w:p>
        </w:tc>
        <w:tc>
          <w:tcPr>
            <w:tcW w:w="1868" w:type="dxa"/>
          </w:tcPr>
          <w:p>
            <w:pPr>
              <w:pStyle w:val="Compact"/>
              <w:spacing w:after="40"/>
              <w:jc w:val="left"/>
            </w:pPr>
            <w:r>
              <w:rPr>
                <w:sz w:val="18"/>
              </w:rPr>
              <w:t xml:space="preserve">15 business days</w:t>
            </w:r>
          </w:p>
        </w:tc>
        <w:tc>
          <w:tcPr>
            <w:tcW w:w="3303" w:type="dxa"/>
          </w:tcPr>
          <w:p>
            <w:pPr>
              <w:pStyle w:val="Compact"/>
              <w:spacing w:after="40"/>
              <w:jc w:val="left"/>
            </w:pPr>
            <w:r>
              <w:rPr>
                <w:sz w:val="18"/>
              </w:rPr>
              <w:t xml:space="preserve">Commercial</w:t>
            </w:r>
          </w:p>
        </w:tc>
      </w:tr>
      <w:tr>
        <w:tc>
          <w:tcPr>
            <w:tcW w:w="2879" w:type="dxa"/>
          </w:tcPr>
          <w:p>
            <w:pPr>
              <w:pStyle w:val="Compact"/>
              <w:spacing w:after="40"/>
              <w:jc w:val="left"/>
            </w:pPr>
            <w:r>
              <w:rPr>
                <w:sz w:val="18"/>
              </w:rPr>
              <w:t xml:space="preserve">Sections needing Udofin legal sign-off</w:t>
            </w:r>
          </w:p>
        </w:tc>
        <w:tc>
          <w:tcPr>
            <w:tcW w:w="1588" w:type="dxa"/>
          </w:tcPr>
          <w:p>
            <w:pPr>
              <w:pStyle w:val="Compact"/>
              <w:spacing w:after="40"/>
              <w:jc w:val="left"/>
            </w:pPr>
            <w:r>
              <w:rPr>
                <w:sz w:val="18"/>
              </w:rPr>
              <w:t xml:space="preserve">Platform</w:t>
            </w:r>
          </w:p>
        </w:tc>
        <w:tc>
          <w:tcPr>
            <w:tcW w:w="1868" w:type="dxa"/>
          </w:tcPr>
          <w:p>
            <w:pPr>
              <w:pStyle w:val="Compact"/>
              <w:spacing w:after="40"/>
              <w:jc w:val="left"/>
            </w:pPr>
            <w:r>
              <w:rPr>
                <w:sz w:val="18"/>
              </w:rPr>
              <w:t xml:space="preserve">4, 7, 8, 9, 10</w:t>
            </w:r>
          </w:p>
        </w:tc>
        <w:tc>
          <w:tcPr>
            <w:tcW w:w="3303" w:type="dxa"/>
          </w:tcPr>
          <w:p>
            <w:pPr>
              <w:pStyle w:val="Compact"/>
              <w:spacing w:after="40"/>
              <w:jc w:val="left"/>
            </w:pPr>
            <w:r>
              <w:rPr>
                <w:sz w:val="18"/>
              </w:rPr>
              <w:t xml:space="preserve">Regulatory floor (may add, never remove)</w:t>
            </w:r>
          </w:p>
        </w:tc>
      </w:tr>
      <w:tr>
        <w:tc>
          <w:tcPr>
            <w:tcW w:w="2879" w:type="dxa"/>
          </w:tcPr>
          <w:p>
            <w:pPr>
              <w:pStyle w:val="Compact"/>
              <w:spacing w:after="40"/>
              <w:jc w:val="left"/>
            </w:pPr>
            <w:r>
              <w:rPr>
                <w:sz w:val="18"/>
              </w:rPr>
              <w:t xml:space="preserve">Maximum schedule-ahead period</w:t>
            </w:r>
          </w:p>
        </w:tc>
        <w:tc>
          <w:tcPr>
            <w:tcW w:w="1588" w:type="dxa"/>
          </w:tcPr>
          <w:p>
            <w:pPr>
              <w:pStyle w:val="Compact"/>
              <w:spacing w:after="40"/>
              <w:jc w:val="left"/>
            </w:pPr>
            <w:r>
              <w:rPr>
                <w:sz w:val="18"/>
              </w:rPr>
              <w:t xml:space="preserve">Platform</w:t>
            </w:r>
          </w:p>
        </w:tc>
        <w:tc>
          <w:tcPr>
            <w:tcW w:w="1868" w:type="dxa"/>
          </w:tcPr>
          <w:p>
            <w:pPr>
              <w:pStyle w:val="Compact"/>
              <w:spacing w:after="40"/>
              <w:jc w:val="left"/>
            </w:pPr>
            <w:r>
              <w:rPr>
                <w:sz w:val="18"/>
              </w:rPr>
              <w:t xml:space="preserve">90 days</w:t>
            </w:r>
          </w:p>
        </w:tc>
        <w:tc>
          <w:tcPr>
            <w:tcW w:w="3303" w:type="dxa"/>
          </w:tcPr>
          <w:p>
            <w:pPr>
              <w:pStyle w:val="Compact"/>
              <w:spacing w:after="40"/>
              <w:jc w:val="left"/>
            </w:pPr>
            <w:r>
              <w:rPr>
                <w:sz w:val="18"/>
              </w:rPr>
              <w:t xml:space="preserve">Commercial</w:t>
            </w:r>
          </w:p>
        </w:tc>
      </w:tr>
      <w:tr>
        <w:tc>
          <w:tcPr>
            <w:tcW w:w="2879" w:type="dxa"/>
          </w:tcPr>
          <w:p>
            <w:pPr>
              <w:pStyle w:val="Compact"/>
              <w:spacing w:after="40"/>
              <w:jc w:val="left"/>
            </w:pPr>
            <w:r>
              <w:rPr>
                <w:sz w:val="18"/>
              </w:rPr>
              <w:t xml:space="preserve">Ranking or placement keys</w:t>
            </w:r>
          </w:p>
        </w:tc>
        <w:tc>
          <w:tcPr>
            <w:tcW w:w="1588" w:type="dxa"/>
          </w:tcPr>
          <w:p>
            <w:pPr>
              <w:pStyle w:val="Compact"/>
              <w:spacing w:after="40"/>
              <w:jc w:val="left"/>
            </w:pPr>
            <w:r>
              <w:rPr>
                <w:sz w:val="18"/>
              </w:rPr>
              <w:t xml:space="preserve">Schema</w:t>
            </w:r>
          </w:p>
        </w:tc>
        <w:tc>
          <w:tcPr>
            <w:tcW w:w="1868" w:type="dxa"/>
          </w:tcPr>
          <w:p>
            <w:pPr>
              <w:pStyle w:val="Compact"/>
              <w:spacing w:after="40"/>
              <w:jc w:val="left"/>
            </w:pPr>
            <w:r>
              <w:rPr>
                <w:sz w:val="18"/>
              </w:rPr>
              <w:t xml:space="preserve">None exist</w:t>
            </w:r>
          </w:p>
        </w:tc>
        <w:tc>
          <w:tcPr>
            <w:tcW w:w="3303" w:type="dxa"/>
          </w:tcPr>
          <w:p>
            <w:pPr>
              <w:pStyle w:val="Compact"/>
              <w:spacing w:after="40"/>
              <w:jc w:val="left"/>
            </w:pPr>
            <w:r>
              <w:rPr>
                <w:sz w:val="18"/>
              </w:rPr>
              <w:t xml:space="preserve">Regulatory floor (CF para 7(4)); cannot be enabled</w:t>
            </w:r>
          </w:p>
        </w:tc>
      </w:tr>
      <w:tr>
        <w:tc>
          <w:tcPr>
            <w:tcW w:w="2879" w:type="dxa"/>
          </w:tcPr>
          <w:p>
            <w:pPr>
              <w:pStyle w:val="Compact"/>
              <w:spacing w:after="40"/>
              <w:jc w:val="left"/>
            </w:pPr>
            <w:r>
              <w:rPr>
                <w:sz w:val="18"/>
              </w:rPr>
              <w:t xml:space="preserve">Borrower-paid Udofin fee lines</w:t>
            </w:r>
          </w:p>
        </w:tc>
        <w:tc>
          <w:tcPr>
            <w:tcW w:w="1588" w:type="dxa"/>
          </w:tcPr>
          <w:p>
            <w:pPr>
              <w:pStyle w:val="Compact"/>
              <w:spacing w:after="40"/>
              <w:jc w:val="left"/>
            </w:pPr>
            <w:r>
              <w:rPr>
                <w:sz w:val="18"/>
              </w:rPr>
              <w:t xml:space="preserve">Schema</w:t>
            </w:r>
          </w:p>
        </w:tc>
        <w:tc>
          <w:tcPr>
            <w:tcW w:w="1868" w:type="dxa"/>
          </w:tcPr>
          <w:p>
            <w:pPr>
              <w:pStyle w:val="Compact"/>
              <w:spacing w:after="40"/>
              <w:jc w:val="left"/>
            </w:pPr>
            <w:r>
              <w:rPr>
                <w:sz w:val="18"/>
              </w:rPr>
              <w:t xml:space="preserve">None exist</w:t>
            </w:r>
          </w:p>
        </w:tc>
        <w:tc>
          <w:tcPr>
            <w:tcW w:w="3303" w:type="dxa"/>
          </w:tcPr>
          <w:p>
            <w:pPr>
              <w:pStyle w:val="Compact"/>
              <w:spacing w:after="40"/>
              <w:jc w:val="left"/>
            </w:pPr>
            <w:r>
              <w:rPr>
                <w:sz w:val="18"/>
              </w:rPr>
              <w:t xml:space="preserve">Regulatory floor (CF para 10(4))</w:t>
            </w:r>
          </w:p>
        </w:tc>
      </w:tr>
      <w:tr>
        <w:tc>
          <w:tcPr>
            <w:tcW w:w="2879" w:type="dxa"/>
          </w:tcPr>
          <w:p>
            <w:pPr>
              <w:pStyle w:val="Compact"/>
              <w:spacing w:after="40"/>
              <w:jc w:val="left"/>
            </w:pPr>
            <w:r>
              <w:rPr>
                <w:sz w:val="18"/>
              </w:rPr>
              <w:t xml:space="preserve">DLG cap</w:t>
            </w:r>
          </w:p>
        </w:tc>
        <w:tc>
          <w:tcPr>
            <w:tcW w:w="1588" w:type="dxa"/>
          </w:tcPr>
          <w:p>
            <w:pPr>
              <w:pStyle w:val="Compact"/>
              <w:spacing w:after="40"/>
              <w:jc w:val="left"/>
            </w:pPr>
            <w:r>
              <w:rPr>
                <w:sz w:val="18"/>
              </w:rPr>
              <w:t xml:space="preserve">Deal</w:t>
            </w:r>
          </w:p>
        </w:tc>
        <w:tc>
          <w:tcPr>
            <w:tcW w:w="1868" w:type="dxa"/>
          </w:tcPr>
          <w:p>
            <w:pPr>
              <w:pStyle w:val="Compact"/>
              <w:spacing w:after="40"/>
              <w:jc w:val="left"/>
            </w:pPr>
            <w:r>
              <w:rPr>
                <w:sz w:val="18"/>
              </w:rPr>
              <w:t xml:space="preserve">≤ 5%</w:t>
            </w:r>
          </w:p>
        </w:tc>
        <w:tc>
          <w:tcPr>
            <w:tcW w:w="3303" w:type="dxa"/>
          </w:tcPr>
          <w:p>
            <w:pPr>
              <w:pStyle w:val="Compact"/>
              <w:spacing w:after="40"/>
              <w:jc w:val="left"/>
            </w:pPr>
            <w:r>
              <w:rPr>
                <w:sz w:val="18"/>
              </w:rPr>
              <w:t xml:space="preserve">Regulatory ceiling (CF para 24)</w:t>
            </w:r>
          </w:p>
        </w:tc>
      </w:tr>
    </w:tbl>
    <w:bookmarkEnd w:id="121"/>
    <w:bookmarkStart w:id="122" w:name="menu-and-screens-1"/>
    <w:p>
      <w:pPr>
        <w:pStyle w:val="Heading3"/>
      </w:pPr>
      <w:r>
        <w:t xml:space="preserve">Menu and screens</w:t>
      </w:r>
    </w:p>
    <w:p>
      <w:pPr>
        <w:numPr>
          <w:ilvl w:val="0"/>
          <w:numId w:val="1072"/>
        </w:numPr>
        <w:pStyle w:val="Compact"/>
      </w:pPr>
      <w:r>
        <w:rPr>
          <w:bCs/>
          <w:b/>
        </w:rPr>
        <w:t xml:space="preserve">Partners › Configuration</w:t>
      </w:r>
      <w:r>
        <w:t xml:space="preserve"> </w:t>
      </w:r>
      <w:r>
        <w:t xml:space="preserve">(C: partnerships, legal, finance for commercials; D: RE product, credit, legal, finance): version list with state chips and effective dates; editor by the twelve sections with inline validation and explain-why messages citing the guard-rail; diff viewer (side by side, changed sections highlighted); impact panel; synthetic-borrower simulation; approval and countersign queue; actions</w:t>
      </w:r>
      <w:r>
        <w:t xml:space="preserve"> </w:t>
      </w:r>
      <w:r>
        <w:rPr>
          <w:bCs/>
          <w:b/>
        </w:rPr>
        <w:t xml:space="preserve">Validate</w:t>
      </w:r>
      <w:r>
        <w:t xml:space="preserve">,</w:t>
      </w:r>
      <w:r>
        <w:t xml:space="preserve"> </w:t>
      </w:r>
      <w:r>
        <w:rPr>
          <w:bCs/>
          <w:b/>
        </w:rPr>
        <w:t xml:space="preserve">Submit for approval</w:t>
      </w:r>
      <w:r>
        <w:t xml:space="preserve">,</w:t>
      </w:r>
      <w:r>
        <w:t xml:space="preserve"> </w:t>
      </w:r>
      <w:r>
        <w:rPr>
          <w:bCs/>
          <w:b/>
        </w:rPr>
        <w:t xml:space="preserve">Send to RE</w:t>
      </w:r>
      <w:r>
        <w:t xml:space="preserve">,</w:t>
      </w:r>
      <w:r>
        <w:t xml:space="preserve"> </w:t>
      </w:r>
      <w:r>
        <w:rPr>
          <w:bCs/>
          <w:b/>
        </w:rPr>
        <w:t xml:space="preserve">Countersign</w:t>
      </w:r>
      <w:r>
        <w:t xml:space="preserve"> </w:t>
      </w:r>
      <w:r>
        <w:t xml:space="preserve">(D),</w:t>
      </w:r>
      <w:r>
        <w:t xml:space="preserve"> </w:t>
      </w:r>
      <w:r>
        <w:rPr>
          <w:bCs/>
          <w:b/>
        </w:rPr>
        <w:t xml:space="preserve">Reject with reasons</w:t>
      </w:r>
      <w:r>
        <w:t xml:space="preserve"> </w:t>
      </w:r>
      <w:r>
        <w:t xml:space="preserve">(D),</w:t>
      </w:r>
      <w:r>
        <w:t xml:space="preserve"> </w:t>
      </w:r>
      <w:r>
        <w:rPr>
          <w:bCs/>
          <w:b/>
        </w:rPr>
        <w:t xml:space="preserve">Schedule</w:t>
      </w:r>
      <w:r>
        <w:t xml:space="preserve">,</w:t>
      </w:r>
      <w:r>
        <w:t xml:space="preserve"> </w:t>
      </w:r>
      <w:r>
        <w:rPr>
          <w:bCs/>
          <w:b/>
        </w:rPr>
        <w:t xml:space="preserve">Roll back</w:t>
      </w:r>
      <w:r>
        <w:t xml:space="preserve">; export of any version as JSON plus PDF summary. Borrowers see only the effects.</w:t>
      </w:r>
    </w:p>
    <w:bookmarkEnd w:id="122"/>
    <w:bookmarkStart w:id="123" w:name="controls-1"/>
    <w:p>
      <w:pPr>
        <w:pStyle w:val="Heading3"/>
      </w:pPr>
      <w:r>
        <w:t xml:space="preserve">Controls</w:t>
      </w:r>
    </w:p>
    <w:p>
      <w:pPr>
        <w:numPr>
          <w:ilvl w:val="0"/>
          <w:numId w:val="1073"/>
        </w:numPr>
        <w:pStyle w:val="Compact"/>
      </w:pPr>
      <w:r>
        <w:t xml:space="preserve">UP-C05: guard-rail validator runs on every save; a failing version cannot be submitted.</w:t>
      </w:r>
    </w:p>
    <w:p>
      <w:pPr>
        <w:numPr>
          <w:ilvl w:val="0"/>
          <w:numId w:val="1073"/>
        </w:numPr>
        <w:pStyle w:val="Compact"/>
      </w:pPr>
      <w:r>
        <w:t xml:space="preserve">UP-C06:</w:t>
      </w:r>
      <w:r>
        <w:t xml:space="preserve"> </w:t>
      </w:r>
      <w:r>
        <w:rPr>
          <w:rStyle w:val="VerbatimChar"/>
        </w:rPr>
        <w:t xml:space="preserve">deal_commercials</w:t>
      </w:r>
      <w:r>
        <w:t xml:space="preserve"> </w:t>
      </w:r>
      <w:r>
        <w:t xml:space="preserve">is encrypted with a separate key and readable only by Udofin finance and the RE’s own finance users.</w:t>
      </w:r>
    </w:p>
    <w:p>
      <w:pPr>
        <w:numPr>
          <w:ilvl w:val="0"/>
          <w:numId w:val="1073"/>
        </w:numPr>
        <w:pStyle w:val="Compact"/>
      </w:pPr>
      <w:r>
        <w:t xml:space="preserve">UP-C07: any borrower-facing Udofin fee line in any section fails validation (CF para 10(4)).</w:t>
      </w:r>
    </w:p>
    <w:p>
      <w:pPr>
        <w:numPr>
          <w:ilvl w:val="0"/>
          <w:numId w:val="1073"/>
        </w:numPr>
        <w:pStyle w:val="Compact"/>
      </w:pPr>
      <w:r>
        <w:t xml:space="preserve">UP-C08: configuration export (JSON plus PDF summary) is attached to the RE’s annual review pack.</w:t>
      </w:r>
    </w:p>
    <w:bookmarkEnd w:id="123"/>
    <w:bookmarkStart w:id="124" w:name="acceptance-tests-1"/>
    <w:p>
      <w:pPr>
        <w:pStyle w:val="Heading3"/>
      </w:pPr>
      <w:r>
        <w:t xml:space="preserve">Acceptance tests</w:t>
      </w:r>
    </w:p>
    <w:p>
      <w:pPr>
        <w:numPr>
          <w:ilvl w:val="0"/>
          <w:numId w:val="1074"/>
        </w:numPr>
        <w:pStyle w:val="Compact"/>
      </w:pPr>
      <w:r>
        <w:t xml:space="preserve">Saving a configuration with a</w:t>
      </w:r>
      <w:r>
        <w:t xml:space="preserve"> </w:t>
      </w:r>
      <w:r>
        <w:rPr>
          <w:rStyle w:val="VerbatimChar"/>
        </w:rPr>
        <w:t xml:space="preserve">priority</w:t>
      </w:r>
      <w:r>
        <w:t xml:space="preserve"> </w:t>
      </w:r>
      <w:r>
        <w:t xml:space="preserve">or</w:t>
      </w:r>
      <w:r>
        <w:t xml:space="preserve"> </w:t>
      </w:r>
      <w:r>
        <w:rPr>
          <w:rStyle w:val="VerbatimChar"/>
        </w:rPr>
        <w:t xml:space="preserve">featured</w:t>
      </w:r>
      <w:r>
        <w:t xml:space="preserve"> </w:t>
      </w:r>
      <w:r>
        <w:t xml:space="preserve">key fails schema validation.</w:t>
      </w:r>
    </w:p>
    <w:p>
      <w:pPr>
        <w:numPr>
          <w:ilvl w:val="0"/>
          <w:numId w:val="1074"/>
        </w:numPr>
        <w:pStyle w:val="Compact"/>
      </w:pPr>
      <w:r>
        <w:t xml:space="preserve">The ranking service’s database role receives</w:t>
      </w:r>
      <w:r>
        <w:t xml:space="preserve"> </w:t>
      </w:r>
      <w:r>
        <w:t xml:space="preserve">“</w:t>
      </w:r>
      <w:r>
        <w:t xml:space="preserve">permission denied</w:t>
      </w:r>
      <w:r>
        <w:t xml:space="preserve">”</w:t>
      </w:r>
      <w:r>
        <w:t xml:space="preserve"> </w:t>
      </w:r>
      <w:r>
        <w:t xml:space="preserve">on</w:t>
      </w:r>
      <w:r>
        <w:t xml:space="preserve"> </w:t>
      </w:r>
      <w:r>
        <w:rPr>
          <w:rStyle w:val="VerbatimChar"/>
        </w:rPr>
        <w:t xml:space="preserve">deal_commercials</w:t>
      </w:r>
      <w:r>
        <w:t xml:space="preserve"> </w:t>
      </w:r>
      <w:r>
        <w:t xml:space="preserve">(CI test).</w:t>
      </w:r>
    </w:p>
    <w:p>
      <w:pPr>
        <w:numPr>
          <w:ilvl w:val="0"/>
          <w:numId w:val="1074"/>
        </w:numPr>
        <w:pStyle w:val="Compact"/>
      </w:pPr>
      <w:r>
        <w:t xml:space="preserve">Changing RE A’s sourcing fee from 1% to 3% leaves the offer order for an identical synthetic borrower unchanged.</w:t>
      </w:r>
    </w:p>
    <w:p>
      <w:pPr>
        <w:numPr>
          <w:ilvl w:val="0"/>
          <w:numId w:val="1074"/>
        </w:numPr>
        <w:pStyle w:val="Compact"/>
      </w:pPr>
      <w:r>
        <w:t xml:space="preserve">An application submitted under version 4 still uses version 4 rules and templates after version 5 becomes effective.</w:t>
      </w:r>
    </w:p>
    <w:p>
      <w:pPr>
        <w:numPr>
          <w:ilvl w:val="0"/>
          <w:numId w:val="1074"/>
        </w:numPr>
        <w:pStyle w:val="Compact"/>
      </w:pPr>
      <w:r>
        <w:t xml:space="preserve">Version 5 cannot become</w:t>
      </w:r>
      <w:r>
        <w:t xml:space="preserve"> </w:t>
      </w:r>
      <w:r>
        <w:rPr>
          <w:rStyle w:val="VerbatimChar"/>
        </w:rPr>
        <w:t xml:space="preserve">EFFECTIVE</w:t>
      </w:r>
      <w:r>
        <w:t xml:space="preserve"> </w:t>
      </w:r>
      <w:r>
        <w:t xml:space="preserve">without an RE countersign recorded through the approvals API or the lender portal; a version not countersigned within the window moves to</w:t>
      </w:r>
      <w:r>
        <w:t xml:space="preserve"> </w:t>
      </w:r>
      <w:r>
        <w:rPr>
          <w:rStyle w:val="VerbatimChar"/>
        </w:rPr>
        <w:t xml:space="preserve">EXPIRED</w:t>
      </w:r>
      <w:r>
        <w:t xml:space="preserve">; a rollback creates version 6 and leaves versions 4 and 5 unchanged.</w:t>
      </w:r>
    </w:p>
    <w:p>
      <w:pPr>
        <w:numPr>
          <w:ilvl w:val="0"/>
          <w:numId w:val="1074"/>
        </w:numPr>
        <w:pStyle w:val="Compact"/>
      </w:pPr>
      <w:r>
        <w:t xml:space="preserve">An emergency change that widens scope (adds a product, state or channel) is rejected.</w:t>
      </w:r>
    </w:p>
    <w:p>
      <w:pPr>
        <w:numPr>
          <w:ilvl w:val="0"/>
          <w:numId w:val="1074"/>
        </w:numPr>
        <w:pStyle w:val="Compact"/>
      </w:pPr>
      <w:r>
        <w:t xml:space="preserve">A KFS template lacking the Annex I Part 2 GRO item blocks publication of the product.</w:t>
      </w:r>
    </w:p>
    <w:p>
      <w:pPr>
        <w:numPr>
          <w:ilvl w:val="0"/>
          <w:numId w:val="1074"/>
        </w:numPr>
        <w:pStyle w:val="Compact"/>
      </w:pPr>
      <w:r>
        <w:t xml:space="preserve">A recovery option of</w:t>
      </w:r>
      <w:r>
        <w:t xml:space="preserve"> </w:t>
      </w:r>
      <w:r>
        <w:t xml:space="preserve">“</w:t>
      </w:r>
      <w:r>
        <w:t xml:space="preserve">field</w:t>
      </w:r>
      <w:r>
        <w:t xml:space="preserve">”</w:t>
      </w:r>
      <w:r>
        <w:t xml:space="preserve"> </w:t>
      </w:r>
      <w:r>
        <w:t xml:space="preserve">cannot be enabled without an active</w:t>
      </w:r>
      <w:r>
        <w:t xml:space="preserve"> </w:t>
      </w:r>
      <w:r>
        <w:rPr>
          <w:rStyle w:val="VerbatimChar"/>
        </w:rPr>
        <w:t xml:space="preserve">recovery_agent_contract</w:t>
      </w:r>
      <w:r>
        <w:t xml:space="preserve"> </w:t>
      </w:r>
      <w:r>
        <w:t xml:space="preserve">covering the territory.</w:t>
      </w:r>
    </w:p>
    <w:p>
      <w:pPr>
        <w:numPr>
          <w:ilvl w:val="0"/>
          <w:numId w:val="1074"/>
        </w:numPr>
        <w:pStyle w:val="Compact"/>
      </w:pPr>
      <w:r>
        <w:t xml:space="preserve">A DLG option with a 6% cap fails validation; a clawback clause is counted inside the 5% cap.</w:t>
      </w:r>
    </w:p>
    <w:p>
      <w:pPr>
        <w:numPr>
          <w:ilvl w:val="0"/>
          <w:numId w:val="1074"/>
        </w:numPr>
        <w:pStyle w:val="Compact"/>
      </w:pPr>
      <w:r>
        <w:t xml:space="preserve">A co-branded campaign cannot be targeted into the offer-view slot.</w:t>
      </w:r>
    </w:p>
    <w:p>
      <w:r>
        <w:pict>
          <v:rect style="width:0;height:1.5pt" o:hralign="center" o:hrstd="t" o:hr="t"/>
        </w:pict>
      </w:r>
    </w:p>
    <w:bookmarkEnd w:id="124"/>
    <w:bookmarkEnd w:id="125"/>
    <w:bookmarkStart w:id="135" w:name="X6b95977599cb1f7b21afcabb169ca3e6984e72c"/>
    <w:p>
      <w:pPr>
        <w:pStyle w:val="Heading2"/>
      </w:pPr>
      <w:r>
        <w:t xml:space="preserve">UP3. RE audit, inspection and CIMS export packs</w:t>
      </w:r>
    </w:p>
    <w:bookmarkStart w:id="126" w:name="purpose-and-scope-2"/>
    <w:p>
      <w:pPr>
        <w:pStyle w:val="Heading3"/>
      </w:pPr>
      <w:r>
        <w:t xml:space="preserve">Purpose and scope</w:t>
      </w:r>
    </w:p>
    <w:p>
      <w:pPr>
        <w:pStyle w:val="FirstParagraph"/>
      </w:pPr>
      <w:r>
        <w:t xml:space="preserve">Give each RE, its auditors and, on the RE’s request, RBI-authorised persons complete, verifiable evidence of what Udofin did for that RE, generated on demand or on schedule, self-describing, hashed and readable without Udofin (export-archive standard, Integration Specification v1.1; RA3). Interactive read-only access is RA2.</w:t>
      </w:r>
    </w:p>
    <w:bookmarkEnd w:id="126"/>
    <w:bookmarkStart w:id="127" w:name="pack-catalogue"/>
    <w:p>
      <w:pPr>
        <w:pStyle w:val="Heading3"/>
      </w:pPr>
      <w:r>
        <w:t xml:space="preserve">Pack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60"/>
        <w:gridCol w:w="4739"/>
        <w:gridCol w:w="1939"/>
        <w:gridCol w:w="1500"/>
      </w:tblGrid>
      <w:tr>
        <w:trPr>
          <w:tblHeader w:val="true"/>
          <w:tblHeader w:val="true"/>
        </w:trPr>
        <w:tc>
          <w:tcPr>
            <w:tcW w:w="1460" w:type="dxa"/>
            <w:shd w:val="clear" w:color="auto" w:fill="1F3A5F"/>
          </w:tcPr>
          <w:p>
            <w:pPr>
              <w:pStyle w:val="Compact"/>
              <w:spacing w:after="40"/>
              <w:jc w:val="left"/>
            </w:pPr>
            <w:r>
              <w:rPr>
                <w:b/>
                <w:color w:val="FFFFFF"/>
                <w:sz w:val="18"/>
              </w:rPr>
              <w:t xml:space="preserve">Pack</w:t>
            </w:r>
          </w:p>
        </w:tc>
        <w:tc>
          <w:tcPr>
            <w:tcW w:w="4739" w:type="dxa"/>
            <w:shd w:val="clear" w:color="auto" w:fill="1F3A5F"/>
          </w:tcPr>
          <w:p>
            <w:pPr>
              <w:pStyle w:val="Compact"/>
              <w:spacing w:after="40"/>
              <w:jc w:val="left"/>
            </w:pPr>
            <w:r>
              <w:rPr>
                <w:b/>
                <w:color w:val="FFFFFF"/>
                <w:sz w:val="18"/>
              </w:rPr>
              <w:t xml:space="preserve">Contents</w:t>
            </w:r>
          </w:p>
        </w:tc>
        <w:tc>
          <w:tcPr>
            <w:tcW w:w="1939" w:type="dxa"/>
            <w:shd w:val="clear" w:color="auto" w:fill="1F3A5F"/>
          </w:tcPr>
          <w:p>
            <w:pPr>
              <w:pStyle w:val="Compact"/>
              <w:spacing w:after="40"/>
              <w:jc w:val="left"/>
            </w:pPr>
            <w:r>
              <w:rPr>
                <w:b/>
                <w:color w:val="FFFFFF"/>
                <w:sz w:val="18"/>
              </w:rPr>
              <w:t xml:space="preserve">Source requirement</w:t>
            </w:r>
          </w:p>
        </w:tc>
        <w:tc>
          <w:tcPr>
            <w:tcW w:w="1500" w:type="dxa"/>
            <w:shd w:val="clear" w:color="auto" w:fill="1F3A5F"/>
          </w:tcPr>
          <w:p>
            <w:pPr>
              <w:pStyle w:val="Compact"/>
              <w:spacing w:after="40"/>
              <w:jc w:val="left"/>
            </w:pPr>
            <w:r>
              <w:rPr>
                <w:b/>
                <w:color w:val="FFFFFF"/>
                <w:sz w:val="18"/>
              </w:rPr>
              <w:t xml:space="preserve">Default cadence</w:t>
            </w:r>
          </w:p>
        </w:tc>
      </w:tr>
      <w:tr>
        <w:tc>
          <w:tcPr>
            <w:tcW w:w="1460" w:type="dxa"/>
          </w:tcPr>
          <w:p>
            <w:pPr>
              <w:pStyle w:val="Compact"/>
              <w:spacing w:after="40"/>
              <w:jc w:val="left"/>
            </w:pPr>
            <w:r>
              <w:rPr>
                <w:sz w:val="18"/>
              </w:rPr>
              <w:t xml:space="preserve">P1 CIMS DLA pack</w:t>
            </w:r>
          </w:p>
        </w:tc>
        <w:tc>
          <w:tcPr>
            <w:tcW w:w="4739" w:type="dxa"/>
          </w:tcPr>
          <w:p>
            <w:pPr>
              <w:pStyle w:val="Compact"/>
              <w:spacing w:after="40"/>
              <w:jc w:val="left"/>
            </w:pPr>
            <w:r>
              <w:rPr>
                <w:sz w:val="18"/>
              </w:rPr>
              <w:t xml:space="preserve">Annex-I extract per DLA per platform in column order (S. No., DLA name, owner, available on, link, GRO name, email, telephone, mobile, RE website); change log; CCO evidence for each para 18(4) point (link to the RE website, LSP nodal officer displayed, paras 13–14 compliance, para 9(4) consistency)</w:t>
            </w:r>
          </w:p>
        </w:tc>
        <w:tc>
          <w:tcPr>
            <w:tcW w:w="1939" w:type="dxa"/>
          </w:tcPr>
          <w:p>
            <w:pPr>
              <w:pStyle w:val="Compact"/>
              <w:spacing w:after="40"/>
              <w:jc w:val="left"/>
            </w:pPr>
            <w:r>
              <w:rPr>
                <w:sz w:val="18"/>
              </w:rPr>
              <w:t xml:space="preserve">CF para 18(1)–(4), Annex-I</w:t>
            </w:r>
          </w:p>
        </w:tc>
        <w:tc>
          <w:tcPr>
            <w:tcW w:w="1500" w:type="dxa"/>
          </w:tcPr>
          <w:p>
            <w:pPr>
              <w:pStyle w:val="Compact"/>
              <w:spacing w:after="40"/>
              <w:jc w:val="left"/>
            </w:pPr>
            <w:r>
              <w:rPr>
                <w:sz w:val="18"/>
              </w:rPr>
              <w:t xml:space="preserve">On every DLA change and quarterly</w:t>
            </w:r>
          </w:p>
        </w:tc>
      </w:tr>
      <w:tr>
        <w:tc>
          <w:tcPr>
            <w:tcW w:w="1460" w:type="dxa"/>
          </w:tcPr>
          <w:p>
            <w:pPr>
              <w:pStyle w:val="Compact"/>
              <w:spacing w:after="40"/>
              <w:jc w:val="left"/>
            </w:pPr>
            <w:r>
              <w:rPr>
                <w:sz w:val="18"/>
              </w:rPr>
              <w:t xml:space="preserve">P2 Outsourcing oversight pack</w:t>
            </w:r>
          </w:p>
        </w:tc>
        <w:tc>
          <w:tcPr>
            <w:tcW w:w="4739" w:type="dxa"/>
          </w:tcPr>
          <w:p>
            <w:pPr>
              <w:pStyle w:val="Compact"/>
              <w:spacing w:after="40"/>
              <w:jc w:val="left"/>
            </w:pPr>
            <w:r>
              <w:rPr>
                <w:sz w:val="18"/>
              </w:rPr>
              <w:t xml:space="preserve">Central-record feed (activity, materiality as assessed by the RE, start date, value, subcontractors); SLA performance; incident log with detection and notification times; BCP and DR test evidence; sub-processor list with RE consents; clause-matrix status; DD pack version; declarations</w:t>
            </w:r>
          </w:p>
        </w:tc>
        <w:tc>
          <w:tcPr>
            <w:tcW w:w="1939" w:type="dxa"/>
          </w:tcPr>
          <w:p>
            <w:pPr>
              <w:pStyle w:val="Compact"/>
              <w:spacing w:after="40"/>
              <w:jc w:val="left"/>
            </w:pPr>
            <w:r>
              <w:rPr>
                <w:sz w:val="18"/>
              </w:rPr>
              <w:t xml:space="preserve">OUT paras 34, 36, 38, 40, 61, 74(iii), 82</w:t>
            </w:r>
          </w:p>
        </w:tc>
        <w:tc>
          <w:tcPr>
            <w:tcW w:w="1500" w:type="dxa"/>
          </w:tcPr>
          <w:p>
            <w:pPr>
              <w:pStyle w:val="Compact"/>
              <w:spacing w:after="40"/>
              <w:jc w:val="left"/>
            </w:pPr>
            <w:r>
              <w:rPr>
                <w:sz w:val="18"/>
              </w:rPr>
              <w:t xml:space="preserve">Half-yearly and annual</w:t>
            </w:r>
          </w:p>
        </w:tc>
      </w:tr>
      <w:tr>
        <w:tc>
          <w:tcPr>
            <w:tcW w:w="1460" w:type="dxa"/>
          </w:tcPr>
          <w:p>
            <w:pPr>
              <w:pStyle w:val="Compact"/>
              <w:spacing w:after="40"/>
              <w:jc w:val="left"/>
            </w:pPr>
            <w:r>
              <w:rPr>
                <w:sz w:val="18"/>
              </w:rPr>
              <w:t xml:space="preserve">P3 Conduct pack</w:t>
            </w:r>
          </w:p>
        </w:tc>
        <w:tc>
          <w:tcPr>
            <w:tcW w:w="4739" w:type="dxa"/>
          </w:tcPr>
          <w:p>
            <w:pPr>
              <w:pStyle w:val="Compact"/>
              <w:spacing w:after="40"/>
              <w:jc w:val="left"/>
            </w:pPr>
            <w:r>
              <w:rPr>
                <w:sz w:val="18"/>
              </w:rPr>
              <w:t xml:space="preserve">Offer-display logs (offer set, matched and unmatched lenders, ranking metric and matching mechanism versions, change log); dark-pattern audit results; consent ledger extract; KFS evidence (proposal number, version hash, view, explanation acknowledgement, acceptance time, validity); cooling-off exits; template and language exceptions; recovery-agent notices and contact evaluations (if UR4 is attached)</w:t>
            </w:r>
          </w:p>
        </w:tc>
        <w:tc>
          <w:tcPr>
            <w:tcW w:w="1939" w:type="dxa"/>
          </w:tcPr>
          <w:p>
            <w:pPr>
              <w:pStyle w:val="Compact"/>
              <w:spacing w:after="40"/>
              <w:jc w:val="left"/>
            </w:pPr>
            <w:r>
              <w:rPr>
                <w:sz w:val="18"/>
              </w:rPr>
              <w:t xml:space="preserve">CF paras 7, 9(6), 11, 13; RBC paras 10, 29, 100; CCPA-DP s.2(e)</w:t>
            </w:r>
          </w:p>
        </w:tc>
        <w:tc>
          <w:tcPr>
            <w:tcW w:w="1500" w:type="dxa"/>
          </w:tcPr>
          <w:p>
            <w:pPr>
              <w:pStyle w:val="Compact"/>
              <w:spacing w:after="40"/>
              <w:jc w:val="left"/>
            </w:pPr>
            <w:r>
              <w:rPr>
                <w:sz w:val="18"/>
              </w:rPr>
              <w:t xml:space="preserve">Monthly; FPC conduct pack per RBC para 8</w:t>
            </w:r>
          </w:p>
        </w:tc>
      </w:tr>
      <w:tr>
        <w:tc>
          <w:tcPr>
            <w:tcW w:w="1460" w:type="dxa"/>
          </w:tcPr>
          <w:p>
            <w:pPr>
              <w:pStyle w:val="Compact"/>
              <w:spacing w:after="40"/>
              <w:jc w:val="left"/>
            </w:pPr>
            <w:r>
              <w:rPr>
                <w:sz w:val="18"/>
              </w:rPr>
              <w:t xml:space="preserve">P4 Grievance MIS</w:t>
            </w:r>
          </w:p>
        </w:tc>
        <w:tc>
          <w:tcPr>
            <w:tcW w:w="4739" w:type="dxa"/>
          </w:tcPr>
          <w:p>
            <w:pPr>
              <w:pStyle w:val="Compact"/>
              <w:spacing w:after="40"/>
              <w:jc w:val="left"/>
            </w:pPr>
            <w:r>
              <w:rPr>
                <w:sz w:val="18"/>
              </w:rPr>
              <w:t xml:space="preserve">Complaint register for the RE’s borrowers handled or received by Udofin: reference, channel, category (including FS 21(10) grounds), received at Udofin, forwarded to RE, RE acknowledgement, clocks, IO escalation status, final reply, borrower-declared RB-IOS or other external referral, reopen and rating; credit-information complaints with the 21-day and 30-day clocks and compensation details captured (CIR para 35)</w:t>
            </w:r>
          </w:p>
        </w:tc>
        <w:tc>
          <w:tcPr>
            <w:tcW w:w="1939" w:type="dxa"/>
          </w:tcPr>
          <w:p>
            <w:pPr>
              <w:pStyle w:val="Compact"/>
              <w:spacing w:after="40"/>
              <w:jc w:val="left"/>
            </w:pPr>
            <w:r>
              <w:rPr>
                <w:sz w:val="18"/>
              </w:rPr>
              <w:t xml:space="preserve">CF para 12; OUT paras 56–57; RBC paras 7(2), 8, 92; CIR paras 34–35</w:t>
            </w:r>
          </w:p>
        </w:tc>
        <w:tc>
          <w:tcPr>
            <w:tcW w:w="1500" w:type="dxa"/>
          </w:tcPr>
          <w:p>
            <w:pPr>
              <w:pStyle w:val="Compact"/>
              <w:spacing w:after="40"/>
              <w:jc w:val="left"/>
            </w:pPr>
            <w:r>
              <w:rPr>
                <w:sz w:val="18"/>
              </w:rPr>
              <w:t xml:space="preserve">Monthly and on request</w:t>
            </w:r>
          </w:p>
        </w:tc>
      </w:tr>
      <w:tr>
        <w:tc>
          <w:tcPr>
            <w:tcW w:w="1460" w:type="dxa"/>
          </w:tcPr>
          <w:p>
            <w:pPr>
              <w:pStyle w:val="Compact"/>
              <w:spacing w:after="40"/>
              <w:jc w:val="left"/>
            </w:pPr>
            <w:r>
              <w:rPr>
                <w:sz w:val="18"/>
              </w:rPr>
              <w:t xml:space="preserve">P5 DLG pack</w:t>
            </w:r>
          </w:p>
        </w:tc>
        <w:tc>
          <w:tcPr>
            <w:tcW w:w="4739" w:type="dxa"/>
          </w:tcPr>
          <w:p>
            <w:pPr>
              <w:pStyle w:val="Compact"/>
              <w:spacing w:after="40"/>
              <w:jc w:val="left"/>
            </w:pPr>
            <w:r>
              <w:rPr>
                <w:sz w:val="18"/>
              </w:rPr>
              <w:t xml:space="preserve">Arrangements, instruments, set ledgers, cover snapshots, invocations, recovery sharing, monthly website disclosures with publication timestamps, auditor-certified provider declarations</w:t>
            </w:r>
          </w:p>
        </w:tc>
        <w:tc>
          <w:tcPr>
            <w:tcW w:w="1939" w:type="dxa"/>
          </w:tcPr>
          <w:p>
            <w:pPr>
              <w:pStyle w:val="Compact"/>
              <w:spacing w:after="40"/>
              <w:jc w:val="left"/>
            </w:pPr>
            <w:r>
              <w:rPr>
                <w:sz w:val="18"/>
              </w:rPr>
              <w:t xml:space="preserve">CF paras 20(3), 22–28</w:t>
            </w:r>
          </w:p>
        </w:tc>
        <w:tc>
          <w:tcPr>
            <w:tcW w:w="1500" w:type="dxa"/>
          </w:tcPr>
          <w:p>
            <w:pPr>
              <w:pStyle w:val="Compact"/>
              <w:spacing w:after="40"/>
              <w:jc w:val="left"/>
            </w:pPr>
            <w:r>
              <w:rPr>
                <w:sz w:val="18"/>
              </w:rPr>
              <w:t xml:space="preserve">Monthly and at each renewal</w:t>
            </w:r>
          </w:p>
        </w:tc>
      </w:tr>
      <w:tr>
        <w:tc>
          <w:tcPr>
            <w:tcW w:w="1460" w:type="dxa"/>
          </w:tcPr>
          <w:p>
            <w:pPr>
              <w:pStyle w:val="Compact"/>
              <w:spacing w:after="40"/>
              <w:jc w:val="left"/>
            </w:pPr>
            <w:r>
              <w:rPr>
                <w:sz w:val="18"/>
              </w:rPr>
              <w:t xml:space="preserve">P6 Data-protection pack</w:t>
            </w:r>
          </w:p>
        </w:tc>
        <w:tc>
          <w:tcPr>
            <w:tcW w:w="4739" w:type="dxa"/>
          </w:tcPr>
          <w:p>
            <w:pPr>
              <w:pStyle w:val="Compact"/>
              <w:spacing w:after="40"/>
              <w:jc w:val="left"/>
            </w:pPr>
            <w:r>
              <w:rPr>
                <w:sz w:val="18"/>
              </w:rPr>
              <w:t xml:space="preserve">Data inventory for this RE (fields captured, processed, stored; locations); retention schedule and purge certificates; data-principal requests and outcomes; consent withdrawals; breaches and notifications</w:t>
            </w:r>
          </w:p>
        </w:tc>
        <w:tc>
          <w:tcPr>
            <w:tcW w:w="1939" w:type="dxa"/>
          </w:tcPr>
          <w:p>
            <w:pPr>
              <w:pStyle w:val="Compact"/>
              <w:spacing w:after="40"/>
              <w:jc w:val="left"/>
            </w:pPr>
            <w:r>
              <w:rPr>
                <w:sz w:val="18"/>
              </w:rPr>
              <w:t xml:space="preserve">CF paras 13–14; OUT paras 74(vi)–(viii), 87; DPDP</w:t>
            </w:r>
          </w:p>
        </w:tc>
        <w:tc>
          <w:tcPr>
            <w:tcW w:w="1500" w:type="dxa"/>
          </w:tcPr>
          <w:p>
            <w:pPr>
              <w:pStyle w:val="Compact"/>
              <w:spacing w:after="40"/>
              <w:jc w:val="left"/>
            </w:pPr>
            <w:r>
              <w:rPr>
                <w:sz w:val="18"/>
              </w:rPr>
              <w:t xml:space="preserve">Quarterly</w:t>
            </w:r>
          </w:p>
        </w:tc>
      </w:tr>
      <w:tr>
        <w:tc>
          <w:tcPr>
            <w:tcW w:w="1460" w:type="dxa"/>
          </w:tcPr>
          <w:p>
            <w:pPr>
              <w:pStyle w:val="Compact"/>
              <w:spacing w:after="40"/>
              <w:jc w:val="left"/>
            </w:pPr>
            <w:r>
              <w:rPr>
                <w:sz w:val="18"/>
              </w:rPr>
              <w:t xml:space="preserve">P7 Statutory and internal auditor pack</w:t>
            </w:r>
          </w:p>
        </w:tc>
        <w:tc>
          <w:tcPr>
            <w:tcW w:w="4739" w:type="dxa"/>
          </w:tcPr>
          <w:p>
            <w:pPr>
              <w:pStyle w:val="Compact"/>
              <w:spacing w:after="40"/>
              <w:jc w:val="left"/>
            </w:pPr>
            <w:r>
              <w:rPr>
                <w:sz w:val="18"/>
              </w:rPr>
              <w:t xml:space="preserve">Selected records for the RE’s auditors with sampling support (population counts, random seed, sample IDs), access log of the auditor’s use</w:t>
            </w:r>
          </w:p>
        </w:tc>
        <w:tc>
          <w:tcPr>
            <w:tcW w:w="1939" w:type="dxa"/>
          </w:tcPr>
          <w:p>
            <w:pPr>
              <w:pStyle w:val="Compact"/>
              <w:spacing w:after="40"/>
              <w:jc w:val="left"/>
            </w:pPr>
            <w:r>
              <w:rPr>
                <w:sz w:val="18"/>
              </w:rPr>
              <w:t xml:space="preserve">OUT paras 34(vii), 37, 81</w:t>
            </w:r>
          </w:p>
        </w:tc>
        <w:tc>
          <w:tcPr>
            <w:tcW w:w="1500" w:type="dxa"/>
          </w:tcPr>
          <w:p>
            <w:pPr>
              <w:pStyle w:val="Compact"/>
              <w:spacing w:after="40"/>
              <w:jc w:val="left"/>
            </w:pPr>
            <w:r>
              <w:rPr>
                <w:sz w:val="18"/>
              </w:rPr>
              <w:t xml:space="preserve">On request</w:t>
            </w:r>
          </w:p>
        </w:tc>
      </w:tr>
      <w:tr>
        <w:tc>
          <w:tcPr>
            <w:tcW w:w="1460" w:type="dxa"/>
          </w:tcPr>
          <w:p>
            <w:pPr>
              <w:pStyle w:val="Compact"/>
              <w:spacing w:after="40"/>
              <w:jc w:val="left"/>
            </w:pPr>
            <w:r>
              <w:rPr>
                <w:sz w:val="18"/>
              </w:rPr>
              <w:t xml:space="preserve">P8 RBI inspection pack</w:t>
            </w:r>
          </w:p>
        </w:tc>
        <w:tc>
          <w:tcPr>
            <w:tcW w:w="4739" w:type="dxa"/>
          </w:tcPr>
          <w:p>
            <w:pPr>
              <w:pStyle w:val="Compact"/>
              <w:spacing w:after="40"/>
              <w:jc w:val="left"/>
            </w:pPr>
            <w:r>
              <w:rPr>
                <w:sz w:val="18"/>
              </w:rPr>
              <w:t xml:space="preserve">Scope stated in the RE’s request (records, logs, configurations, policies), produced under RE maker-checker; delivered to the RE or, if the RE directs, to the RBI team through RA2</w:t>
            </w:r>
          </w:p>
        </w:tc>
        <w:tc>
          <w:tcPr>
            <w:tcW w:w="1939" w:type="dxa"/>
          </w:tcPr>
          <w:p>
            <w:pPr>
              <w:pStyle w:val="Compact"/>
              <w:spacing w:after="40"/>
              <w:jc w:val="left"/>
            </w:pPr>
            <w:r>
              <w:rPr>
                <w:sz w:val="18"/>
              </w:rPr>
              <w:t xml:space="preserve">OUT paras 16, 34(viii)–(ix), 81</w:t>
            </w:r>
          </w:p>
        </w:tc>
        <w:tc>
          <w:tcPr>
            <w:tcW w:w="1500" w:type="dxa"/>
          </w:tcPr>
          <w:p>
            <w:pPr>
              <w:pStyle w:val="Compact"/>
              <w:spacing w:after="40"/>
              <w:jc w:val="left"/>
            </w:pPr>
            <w:r>
              <w:rPr>
                <w:sz w:val="18"/>
              </w:rPr>
              <w:t xml:space="preserve">On request; target 2 business days [REC]</w:t>
            </w:r>
          </w:p>
        </w:tc>
      </w:tr>
      <w:tr>
        <w:tc>
          <w:tcPr>
            <w:tcW w:w="1460" w:type="dxa"/>
          </w:tcPr>
          <w:p>
            <w:pPr>
              <w:pStyle w:val="Compact"/>
              <w:spacing w:after="40"/>
              <w:jc w:val="left"/>
            </w:pPr>
            <w:r>
              <w:rPr>
                <w:sz w:val="18"/>
              </w:rPr>
              <w:t xml:space="preserve">P9 AI pack</w:t>
            </w:r>
          </w:p>
        </w:tc>
        <w:tc>
          <w:tcPr>
            <w:tcW w:w="4739" w:type="dxa"/>
          </w:tcPr>
          <w:p>
            <w:pPr>
              <w:pStyle w:val="Compact"/>
              <w:spacing w:after="40"/>
              <w:jc w:val="left"/>
            </w:pPr>
            <w:r>
              <w:rPr>
                <w:sz w:val="18"/>
              </w:rPr>
              <w:t xml:space="preserve">AI inventory, model and prompt versions, disclosure texts, human-override statistics, sampled redacted logs</w:t>
            </w:r>
          </w:p>
        </w:tc>
        <w:tc>
          <w:tcPr>
            <w:tcW w:w="1939" w:type="dxa"/>
          </w:tcPr>
          <w:p>
            <w:pPr>
              <w:pStyle w:val="Compact"/>
              <w:spacing w:after="40"/>
              <w:jc w:val="left"/>
            </w:pPr>
            <w:r>
              <w:rPr>
                <w:sz w:val="18"/>
              </w:rPr>
              <w:t xml:space="preserve">[GUID] FREE-AI report</w:t>
            </w:r>
          </w:p>
        </w:tc>
        <w:tc>
          <w:tcPr>
            <w:tcW w:w="1500" w:type="dxa"/>
          </w:tcPr>
          <w:p>
            <w:pPr>
              <w:pStyle w:val="Compact"/>
              <w:spacing w:after="40"/>
              <w:jc w:val="left"/>
            </w:pPr>
            <w:r>
              <w:rPr>
                <w:sz w:val="18"/>
              </w:rPr>
              <w:t xml:space="preserve">Quarterly where the RE requires it</w:t>
            </w:r>
          </w:p>
        </w:tc>
      </w:tr>
      <w:tr>
        <w:tc>
          <w:tcPr>
            <w:tcW w:w="1460" w:type="dxa"/>
          </w:tcPr>
          <w:p>
            <w:pPr>
              <w:pStyle w:val="Compact"/>
              <w:spacing w:after="40"/>
              <w:jc w:val="left"/>
            </w:pPr>
            <w:r>
              <w:rPr>
                <w:sz w:val="18"/>
              </w:rPr>
              <w:t xml:space="preserve">P10 Reconciliation pack</w:t>
            </w:r>
          </w:p>
        </w:tc>
        <w:tc>
          <w:tcPr>
            <w:tcW w:w="4739" w:type="dxa"/>
          </w:tcPr>
          <w:p>
            <w:pPr>
              <w:pStyle w:val="Compact"/>
              <w:spacing w:after="40"/>
              <w:jc w:val="left"/>
            </w:pPr>
            <w:r>
              <w:rPr>
                <w:sz w:val="18"/>
              </w:rPr>
              <w:t xml:space="preserve">Daily reconciliation results, break ageing, fee invoices against RE confirmations</w:t>
            </w:r>
          </w:p>
        </w:tc>
        <w:tc>
          <w:tcPr>
            <w:tcW w:w="1939" w:type="dxa"/>
          </w:tcPr>
          <w:p>
            <w:pPr>
              <w:pStyle w:val="Compact"/>
              <w:spacing w:after="40"/>
              <w:jc w:val="left"/>
            </w:pPr>
            <w:r>
              <w:rPr>
                <w:sz w:val="18"/>
              </w:rPr>
              <w:t xml:space="preserve">OUT paras 12(2)(ii), 39</w:t>
            </w:r>
          </w:p>
        </w:tc>
        <w:tc>
          <w:tcPr>
            <w:tcW w:w="1500" w:type="dxa"/>
          </w:tcPr>
          <w:p>
            <w:pPr>
              <w:pStyle w:val="Compact"/>
              <w:spacing w:after="40"/>
              <w:jc w:val="left"/>
            </w:pPr>
            <w:r>
              <w:rPr>
                <w:sz w:val="18"/>
              </w:rPr>
              <w:t xml:space="preserve">Monthly</w:t>
            </w:r>
          </w:p>
        </w:tc>
      </w:tr>
    </w:tbl>
    <w:bookmarkEnd w:id="127"/>
    <w:bookmarkStart w:id="128" w:name="manifest-and-integrity"/>
    <w:p>
      <w:pPr>
        <w:pStyle w:val="Heading3"/>
      </w:pPr>
      <w:r>
        <w:t xml:space="preserve">Manifest and integrity</w:t>
      </w:r>
    </w:p>
    <w:p>
      <w:pPr>
        <w:pStyle w:val="FirstParagraph"/>
      </w:pPr>
      <w:r>
        <w:t xml:space="preserve">Every pack follows the archive standard (Integration Specification 12.1) with folder profile</w:t>
      </w:r>
      <w:r>
        <w:t xml:space="preserve"> </w:t>
      </w:r>
      <w:r>
        <w:rPr>
          <w:rStyle w:val="VerbatimChar"/>
        </w:rPr>
        <w:t xml:space="preserve">re_audit_pack_v1</w:t>
      </w:r>
      <w:r>
        <w:t xml:space="preserve">: the mandatory</w:t>
      </w:r>
      <w:r>
        <w:t xml:space="preserve"> </w:t>
      </w:r>
      <w:r>
        <w:rPr>
          <w:rStyle w:val="VerbatimChar"/>
        </w:rPr>
        <w:t xml:space="preserve">00 Start Here/</w:t>
      </w:r>
      <w:r>
        <w:t xml:space="preserve"> </w:t>
      </w:r>
      <w:r>
        <w:t xml:space="preserve">folder (README as PDF, DOCX and TXT covering purpose, period, scope, filters, generation time in IST, schema versions, masking level and hash-verification steps;</w:t>
      </w:r>
      <w:r>
        <w:t xml:space="preserve"> </w:t>
      </w:r>
      <w:r>
        <w:rPr>
          <w:rStyle w:val="VerbatimChar"/>
        </w:rPr>
        <w:t xml:space="preserve">export-manifest.csv</w:t>
      </w:r>
      <w:r>
        <w:t xml:space="preserve">,</w:t>
      </w:r>
      <w:r>
        <w:t xml:space="preserve"> </w:t>
      </w:r>
      <w:r>
        <w:rPr>
          <w:rStyle w:val="VerbatimChar"/>
        </w:rPr>
        <w:t xml:space="preserve">manifest.json</w:t>
      </w:r>
      <w:r>
        <w:t xml:space="preserve"> </w:t>
      </w:r>
      <w:r>
        <w:t xml:space="preserve">and the detached</w:t>
      </w:r>
      <w:r>
        <w:t xml:space="preserve"> </w:t>
      </w:r>
      <w:r>
        <w:rPr>
          <w:rStyle w:val="VerbatimChar"/>
        </w:rPr>
        <w:t xml:space="preserve">manifest.json.jws</w:t>
      </w:r>
      <w:r>
        <w:t xml:space="preserve">; data dictionary; code tables; JSON Schemas; the open-source verifier); each dataset as</w:t>
      </w:r>
      <w:r>
        <w:t xml:space="preserve"> </w:t>
      </w:r>
      <w:r>
        <w:rPr>
          <w:rStyle w:val="VerbatimChar"/>
        </w:rPr>
        <w:t xml:space="preserve">[dataset].csv</w:t>
      </w:r>
      <w:r>
        <w:t xml:space="preserve">,</w:t>
      </w:r>
      <w:r>
        <w:t xml:space="preserve"> </w:t>
      </w:r>
      <w:r>
        <w:rPr>
          <w:rStyle w:val="VerbatimChar"/>
        </w:rPr>
        <w:t xml:space="preserve">[dataset].xlsx</w:t>
      </w:r>
      <w:r>
        <w:t xml:space="preserve"> </w:t>
      </w:r>
      <w:r>
        <w:t xml:space="preserve">and</w:t>
      </w:r>
      <w:r>
        <w:t xml:space="preserve"> </w:t>
      </w:r>
      <w:r>
        <w:rPr>
          <w:rStyle w:val="VerbatimChar"/>
        </w:rPr>
        <w:t xml:space="preserve">[dataset].schema.json</w:t>
      </w:r>
      <w:r>
        <w:t xml:space="preserve">; documents byte-identical with their original hashes (narrative renditions as PDF/A-2b); logs as JSON Lines; and</w:t>
      </w:r>
      <w:r>
        <w:t xml:space="preserve"> </w:t>
      </w:r>
      <w:r>
        <w:rPr>
          <w:rStyle w:val="VerbatimChar"/>
        </w:rPr>
        <w:t xml:space="preserve">reconciliation.xlsx</w:t>
      </w:r>
      <w:r>
        <w:t xml:space="preserve"> </w:t>
      </w:r>
      <w:r>
        <w:t xml:space="preserve">tying control totals to the RE’s own figures where supplied.</w:t>
      </w:r>
      <w:r>
        <w:t xml:space="preserve"> </w:t>
      </w:r>
      <w:r>
        <w:rPr>
          <w:rStyle w:val="VerbatimChar"/>
        </w:rPr>
        <w:t xml:space="preserve">manifest.json</w:t>
      </w:r>
      <w:r>
        <w:t xml:space="preserve"> </w:t>
      </w:r>
      <w:r>
        <w:t xml:space="preserve">adds the pack ID, RE, deal, requester, approver, record counts and control totals per file, SHA-256 per file, the pack-level SHA-256 over the sorted file list, the signing key ID and the previous pack in the series.</w:t>
      </w:r>
    </w:p>
    <w:bookmarkEnd w:id="128"/>
    <w:bookmarkStart w:id="129" w:name="delivery-and-protection"/>
    <w:p>
      <w:pPr>
        <w:pStyle w:val="Heading3"/>
      </w:pPr>
      <w:r>
        <w:t xml:space="preserve">Delivery and protection</w:t>
      </w:r>
    </w:p>
    <w:p>
      <w:pPr>
        <w:numPr>
          <w:ilvl w:val="0"/>
          <w:numId w:val="1075"/>
        </w:numPr>
        <w:pStyle w:val="Compact"/>
      </w:pPr>
      <w:r>
        <w:t xml:space="preserve">Channels: lender-portal download (signed URL valid ≤ 15 minutes), SFTP with checksum acknowledgement (Part 5.3) or the RE’s storage target (RA3).</w:t>
      </w:r>
    </w:p>
    <w:p>
      <w:pPr>
        <w:numPr>
          <w:ilvl w:val="0"/>
          <w:numId w:val="1075"/>
        </w:numPr>
        <w:pStyle w:val="Compact"/>
      </w:pPr>
      <w:r>
        <w:t xml:space="preserve">Masking: P1, P2, P5 and P10 carry no borrower PII; P3, P4 and P6 mask identifiers by default and unmask only on an RE maker-checker request; P8 follows the RE’s request.</w:t>
      </w:r>
    </w:p>
    <w:p>
      <w:pPr>
        <w:numPr>
          <w:ilvl w:val="0"/>
          <w:numId w:val="1075"/>
        </w:numPr>
        <w:pStyle w:val="Compact"/>
      </w:pPr>
      <w:r>
        <w:t xml:space="preserve">Every generation and download is logged; an auditor’s or supervisor’s download is</w:t>
      </w:r>
      <w:r>
        <w:t xml:space="preserve"> </w:t>
      </w:r>
      <w:r>
        <w:rPr>
          <w:rStyle w:val="VerbatimChar"/>
        </w:rPr>
        <w:t xml:space="preserve">ExternalAccessUsed</w:t>
      </w:r>
      <w:r>
        <w:t xml:space="preserve"> </w:t>
      </w:r>
      <w:r>
        <w:t xml:space="preserve">(RA2). Packs are retained for the deal retention period and are reproducible from the same snapshot with identical hashes.</w:t>
      </w:r>
    </w:p>
    <w:bookmarkEnd w:id="129"/>
    <w:bookmarkStart w:id="130" w:name="states"/>
    <w:p>
      <w:pPr>
        <w:pStyle w:val="Heading3"/>
      </w:pPr>
      <w:r>
        <w:t xml:space="preserve">States</w:t>
      </w:r>
    </w:p>
    <w:p>
      <w:pPr>
        <w:pStyle w:val="FirstParagraph"/>
      </w:pPr>
      <w:r>
        <w:rPr>
          <w:rStyle w:val="VerbatimChar"/>
        </w:rPr>
        <w:t xml:space="preserve">re_export_pack</w:t>
      </w:r>
      <w:r>
        <w:t xml:space="preserve">:</w:t>
      </w:r>
      <w:r>
        <w:t xml:space="preserve"> </w:t>
      </w:r>
      <w:r>
        <w:rPr>
          <w:rStyle w:val="VerbatimChar"/>
        </w:rPr>
        <w:t xml:space="preserve">REQUESTED → APPROVED (maker-checker where required) → GENERATING → GENERATED → DELIVERED → ACKNOWLEDGED</w:t>
      </w:r>
      <w:r>
        <w:t xml:space="preserve">, with</w:t>
      </w:r>
      <w:r>
        <w:t xml:space="preserve"> </w:t>
      </w:r>
      <w:r>
        <w:rPr>
          <w:rStyle w:val="VerbatimChar"/>
        </w:rPr>
        <w:t xml:space="preserve">FAILED</w:t>
      </w:r>
      <w:r>
        <w:t xml:space="preserve"> </w:t>
      </w:r>
      <w:r>
        <w:t xml:space="preserve">(control-total mismatch, snapshot unavailable or signing failure; automatic retry up to 3 times on the same snapshot, then the failure queue) and</w:t>
      </w:r>
      <w:r>
        <w:t xml:space="preserve"> </w:t>
      </w:r>
      <w:r>
        <w:rPr>
          <w:rStyle w:val="VerbatimChar"/>
        </w:rPr>
        <w:t xml:space="preserve">EXPIRED</w:t>
      </w:r>
      <w:r>
        <w:t xml:space="preserve"> </w:t>
      </w:r>
      <w:r>
        <w:t xml:space="preserve">(download window lapsed; pack retained and re-deliverable).</w:t>
      </w:r>
      <w:r>
        <w:t xml:space="preserve"> </w:t>
      </w:r>
      <w:r>
        <w:rPr>
          <w:rStyle w:val="VerbatimChar"/>
        </w:rPr>
        <w:t xml:space="preserve">ExportRequested</w:t>
      </w:r>
      <w:r>
        <w:t xml:space="preserve"> </w:t>
      </w:r>
      <w:r>
        <w:t xml:space="preserve">on REQUESTED;</w:t>
      </w:r>
      <w:r>
        <w:t xml:space="preserve"> </w:t>
      </w:r>
      <w:r>
        <w:rPr>
          <w:rStyle w:val="VerbatimChar"/>
        </w:rPr>
        <w:t xml:space="preserve">ExportCompleted</w:t>
      </w:r>
      <w:r>
        <w:t xml:space="preserve"> </w:t>
      </w:r>
      <w:r>
        <w:t xml:space="preserve">when the recipient confirms the pack hash or the RE storage target confirms the write (ACKNOWLEDGED), as Integration Specification 6.26 requires. A pack</w:t>
      </w:r>
      <w:r>
        <w:t xml:space="preserve"> </w:t>
      </w:r>
      <w:r>
        <w:rPr>
          <w:rStyle w:val="VerbatimChar"/>
        </w:rPr>
        <w:t xml:space="preserve">DELIVERED</w:t>
      </w:r>
      <w:r>
        <w:t xml:space="preserve"> </w:t>
      </w:r>
      <w:r>
        <w:t xml:space="preserve">but not acknowledged within 5 business days raises a reminder to the RE requester.</w:t>
      </w:r>
    </w:p>
    <w:bookmarkEnd w:id="130"/>
    <w:bookmarkStart w:id="131" w:name="settings-and-options-2"/>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34"/>
        <w:gridCol w:w="1299"/>
        <w:gridCol w:w="2447"/>
        <w:gridCol w:w="3058"/>
      </w:tblGrid>
      <w:tr>
        <w:trPr>
          <w:tblHeader w:val="true"/>
          <w:tblHeader w:val="true"/>
        </w:trPr>
        <w:tc>
          <w:tcPr>
            <w:tcW w:w="2834" w:type="dxa"/>
            <w:shd w:val="clear" w:color="auto" w:fill="1F3A5F"/>
          </w:tcPr>
          <w:p>
            <w:pPr>
              <w:pStyle w:val="Compact"/>
              <w:spacing w:after="40"/>
              <w:jc w:val="left"/>
            </w:pPr>
            <w:r>
              <w:rPr>
                <w:b/>
                <w:color w:val="FFFFFF"/>
                <w:sz w:val="18"/>
              </w:rPr>
              <w:t xml:space="preserve">Setting</w:t>
            </w:r>
          </w:p>
        </w:tc>
        <w:tc>
          <w:tcPr>
            <w:tcW w:w="1299" w:type="dxa"/>
            <w:shd w:val="clear" w:color="auto" w:fill="1F3A5F"/>
          </w:tcPr>
          <w:p>
            <w:pPr>
              <w:pStyle w:val="Compact"/>
              <w:spacing w:after="40"/>
              <w:jc w:val="left"/>
            </w:pPr>
            <w:r>
              <w:rPr>
                <w:b/>
                <w:color w:val="FFFFFF"/>
                <w:sz w:val="18"/>
              </w:rPr>
              <w:t xml:space="preserve">Level</w:t>
            </w:r>
          </w:p>
        </w:tc>
        <w:tc>
          <w:tcPr>
            <w:tcW w:w="2447" w:type="dxa"/>
            <w:shd w:val="clear" w:color="auto" w:fill="1F3A5F"/>
          </w:tcPr>
          <w:p>
            <w:pPr>
              <w:pStyle w:val="Compact"/>
              <w:spacing w:after="40"/>
              <w:jc w:val="left"/>
            </w:pPr>
            <w:r>
              <w:rPr>
                <w:b/>
                <w:color w:val="FFFFFF"/>
                <w:sz w:val="18"/>
              </w:rPr>
              <w:t xml:space="preserve">Default</w:t>
            </w:r>
          </w:p>
        </w:tc>
        <w:tc>
          <w:tcPr>
            <w:tcW w:w="3058" w:type="dxa"/>
            <w:shd w:val="clear" w:color="auto" w:fill="1F3A5F"/>
          </w:tcPr>
          <w:p>
            <w:pPr>
              <w:pStyle w:val="Compact"/>
              <w:spacing w:after="40"/>
              <w:jc w:val="left"/>
            </w:pPr>
            <w:r>
              <w:rPr>
                <w:b/>
                <w:color w:val="FFFFFF"/>
                <w:sz w:val="18"/>
              </w:rPr>
              <w:t xml:space="preserve">Nature</w:t>
            </w:r>
          </w:p>
        </w:tc>
      </w:tr>
      <w:tr>
        <w:tc>
          <w:tcPr>
            <w:tcW w:w="2834" w:type="dxa"/>
          </w:tcPr>
          <w:p>
            <w:pPr>
              <w:pStyle w:val="Compact"/>
              <w:spacing w:after="40"/>
              <w:jc w:val="left"/>
            </w:pPr>
            <w:r>
              <w:rPr>
                <w:sz w:val="18"/>
              </w:rPr>
              <w:t xml:space="preserve">Pack schedules (P1–P10)</w:t>
            </w:r>
          </w:p>
        </w:tc>
        <w:tc>
          <w:tcPr>
            <w:tcW w:w="1299" w:type="dxa"/>
          </w:tcPr>
          <w:p>
            <w:pPr>
              <w:pStyle w:val="Compact"/>
              <w:spacing w:after="40"/>
              <w:jc w:val="left"/>
            </w:pPr>
            <w:r>
              <w:rPr>
                <w:sz w:val="18"/>
              </w:rPr>
              <w:t xml:space="preserve">RE</w:t>
            </w:r>
          </w:p>
        </w:tc>
        <w:tc>
          <w:tcPr>
            <w:tcW w:w="2447" w:type="dxa"/>
          </w:tcPr>
          <w:p>
            <w:pPr>
              <w:pStyle w:val="Compact"/>
              <w:spacing w:after="40"/>
              <w:jc w:val="left"/>
            </w:pPr>
            <w:r>
              <w:rPr>
                <w:sz w:val="18"/>
              </w:rPr>
              <w:t xml:space="preserve">Cadences in the catalogue</w:t>
            </w:r>
          </w:p>
        </w:tc>
        <w:tc>
          <w:tcPr>
            <w:tcW w:w="3058" w:type="dxa"/>
          </w:tcPr>
          <w:p>
            <w:pPr>
              <w:pStyle w:val="Compact"/>
              <w:spacing w:after="40"/>
              <w:jc w:val="left"/>
            </w:pPr>
            <w:r>
              <w:rPr>
                <w:sz w:val="18"/>
              </w:rPr>
              <w:t xml:space="preserve">RE may add runs; P1 on every DLA change is fixed (CF para 18(2))</w:t>
            </w:r>
          </w:p>
        </w:tc>
      </w:tr>
      <w:tr>
        <w:tc>
          <w:tcPr>
            <w:tcW w:w="2834" w:type="dxa"/>
          </w:tcPr>
          <w:p>
            <w:pPr>
              <w:pStyle w:val="Compact"/>
              <w:spacing w:after="40"/>
              <w:jc w:val="left"/>
            </w:pPr>
            <w:r>
              <w:rPr>
                <w:sz w:val="18"/>
              </w:rPr>
              <w:t xml:space="preserve">Masking level</w:t>
            </w:r>
          </w:p>
        </w:tc>
        <w:tc>
          <w:tcPr>
            <w:tcW w:w="1299" w:type="dxa"/>
          </w:tcPr>
          <w:p>
            <w:pPr>
              <w:pStyle w:val="Compact"/>
              <w:spacing w:after="40"/>
              <w:jc w:val="left"/>
            </w:pPr>
            <w:r>
              <w:rPr>
                <w:sz w:val="18"/>
              </w:rPr>
              <w:t xml:space="preserve">Pack</w:t>
            </w:r>
          </w:p>
        </w:tc>
        <w:tc>
          <w:tcPr>
            <w:tcW w:w="2447" w:type="dxa"/>
          </w:tcPr>
          <w:p>
            <w:pPr>
              <w:pStyle w:val="Compact"/>
              <w:spacing w:after="40"/>
              <w:jc w:val="left"/>
            </w:pPr>
            <w:r>
              <w:rPr>
                <w:sz w:val="18"/>
              </w:rPr>
              <w:t xml:space="preserve">P1, P2, P5, P10 no PII; P3, P4, P6 masked</w:t>
            </w:r>
          </w:p>
        </w:tc>
        <w:tc>
          <w:tcPr>
            <w:tcW w:w="3058" w:type="dxa"/>
          </w:tcPr>
          <w:p>
            <w:pPr>
              <w:pStyle w:val="Compact"/>
              <w:spacing w:after="40"/>
              <w:jc w:val="left"/>
            </w:pPr>
            <w:r>
              <w:rPr>
                <w:sz w:val="18"/>
              </w:rPr>
              <w:t xml:space="preserve">Unmasking needs RE maker-checker</w:t>
            </w:r>
          </w:p>
        </w:tc>
      </w:tr>
      <w:tr>
        <w:tc>
          <w:tcPr>
            <w:tcW w:w="2834" w:type="dxa"/>
          </w:tcPr>
          <w:p>
            <w:pPr>
              <w:pStyle w:val="Compact"/>
              <w:spacing w:after="40"/>
              <w:jc w:val="left"/>
            </w:pPr>
            <w:r>
              <w:rPr>
                <w:sz w:val="18"/>
              </w:rPr>
              <w:t xml:space="preserve">Download link validity</w:t>
            </w:r>
          </w:p>
        </w:tc>
        <w:tc>
          <w:tcPr>
            <w:tcW w:w="1299" w:type="dxa"/>
          </w:tcPr>
          <w:p>
            <w:pPr>
              <w:pStyle w:val="Compact"/>
              <w:spacing w:after="40"/>
              <w:jc w:val="left"/>
            </w:pPr>
            <w:r>
              <w:rPr>
                <w:sz w:val="18"/>
              </w:rPr>
              <w:t xml:space="preserve">Platform</w:t>
            </w:r>
          </w:p>
        </w:tc>
        <w:tc>
          <w:tcPr>
            <w:tcW w:w="2447" w:type="dxa"/>
          </w:tcPr>
          <w:p>
            <w:pPr>
              <w:pStyle w:val="Compact"/>
              <w:spacing w:after="40"/>
              <w:jc w:val="left"/>
            </w:pPr>
            <w:r>
              <w:rPr>
                <w:sz w:val="18"/>
              </w:rPr>
              <w:t xml:space="preserve">15 minutes</w:t>
            </w:r>
          </w:p>
        </w:tc>
        <w:tc>
          <w:tcPr>
            <w:tcW w:w="3058" w:type="dxa"/>
          </w:tcPr>
          <w:p>
            <w:pPr>
              <w:pStyle w:val="Compact"/>
              <w:spacing w:after="40"/>
              <w:jc w:val="left"/>
            </w:pPr>
            <w:r>
              <w:rPr>
                <w:sz w:val="18"/>
              </w:rPr>
              <w:t xml:space="preserve">Security floor (may shorten)</w:t>
            </w:r>
          </w:p>
        </w:tc>
      </w:tr>
      <w:tr>
        <w:tc>
          <w:tcPr>
            <w:tcW w:w="2834" w:type="dxa"/>
          </w:tcPr>
          <w:p>
            <w:pPr>
              <w:pStyle w:val="Compact"/>
              <w:spacing w:after="40"/>
              <w:jc w:val="left"/>
            </w:pPr>
            <w:r>
              <w:rPr>
                <w:sz w:val="18"/>
              </w:rPr>
              <w:t xml:space="preserve">Delivery channel</w:t>
            </w:r>
          </w:p>
        </w:tc>
        <w:tc>
          <w:tcPr>
            <w:tcW w:w="1299" w:type="dxa"/>
          </w:tcPr>
          <w:p>
            <w:pPr>
              <w:pStyle w:val="Compact"/>
              <w:spacing w:after="40"/>
              <w:jc w:val="left"/>
            </w:pPr>
            <w:r>
              <w:rPr>
                <w:sz w:val="18"/>
              </w:rPr>
              <w:t xml:space="preserve">RE</w:t>
            </w:r>
          </w:p>
        </w:tc>
        <w:tc>
          <w:tcPr>
            <w:tcW w:w="2447" w:type="dxa"/>
          </w:tcPr>
          <w:p>
            <w:pPr>
              <w:pStyle w:val="Compact"/>
              <w:spacing w:after="40"/>
              <w:jc w:val="left"/>
            </w:pPr>
            <w:r>
              <w:rPr>
                <w:sz w:val="18"/>
              </w:rPr>
              <w:t xml:space="preserve">Lender-portal download</w:t>
            </w:r>
          </w:p>
        </w:tc>
        <w:tc>
          <w:tcPr>
            <w:tcW w:w="3058" w:type="dxa"/>
          </w:tcPr>
          <w:p>
            <w:pPr>
              <w:pStyle w:val="Compact"/>
              <w:spacing w:after="40"/>
              <w:jc w:val="left"/>
            </w:pPr>
            <w:r>
              <w:rPr>
                <w:sz w:val="18"/>
              </w:rPr>
              <w:t xml:space="preserve">RE choice: portal, SFTP or RE storage (RA3)</w:t>
            </w:r>
          </w:p>
        </w:tc>
      </w:tr>
      <w:tr>
        <w:tc>
          <w:tcPr>
            <w:tcW w:w="2834" w:type="dxa"/>
          </w:tcPr>
          <w:p>
            <w:pPr>
              <w:pStyle w:val="Compact"/>
              <w:spacing w:after="40"/>
              <w:jc w:val="left"/>
            </w:pPr>
            <w:r>
              <w:rPr>
                <w:sz w:val="18"/>
              </w:rPr>
              <w:t xml:space="preserve">P8 target turnaround</w:t>
            </w:r>
          </w:p>
        </w:tc>
        <w:tc>
          <w:tcPr>
            <w:tcW w:w="1299" w:type="dxa"/>
          </w:tcPr>
          <w:p>
            <w:pPr>
              <w:pStyle w:val="Compact"/>
              <w:spacing w:after="40"/>
              <w:jc w:val="left"/>
            </w:pPr>
            <w:r>
              <w:rPr>
                <w:sz w:val="18"/>
              </w:rPr>
              <w:t xml:space="preserve">Platform</w:t>
            </w:r>
          </w:p>
        </w:tc>
        <w:tc>
          <w:tcPr>
            <w:tcW w:w="2447" w:type="dxa"/>
          </w:tcPr>
          <w:p>
            <w:pPr>
              <w:pStyle w:val="Compact"/>
              <w:spacing w:after="40"/>
              <w:jc w:val="left"/>
            </w:pPr>
            <w:r>
              <w:rPr>
                <w:sz w:val="18"/>
              </w:rPr>
              <w:t xml:space="preserve">2 business days</w:t>
            </w:r>
          </w:p>
        </w:tc>
        <w:tc>
          <w:tcPr>
            <w:tcW w:w="3058" w:type="dxa"/>
          </w:tcPr>
          <w:p>
            <w:pPr>
              <w:pStyle w:val="Compact"/>
              <w:spacing w:after="40"/>
              <w:jc w:val="left"/>
            </w:pPr>
            <w:r>
              <w:rPr>
                <w:sz w:val="18"/>
              </w:rPr>
              <w:t xml:space="preserve">Commercial [REC]</w:t>
            </w:r>
          </w:p>
        </w:tc>
      </w:tr>
      <w:tr>
        <w:tc>
          <w:tcPr>
            <w:tcW w:w="2834" w:type="dxa"/>
          </w:tcPr>
          <w:p>
            <w:pPr>
              <w:pStyle w:val="Compact"/>
              <w:spacing w:after="40"/>
              <w:jc w:val="left"/>
            </w:pPr>
            <w:r>
              <w:rPr>
                <w:sz w:val="18"/>
              </w:rPr>
              <w:t xml:space="preserve">External-access grant for auditors or supervisors (RA2)</w:t>
            </w:r>
          </w:p>
        </w:tc>
        <w:tc>
          <w:tcPr>
            <w:tcW w:w="1299" w:type="dxa"/>
          </w:tcPr>
          <w:p>
            <w:pPr>
              <w:pStyle w:val="Compact"/>
              <w:spacing w:after="40"/>
              <w:jc w:val="left"/>
            </w:pPr>
            <w:r>
              <w:rPr>
                <w:sz w:val="18"/>
              </w:rPr>
              <w:t xml:space="preserve">Grant</w:t>
            </w:r>
          </w:p>
        </w:tc>
        <w:tc>
          <w:tcPr>
            <w:tcW w:w="2447" w:type="dxa"/>
          </w:tcPr>
          <w:p>
            <w:pPr>
              <w:pStyle w:val="Compact"/>
              <w:spacing w:after="40"/>
              <w:jc w:val="left"/>
            </w:pPr>
            <w:r>
              <w:rPr>
                <w:sz w:val="18"/>
              </w:rPr>
              <w:t xml:space="preserve">30 days</w:t>
            </w:r>
          </w:p>
        </w:tc>
        <w:tc>
          <w:tcPr>
            <w:tcW w:w="3058" w:type="dxa"/>
          </w:tcPr>
          <w:p>
            <w:pPr>
              <w:pStyle w:val="Compact"/>
              <w:spacing w:after="40"/>
              <w:jc w:val="left"/>
            </w:pPr>
            <w:r>
              <w:rPr>
                <w:sz w:val="18"/>
              </w:rPr>
              <w:t xml:space="preserve">Hard maximum 90 days; renewal needs fresh RE approval</w:t>
            </w:r>
          </w:p>
        </w:tc>
      </w:tr>
    </w:tbl>
    <w:bookmarkEnd w:id="131"/>
    <w:bookmarkStart w:id="132" w:name="menu-and-screens-2"/>
    <w:p>
      <w:pPr>
        <w:pStyle w:val="Heading3"/>
      </w:pPr>
      <w:r>
        <w:t xml:space="preserve">Menu and screens</w:t>
      </w:r>
    </w:p>
    <w:p>
      <w:pPr>
        <w:numPr>
          <w:ilvl w:val="0"/>
          <w:numId w:val="1076"/>
        </w:numPr>
        <w:pStyle w:val="Compact"/>
      </w:pPr>
      <w:r>
        <w:rPr>
          <w:bCs/>
          <w:b/>
        </w:rPr>
        <w:t xml:space="preserve">Partners › Exports</w:t>
      </w:r>
      <w:r>
        <w:t xml:space="preserve"> </w:t>
      </w:r>
      <w:r>
        <w:t xml:space="preserve">(D: RE compliance, audit, finance; C: operations): pack catalogue with last run and next run;</w:t>
      </w:r>
      <w:r>
        <w:t xml:space="preserve"> </w:t>
      </w:r>
      <w:r>
        <w:rPr>
          <w:bCs/>
          <w:b/>
        </w:rPr>
        <w:t xml:space="preserve">Request pack</w:t>
      </w:r>
      <w:r>
        <w:t xml:space="preserve"> </w:t>
      </w:r>
      <w:r>
        <w:t xml:space="preserve">wizard (pack → period → scope and filters → masking → approver → channel); history with state, hashes and</w:t>
      </w:r>
      <w:r>
        <w:t xml:space="preserve"> </w:t>
      </w:r>
      <w:r>
        <w:rPr>
          <w:bCs/>
          <w:b/>
        </w:rPr>
        <w:t xml:space="preserve">Verify</w:t>
      </w:r>
      <w:r>
        <w:t xml:space="preserve"> </w:t>
      </w:r>
      <w:r>
        <w:t xml:space="preserve">(runs the verifier on an uploaded copy); schedules; failure queue (C only) with</w:t>
      </w:r>
      <w:r>
        <w:t xml:space="preserve"> </w:t>
      </w:r>
      <w:r>
        <w:rPr>
          <w:bCs/>
          <w:b/>
        </w:rPr>
        <w:t xml:space="preserve">Retry on same snapshot</w:t>
      </w:r>
      <w:r>
        <w:t xml:space="preserve">. No borrower access.</w:t>
      </w:r>
    </w:p>
    <w:bookmarkEnd w:id="132"/>
    <w:bookmarkStart w:id="133" w:name="controls-2"/>
    <w:p>
      <w:pPr>
        <w:pStyle w:val="Heading3"/>
      </w:pPr>
      <w:r>
        <w:t xml:space="preserve">Controls</w:t>
      </w:r>
    </w:p>
    <w:p>
      <w:pPr>
        <w:numPr>
          <w:ilvl w:val="0"/>
          <w:numId w:val="1077"/>
        </w:numPr>
        <w:pStyle w:val="Compact"/>
      </w:pPr>
      <w:r>
        <w:t xml:space="preserve">UP-C09: a pack covers one RE only; a cross-RE row aborts generation and raises a security incident (OUT paras 26–27).</w:t>
      </w:r>
    </w:p>
    <w:p>
      <w:pPr>
        <w:numPr>
          <w:ilvl w:val="0"/>
          <w:numId w:val="1077"/>
        </w:numPr>
        <w:pStyle w:val="Compact"/>
      </w:pPr>
      <w:r>
        <w:t xml:space="preserve">UP-C10: P8 requires an RE approver and records the supervisory reference supplied by the RE.</w:t>
      </w:r>
    </w:p>
    <w:p>
      <w:pPr>
        <w:numPr>
          <w:ilvl w:val="0"/>
          <w:numId w:val="1077"/>
        </w:numPr>
        <w:pStyle w:val="Compact"/>
      </w:pPr>
      <w:r>
        <w:t xml:space="preserve">UP-C11: generation runs on a read replica snapshot with the snapshot timestamp in the manifest.</w:t>
      </w:r>
    </w:p>
    <w:p>
      <w:pPr>
        <w:numPr>
          <w:ilvl w:val="0"/>
          <w:numId w:val="1077"/>
        </w:numPr>
        <w:pStyle w:val="Compact"/>
      </w:pPr>
      <w:r>
        <w:t xml:space="preserve">UP-C12: CIMS pack regeneration and notice to the RE within 1 business day of any DLA change (CF para 18(2)) [REC].</w:t>
      </w:r>
    </w:p>
    <w:bookmarkEnd w:id="133"/>
    <w:bookmarkStart w:id="134" w:name="acceptance-tests-2"/>
    <w:p>
      <w:pPr>
        <w:pStyle w:val="Heading3"/>
      </w:pPr>
      <w:r>
        <w:t xml:space="preserve">Acceptance tests</w:t>
      </w:r>
    </w:p>
    <w:p>
      <w:pPr>
        <w:numPr>
          <w:ilvl w:val="0"/>
          <w:numId w:val="1078"/>
        </w:numPr>
        <w:pStyle w:val="Compact"/>
      </w:pPr>
      <w:r>
        <w:t xml:space="preserve">Hash verification of every file in a generated pack matches</w:t>
      </w:r>
      <w:r>
        <w:t xml:space="preserve"> </w:t>
      </w:r>
      <w:r>
        <w:rPr>
          <w:rStyle w:val="VerbatimChar"/>
        </w:rPr>
        <w:t xml:space="preserve">manifest.json</w:t>
      </w:r>
      <w:r>
        <w:t xml:space="preserve">; altering one byte fails verification with the tool supplied in the README.</w:t>
      </w:r>
    </w:p>
    <w:p>
      <w:pPr>
        <w:numPr>
          <w:ilvl w:val="0"/>
          <w:numId w:val="1078"/>
        </w:numPr>
        <w:pStyle w:val="Compact"/>
      </w:pPr>
      <w:r>
        <w:t xml:space="preserve">A P4 pack’s complaint count equals the U15 register count for the same RE and period.</w:t>
      </w:r>
    </w:p>
    <w:p>
      <w:pPr>
        <w:numPr>
          <w:ilvl w:val="0"/>
          <w:numId w:val="1078"/>
        </w:numPr>
        <w:pStyle w:val="Compact"/>
      </w:pPr>
      <w:r>
        <w:t xml:space="preserve">A P3 pack for RE A contains no offer card from RE B except as an anonymised</w:t>
      </w:r>
      <w:r>
        <w:t xml:space="preserve"> </w:t>
      </w:r>
      <w:r>
        <w:t xml:space="preserve">“</w:t>
      </w:r>
      <w:r>
        <w:t xml:space="preserve">other lender</w:t>
      </w:r>
      <w:r>
        <w:t xml:space="preserve">”</w:t>
      </w:r>
      <w:r>
        <w:t xml:space="preserve"> </w:t>
      </w:r>
      <w:r>
        <w:t xml:space="preserve">entry in the offer-set context (lender names visible only where the borrower saw them).</w:t>
      </w:r>
    </w:p>
    <w:p>
      <w:pPr>
        <w:numPr>
          <w:ilvl w:val="0"/>
          <w:numId w:val="1078"/>
        </w:numPr>
        <w:pStyle w:val="Compact"/>
      </w:pPr>
      <w:r>
        <w:t xml:space="preserve">An unmasked P4 request without RE approval is refused.</w:t>
      </w:r>
    </w:p>
    <w:p>
      <w:pPr>
        <w:numPr>
          <w:ilvl w:val="0"/>
          <w:numId w:val="1078"/>
        </w:numPr>
        <w:pStyle w:val="Compact"/>
      </w:pPr>
      <w:r>
        <w:t xml:space="preserve">A new iOS DLA launch regenerates P1 with a new Annex-I line and notifies the RE.</w:t>
      </w:r>
    </w:p>
    <w:p>
      <w:pPr>
        <w:numPr>
          <w:ilvl w:val="0"/>
          <w:numId w:val="1078"/>
        </w:numPr>
        <w:pStyle w:val="Compact"/>
      </w:pPr>
      <w:r>
        <w:t xml:space="preserve">Regenerating a pack for a closed period from the same snapshot yields identical hashes.</w:t>
      </w:r>
    </w:p>
    <w:p>
      <w:r>
        <w:pict>
          <v:rect style="width:0;height:1.5pt" o:hralign="center" o:hrstd="t" o:hr="t"/>
        </w:pict>
      </w:r>
    </w:p>
    <w:bookmarkEnd w:id="134"/>
    <w:bookmarkEnd w:id="135"/>
    <w:bookmarkStart w:id="146" w:name="Xdef9b3b64a2f81a7efcd9be296de2222c7f7a49"/>
    <w:p>
      <w:pPr>
        <w:pStyle w:val="Heading2"/>
      </w:pPr>
      <w:r>
        <w:t xml:space="preserve">UP4. Non-RE lender track (credit co-operative societies)</w:t>
      </w:r>
    </w:p>
    <w:bookmarkStart w:id="136" w:name="purpose-and-scope-3"/>
    <w:p>
      <w:pPr>
        <w:pStyle w:val="Heading3"/>
      </w:pPr>
      <w:r>
        <w:t xml:space="preserve">Purpose and scope</w:t>
      </w:r>
    </w:p>
    <w:p>
      <w:pPr>
        <w:pStyle w:val="FirstParagraph"/>
      </w:pPr>
      <w:r>
        <w:t xml:space="preserve">Serve credit co-operative societies registered under a State co-operative Act or the MSCS Act 2002 (as amended 2023) as partner lenders to</w:t>
      </w:r>
      <w:r>
        <w:t xml:space="preserve"> </w:t>
      </w:r>
      <w:r>
        <w:rPr>
          <w:bCs/>
          <w:b/>
        </w:rPr>
        <w:t xml:space="preserve">their own members</w:t>
      </w:r>
      <w:r>
        <w:t xml:space="preserve">, through a ring-fenced track with RE-equivalent conduct imposed by contract. Member journeys are MG1 (Part 7E); this section governs eligibility, deal terms and the hard boundaries.</w:t>
      </w:r>
    </w:p>
    <w:bookmarkEnd w:id="136"/>
    <w:bookmarkStart w:id="137" w:name="legal-position"/>
    <w:p>
      <w:pPr>
        <w:pStyle w:val="Heading3"/>
      </w:pPr>
      <w:r>
        <w:t xml:space="preserve">Legal position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27"/>
        <w:gridCol w:w="4472"/>
        <w:gridCol w:w="3139"/>
      </w:tblGrid>
      <w:tr>
        <w:trPr>
          <w:tblHeader w:val="true"/>
          <w:tblHeader w:val="true"/>
        </w:trPr>
        <w:tc>
          <w:tcPr>
            <w:tcW w:w="2027" w:type="dxa"/>
            <w:shd w:val="clear" w:color="auto" w:fill="1F3A5F"/>
          </w:tcPr>
          <w:p>
            <w:pPr>
              <w:pStyle w:val="Compact"/>
              <w:spacing w:after="40"/>
              <w:jc w:val="left"/>
            </w:pPr>
            <w:r>
              <w:rPr>
                <w:b/>
                <w:color w:val="FFFFFF"/>
                <w:sz w:val="18"/>
              </w:rPr>
              <w:t xml:space="preserve">Point</w:t>
            </w:r>
          </w:p>
        </w:tc>
        <w:tc>
          <w:tcPr>
            <w:tcW w:w="4472" w:type="dxa"/>
            <w:shd w:val="clear" w:color="auto" w:fill="1F3A5F"/>
          </w:tcPr>
          <w:p>
            <w:pPr>
              <w:pStyle w:val="Compact"/>
              <w:spacing w:after="40"/>
              <w:jc w:val="left"/>
            </w:pPr>
            <w:r>
              <w:rPr>
                <w:b/>
                <w:color w:val="FFFFFF"/>
                <w:sz w:val="18"/>
              </w:rPr>
              <w:t xml:space="preserve">Position</w:t>
            </w:r>
          </w:p>
        </w:tc>
        <w:tc>
          <w:tcPr>
            <w:tcW w:w="3139" w:type="dxa"/>
            <w:shd w:val="clear" w:color="auto" w:fill="1F3A5F"/>
          </w:tcPr>
          <w:p>
            <w:pPr>
              <w:pStyle w:val="Compact"/>
              <w:spacing w:after="40"/>
              <w:jc w:val="left"/>
            </w:pPr>
            <w:r>
              <w:rPr>
                <w:b/>
                <w:color w:val="FFFFFF"/>
                <w:sz w:val="18"/>
              </w:rPr>
              <w:t xml:space="preserve">Source</w:t>
            </w:r>
          </w:p>
        </w:tc>
      </w:tr>
      <w:tr>
        <w:tc>
          <w:tcPr>
            <w:tcW w:w="2027" w:type="dxa"/>
          </w:tcPr>
          <w:p>
            <w:pPr>
              <w:pStyle w:val="Compact"/>
              <w:spacing w:after="40"/>
              <w:jc w:val="left"/>
            </w:pPr>
            <w:r>
              <w:rPr>
                <w:sz w:val="18"/>
              </w:rPr>
              <w:t xml:space="preserve">Regulatory status</w:t>
            </w:r>
          </w:p>
        </w:tc>
        <w:tc>
          <w:tcPr>
            <w:tcW w:w="4472" w:type="dxa"/>
          </w:tcPr>
          <w:p>
            <w:pPr>
              <w:pStyle w:val="Compact"/>
              <w:spacing w:after="40"/>
              <w:jc w:val="left"/>
            </w:pPr>
            <w:r>
              <w:rPr>
                <w:sz w:val="18"/>
              </w:rPr>
              <w:t xml:space="preserve">A credit co-operative society is not an RBI RE; co-operative banks are. CF, RBC, OUT and CIR do not bind the society or reach Udofin through it</w:t>
            </w:r>
          </w:p>
        </w:tc>
        <w:tc>
          <w:tcPr>
            <w:tcW w:w="3139" w:type="dxa"/>
          </w:tcPr>
          <w:p>
            <w:pPr>
              <w:pStyle w:val="Compact"/>
              <w:spacing w:after="40"/>
              <w:jc w:val="left"/>
            </w:pPr>
            <w:r>
              <w:rPr>
                <w:sz w:val="18"/>
              </w:rPr>
              <w:t xml:space="preserve">[REG] RBI press release 22 Nov 2021; TDCR para 97 [INTERP]</w:t>
            </w:r>
          </w:p>
        </w:tc>
      </w:tr>
      <w:tr>
        <w:tc>
          <w:tcPr>
            <w:tcW w:w="2027" w:type="dxa"/>
          </w:tcPr>
          <w:p>
            <w:pPr>
              <w:pStyle w:val="Compact"/>
              <w:spacing w:after="40"/>
              <w:jc w:val="left"/>
            </w:pPr>
            <w:r>
              <w:rPr>
                <w:sz w:val="18"/>
              </w:rPr>
              <w:t xml:space="preserve">“</w:t>
            </w:r>
            <w:r>
              <w:rPr>
                <w:sz w:val="18"/>
              </w:rPr>
              <w:t xml:space="preserve">Bank</w:t>
            </w:r>
            <w:r>
              <w:rPr>
                <w:sz w:val="18"/>
              </w:rPr>
              <w:t xml:space="preserve">”</w:t>
            </w:r>
            <w:r>
              <w:rPr>
                <w:sz w:val="18"/>
              </w:rPr>
              <w:t xml:space="preserve"> </w:t>
            </w:r>
            <w:r>
              <w:rPr>
                <w:sz w:val="18"/>
              </w:rPr>
              <w:t xml:space="preserve">in the name</w:t>
            </w:r>
          </w:p>
        </w:tc>
        <w:tc>
          <w:tcPr>
            <w:tcW w:w="4472" w:type="dxa"/>
          </w:tcPr>
          <w:p>
            <w:pPr>
              <w:pStyle w:val="Compact"/>
              <w:spacing w:after="40"/>
              <w:jc w:val="left"/>
            </w:pPr>
            <w:r>
              <w:rPr>
                <w:sz w:val="18"/>
              </w:rPr>
              <w:t xml:space="preserve">Non-bank societies may not use</w:t>
            </w:r>
            <w:r>
              <w:rPr>
                <w:sz w:val="18"/>
              </w:rPr>
              <w:t xml:space="preserve"> </w:t>
            </w:r>
            <w:r>
              <w:rPr>
                <w:sz w:val="18"/>
              </w:rPr>
              <w:t xml:space="preserve">“</w:t>
            </w:r>
            <w:r>
              <w:rPr>
                <w:sz w:val="18"/>
              </w:rPr>
              <w:t xml:space="preserve">bank</w:t>
            </w:r>
            <w:r>
              <w:rPr>
                <w:sz w:val="18"/>
              </w:rPr>
              <w:t xml:space="preserve">”</w:t>
            </w:r>
            <w:r>
              <w:rPr>
                <w:sz w:val="18"/>
              </w:rPr>
              <w:t xml:space="preserve">,</w:t>
            </w:r>
            <w:r>
              <w:rPr>
                <w:sz w:val="18"/>
              </w:rPr>
              <w:t xml:space="preserve"> </w:t>
            </w:r>
            <w:r>
              <w:rPr>
                <w:sz w:val="18"/>
              </w:rPr>
              <w:t xml:space="preserve">“</w:t>
            </w:r>
            <w:r>
              <w:rPr>
                <w:sz w:val="18"/>
              </w:rPr>
              <w:t xml:space="preserve">banker</w:t>
            </w:r>
            <w:r>
              <w:rPr>
                <w:sz w:val="18"/>
              </w:rPr>
              <w:t xml:space="preserve">”</w:t>
            </w:r>
            <w:r>
              <w:rPr>
                <w:sz w:val="18"/>
              </w:rPr>
              <w:t xml:space="preserve"> </w:t>
            </w:r>
            <w:r>
              <w:rPr>
                <w:sz w:val="18"/>
              </w:rPr>
              <w:t xml:space="preserve">or</w:t>
            </w:r>
            <w:r>
              <w:rPr>
                <w:sz w:val="18"/>
              </w:rPr>
              <w:t xml:space="preserve"> </w:t>
            </w:r>
            <w:r>
              <w:rPr>
                <w:sz w:val="18"/>
              </w:rPr>
              <w:t xml:space="preserve">“</w:t>
            </w:r>
            <w:r>
              <w:rPr>
                <w:sz w:val="18"/>
              </w:rPr>
              <w:t xml:space="preserve">banking</w:t>
            </w:r>
            <w:r>
              <w:rPr>
                <w:sz w:val="18"/>
              </w:rPr>
              <w:t xml:space="preserve">”</w:t>
            </w:r>
            <w:r>
              <w:rPr>
                <w:sz w:val="18"/>
              </w:rPr>
              <w:t xml:space="preserve"> </w:t>
            </w:r>
            <w:r>
              <w:rPr>
                <w:sz w:val="18"/>
              </w:rPr>
              <w:t xml:space="preserve">(from 29 Sep 2020)</w:t>
            </w:r>
          </w:p>
        </w:tc>
        <w:tc>
          <w:tcPr>
            <w:tcW w:w="3139" w:type="dxa"/>
          </w:tcPr>
          <w:p>
            <w:pPr>
              <w:pStyle w:val="Compact"/>
              <w:spacing w:after="40"/>
              <w:jc w:val="left"/>
            </w:pPr>
            <w:r>
              <w:rPr>
                <w:sz w:val="18"/>
              </w:rPr>
              <w:t xml:space="preserve">[LAW] BR Act s.7 read with s.56, as amended by the BR (Amendment) Act 2020; [REG] RBI press release 22 Nov 2021</w:t>
            </w:r>
          </w:p>
        </w:tc>
      </w:tr>
      <w:tr>
        <w:tc>
          <w:tcPr>
            <w:tcW w:w="2027" w:type="dxa"/>
          </w:tcPr>
          <w:p>
            <w:pPr>
              <w:pStyle w:val="Compact"/>
              <w:spacing w:after="40"/>
              <w:jc w:val="left"/>
            </w:pPr>
            <w:r>
              <w:rPr>
                <w:sz w:val="18"/>
              </w:rPr>
              <w:t xml:space="preserve">Deposits</w:t>
            </w:r>
          </w:p>
        </w:tc>
        <w:tc>
          <w:tcPr>
            <w:tcW w:w="4472" w:type="dxa"/>
          </w:tcPr>
          <w:p>
            <w:pPr>
              <w:pStyle w:val="Compact"/>
              <w:spacing w:after="40"/>
              <w:jc w:val="left"/>
            </w:pPr>
            <w:r>
              <w:rPr>
                <w:sz w:val="18"/>
              </w:rPr>
              <w:t xml:space="preserve">Only from members; under the MSCS Act only from</w:t>
            </w:r>
            <w:r>
              <w:rPr>
                <w:sz w:val="18"/>
              </w:rPr>
              <w:t xml:space="preserve"> </w:t>
            </w:r>
            <w:r>
              <w:rPr>
                <w:bCs/>
                <w:b/>
                <w:sz w:val="18"/>
              </w:rPr>
              <w:t xml:space="preserve">voting</w:t>
            </w:r>
            <w:r>
              <w:rPr>
                <w:sz w:val="18"/>
              </w:rPr>
              <w:t xml:space="preserve"> </w:t>
            </w:r>
            <w:r>
              <w:rPr>
                <w:sz w:val="18"/>
              </w:rPr>
              <w:t xml:space="preserve">members; deposits from nominal or associate members are unlicensed banking and carry no DICGC cover</w:t>
            </w:r>
          </w:p>
        </w:tc>
        <w:tc>
          <w:tcPr>
            <w:tcW w:w="3139" w:type="dxa"/>
          </w:tcPr>
          <w:p>
            <w:pPr>
              <w:pStyle w:val="Compact"/>
              <w:spacing w:after="40"/>
              <w:jc w:val="left"/>
            </w:pPr>
            <w:r>
              <w:rPr>
                <w:sz w:val="18"/>
              </w:rPr>
              <w:t xml:space="preserve">[LAW] MSCS s.67 Explanation; SCS (e.g. MH s.144-5A); [REG] RBI press release 22 Nov 2021; BUDS Act First Schedule items 4(i), 8</w:t>
            </w:r>
          </w:p>
        </w:tc>
      </w:tr>
      <w:tr>
        <w:tc>
          <w:tcPr>
            <w:tcW w:w="2027" w:type="dxa"/>
          </w:tcPr>
          <w:p>
            <w:pPr>
              <w:pStyle w:val="Compact"/>
              <w:spacing w:after="40"/>
              <w:jc w:val="left"/>
            </w:pPr>
            <w:r>
              <w:rPr>
                <w:sz w:val="18"/>
              </w:rPr>
              <w:t xml:space="preserve">Co-lending, direct assignment, split loans with NBFCs</w:t>
            </w:r>
          </w:p>
        </w:tc>
        <w:tc>
          <w:tcPr>
            <w:tcW w:w="4472" w:type="dxa"/>
          </w:tcPr>
          <w:p>
            <w:pPr>
              <w:pStyle w:val="Compact"/>
              <w:spacing w:after="40"/>
              <w:jc w:val="left"/>
            </w:pPr>
            <w:r>
              <w:rPr>
                <w:sz w:val="18"/>
              </w:rPr>
              <w:t xml:space="preserve">Not permitted: NBFC co-lending is only with scheduled commercial banks, AIFIs and other NBFCs (TDCR para 97); a credit society is not a</w:t>
            </w:r>
            <w:r>
              <w:rPr>
                <w:sz w:val="18"/>
              </w:rPr>
              <w:t xml:space="preserve"> </w:t>
            </w:r>
            <w:r>
              <w:rPr>
                <w:sz w:val="18"/>
              </w:rPr>
              <w:t xml:space="preserve">“</w:t>
            </w:r>
            <w:r>
              <w:rPr>
                <w:sz w:val="18"/>
              </w:rPr>
              <w:t xml:space="preserve">lender</w:t>
            </w:r>
            <w:r>
              <w:rPr>
                <w:sz w:val="18"/>
              </w:rPr>
              <w:t xml:space="preserve">”</w:t>
            </w:r>
            <w:r>
              <w:rPr>
                <w:sz w:val="18"/>
              </w:rPr>
              <w:t xml:space="preserve"> </w:t>
            </w:r>
            <w:r>
              <w:rPr>
                <w:sz w:val="18"/>
              </w:rPr>
              <w:t xml:space="preserve">for loan transfers at all, and even co-operative banks may transfer only stressed loans (TDCR para 12(4) proviso)</w:t>
            </w:r>
          </w:p>
        </w:tc>
        <w:tc>
          <w:tcPr>
            <w:tcW w:w="3139" w:type="dxa"/>
          </w:tcPr>
          <w:p>
            <w:pPr>
              <w:pStyle w:val="Compact"/>
              <w:spacing w:after="40"/>
              <w:jc w:val="left"/>
            </w:pPr>
            <w:r>
              <w:rPr>
                <w:sz w:val="18"/>
              </w:rPr>
              <w:t xml:space="preserve">[REG] TDCR paras 97, 12(4)</w:t>
            </w:r>
          </w:p>
        </w:tc>
      </w:tr>
      <w:tr>
        <w:tc>
          <w:tcPr>
            <w:tcW w:w="2027" w:type="dxa"/>
          </w:tcPr>
          <w:p>
            <w:pPr>
              <w:pStyle w:val="Compact"/>
              <w:spacing w:after="40"/>
              <w:jc w:val="left"/>
            </w:pPr>
            <w:r>
              <w:rPr>
                <w:sz w:val="18"/>
              </w:rPr>
              <w:t xml:space="preserve">Recovery and disputes</w:t>
            </w:r>
          </w:p>
        </w:tc>
        <w:tc>
          <w:tcPr>
            <w:tcW w:w="4472" w:type="dxa"/>
          </w:tcPr>
          <w:p>
            <w:pPr>
              <w:pStyle w:val="Compact"/>
              <w:spacing w:after="40"/>
              <w:jc w:val="left"/>
            </w:pPr>
            <w:r>
              <w:rPr>
                <w:sz w:val="18"/>
              </w:rPr>
              <w:t xml:space="preserve">Statutory forums: MSCS s.84 arbitration by the Central Registrar’s arbitrator [VERIFY s.84, s.94]; MH s.91 co-operative court and s.101 recovery certificate where notified [VERIFY notification]; no private arbitration for member disputes</w:t>
            </w:r>
          </w:p>
        </w:tc>
        <w:tc>
          <w:tcPr>
            <w:tcW w:w="3139" w:type="dxa"/>
          </w:tcPr>
          <w:p>
            <w:pPr>
              <w:pStyle w:val="Compact"/>
              <w:spacing w:after="40"/>
              <w:jc w:val="left"/>
            </w:pPr>
            <w:r>
              <w:rPr>
                <w:sz w:val="18"/>
              </w:rPr>
              <w:t xml:space="preserve">[LAW] MSCS; SCS</w:t>
            </w:r>
          </w:p>
        </w:tc>
      </w:tr>
      <w:tr>
        <w:tc>
          <w:tcPr>
            <w:tcW w:w="2027" w:type="dxa"/>
          </w:tcPr>
          <w:p>
            <w:pPr>
              <w:pStyle w:val="Compact"/>
              <w:spacing w:after="40"/>
              <w:jc w:val="left"/>
            </w:pPr>
            <w:r>
              <w:rPr>
                <w:sz w:val="18"/>
              </w:rPr>
              <w:t xml:space="preserve">Member grievances</w:t>
            </w:r>
          </w:p>
        </w:tc>
        <w:tc>
          <w:tcPr>
            <w:tcW w:w="4472" w:type="dxa"/>
          </w:tcPr>
          <w:p>
            <w:pPr>
              <w:pStyle w:val="Compact"/>
              <w:spacing w:after="40"/>
              <w:jc w:val="left"/>
            </w:pPr>
            <w:r>
              <w:rPr>
                <w:sz w:val="18"/>
              </w:rPr>
              <w:t xml:space="preserve">Society GRO; for MSCS, the Co-operative Ombudsman (s.85A) [VERIFY text]; State Registrar; consumer commission</w:t>
            </w:r>
          </w:p>
        </w:tc>
        <w:tc>
          <w:tcPr>
            <w:tcW w:w="3139" w:type="dxa"/>
          </w:tcPr>
          <w:p>
            <w:pPr>
              <w:pStyle w:val="Compact"/>
              <w:spacing w:after="40"/>
              <w:jc w:val="left"/>
            </w:pPr>
            <w:r>
              <w:rPr>
                <w:sz w:val="18"/>
              </w:rPr>
              <w:t xml:space="preserve">[LAW] MSCS s.85A; SCS</w:t>
            </w:r>
          </w:p>
        </w:tc>
      </w:tr>
      <w:tr>
        <w:tc>
          <w:tcPr>
            <w:tcW w:w="2027" w:type="dxa"/>
          </w:tcPr>
          <w:p>
            <w:pPr>
              <w:pStyle w:val="Compact"/>
              <w:spacing w:after="40"/>
              <w:jc w:val="left"/>
            </w:pPr>
            <w:r>
              <w:rPr>
                <w:sz w:val="18"/>
              </w:rPr>
              <w:t xml:space="preserve">Coercive-recovery laws</w:t>
            </w:r>
          </w:p>
        </w:tc>
        <w:tc>
          <w:tcPr>
            <w:tcW w:w="4472" w:type="dxa"/>
          </w:tcPr>
          <w:p>
            <w:pPr>
              <w:pStyle w:val="Compact"/>
              <w:spacing w:after="40"/>
              <w:jc w:val="left"/>
            </w:pPr>
            <w:r>
              <w:rPr>
                <w:sz w:val="18"/>
              </w:rPr>
              <w:t xml:space="preserve">TN Act 40 of 2025 s.20 applies to societies [VERIFY commencement]; KA Act 15 of 2025 exempts KCS and Souharda societies (s.1(3)); its platform limb is open [VERIFY]</w:t>
            </w:r>
          </w:p>
        </w:tc>
        <w:tc>
          <w:tcPr>
            <w:tcW w:w="3139" w:type="dxa"/>
          </w:tcPr>
          <w:p>
            <w:pPr>
              <w:pStyle w:val="Compact"/>
              <w:spacing w:after="40"/>
              <w:jc w:val="left"/>
            </w:pPr>
            <w:r>
              <w:rPr>
                <w:sz w:val="18"/>
              </w:rPr>
              <w:t xml:space="preserve">[LAW]</w:t>
            </w:r>
          </w:p>
        </w:tc>
      </w:tr>
      <w:tr>
        <w:tc>
          <w:tcPr>
            <w:tcW w:w="2027" w:type="dxa"/>
          </w:tcPr>
          <w:p>
            <w:pPr>
              <w:pStyle w:val="Compact"/>
              <w:spacing w:after="40"/>
              <w:jc w:val="left"/>
            </w:pPr>
            <w:r>
              <w:rPr>
                <w:sz w:val="18"/>
              </w:rPr>
              <w:t xml:space="preserve">Data protection</w:t>
            </w:r>
          </w:p>
        </w:tc>
        <w:tc>
          <w:tcPr>
            <w:tcW w:w="4472" w:type="dxa"/>
          </w:tcPr>
          <w:p>
            <w:pPr>
              <w:pStyle w:val="Compact"/>
              <w:spacing w:after="40"/>
              <w:jc w:val="left"/>
            </w:pPr>
            <w:r>
              <w:rPr>
                <w:sz w:val="18"/>
              </w:rPr>
              <w:t xml:space="preserve">The society is Data Fiduciary for member lending data; Udofin is its Data Processor; Udofin is Fiduciary for its own platform account</w:t>
            </w:r>
          </w:p>
        </w:tc>
        <w:tc>
          <w:tcPr>
            <w:tcW w:w="3139" w:type="dxa"/>
          </w:tcPr>
          <w:p>
            <w:pPr>
              <w:pStyle w:val="Compact"/>
              <w:spacing w:after="40"/>
              <w:jc w:val="left"/>
            </w:pPr>
            <w:r>
              <w:rPr>
                <w:sz w:val="18"/>
              </w:rPr>
              <w:t xml:space="preserve">[LAW] DPDP ss.2(i), 8; [INTERP]</w:t>
            </w:r>
          </w:p>
        </w:tc>
      </w:tr>
      <w:tr>
        <w:tc>
          <w:tcPr>
            <w:tcW w:w="2027" w:type="dxa"/>
          </w:tcPr>
          <w:p>
            <w:pPr>
              <w:pStyle w:val="Compact"/>
              <w:spacing w:after="40"/>
              <w:jc w:val="left"/>
            </w:pPr>
            <w:r>
              <w:rPr>
                <w:sz w:val="18"/>
              </w:rPr>
              <w:t xml:space="preserve">Bureau</w:t>
            </w:r>
          </w:p>
        </w:tc>
        <w:tc>
          <w:tcPr>
            <w:tcW w:w="4472" w:type="dxa"/>
          </w:tcPr>
          <w:p>
            <w:pPr>
              <w:pStyle w:val="Compact"/>
              <w:spacing w:after="40"/>
              <w:jc w:val="left"/>
            </w:pPr>
            <w:r>
              <w:rPr>
                <w:sz w:val="18"/>
              </w:rPr>
              <w:t xml:space="preserve">Only if the society is itself a CIC member [VERIFY CICRA eligibility]; never through an RE’s or Udofin’s access</w:t>
            </w:r>
          </w:p>
        </w:tc>
        <w:tc>
          <w:tcPr>
            <w:tcW w:w="3139" w:type="dxa"/>
          </w:tcPr>
          <w:p>
            <w:pPr>
              <w:pStyle w:val="Compact"/>
              <w:spacing w:after="40"/>
              <w:jc w:val="left"/>
            </w:pPr>
            <w:r>
              <w:rPr>
                <w:sz w:val="18"/>
              </w:rPr>
              <w:t xml:space="preserve">[LAW] CICRA; [REG] CIR para 6 for REs</w:t>
            </w:r>
          </w:p>
        </w:tc>
      </w:tr>
    </w:tbl>
    <w:bookmarkEnd w:id="137"/>
    <w:bookmarkStart w:id="138" w:name="eligibility-gate-all-must-pass"/>
    <w:p>
      <w:pPr>
        <w:pStyle w:val="Heading3"/>
      </w:pPr>
      <w:r>
        <w:t xml:space="preserve">Eligibility gate (all must pass)</w:t>
      </w:r>
    </w:p>
    <w:p>
      <w:pPr>
        <w:numPr>
          <w:ilvl w:val="0"/>
          <w:numId w:val="1079"/>
        </w:numPr>
        <w:pStyle w:val="Compact"/>
      </w:pPr>
      <w:r>
        <w:t xml:space="preserve">Registration certificate verified with the State Registrar or CRCS portal; registered bye-laws on file; area of operation covers the borrower’s location.</w:t>
      </w:r>
    </w:p>
    <w:p>
      <w:pPr>
        <w:numPr>
          <w:ilvl w:val="0"/>
          <w:numId w:val="1079"/>
        </w:numPr>
        <w:pStyle w:val="Compact"/>
      </w:pPr>
      <w:r>
        <w:t xml:space="preserve">Name free of</w:t>
      </w:r>
      <w:r>
        <w:t xml:space="preserve"> </w:t>
      </w:r>
      <w:r>
        <w:t xml:space="preserve">“</w:t>
      </w:r>
      <w:r>
        <w:t xml:space="preserve">bank</w:t>
      </w:r>
      <w:r>
        <w:t xml:space="preserve">”</w:t>
      </w:r>
      <w:r>
        <w:t xml:space="preserve">,</w:t>
      </w:r>
      <w:r>
        <w:t xml:space="preserve"> </w:t>
      </w:r>
      <w:r>
        <w:t xml:space="preserve">“</w:t>
      </w:r>
      <w:r>
        <w:t xml:space="preserve">banker</w:t>
      </w:r>
      <w:r>
        <w:t xml:space="preserve">”</w:t>
      </w:r>
      <w:r>
        <w:t xml:space="preserve"> </w:t>
      </w:r>
      <w:r>
        <w:t xml:space="preserve">and</w:t>
      </w:r>
      <w:r>
        <w:t xml:space="preserve"> </w:t>
      </w:r>
      <w:r>
        <w:t xml:space="preserve">“</w:t>
      </w:r>
      <w:r>
        <w:t xml:space="preserve">banking</w:t>
      </w:r>
      <w:r>
        <w:t xml:space="preserve">”</w:t>
      </w:r>
      <w:r>
        <w:t xml:space="preserve"> </w:t>
      </w:r>
      <w:r>
        <w:t xml:space="preserve">(hard block, string and transliteration check).</w:t>
      </w:r>
    </w:p>
    <w:p>
      <w:pPr>
        <w:numPr>
          <w:ilvl w:val="0"/>
          <w:numId w:val="1079"/>
        </w:numPr>
        <w:pStyle w:val="Compact"/>
      </w:pPr>
      <w:r>
        <w:t xml:space="preserve">Last three statutory audit reports; in Maharashtra, audit class A or B in each of the last two years [REC; VERIFY mark bands]; no material unrectified objections.</w:t>
      </w:r>
    </w:p>
    <w:p>
      <w:pPr>
        <w:numPr>
          <w:ilvl w:val="0"/>
          <w:numId w:val="1079"/>
        </w:numPr>
        <w:pStyle w:val="Compact"/>
      </w:pPr>
      <w:r>
        <w:t xml:space="preserve">Returns filed (MSCS s.120 annual return; CRCS quarterly returns; State equivalents) [VERIFY section numbers].</w:t>
      </w:r>
    </w:p>
    <w:p>
      <w:pPr>
        <w:numPr>
          <w:ilvl w:val="0"/>
          <w:numId w:val="1079"/>
        </w:numPr>
        <w:pStyle w:val="Compact"/>
      </w:pPr>
      <w:r>
        <w:t xml:space="preserve">Prudential status: CRCS norms of 22 Jan 2024 for credit MSCS (CRAR 9% or 12% by size, glide to 2028-29; cash 2% of deposits; leverage 10 times) [VERIFY order text]; Maharashtra SLR 25% [VERIFY].</w:t>
      </w:r>
    </w:p>
    <w:p>
      <w:pPr>
        <w:numPr>
          <w:ilvl w:val="0"/>
          <w:numId w:val="1079"/>
        </w:numPr>
        <w:pStyle w:val="Compact"/>
      </w:pPr>
      <w:r>
        <w:t xml:space="preserve">Certificate (State Registrar or CRCS) or statutory auditor’s confirmation that</w:t>
      </w:r>
      <w:r>
        <w:t xml:space="preserve"> </w:t>
      </w:r>
      <w:r>
        <w:rPr>
          <w:bCs/>
          <w:b/>
        </w:rPr>
        <w:t xml:space="preserve">no deposits are held from non-voting, nominal or associate members</w:t>
      </w:r>
      <w:r>
        <w:t xml:space="preserve"> </w:t>
      </w:r>
      <w:r>
        <w:t xml:space="preserve">[REC, modelled on the CRCS branch-expansion condition, Jul 2025].</w:t>
      </w:r>
    </w:p>
    <w:p>
      <w:pPr>
        <w:numPr>
          <w:ilvl w:val="0"/>
          <w:numId w:val="1079"/>
        </w:numPr>
        <w:pStyle w:val="Compact"/>
      </w:pPr>
      <w:r>
        <w:t xml:space="preserve">No adverse Registrar, Co-operative Ombudsman or court orders in the last 3 years; not on any regulator or State caution list.</w:t>
      </w:r>
    </w:p>
    <w:p>
      <w:pPr>
        <w:numPr>
          <w:ilvl w:val="0"/>
          <w:numId w:val="1079"/>
        </w:numPr>
        <w:pStyle w:val="Compact"/>
      </w:pPr>
      <w:r>
        <w:t xml:space="preserve">Grievance mechanism, KYC process and data-protection measures documented.</w:t>
      </w:r>
    </w:p>
    <w:p>
      <w:pPr>
        <w:numPr>
          <w:ilvl w:val="0"/>
          <w:numId w:val="1079"/>
        </w:numPr>
        <w:pStyle w:val="Compact"/>
      </w:pPr>
      <w:r>
        <w:t xml:space="preserve">Counsel opinion on: the State Act; dispute and recovery forum; money-lending-law exemption (e.g. MH Money-Lending Act s.2(13)(e)); State coercive-recovery law; whether any State digital-lending-platform registration applies to Udofin.</w:t>
      </w:r>
    </w:p>
    <w:p>
      <w:pPr>
        <w:numPr>
          <w:ilvl w:val="0"/>
          <w:numId w:val="1079"/>
        </w:numPr>
        <w:pStyle w:val="Compact"/>
      </w:pPr>
      <w:r>
        <w:t xml:space="preserve">Signed agreement with RE-equivalent conduct schedule and DPDP processing terms.</w:t>
      </w:r>
    </w:p>
    <w:bookmarkEnd w:id="138"/>
    <w:bookmarkStart w:id="139" w:name="ring-fencing-rules"/>
    <w:p>
      <w:pPr>
        <w:pStyle w:val="Heading3"/>
      </w:pPr>
      <w:r>
        <w:t xml:space="preserve">Ring-fencing rules</w:t>
      </w:r>
    </w:p>
    <w:p>
      <w:pPr>
        <w:numPr>
          <w:ilvl w:val="0"/>
          <w:numId w:val="1080"/>
        </w:numPr>
        <w:pStyle w:val="Compact"/>
      </w:pPr>
      <w:r>
        <w:rPr>
          <w:bCs/>
          <w:b/>
        </w:rPr>
        <w:t xml:space="preserve">Member-only.</w:t>
      </w:r>
      <w:r>
        <w:t xml:space="preserve"> </w:t>
      </w:r>
      <w:r>
        <w:t xml:space="preserve">A loan journey for the society opens only after member verification against the society’s register through</w:t>
      </w:r>
      <w:r>
        <w:t xml:space="preserve"> </w:t>
      </w:r>
      <w:r>
        <w:rPr>
          <w:rStyle w:val="VerbatimChar"/>
        </w:rPr>
        <w:t xml:space="preserve">GET /v1/societies/{id}/members/{ref}</w:t>
      </w:r>
      <w:r>
        <w:t xml:space="preserve"> </w:t>
      </w:r>
      <w:r>
        <w:t xml:space="preserve">(served by Finbyx IP2 or the society’s certified system; Integration Spec 6.24),</w:t>
      </w:r>
      <w:r>
        <w:t xml:space="preserve"> </w:t>
      </w:r>
      <w:r>
        <w:rPr>
          <w:rStyle w:val="VerbatimChar"/>
        </w:rPr>
        <w:t xml:space="preserve">MemberAdmitted</w:t>
      </w:r>
      <w:r>
        <w:t xml:space="preserve"> </w:t>
      </w:r>
      <w:r>
        <w:t xml:space="preserve">for members admitted through Udofin, or the society’s verification queue in the lender portal where it has no API. Non-members see only</w:t>
      </w:r>
      <w:r>
        <w:t xml:space="preserve"> </w:t>
      </w:r>
      <w:r>
        <w:t xml:space="preserve">“</w:t>
      </w:r>
      <w:r>
        <w:t xml:space="preserve">apply for membership</w:t>
      </w:r>
      <w:r>
        <w:t xml:space="preserve">”</w:t>
      </w:r>
      <w:r>
        <w:t xml:space="preserve">; share money is paid to the society’s own account. Borrowing rights of nominal or associate members follow the bye-law flag</w:t>
      </w:r>
      <w:r>
        <w:t xml:space="preserve"> </w:t>
      </w:r>
      <w:r>
        <w:rPr>
          <w:rStyle w:val="VerbatimChar"/>
        </w:rPr>
        <w:t xml:space="preserve">can_borrow</w:t>
      </w:r>
      <w:r>
        <w:t xml:space="preserve">.</w:t>
      </w:r>
    </w:p>
    <w:p>
      <w:pPr>
        <w:numPr>
          <w:ilvl w:val="0"/>
          <w:numId w:val="1080"/>
        </w:numPr>
        <w:pStyle w:val="Compact"/>
      </w:pPr>
      <w:r>
        <w:rPr>
          <w:bCs/>
          <w:b/>
        </w:rPr>
        <w:t xml:space="preserve">No deposits through Udofin.</w:t>
      </w:r>
      <w:r>
        <w:t xml:space="preserve"> </w:t>
      </w:r>
      <w:r>
        <w:t xml:space="preserve">No deposit product, listing, rate display, solicitation, collection or marketing. A member’s own existing deposit balance may be shown read-only only if the society opts in and counsel confirms; default off. Udofin never takes a deposit instruction.</w:t>
      </w:r>
    </w:p>
    <w:p>
      <w:pPr>
        <w:numPr>
          <w:ilvl w:val="0"/>
          <w:numId w:val="1080"/>
        </w:numPr>
        <w:pStyle w:val="Compact"/>
      </w:pPr>
      <w:r>
        <w:rPr>
          <w:bCs/>
          <w:b/>
        </w:rPr>
        <w:t xml:space="preserve">Separate presentation.</w:t>
      </w:r>
      <w:r>
        <w:t xml:space="preserve"> </w:t>
      </w:r>
      <w:r>
        <w:t xml:space="preserve">Society loans appear in a separate</w:t>
      </w:r>
      <w:r>
        <w:t xml:space="preserve"> </w:t>
      </w:r>
      <w:r>
        <w:t xml:space="preserve">“</w:t>
      </w:r>
      <w:r>
        <w:t xml:space="preserve">Your society</w:t>
      </w:r>
      <w:r>
        <w:t xml:space="preserve">”</w:t>
      </w:r>
      <w:r>
        <w:t xml:space="preserve"> </w:t>
      </w:r>
      <w:r>
        <w:t xml:space="preserve">section, never inside the CF para 7 multi-lender offer view, with the lender card: society name, Act, Registrar and registration number, and the statements</w:t>
      </w:r>
      <w:r>
        <w:t xml:space="preserve"> </w:t>
      </w:r>
      <w:r>
        <w:t xml:space="preserve">“</w:t>
      </w:r>
      <w:r>
        <w:t xml:space="preserve">This society is not regulated by the Reserve Bank of India</w:t>
      </w:r>
      <w:r>
        <w:t xml:space="preserve">”</w:t>
      </w:r>
      <w:r>
        <w:t xml:space="preserve"> </w:t>
      </w:r>
      <w:r>
        <w:t xml:space="preserve">and</w:t>
      </w:r>
      <w:r>
        <w:t xml:space="preserve"> </w:t>
      </w:r>
      <w:r>
        <w:t xml:space="preserve">“</w:t>
      </w:r>
      <w:r>
        <w:t xml:space="preserve">Deposits with co-operative societies are not insured by DICGC</w:t>
      </w:r>
      <w:r>
        <w:t xml:space="preserve">”</w:t>
      </w:r>
      <w:r>
        <w:t xml:space="preserve">.</w:t>
      </w:r>
    </w:p>
    <w:p>
      <w:pPr>
        <w:numPr>
          <w:ilvl w:val="0"/>
          <w:numId w:val="1080"/>
        </w:numPr>
        <w:pStyle w:val="Compact"/>
      </w:pPr>
      <w:r>
        <w:rPr>
          <w:bCs/>
          <w:b/>
        </w:rPr>
        <w:t xml:space="preserve">Data separation.</w:t>
      </w:r>
      <w:r>
        <w:t xml:space="preserve"> </w:t>
      </w:r>
      <w:r>
        <w:t xml:space="preserve">No RE sees society data, and no society sees RE data, without the borrower’s explicit consent naming the recipient; separate tenant class</w:t>
      </w:r>
      <w:r>
        <w:t xml:space="preserve"> </w:t>
      </w:r>
      <w:r>
        <w:rPr>
          <w:rStyle w:val="VerbatimChar"/>
        </w:rPr>
        <w:t xml:space="preserve">lender_class = NON_RE_COOP</w:t>
      </w:r>
      <w:r>
        <w:t xml:space="preserve"> </w:t>
      </w:r>
      <w:r>
        <w:t xml:space="preserve">(events carry</w:t>
      </w:r>
      <w:r>
        <w:t xml:space="preserve"> </w:t>
      </w:r>
      <w:r>
        <w:rPr>
          <w:rStyle w:val="VerbatimChar"/>
        </w:rPr>
        <w:t xml:space="preserve">lender_type = NON_RE_SOCIETY</w:t>
      </w:r>
      <w:r>
        <w:t xml:space="preserve">, Integration Spec 6.24) with its own RLS policies.</w:t>
      </w:r>
    </w:p>
    <w:p>
      <w:pPr>
        <w:numPr>
          <w:ilvl w:val="0"/>
          <w:numId w:val="1080"/>
        </w:numPr>
        <w:pStyle w:val="Compact"/>
      </w:pPr>
      <w:r>
        <w:rPr>
          <w:bCs/>
          <w:b/>
        </w:rPr>
        <w:t xml:space="preserve">No co-lending or loan sale with NBFCs</w:t>
      </w:r>
      <w:r>
        <w:t xml:space="preserve"> </w:t>
      </w:r>
      <w:r>
        <w:t xml:space="preserve">(TDCR paras 97, 12(4)): the configurator rejects co-lending, DA, participation or split routing between a society and an RE. Alternatives for counsel review only (none built without a legal opinion): an RE term loan to the society for on-lending within its limits (MSCS s.67); the society as an RE’s sourcing agent where bye-laws permit, with the RE disclosed as lender; independent parallel loans, each lender assessing aggregate affordability.</w:t>
      </w:r>
    </w:p>
    <w:p>
      <w:pPr>
        <w:numPr>
          <w:ilvl w:val="0"/>
          <w:numId w:val="1080"/>
        </w:numPr>
        <w:pStyle w:val="Compact"/>
      </w:pPr>
      <w:r>
        <w:rPr>
          <w:bCs/>
          <w:b/>
        </w:rPr>
        <w:t xml:space="preserve">Channel gate.</w:t>
      </w:r>
      <w:r>
        <w:t xml:space="preserve"> </w:t>
      </w:r>
      <w:r>
        <w:t xml:space="preserve">App-store lending policies may require the lender to be RBI-regulated [VERIFY: Google Play India personal-loan policy and App Store guidelines]. Until confirmed, society loans are offered on the web/PWA and assisted channel (U22) only.</w:t>
      </w:r>
    </w:p>
    <w:bookmarkEnd w:id="139"/>
    <w:bookmarkStart w:id="140" w:name="re-equivalent-conduct-by-contract"/>
    <w:p>
      <w:pPr>
        <w:pStyle w:val="Heading3"/>
      </w:pPr>
      <w:r>
        <w:t xml:space="preserve">RE-equivalent conduct by contract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31"/>
        <w:gridCol w:w="4874"/>
        <w:gridCol w:w="2933"/>
      </w:tblGrid>
      <w:tr>
        <w:trPr>
          <w:tblHeader w:val="true"/>
          <w:tblHeader w:val="true"/>
        </w:trPr>
        <w:tc>
          <w:tcPr>
            <w:tcW w:w="1831" w:type="dxa"/>
            <w:shd w:val="clear" w:color="auto" w:fill="1F3A5F"/>
          </w:tcPr>
          <w:p>
            <w:pPr>
              <w:pStyle w:val="Compact"/>
              <w:spacing w:after="40"/>
              <w:jc w:val="left"/>
            </w:pPr>
            <w:r>
              <w:rPr>
                <w:b/>
                <w:color w:val="FFFFFF"/>
                <w:sz w:val="18"/>
              </w:rPr>
              <w:t xml:space="preserve">Area</w:t>
            </w:r>
          </w:p>
        </w:tc>
        <w:tc>
          <w:tcPr>
            <w:tcW w:w="4874" w:type="dxa"/>
            <w:shd w:val="clear" w:color="auto" w:fill="1F3A5F"/>
          </w:tcPr>
          <w:p>
            <w:pPr>
              <w:pStyle w:val="Compact"/>
              <w:spacing w:after="40"/>
              <w:jc w:val="left"/>
            </w:pPr>
            <w:r>
              <w:rPr>
                <w:b/>
                <w:color w:val="FFFFFF"/>
                <w:sz w:val="18"/>
              </w:rPr>
              <w:t xml:space="preserve">Adopted standard</w:t>
            </w:r>
          </w:p>
        </w:tc>
        <w:tc>
          <w:tcPr>
            <w:tcW w:w="2933" w:type="dxa"/>
            <w:shd w:val="clear" w:color="auto" w:fill="1F3A5F"/>
          </w:tcPr>
          <w:p>
            <w:pPr>
              <w:pStyle w:val="Compact"/>
              <w:spacing w:after="40"/>
              <w:jc w:val="left"/>
            </w:pPr>
            <w:r>
              <w:rPr>
                <w:b/>
                <w:color w:val="FFFFFF"/>
                <w:sz w:val="18"/>
              </w:rPr>
              <w:t xml:space="preserve">Basis</w:t>
            </w:r>
          </w:p>
        </w:tc>
      </w:tr>
      <w:tr>
        <w:tc>
          <w:tcPr>
            <w:tcW w:w="1831" w:type="dxa"/>
          </w:tcPr>
          <w:p>
            <w:pPr>
              <w:pStyle w:val="Compact"/>
              <w:spacing w:after="40"/>
              <w:jc w:val="left"/>
            </w:pPr>
            <w:r>
              <w:rPr>
                <w:sz w:val="18"/>
              </w:rPr>
              <w:t xml:space="preserve">Disclosure</w:t>
            </w:r>
          </w:p>
        </w:tc>
        <w:tc>
          <w:tcPr>
            <w:tcW w:w="4874" w:type="dxa"/>
          </w:tcPr>
          <w:p>
            <w:pPr>
              <w:pStyle w:val="Compact"/>
              <w:spacing w:after="40"/>
              <w:jc w:val="left"/>
            </w:pPr>
            <w:r>
              <w:rPr>
                <w:sz w:val="18"/>
              </w:rPr>
              <w:t xml:space="preserve">KFS-equivalent in the RBC Annex I format, with APR, in the member’s language, with acknowledgement</w:t>
            </w:r>
          </w:p>
        </w:tc>
        <w:tc>
          <w:tcPr>
            <w:tcW w:w="2933" w:type="dxa"/>
          </w:tcPr>
          <w:p>
            <w:pPr>
              <w:pStyle w:val="Compact"/>
              <w:spacing w:after="40"/>
              <w:jc w:val="left"/>
            </w:pPr>
            <w:r>
              <w:rPr>
                <w:sz w:val="18"/>
              </w:rPr>
              <w:t xml:space="preserve">RBC para 29 adopted [REC]</w:t>
            </w:r>
          </w:p>
        </w:tc>
      </w:tr>
      <w:tr>
        <w:tc>
          <w:tcPr>
            <w:tcW w:w="1831" w:type="dxa"/>
          </w:tcPr>
          <w:p>
            <w:pPr>
              <w:pStyle w:val="Compact"/>
              <w:spacing w:after="40"/>
              <w:jc w:val="left"/>
            </w:pPr>
            <w:r>
              <w:rPr>
                <w:sz w:val="18"/>
              </w:rPr>
              <w:t xml:space="preserve">Cooling-off</w:t>
            </w:r>
          </w:p>
        </w:tc>
        <w:tc>
          <w:tcPr>
            <w:tcW w:w="4874" w:type="dxa"/>
          </w:tcPr>
          <w:p>
            <w:pPr>
              <w:pStyle w:val="Compact"/>
              <w:spacing w:after="40"/>
              <w:jc w:val="left"/>
            </w:pPr>
            <w:r>
              <w:rPr>
                <w:sz w:val="18"/>
              </w:rPr>
              <w:t xml:space="preserve">At least 1 day</w:t>
            </w:r>
          </w:p>
        </w:tc>
        <w:tc>
          <w:tcPr>
            <w:tcW w:w="2933" w:type="dxa"/>
          </w:tcPr>
          <w:p>
            <w:pPr>
              <w:pStyle w:val="Compact"/>
              <w:spacing w:after="40"/>
              <w:jc w:val="left"/>
            </w:pPr>
            <w:r>
              <w:rPr>
                <w:sz w:val="18"/>
              </w:rPr>
              <w:t xml:space="preserve">CF para 11 adopted [REC]</w:t>
            </w:r>
          </w:p>
        </w:tc>
      </w:tr>
      <w:tr>
        <w:tc>
          <w:tcPr>
            <w:tcW w:w="1831" w:type="dxa"/>
          </w:tcPr>
          <w:p>
            <w:pPr>
              <w:pStyle w:val="Compact"/>
              <w:spacing w:after="40"/>
              <w:jc w:val="left"/>
            </w:pPr>
            <w:r>
              <w:rPr>
                <w:sz w:val="18"/>
              </w:rPr>
              <w:t xml:space="preserve">Money flow</w:t>
            </w:r>
          </w:p>
        </w:tc>
        <w:tc>
          <w:tcPr>
            <w:tcW w:w="4874" w:type="dxa"/>
          </w:tcPr>
          <w:p>
            <w:pPr>
              <w:pStyle w:val="Compact"/>
              <w:spacing w:after="40"/>
              <w:jc w:val="left"/>
            </w:pPr>
            <w:r>
              <w:rPr>
                <w:sz w:val="18"/>
              </w:rPr>
              <w:t xml:space="preserve">Disbursal to the member’s account; repayment to the society’s account; no pool account; no Udofin control</w:t>
            </w:r>
          </w:p>
        </w:tc>
        <w:tc>
          <w:tcPr>
            <w:tcW w:w="2933" w:type="dxa"/>
          </w:tcPr>
          <w:p>
            <w:pPr>
              <w:pStyle w:val="Compact"/>
              <w:spacing w:after="40"/>
              <w:jc w:val="left"/>
            </w:pPr>
            <w:r>
              <w:rPr>
                <w:sz w:val="18"/>
              </w:rPr>
              <w:t xml:space="preserve">CF para 10 adopted [REC]</w:t>
            </w:r>
          </w:p>
        </w:tc>
      </w:tr>
      <w:tr>
        <w:tc>
          <w:tcPr>
            <w:tcW w:w="1831" w:type="dxa"/>
          </w:tcPr>
          <w:p>
            <w:pPr>
              <w:pStyle w:val="Compact"/>
              <w:spacing w:after="40"/>
              <w:jc w:val="left"/>
            </w:pPr>
            <w:r>
              <w:rPr>
                <w:sz w:val="18"/>
              </w:rPr>
              <w:t xml:space="preserve">Fees</w:t>
            </w:r>
          </w:p>
        </w:tc>
        <w:tc>
          <w:tcPr>
            <w:tcW w:w="4874" w:type="dxa"/>
          </w:tcPr>
          <w:p>
            <w:pPr>
              <w:pStyle w:val="Compact"/>
              <w:spacing w:after="40"/>
              <w:jc w:val="left"/>
            </w:pPr>
            <w:r>
              <w:rPr>
                <w:sz w:val="18"/>
              </w:rPr>
              <w:t xml:space="preserve">Udofin fees paid by the society only; nothing charged to members by Udofin</w:t>
            </w:r>
          </w:p>
        </w:tc>
        <w:tc>
          <w:tcPr>
            <w:tcW w:w="2933" w:type="dxa"/>
          </w:tcPr>
          <w:p>
            <w:pPr>
              <w:pStyle w:val="Compact"/>
              <w:spacing w:after="40"/>
              <w:jc w:val="left"/>
            </w:pPr>
            <w:r>
              <w:rPr>
                <w:sz w:val="18"/>
              </w:rPr>
              <w:t xml:space="preserve">CF para 10(4) adopted</w:t>
            </w:r>
          </w:p>
        </w:tc>
      </w:tr>
      <w:tr>
        <w:tc>
          <w:tcPr>
            <w:tcW w:w="1831" w:type="dxa"/>
          </w:tcPr>
          <w:p>
            <w:pPr>
              <w:pStyle w:val="Compact"/>
              <w:spacing w:after="40"/>
              <w:jc w:val="left"/>
            </w:pPr>
            <w:r>
              <w:rPr>
                <w:sz w:val="18"/>
              </w:rPr>
              <w:t xml:space="preserve">Data and device</w:t>
            </w:r>
          </w:p>
        </w:tc>
        <w:tc>
          <w:tcPr>
            <w:tcW w:w="4874" w:type="dxa"/>
          </w:tcPr>
          <w:p>
            <w:pPr>
              <w:pStyle w:val="Compact"/>
              <w:spacing w:after="40"/>
              <w:jc w:val="left"/>
            </w:pPr>
            <w:r>
              <w:rPr>
                <w:sz w:val="18"/>
              </w:rPr>
              <w:t xml:space="preserve">Same permission policy; India-only storage</w:t>
            </w:r>
          </w:p>
        </w:tc>
        <w:tc>
          <w:tcPr>
            <w:tcW w:w="2933" w:type="dxa"/>
          </w:tcPr>
          <w:p>
            <w:pPr>
              <w:pStyle w:val="Compact"/>
              <w:spacing w:after="40"/>
              <w:jc w:val="left"/>
            </w:pPr>
            <w:r>
              <w:rPr>
                <w:sz w:val="18"/>
              </w:rPr>
              <w:t xml:space="preserve">CF paras 13–14; DPDP</w:t>
            </w:r>
          </w:p>
        </w:tc>
      </w:tr>
      <w:tr>
        <w:tc>
          <w:tcPr>
            <w:tcW w:w="1831" w:type="dxa"/>
          </w:tcPr>
          <w:p>
            <w:pPr>
              <w:pStyle w:val="Compact"/>
              <w:spacing w:after="40"/>
              <w:jc w:val="left"/>
            </w:pPr>
            <w:r>
              <w:rPr>
                <w:sz w:val="18"/>
              </w:rPr>
              <w:t xml:space="preserve">Recovery</w:t>
            </w:r>
          </w:p>
        </w:tc>
        <w:tc>
          <w:tcPr>
            <w:tcW w:w="4874" w:type="dxa"/>
          </w:tcPr>
          <w:p>
            <w:pPr>
              <w:pStyle w:val="Compact"/>
              <w:spacing w:after="40"/>
              <w:jc w:val="left"/>
            </w:pPr>
            <w:r>
              <w:rPr>
                <w:sz w:val="18"/>
              </w:rPr>
              <w:t xml:space="preserve">Contact windows, no harassment, agent particulars before contact, recording; State coercion overlays</w:t>
            </w:r>
          </w:p>
        </w:tc>
        <w:tc>
          <w:tcPr>
            <w:tcW w:w="2933" w:type="dxa"/>
          </w:tcPr>
          <w:p>
            <w:pPr>
              <w:pStyle w:val="Compact"/>
              <w:spacing w:after="40"/>
              <w:jc w:val="left"/>
            </w:pPr>
            <w:r>
              <w:rPr>
                <w:sz w:val="18"/>
              </w:rPr>
              <w:t xml:space="preserve">RBC rule pack A or B adopted; TN Act 40/2025</w:t>
            </w:r>
          </w:p>
        </w:tc>
      </w:tr>
      <w:tr>
        <w:tc>
          <w:tcPr>
            <w:tcW w:w="1831" w:type="dxa"/>
          </w:tcPr>
          <w:p>
            <w:pPr>
              <w:pStyle w:val="Compact"/>
              <w:spacing w:after="40"/>
              <w:jc w:val="left"/>
            </w:pPr>
            <w:r>
              <w:rPr>
                <w:sz w:val="18"/>
              </w:rPr>
              <w:t xml:space="preserve">Microfinance-type loans</w:t>
            </w:r>
          </w:p>
        </w:tc>
        <w:tc>
          <w:tcPr>
            <w:tcW w:w="4874" w:type="dxa"/>
          </w:tcPr>
          <w:p>
            <w:pPr>
              <w:pStyle w:val="Compact"/>
              <w:spacing w:after="40"/>
              <w:jc w:val="left"/>
            </w:pPr>
            <w:r>
              <w:rPr>
                <w:sz w:val="18"/>
              </w:rPr>
              <w:t xml:space="preserve">Household-income test and 50% obligation cap for collateral-free loans to low-income households</w:t>
            </w:r>
          </w:p>
        </w:tc>
        <w:tc>
          <w:tcPr>
            <w:tcW w:w="2933" w:type="dxa"/>
          </w:tcPr>
          <w:p>
            <w:pPr>
              <w:pStyle w:val="Compact"/>
              <w:spacing w:after="40"/>
              <w:jc w:val="left"/>
            </w:pPr>
            <w:r>
              <w:rPr>
                <w:sz w:val="18"/>
              </w:rPr>
              <w:t xml:space="preserve">CF paras 51–57 adopted [REC]</w:t>
            </w:r>
          </w:p>
        </w:tc>
      </w:tr>
      <w:tr>
        <w:tc>
          <w:tcPr>
            <w:tcW w:w="1831" w:type="dxa"/>
          </w:tcPr>
          <w:p>
            <w:pPr>
              <w:pStyle w:val="Compact"/>
              <w:spacing w:after="40"/>
              <w:jc w:val="left"/>
            </w:pPr>
            <w:r>
              <w:rPr>
                <w:sz w:val="18"/>
              </w:rPr>
              <w:t xml:space="preserve">Grievance</w:t>
            </w:r>
          </w:p>
        </w:tc>
        <w:tc>
          <w:tcPr>
            <w:tcW w:w="4874" w:type="dxa"/>
          </w:tcPr>
          <w:p>
            <w:pPr>
              <w:pStyle w:val="Compact"/>
              <w:spacing w:after="40"/>
              <w:jc w:val="left"/>
            </w:pPr>
            <w:r>
              <w:rPr>
                <w:sz w:val="18"/>
              </w:rPr>
              <w:t xml:space="preserve">Society GRO → Co-operative Ombudsman (MSCS) or Registrar (State) → consumer commission; Udofin nodal officer for platform issues; RBI CMS is</w:t>
            </w:r>
            <w:r>
              <w:rPr>
                <w:sz w:val="18"/>
              </w:rPr>
              <w:t xml:space="preserve"> </w:t>
            </w:r>
            <w:r>
              <w:rPr>
                <w:bCs/>
                <w:b/>
                <w:sz w:val="18"/>
              </w:rPr>
              <w:t xml:space="preserve">not</w:t>
            </w:r>
            <w:r>
              <w:rPr>
                <w:sz w:val="18"/>
              </w:rPr>
              <w:t xml:space="preserve"> </w:t>
            </w:r>
            <w:r>
              <w:rPr>
                <w:sz w:val="18"/>
              </w:rPr>
              <w:t xml:space="preserve">shown as available</w:t>
            </w:r>
          </w:p>
        </w:tc>
        <w:tc>
          <w:tcPr>
            <w:tcW w:w="2933" w:type="dxa"/>
          </w:tcPr>
          <w:p>
            <w:pPr>
              <w:pStyle w:val="Compact"/>
              <w:spacing w:after="40"/>
              <w:jc w:val="left"/>
            </w:pPr>
            <w:r>
              <w:rPr>
                <w:sz w:val="18"/>
              </w:rPr>
              <w:t xml:space="preserve">UB3 non-RE route</w:t>
            </w:r>
          </w:p>
        </w:tc>
      </w:tr>
      <w:tr>
        <w:tc>
          <w:tcPr>
            <w:tcW w:w="1831" w:type="dxa"/>
          </w:tcPr>
          <w:p>
            <w:pPr>
              <w:pStyle w:val="Compact"/>
              <w:spacing w:after="40"/>
              <w:jc w:val="left"/>
            </w:pPr>
            <w:r>
              <w:rPr>
                <w:sz w:val="18"/>
              </w:rPr>
              <w:t xml:space="preserve">Aadhaar</w:t>
            </w:r>
          </w:p>
        </w:tc>
        <w:tc>
          <w:tcPr>
            <w:tcW w:w="4874" w:type="dxa"/>
          </w:tcPr>
          <w:p>
            <w:pPr>
              <w:pStyle w:val="Compact"/>
              <w:spacing w:after="40"/>
              <w:jc w:val="left"/>
            </w:pPr>
            <w:r>
              <w:rPr>
                <w:sz w:val="18"/>
              </w:rPr>
              <w:t xml:space="preserve">Offline verification or DigiLocker only; no Aadhaar number stored</w:t>
            </w:r>
          </w:p>
        </w:tc>
        <w:tc>
          <w:tcPr>
            <w:tcW w:w="2933" w:type="dxa"/>
          </w:tcPr>
          <w:p>
            <w:pPr>
              <w:pStyle w:val="Compact"/>
              <w:spacing w:after="40"/>
              <w:jc w:val="left"/>
            </w:pPr>
            <w:r>
              <w:rPr>
                <w:sz w:val="18"/>
              </w:rPr>
              <w:t xml:space="preserve">Aadhaar Act s.29; societies are not s.11A-notified [VERIFY]</w:t>
            </w:r>
          </w:p>
        </w:tc>
      </w:tr>
      <w:tr>
        <w:tc>
          <w:tcPr>
            <w:tcW w:w="1831" w:type="dxa"/>
          </w:tcPr>
          <w:p>
            <w:pPr>
              <w:pStyle w:val="Compact"/>
              <w:spacing w:after="40"/>
              <w:jc w:val="left"/>
            </w:pPr>
            <w:r>
              <w:rPr>
                <w:sz w:val="18"/>
              </w:rPr>
              <w:t xml:space="preserve">Telecom</w:t>
            </w:r>
          </w:p>
        </w:tc>
        <w:tc>
          <w:tcPr>
            <w:tcW w:w="4874" w:type="dxa"/>
          </w:tcPr>
          <w:p>
            <w:pPr>
              <w:pStyle w:val="Compact"/>
              <w:spacing w:after="40"/>
              <w:jc w:val="left"/>
            </w:pPr>
            <w:r>
              <w:rPr>
                <w:sz w:val="18"/>
              </w:rPr>
              <w:t xml:space="preserve">DLT-registered headers and numbers only; 1600 series not assumed [VERIFY]</w:t>
            </w:r>
          </w:p>
        </w:tc>
        <w:tc>
          <w:tcPr>
            <w:tcW w:w="2933" w:type="dxa"/>
          </w:tcPr>
          <w:p>
            <w:pPr>
              <w:pStyle w:val="Compact"/>
              <w:spacing w:after="40"/>
              <w:jc w:val="left"/>
            </w:pPr>
            <w:r>
              <w:rPr>
                <w:sz w:val="18"/>
              </w:rPr>
              <w:t xml:space="preserve">TRAI TCCCPR</w:t>
            </w:r>
          </w:p>
        </w:tc>
      </w:tr>
    </w:tbl>
    <w:bookmarkEnd w:id="140"/>
    <w:bookmarkStart w:id="141" w:name="X8f6694445485a14d42ca49393dfd4d8c7b3b6d7"/>
    <w:p>
      <w:pPr>
        <w:pStyle w:val="Heading3"/>
      </w:pPr>
      <w:r>
        <w:t xml:space="preserve">Deal and export differences from the RE track</w:t>
      </w:r>
    </w:p>
    <w:p>
      <w:pPr>
        <w:numPr>
          <w:ilvl w:val="0"/>
          <w:numId w:val="1081"/>
        </w:numPr>
        <w:pStyle w:val="Compact"/>
      </w:pPr>
      <w:r>
        <w:t xml:space="preserve">UP1 states apply, but the</w:t>
      </w:r>
      <w:r>
        <w:t xml:space="preserve"> </w:t>
      </w:r>
      <w:r>
        <w:rPr>
          <w:rStyle w:val="VerbatimChar"/>
        </w:rPr>
        <w:t xml:space="preserve">PILOT</w:t>
      </w:r>
      <w:r>
        <w:t xml:space="preserve"> </w:t>
      </w:r>
      <w:r>
        <w:t xml:space="preserve">gate replaces CIMS and RBI website evidence with: registration verification, eligibility checks above, society website or notice-board disclosure of Udofin’s role [REC], and the counsel opinion.</w:t>
      </w:r>
    </w:p>
    <w:p>
      <w:pPr>
        <w:numPr>
          <w:ilvl w:val="0"/>
          <w:numId w:val="1081"/>
        </w:numPr>
        <w:pStyle w:val="Compact"/>
      </w:pPr>
      <w:r>
        <w:t xml:space="preserve">UP3 packs are produced for the society, its statutory auditor and the Registrar on the society’s request; CIMS, RBI inspection and RB-IOS items are replaced by Registrar-return support and co-operative-audit samples.</w:t>
      </w:r>
    </w:p>
    <w:p>
      <w:pPr>
        <w:numPr>
          <w:ilvl w:val="0"/>
          <w:numId w:val="1081"/>
        </w:numPr>
        <w:pStyle w:val="Compact"/>
      </w:pPr>
      <w:r>
        <w:rPr>
          <w:rStyle w:val="VerbatimChar"/>
        </w:rPr>
        <w:t xml:space="preserve">LenderDeal*</w:t>
      </w:r>
      <w:r>
        <w:t xml:space="preserve"> </w:t>
      </w:r>
      <w:r>
        <w:t xml:space="preserve">events carry</w:t>
      </w:r>
      <w:r>
        <w:t xml:space="preserve"> </w:t>
      </w:r>
      <w:r>
        <w:rPr>
          <w:rStyle w:val="VerbatimChar"/>
        </w:rPr>
        <w:t xml:space="preserve">lender_type = NON_RE_SOCIETY</w:t>
      </w:r>
      <w:r>
        <w:t xml:space="preserve"> </w:t>
      </w:r>
      <w:r>
        <w:t xml:space="preserve">(Integration Spec 6.28) for a tenant of class</w:t>
      </w:r>
      <w:r>
        <w:t xml:space="preserve"> </w:t>
      </w:r>
      <w:r>
        <w:rPr>
          <w:rStyle w:val="VerbatimChar"/>
        </w:rPr>
        <w:t xml:space="preserve">lender_class = NON_RE_COOP</w:t>
      </w:r>
      <w:r>
        <w:t xml:space="preserve">; they go to the society’s certified system or are shown in the lender portal only (OUT para 36 does not bind a society).</w:t>
      </w:r>
    </w:p>
    <w:bookmarkEnd w:id="141"/>
    <w:bookmarkStart w:id="142" w:name="settings-and-options-3"/>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03"/>
        <w:gridCol w:w="1359"/>
        <w:gridCol w:w="1962"/>
        <w:gridCol w:w="3514"/>
      </w:tblGrid>
      <w:tr>
        <w:trPr>
          <w:tblHeader w:val="true"/>
          <w:tblHeader w:val="true"/>
        </w:trPr>
        <w:tc>
          <w:tcPr>
            <w:tcW w:w="2803" w:type="dxa"/>
            <w:shd w:val="clear" w:color="auto" w:fill="1F3A5F"/>
          </w:tcPr>
          <w:p>
            <w:pPr>
              <w:pStyle w:val="Compact"/>
              <w:spacing w:after="40"/>
              <w:jc w:val="left"/>
            </w:pPr>
            <w:r>
              <w:rPr>
                <w:b/>
                <w:color w:val="FFFFFF"/>
                <w:sz w:val="18"/>
              </w:rPr>
              <w:t xml:space="preserve">Setting</w:t>
            </w:r>
          </w:p>
        </w:tc>
        <w:tc>
          <w:tcPr>
            <w:tcW w:w="1359" w:type="dxa"/>
            <w:shd w:val="clear" w:color="auto" w:fill="1F3A5F"/>
          </w:tcPr>
          <w:p>
            <w:pPr>
              <w:pStyle w:val="Compact"/>
              <w:spacing w:after="40"/>
              <w:jc w:val="left"/>
            </w:pPr>
            <w:r>
              <w:rPr>
                <w:b/>
                <w:color w:val="FFFFFF"/>
                <w:sz w:val="18"/>
              </w:rPr>
              <w:t xml:space="preserve">Level</w:t>
            </w:r>
          </w:p>
        </w:tc>
        <w:tc>
          <w:tcPr>
            <w:tcW w:w="1962" w:type="dxa"/>
            <w:shd w:val="clear" w:color="auto" w:fill="1F3A5F"/>
          </w:tcPr>
          <w:p>
            <w:pPr>
              <w:pStyle w:val="Compact"/>
              <w:spacing w:after="40"/>
              <w:jc w:val="left"/>
            </w:pPr>
            <w:r>
              <w:rPr>
                <w:b/>
                <w:color w:val="FFFFFF"/>
                <w:sz w:val="18"/>
              </w:rPr>
              <w:t xml:space="preserve">Default</w:t>
            </w:r>
          </w:p>
        </w:tc>
        <w:tc>
          <w:tcPr>
            <w:tcW w:w="3514" w:type="dxa"/>
            <w:shd w:val="clear" w:color="auto" w:fill="1F3A5F"/>
          </w:tcPr>
          <w:p>
            <w:pPr>
              <w:pStyle w:val="Compact"/>
              <w:spacing w:after="40"/>
              <w:jc w:val="left"/>
            </w:pPr>
            <w:r>
              <w:rPr>
                <w:b/>
                <w:color w:val="FFFFFF"/>
                <w:sz w:val="18"/>
              </w:rPr>
              <w:t xml:space="preserve">Nature</w:t>
            </w:r>
          </w:p>
        </w:tc>
      </w:tr>
      <w:tr>
        <w:tc>
          <w:tcPr>
            <w:tcW w:w="2803" w:type="dxa"/>
          </w:tcPr>
          <w:p>
            <w:pPr>
              <w:pStyle w:val="Compact"/>
              <w:spacing w:after="40"/>
              <w:jc w:val="left"/>
            </w:pPr>
            <w:r>
              <w:rPr>
                <w:sz w:val="18"/>
              </w:rPr>
              <w:t xml:space="preserve">Channels for society loans</w:t>
            </w:r>
          </w:p>
        </w:tc>
        <w:tc>
          <w:tcPr>
            <w:tcW w:w="1359" w:type="dxa"/>
          </w:tcPr>
          <w:p>
            <w:pPr>
              <w:pStyle w:val="Compact"/>
              <w:spacing w:after="40"/>
              <w:jc w:val="left"/>
            </w:pPr>
            <w:r>
              <w:rPr>
                <w:sz w:val="18"/>
              </w:rPr>
              <w:t xml:space="preserve">Society</w:t>
            </w:r>
          </w:p>
        </w:tc>
        <w:tc>
          <w:tcPr>
            <w:tcW w:w="1962" w:type="dxa"/>
          </w:tcPr>
          <w:p>
            <w:pPr>
              <w:pStyle w:val="Compact"/>
              <w:spacing w:after="40"/>
              <w:jc w:val="left"/>
            </w:pPr>
            <w:r>
              <w:rPr>
                <w:sz w:val="18"/>
              </w:rPr>
              <w:t xml:space="preserve">Web/PWA and assisted only</w:t>
            </w:r>
          </w:p>
        </w:tc>
        <w:tc>
          <w:tcPr>
            <w:tcW w:w="3514" w:type="dxa"/>
          </w:tcPr>
          <w:p>
            <w:pPr>
              <w:pStyle w:val="Compact"/>
              <w:spacing w:after="40"/>
              <w:jc w:val="left"/>
            </w:pPr>
            <w:r>
              <w:rPr>
                <w:sz w:val="18"/>
              </w:rPr>
              <w:t xml:space="preserve">Fixed until app-store policy for non-RE lenders is confirmed (</w:t>
            </w:r>
            <w:r>
              <w:rPr>
                <w:rStyle w:val="VerbatimChar"/>
                <w:sz w:val="18"/>
              </w:rPr>
              <w:t xml:space="preserve">coop_channel_gate</w:t>
            </w:r>
            <w:r>
              <w:rPr>
                <w:sz w:val="18"/>
              </w:rPr>
              <w:t xml:space="preserve">)</w:t>
            </w:r>
          </w:p>
        </w:tc>
      </w:tr>
      <w:tr>
        <w:tc>
          <w:tcPr>
            <w:tcW w:w="2803" w:type="dxa"/>
          </w:tcPr>
          <w:p>
            <w:pPr>
              <w:pStyle w:val="Compact"/>
              <w:spacing w:after="40"/>
              <w:jc w:val="left"/>
            </w:pPr>
            <w:r>
              <w:rPr>
                <w:sz w:val="18"/>
              </w:rPr>
              <w:t xml:space="preserve">Deposit features</w:t>
            </w:r>
          </w:p>
        </w:tc>
        <w:tc>
          <w:tcPr>
            <w:tcW w:w="1359" w:type="dxa"/>
          </w:tcPr>
          <w:p>
            <w:pPr>
              <w:pStyle w:val="Compact"/>
              <w:spacing w:after="40"/>
              <w:jc w:val="left"/>
            </w:pPr>
            <w:r>
              <w:rPr>
                <w:sz w:val="18"/>
              </w:rPr>
              <w:t xml:space="preserve">Tenant class</w:t>
            </w:r>
          </w:p>
        </w:tc>
        <w:tc>
          <w:tcPr>
            <w:tcW w:w="1962" w:type="dxa"/>
          </w:tcPr>
          <w:p>
            <w:pPr>
              <w:pStyle w:val="Compact"/>
              <w:spacing w:after="40"/>
              <w:jc w:val="left"/>
            </w:pPr>
            <w:r>
              <w:rPr>
                <w:sz w:val="18"/>
              </w:rPr>
              <w:t xml:space="preserve">None exist</w:t>
            </w:r>
          </w:p>
        </w:tc>
        <w:tc>
          <w:tcPr>
            <w:tcW w:w="3514" w:type="dxa"/>
          </w:tcPr>
          <w:p>
            <w:pPr>
              <w:pStyle w:val="Compact"/>
              <w:spacing w:after="40"/>
              <w:jc w:val="left"/>
            </w:pPr>
            <w:r>
              <w:rPr>
                <w:sz w:val="18"/>
              </w:rPr>
              <w:t xml:space="preserve">Hard block; not configurable</w:t>
            </w:r>
          </w:p>
        </w:tc>
      </w:tr>
      <w:tr>
        <w:tc>
          <w:tcPr>
            <w:tcW w:w="2803" w:type="dxa"/>
          </w:tcPr>
          <w:p>
            <w:pPr>
              <w:pStyle w:val="Compact"/>
              <w:spacing w:after="40"/>
              <w:jc w:val="left"/>
            </w:pPr>
            <w:r>
              <w:rPr>
                <w:sz w:val="18"/>
              </w:rPr>
              <w:t xml:space="preserve">Read-only display of a member’s own deposit balance</w:t>
            </w:r>
          </w:p>
        </w:tc>
        <w:tc>
          <w:tcPr>
            <w:tcW w:w="1359" w:type="dxa"/>
          </w:tcPr>
          <w:p>
            <w:pPr>
              <w:pStyle w:val="Compact"/>
              <w:spacing w:after="40"/>
              <w:jc w:val="left"/>
            </w:pPr>
            <w:r>
              <w:rPr>
                <w:sz w:val="18"/>
              </w:rPr>
              <w:t xml:space="preserve">Society</w:t>
            </w:r>
          </w:p>
        </w:tc>
        <w:tc>
          <w:tcPr>
            <w:tcW w:w="1962" w:type="dxa"/>
          </w:tcPr>
          <w:p>
            <w:pPr>
              <w:pStyle w:val="Compact"/>
              <w:spacing w:after="40"/>
              <w:jc w:val="left"/>
            </w:pPr>
            <w:r>
              <w:rPr>
                <w:sz w:val="18"/>
              </w:rPr>
              <w:t xml:space="preserve">Off</w:t>
            </w:r>
          </w:p>
        </w:tc>
        <w:tc>
          <w:tcPr>
            <w:tcW w:w="3514" w:type="dxa"/>
          </w:tcPr>
          <w:p>
            <w:pPr>
              <w:pStyle w:val="Compact"/>
              <w:spacing w:after="40"/>
              <w:jc w:val="left"/>
            </w:pPr>
            <w:r>
              <w:rPr>
                <w:sz w:val="18"/>
              </w:rPr>
              <w:t xml:space="preserve">Society opt-in plus counsel confirmation</w:t>
            </w:r>
          </w:p>
        </w:tc>
      </w:tr>
      <w:tr>
        <w:tc>
          <w:tcPr>
            <w:tcW w:w="2803" w:type="dxa"/>
          </w:tcPr>
          <w:p>
            <w:pPr>
              <w:pStyle w:val="Compact"/>
              <w:spacing w:after="40"/>
              <w:jc w:val="left"/>
            </w:pPr>
            <w:r>
              <w:rPr>
                <w:sz w:val="18"/>
              </w:rPr>
              <w:t xml:space="preserve">Rule pack</w:t>
            </w:r>
          </w:p>
        </w:tc>
        <w:tc>
          <w:tcPr>
            <w:tcW w:w="1359" w:type="dxa"/>
          </w:tcPr>
          <w:p>
            <w:pPr>
              <w:pStyle w:val="Compact"/>
              <w:spacing w:after="40"/>
              <w:jc w:val="left"/>
            </w:pPr>
            <w:r>
              <w:rPr>
                <w:sz w:val="18"/>
              </w:rPr>
              <w:t xml:space="preserve">Society</w:t>
            </w:r>
          </w:p>
        </w:tc>
        <w:tc>
          <w:tcPr>
            <w:tcW w:w="1962" w:type="dxa"/>
          </w:tcPr>
          <w:p>
            <w:pPr>
              <w:pStyle w:val="Compact"/>
              <w:spacing w:after="40"/>
              <w:jc w:val="left"/>
            </w:pPr>
            <w:r>
              <w:rPr>
                <w:sz w:val="18"/>
              </w:rPr>
              <w:t xml:space="preserve">MSCS or the State pack</w:t>
            </w:r>
          </w:p>
        </w:tc>
        <w:tc>
          <w:tcPr>
            <w:tcW w:w="3514" w:type="dxa"/>
          </w:tcPr>
          <w:p>
            <w:pPr>
              <w:pStyle w:val="Compact"/>
              <w:spacing w:after="40"/>
              <w:jc w:val="left"/>
            </w:pPr>
            <w:r>
              <w:rPr>
                <w:sz w:val="18"/>
              </w:rPr>
              <w:t xml:space="preserve">Pack per (Act, State, effective date)</w:t>
            </w:r>
          </w:p>
        </w:tc>
      </w:tr>
      <w:tr>
        <w:tc>
          <w:tcPr>
            <w:tcW w:w="2803" w:type="dxa"/>
          </w:tcPr>
          <w:p>
            <w:pPr>
              <w:pStyle w:val="Compact"/>
              <w:spacing w:after="40"/>
              <w:jc w:val="left"/>
            </w:pPr>
            <w:r>
              <w:rPr>
                <w:sz w:val="18"/>
              </w:rPr>
              <w:t xml:space="preserve">Re-verification of eligibility items 3–7</w:t>
            </w:r>
          </w:p>
        </w:tc>
        <w:tc>
          <w:tcPr>
            <w:tcW w:w="1359" w:type="dxa"/>
          </w:tcPr>
          <w:p>
            <w:pPr>
              <w:pStyle w:val="Compact"/>
              <w:spacing w:after="40"/>
              <w:jc w:val="left"/>
            </w:pPr>
            <w:r>
              <w:rPr>
                <w:sz w:val="18"/>
              </w:rPr>
              <w:t xml:space="preserve">Society</w:t>
            </w:r>
          </w:p>
        </w:tc>
        <w:tc>
          <w:tcPr>
            <w:tcW w:w="1962" w:type="dxa"/>
          </w:tcPr>
          <w:p>
            <w:pPr>
              <w:pStyle w:val="Compact"/>
              <w:spacing w:after="40"/>
              <w:jc w:val="left"/>
            </w:pPr>
            <w:r>
              <w:rPr>
                <w:sz w:val="18"/>
              </w:rPr>
              <w:t xml:space="preserve">Annual</w:t>
            </w:r>
          </w:p>
        </w:tc>
        <w:tc>
          <w:tcPr>
            <w:tcW w:w="3514" w:type="dxa"/>
          </w:tcPr>
          <w:p>
            <w:pPr>
              <w:pStyle w:val="Compact"/>
              <w:spacing w:after="40"/>
              <w:jc w:val="left"/>
            </w:pPr>
            <w:r>
              <w:rPr>
                <w:sz w:val="18"/>
              </w:rPr>
              <w:t xml:space="preserve">Tighten only</w:t>
            </w:r>
          </w:p>
        </w:tc>
      </w:tr>
      <w:tr>
        <w:tc>
          <w:tcPr>
            <w:tcW w:w="2803" w:type="dxa"/>
          </w:tcPr>
          <w:p>
            <w:pPr>
              <w:pStyle w:val="Compact"/>
              <w:spacing w:after="40"/>
              <w:jc w:val="left"/>
            </w:pPr>
            <w:r>
              <w:rPr>
                <w:sz w:val="18"/>
              </w:rPr>
              <w:t xml:space="preserve">Society reply target for grievances</w:t>
            </w:r>
          </w:p>
        </w:tc>
        <w:tc>
          <w:tcPr>
            <w:tcW w:w="1359" w:type="dxa"/>
          </w:tcPr>
          <w:p>
            <w:pPr>
              <w:pStyle w:val="Compact"/>
              <w:spacing w:after="40"/>
              <w:jc w:val="left"/>
            </w:pPr>
            <w:r>
              <w:rPr>
                <w:sz w:val="18"/>
              </w:rPr>
              <w:t xml:space="preserve">Society</w:t>
            </w:r>
          </w:p>
        </w:tc>
        <w:tc>
          <w:tcPr>
            <w:tcW w:w="1962" w:type="dxa"/>
          </w:tcPr>
          <w:p>
            <w:pPr>
              <w:pStyle w:val="Compact"/>
              <w:spacing w:after="40"/>
              <w:jc w:val="left"/>
            </w:pPr>
            <w:r>
              <w:rPr>
                <w:sz w:val="18"/>
              </w:rPr>
              <w:t xml:space="preserve">30 days</w:t>
            </w:r>
          </w:p>
        </w:tc>
        <w:tc>
          <w:tcPr>
            <w:tcW w:w="3514" w:type="dxa"/>
          </w:tcPr>
          <w:p>
            <w:pPr>
              <w:pStyle w:val="Compact"/>
              <w:spacing w:after="40"/>
              <w:jc w:val="left"/>
            </w:pPr>
            <w:r>
              <w:rPr>
                <w:sz w:val="18"/>
              </w:rPr>
              <w:t xml:space="preserve">Contract floor [REC]</w:t>
            </w:r>
          </w:p>
        </w:tc>
      </w:tr>
    </w:tbl>
    <w:bookmarkEnd w:id="142"/>
    <w:bookmarkStart w:id="143" w:name="menu-and-screens-3"/>
    <w:p>
      <w:pPr>
        <w:pStyle w:val="Heading3"/>
      </w:pPr>
      <w:r>
        <w:t xml:space="preserve">Menu and screens</w:t>
      </w:r>
    </w:p>
    <w:p>
      <w:pPr>
        <w:numPr>
          <w:ilvl w:val="0"/>
          <w:numId w:val="1082"/>
        </w:numPr>
        <w:pStyle w:val="Compact"/>
      </w:pPr>
      <w:r>
        <w:rPr>
          <w:bCs/>
          <w:b/>
        </w:rPr>
        <w:t xml:space="preserve">Partners › Deals</w:t>
      </w:r>
      <w:r>
        <w:t xml:space="preserve"> </w:t>
      </w:r>
      <w:r>
        <w:t xml:space="preserve">with lender class</w:t>
      </w:r>
      <w:r>
        <w:t xml:space="preserve"> </w:t>
      </w:r>
      <w:r>
        <w:t xml:space="preserve">“</w:t>
      </w:r>
      <w:r>
        <w:t xml:space="preserve">Credit society</w:t>
      </w:r>
      <w:r>
        <w:t xml:space="preserve">”</w:t>
      </w:r>
      <w:r>
        <w:t xml:space="preserve"> </w:t>
      </w:r>
      <w:r>
        <w:t xml:space="preserve">(C): eligibility checklist (items 1–10 with evidence and validity), name-check result, rule-pack selection, counsel-opinion upload; bulk</w:t>
      </w:r>
      <w:r>
        <w:t xml:space="preserve"> </w:t>
      </w:r>
      <w:r>
        <w:rPr>
          <w:bCs/>
          <w:b/>
        </w:rPr>
        <w:t xml:space="preserve">Re-verify</w:t>
      </w:r>
      <w:r>
        <w:t xml:space="preserve"> </w:t>
      </w:r>
      <w:r>
        <w:t xml:space="preserve">at the annual date.</w:t>
      </w:r>
    </w:p>
    <w:p>
      <w:pPr>
        <w:numPr>
          <w:ilvl w:val="0"/>
          <w:numId w:val="1082"/>
        </w:numPr>
        <w:pStyle w:val="Compact"/>
      </w:pPr>
      <w:r>
        <w:rPr>
          <w:bCs/>
          <w:b/>
        </w:rPr>
        <w:t xml:space="preserve">Partners › Members</w:t>
      </w:r>
      <w:r>
        <w:t xml:space="preserve"> </w:t>
      </w:r>
      <w:r>
        <w:t xml:space="preserve">(D, society staff): verification queue (approve or reject a member lookup where the society has no API), membership applications with the deemed-refusal countdown, members’ loan applications with committee-approval references.</w:t>
      </w:r>
    </w:p>
    <w:p>
      <w:pPr>
        <w:numPr>
          <w:ilvl w:val="0"/>
          <w:numId w:val="1082"/>
        </w:numPr>
        <w:pStyle w:val="Compact"/>
      </w:pPr>
      <w:r>
        <w:t xml:space="preserve">Borrower web:</w:t>
      </w:r>
      <w:r>
        <w:t xml:space="preserve"> </w:t>
      </w:r>
      <w:r>
        <w:t xml:space="preserve">“</w:t>
      </w:r>
      <w:r>
        <w:t xml:space="preserve">Your society</w:t>
      </w:r>
      <w:r>
        <w:t xml:space="preserve">”</w:t>
      </w:r>
      <w:r>
        <w:t xml:space="preserve"> </w:t>
      </w:r>
      <w:r>
        <w:t xml:space="preserve">(MG1); empty state for a non-member:</w:t>
      </w:r>
      <w:r>
        <w:t xml:space="preserve"> </w:t>
      </w:r>
      <w:r>
        <w:t xml:space="preserve">“</w:t>
      </w:r>
      <w:r>
        <w:t xml:space="preserve">Apply for membership</w:t>
      </w:r>
      <w:r>
        <w:t xml:space="preserve">”</w:t>
      </w:r>
      <w:r>
        <w:t xml:space="preserve">; error for a defaulter:</w:t>
      </w:r>
      <w:r>
        <w:t xml:space="preserve"> </w:t>
      </w:r>
      <w:r>
        <w:t xml:space="preserve">“</w:t>
      </w:r>
      <w:r>
        <w:t xml:space="preserve">Please contact your society</w:t>
      </w:r>
      <w:r>
        <w:t xml:space="preserve">”</w:t>
      </w:r>
      <w:r>
        <w:t xml:space="preserve">.</w:t>
      </w:r>
    </w:p>
    <w:bookmarkEnd w:id="143"/>
    <w:bookmarkStart w:id="144" w:name="controls-3"/>
    <w:p>
      <w:pPr>
        <w:pStyle w:val="Heading3"/>
      </w:pPr>
      <w:r>
        <w:t xml:space="preserve">Controls</w:t>
      </w:r>
    </w:p>
    <w:p>
      <w:pPr>
        <w:numPr>
          <w:ilvl w:val="0"/>
          <w:numId w:val="1083"/>
        </w:numPr>
        <w:pStyle w:val="Compact"/>
      </w:pPr>
      <w:r>
        <w:t xml:space="preserve">UP-C13: name check blocks</w:t>
      </w:r>
      <w:r>
        <w:t xml:space="preserve"> </w:t>
      </w:r>
      <w:r>
        <w:t xml:space="preserve">“</w:t>
      </w:r>
      <w:r>
        <w:t xml:space="preserve">bank</w:t>
      </w:r>
      <w:r>
        <w:t xml:space="preserve">”</w:t>
      </w:r>
      <w:r>
        <w:t xml:space="preserve">,</w:t>
      </w:r>
      <w:r>
        <w:t xml:space="preserve"> </w:t>
      </w:r>
      <w:r>
        <w:t xml:space="preserve">“</w:t>
      </w:r>
      <w:r>
        <w:t xml:space="preserve">banker</w:t>
      </w:r>
      <w:r>
        <w:t xml:space="preserve">”</w:t>
      </w:r>
      <w:r>
        <w:t xml:space="preserve">,</w:t>
      </w:r>
      <w:r>
        <w:t xml:space="preserve"> </w:t>
      </w:r>
      <w:r>
        <w:t xml:space="preserve">“</w:t>
      </w:r>
      <w:r>
        <w:t xml:space="preserve">banking</w:t>
      </w:r>
      <w:r>
        <w:t xml:space="preserve">”</w:t>
      </w:r>
      <w:r>
        <w:t xml:space="preserve"> </w:t>
      </w:r>
      <w:r>
        <w:t xml:space="preserve">and transliterations.</w:t>
      </w:r>
    </w:p>
    <w:p>
      <w:pPr>
        <w:numPr>
          <w:ilvl w:val="0"/>
          <w:numId w:val="1083"/>
        </w:numPr>
        <w:pStyle w:val="Compact"/>
      </w:pPr>
      <w:r>
        <w:t xml:space="preserve">UP-C14: no deposit-related API, screen or template exists for a</w:t>
      </w:r>
      <w:r>
        <w:t xml:space="preserve"> </w:t>
      </w:r>
      <w:r>
        <w:rPr>
          <w:rStyle w:val="VerbatimChar"/>
        </w:rPr>
        <w:t xml:space="preserve">NON_RE_COOP</w:t>
      </w:r>
      <w:r>
        <w:t xml:space="preserve"> </w:t>
      </w:r>
      <w:r>
        <w:t xml:space="preserve">tenant (route-level test).</w:t>
      </w:r>
    </w:p>
    <w:p>
      <w:pPr>
        <w:numPr>
          <w:ilvl w:val="0"/>
          <w:numId w:val="1083"/>
        </w:numPr>
        <w:pStyle w:val="Compact"/>
      </w:pPr>
      <w:r>
        <w:t xml:space="preserve">UP-C15: society offers never enter the CF para 7 offer set.</w:t>
      </w:r>
    </w:p>
    <w:p>
      <w:pPr>
        <w:numPr>
          <w:ilvl w:val="0"/>
          <w:numId w:val="1083"/>
        </w:numPr>
        <w:pStyle w:val="Compact"/>
      </w:pPr>
      <w:r>
        <w:t xml:space="preserve">UP-C16: co-lending, DA and participation flags are rejected for any deal pairing a society with an RE.</w:t>
      </w:r>
    </w:p>
    <w:p>
      <w:pPr>
        <w:numPr>
          <w:ilvl w:val="0"/>
          <w:numId w:val="1083"/>
        </w:numPr>
        <w:pStyle w:val="Compact"/>
      </w:pPr>
      <w:r>
        <w:t xml:space="preserve">UP-C17: annual re-verification of eligibility items 3–7; failure suspends new sourcing (UP5).</w:t>
      </w:r>
    </w:p>
    <w:bookmarkEnd w:id="144"/>
    <w:bookmarkStart w:id="145" w:name="acceptance-tests-3"/>
    <w:p>
      <w:pPr>
        <w:pStyle w:val="Heading3"/>
      </w:pPr>
      <w:r>
        <w:t xml:space="preserve">Acceptance tests</w:t>
      </w:r>
    </w:p>
    <w:p>
      <w:pPr>
        <w:numPr>
          <w:ilvl w:val="0"/>
          <w:numId w:val="1084"/>
        </w:numPr>
        <w:pStyle w:val="Compact"/>
      </w:pPr>
      <w:r>
        <w:t xml:space="preserve">Onboarding</w:t>
      </w:r>
      <w:r>
        <w:t xml:space="preserve"> </w:t>
      </w:r>
      <w:r>
        <w:t xml:space="preserve">“</w:t>
      </w:r>
      <w:r>
        <w:t xml:space="preserve">XYZ Urban Co-operative Bank</w:t>
      </w:r>
      <w:r>
        <w:t xml:space="preserve">”</w:t>
      </w:r>
      <w:r>
        <w:t xml:space="preserve"> </w:t>
      </w:r>
      <w:r>
        <w:t xml:space="preserve">as a credit society is rejected at the name check (it would need the RE track as a UCB).</w:t>
      </w:r>
    </w:p>
    <w:p>
      <w:pPr>
        <w:numPr>
          <w:ilvl w:val="0"/>
          <w:numId w:val="1084"/>
        </w:numPr>
        <w:pStyle w:val="Compact"/>
      </w:pPr>
      <w:r>
        <w:t xml:space="preserve">A non-member opening the society’s loan journey is routed to membership application only.</w:t>
      </w:r>
    </w:p>
    <w:p>
      <w:pPr>
        <w:numPr>
          <w:ilvl w:val="0"/>
          <w:numId w:val="1084"/>
        </w:numPr>
        <w:pStyle w:val="Compact"/>
      </w:pPr>
      <w:r>
        <w:t xml:space="preserve">No deposit product can be published for a society tenant; the API returns 403.</w:t>
      </w:r>
    </w:p>
    <w:p>
      <w:pPr>
        <w:numPr>
          <w:ilvl w:val="0"/>
          <w:numId w:val="1084"/>
        </w:numPr>
        <w:pStyle w:val="Compact"/>
      </w:pPr>
      <w:r>
        <w:t xml:space="preserve">A member’s offer from the society does not appear in the multi-lender offer view and shows the not-RBI-regulated and no-DICGC statements.</w:t>
      </w:r>
    </w:p>
    <w:p>
      <w:pPr>
        <w:numPr>
          <w:ilvl w:val="0"/>
          <w:numId w:val="1084"/>
        </w:numPr>
        <w:pStyle w:val="Compact"/>
      </w:pPr>
      <w:r>
        <w:t xml:space="preserve">The grievance screen for a society loan shows the society GRO and Registrar or Co-operative Ombudsman route and does not show the RBI CMS link.</w:t>
      </w:r>
    </w:p>
    <w:p>
      <w:pPr>
        <w:numPr>
          <w:ilvl w:val="0"/>
          <w:numId w:val="1084"/>
        </w:numPr>
        <w:pStyle w:val="Compact"/>
      </w:pPr>
      <w:r>
        <w:t xml:space="preserve">A configuration attempting co-lending between a society and an NBFC fails validation with the TDCR reference.</w:t>
      </w:r>
    </w:p>
    <w:p>
      <w:pPr>
        <w:numPr>
          <w:ilvl w:val="0"/>
          <w:numId w:val="1084"/>
        </w:numPr>
        <w:pStyle w:val="Compact"/>
      </w:pPr>
      <w:r>
        <w:t xml:space="preserve">On the Android build, the society section is hidden while the store-policy flag is unconfirmed.</w:t>
      </w:r>
    </w:p>
    <w:p>
      <w:r>
        <w:pict>
          <v:rect style="width:0;height:1.5pt" o:hralign="center" o:hrstd="t" o:hr="t"/>
        </w:pict>
      </w:r>
    </w:p>
    <w:bookmarkEnd w:id="145"/>
    <w:bookmarkEnd w:id="146"/>
    <w:bookmarkStart w:id="158" w:name="X68b11762aef4b3c9f9ef65044cf56efa8801090"/>
    <w:p>
      <w:pPr>
        <w:pStyle w:val="Heading2"/>
      </w:pPr>
      <w:r>
        <w:t xml:space="preserve">UP5. Deal suspension, exit and portability</w:t>
      </w:r>
    </w:p>
    <w:bookmarkStart w:id="147" w:name="purpose-and-scope-4"/>
    <w:p>
      <w:pPr>
        <w:pStyle w:val="Heading3"/>
      </w:pPr>
      <w:r>
        <w:t xml:space="preserve">Purpose and scope</w:t>
      </w:r>
    </w:p>
    <w:p>
      <w:pPr>
        <w:pStyle w:val="FirstParagraph"/>
      </w:pPr>
      <w:r>
        <w:t xml:space="preserve">Suspend or end a deal in a controlled way that protects borrowers first, preserves records, honours the RE’s regulatory duties and lets the RE move to another provider or in-house (OUT paras 40–44, 84–89; CF para 18(2)).</w:t>
      </w:r>
    </w:p>
    <w:bookmarkEnd w:id="147"/>
    <w:bookmarkStart w:id="148" w:name="triggers-and-suspension-types"/>
    <w:p>
      <w:pPr>
        <w:pStyle w:val="Heading3"/>
      </w:pPr>
      <w:r>
        <w:t xml:space="preserve">Triggers and suspension types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308"/>
        <w:gridCol w:w="1628"/>
        <w:gridCol w:w="3702"/>
      </w:tblGrid>
      <w:tr>
        <w:trPr>
          <w:tblHeader w:val="true"/>
          <w:tblHeader w:val="true"/>
        </w:trPr>
        <w:tc>
          <w:tcPr>
            <w:tcW w:w="4308" w:type="dxa"/>
            <w:shd w:val="clear" w:color="auto" w:fill="1F3A5F"/>
          </w:tcPr>
          <w:p>
            <w:pPr>
              <w:pStyle w:val="Compact"/>
              <w:spacing w:after="40"/>
              <w:jc w:val="left"/>
            </w:pPr>
            <w:r>
              <w:rPr>
                <w:b/>
                <w:color w:val="FFFFFF"/>
                <w:sz w:val="18"/>
              </w:rPr>
              <w:t xml:space="preserve">Trigger</w:t>
            </w:r>
          </w:p>
        </w:tc>
        <w:tc>
          <w:tcPr>
            <w:tcW w:w="1628" w:type="dxa"/>
            <w:shd w:val="clear" w:color="auto" w:fill="1F3A5F"/>
          </w:tcPr>
          <w:p>
            <w:pPr>
              <w:pStyle w:val="Compact"/>
              <w:spacing w:after="40"/>
              <w:jc w:val="left"/>
            </w:pPr>
            <w:r>
              <w:rPr>
                <w:b/>
                <w:color w:val="FFFFFF"/>
                <w:sz w:val="18"/>
              </w:rPr>
              <w:t xml:space="preserve">Initiator</w:t>
            </w:r>
          </w:p>
        </w:tc>
        <w:tc>
          <w:tcPr>
            <w:tcW w:w="3702" w:type="dxa"/>
            <w:shd w:val="clear" w:color="auto" w:fill="1F3A5F"/>
          </w:tcPr>
          <w:p>
            <w:pPr>
              <w:pStyle w:val="Compact"/>
              <w:spacing w:after="40"/>
              <w:jc w:val="left"/>
            </w:pPr>
            <w:r>
              <w:rPr>
                <w:b/>
                <w:color w:val="FFFFFF"/>
                <w:sz w:val="18"/>
              </w:rPr>
              <w:t xml:space="preserve">Default suspension type</w:t>
            </w:r>
          </w:p>
        </w:tc>
      </w:tr>
      <w:tr>
        <w:tc>
          <w:tcPr>
            <w:tcW w:w="4308" w:type="dxa"/>
          </w:tcPr>
          <w:p>
            <w:pPr>
              <w:pStyle w:val="Compact"/>
              <w:spacing w:after="40"/>
              <w:jc w:val="left"/>
            </w:pPr>
            <w:r>
              <w:rPr>
                <w:sz w:val="18"/>
              </w:rPr>
              <w:t xml:space="preserve">RE instruction (OUT para 17 control)</w:t>
            </w:r>
          </w:p>
        </w:tc>
        <w:tc>
          <w:tcPr>
            <w:tcW w:w="1628" w:type="dxa"/>
          </w:tcPr>
          <w:p>
            <w:pPr>
              <w:pStyle w:val="Compact"/>
              <w:spacing w:after="40"/>
              <w:jc w:val="left"/>
            </w:pPr>
            <w:r>
              <w:rPr>
                <w:sz w:val="18"/>
              </w:rPr>
              <w:t xml:space="preserve">RE</w:t>
            </w:r>
          </w:p>
        </w:tc>
        <w:tc>
          <w:tcPr>
            <w:tcW w:w="3702" w:type="dxa"/>
          </w:tcPr>
          <w:p>
            <w:pPr>
              <w:pStyle w:val="Compact"/>
              <w:spacing w:after="40"/>
              <w:jc w:val="left"/>
            </w:pPr>
            <w:r>
              <w:rPr>
                <w:sz w:val="18"/>
              </w:rPr>
              <w:t xml:space="preserve">As instructed</w:t>
            </w:r>
          </w:p>
        </w:tc>
      </w:tr>
      <w:tr>
        <w:tc>
          <w:tcPr>
            <w:tcW w:w="4308" w:type="dxa"/>
          </w:tcPr>
          <w:p>
            <w:pPr>
              <w:pStyle w:val="Compact"/>
              <w:spacing w:after="40"/>
              <w:jc w:val="left"/>
            </w:pPr>
            <w:r>
              <w:rPr>
                <w:sz w:val="18"/>
              </w:rPr>
              <w:t xml:space="preserve">Material breach of the agreement or SLA</w:t>
            </w:r>
          </w:p>
        </w:tc>
        <w:tc>
          <w:tcPr>
            <w:tcW w:w="1628" w:type="dxa"/>
          </w:tcPr>
          <w:p>
            <w:pPr>
              <w:pStyle w:val="Compact"/>
              <w:spacing w:after="40"/>
              <w:jc w:val="left"/>
            </w:pPr>
            <w:r>
              <w:rPr>
                <w:sz w:val="18"/>
              </w:rPr>
              <w:t xml:space="preserve">Either party</w:t>
            </w:r>
          </w:p>
        </w:tc>
        <w:tc>
          <w:tcPr>
            <w:tcW w:w="3702" w:type="dxa"/>
          </w:tcPr>
          <w:p>
            <w:pPr>
              <w:pStyle w:val="Compact"/>
              <w:spacing w:after="40"/>
              <w:jc w:val="left"/>
            </w:pPr>
            <w:r>
              <w:rPr>
                <w:sz w:val="18"/>
              </w:rPr>
              <w:t xml:space="preserve">New sourcing paused</w:t>
            </w:r>
          </w:p>
        </w:tc>
      </w:tr>
      <w:tr>
        <w:tc>
          <w:tcPr>
            <w:tcW w:w="4308" w:type="dxa"/>
          </w:tcPr>
          <w:p>
            <w:pPr>
              <w:pStyle w:val="Compact"/>
              <w:spacing w:after="40"/>
              <w:jc w:val="left"/>
            </w:pPr>
            <w:r>
              <w:rPr>
                <w:sz w:val="18"/>
              </w:rPr>
              <w:t xml:space="preserve">RBI action against the RE (CoR cancellation, business restriction) or against Udofin</w:t>
            </w:r>
          </w:p>
        </w:tc>
        <w:tc>
          <w:tcPr>
            <w:tcW w:w="1628" w:type="dxa"/>
          </w:tcPr>
          <w:p>
            <w:pPr>
              <w:pStyle w:val="Compact"/>
              <w:spacing w:after="40"/>
              <w:jc w:val="left"/>
            </w:pPr>
            <w:r>
              <w:rPr>
                <w:sz w:val="18"/>
              </w:rPr>
              <w:t xml:space="preserve">Either</w:t>
            </w:r>
          </w:p>
        </w:tc>
        <w:tc>
          <w:tcPr>
            <w:tcW w:w="3702" w:type="dxa"/>
          </w:tcPr>
          <w:p>
            <w:pPr>
              <w:pStyle w:val="Compact"/>
              <w:spacing w:after="40"/>
              <w:jc w:val="left"/>
            </w:pPr>
            <w:r>
              <w:rPr>
                <w:sz w:val="18"/>
              </w:rPr>
              <w:t xml:space="preserve">Full suspension of new sourcing; servicing per RBI instruction</w:t>
            </w:r>
          </w:p>
        </w:tc>
      </w:tr>
      <w:tr>
        <w:tc>
          <w:tcPr>
            <w:tcW w:w="4308" w:type="dxa"/>
          </w:tcPr>
          <w:p>
            <w:pPr>
              <w:pStyle w:val="Compact"/>
              <w:spacing w:after="40"/>
              <w:jc w:val="left"/>
            </w:pPr>
            <w:r>
              <w:rPr>
                <w:sz w:val="18"/>
              </w:rPr>
              <w:t xml:space="preserve">Security incident affecting the RE’s data</w:t>
            </w:r>
          </w:p>
        </w:tc>
        <w:tc>
          <w:tcPr>
            <w:tcW w:w="1628" w:type="dxa"/>
          </w:tcPr>
          <w:p>
            <w:pPr>
              <w:pStyle w:val="Compact"/>
              <w:spacing w:after="40"/>
              <w:jc w:val="left"/>
            </w:pPr>
            <w:r>
              <w:rPr>
                <w:sz w:val="18"/>
              </w:rPr>
              <w:t xml:space="preserve">Either</w:t>
            </w:r>
          </w:p>
        </w:tc>
        <w:tc>
          <w:tcPr>
            <w:tcW w:w="3702" w:type="dxa"/>
          </w:tcPr>
          <w:p>
            <w:pPr>
              <w:pStyle w:val="Compact"/>
              <w:spacing w:after="40"/>
              <w:jc w:val="left"/>
            </w:pPr>
            <w:r>
              <w:rPr>
                <w:sz w:val="18"/>
              </w:rPr>
              <w:t xml:space="preserve">Connector paused; servicing view read-only</w:t>
            </w:r>
          </w:p>
        </w:tc>
      </w:tr>
      <w:tr>
        <w:tc>
          <w:tcPr>
            <w:tcW w:w="4308" w:type="dxa"/>
          </w:tcPr>
          <w:p>
            <w:pPr>
              <w:pStyle w:val="Compact"/>
              <w:spacing w:after="40"/>
              <w:jc w:val="left"/>
            </w:pPr>
            <w:r>
              <w:rPr>
                <w:sz w:val="18"/>
              </w:rPr>
              <w:t xml:space="preserve">Non-RE eligibility failure (UP4)</w:t>
            </w:r>
          </w:p>
        </w:tc>
        <w:tc>
          <w:tcPr>
            <w:tcW w:w="1628" w:type="dxa"/>
          </w:tcPr>
          <w:p>
            <w:pPr>
              <w:pStyle w:val="Compact"/>
              <w:spacing w:after="40"/>
              <w:jc w:val="left"/>
            </w:pPr>
            <w:r>
              <w:rPr>
                <w:sz w:val="18"/>
              </w:rPr>
              <w:t xml:space="preserve">Udofin</w:t>
            </w:r>
          </w:p>
        </w:tc>
        <w:tc>
          <w:tcPr>
            <w:tcW w:w="3702" w:type="dxa"/>
          </w:tcPr>
          <w:p>
            <w:pPr>
              <w:pStyle w:val="Compact"/>
              <w:spacing w:after="40"/>
              <w:jc w:val="left"/>
            </w:pPr>
            <w:r>
              <w:rPr>
                <w:sz w:val="18"/>
              </w:rPr>
              <w:t xml:space="preserve">New sourcing paused</w:t>
            </w:r>
          </w:p>
        </w:tc>
      </w:tr>
      <w:tr>
        <w:tc>
          <w:tcPr>
            <w:tcW w:w="4308" w:type="dxa"/>
          </w:tcPr>
          <w:p>
            <w:pPr>
              <w:pStyle w:val="Compact"/>
              <w:spacing w:after="40"/>
              <w:jc w:val="left"/>
            </w:pPr>
            <w:r>
              <w:rPr>
                <w:sz w:val="18"/>
              </w:rPr>
              <w:t xml:space="preserve">Agreement expiry or termination notice</w:t>
            </w:r>
          </w:p>
        </w:tc>
        <w:tc>
          <w:tcPr>
            <w:tcW w:w="1628" w:type="dxa"/>
          </w:tcPr>
          <w:p>
            <w:pPr>
              <w:pStyle w:val="Compact"/>
              <w:spacing w:after="40"/>
              <w:jc w:val="left"/>
            </w:pPr>
            <w:r>
              <w:rPr>
                <w:sz w:val="18"/>
              </w:rPr>
              <w:t xml:space="preserve">Either</w:t>
            </w:r>
          </w:p>
        </w:tc>
        <w:tc>
          <w:tcPr>
            <w:tcW w:w="3702" w:type="dxa"/>
          </w:tcPr>
          <w:p>
            <w:pPr>
              <w:pStyle w:val="Compact"/>
              <w:spacing w:after="40"/>
              <w:jc w:val="left"/>
            </w:pPr>
            <w:r>
              <w:rPr>
                <w:sz w:val="18"/>
              </w:rPr>
              <w:t xml:space="preserve">Wind-down plan</w:t>
            </w:r>
          </w:p>
        </w:tc>
      </w:tr>
    </w:tbl>
    <w:p>
      <w:pPr>
        <w:pStyle w:val="BodyText"/>
      </w:pPr>
      <w:r>
        <w:t xml:space="preserve">Suspension types:</w:t>
      </w:r>
      <w:r>
        <w:t xml:space="preserve"> </w:t>
      </w:r>
      <w:r>
        <w:rPr>
          <w:rStyle w:val="VerbatimChar"/>
        </w:rPr>
        <w:t xml:space="preserve">NEW_SOURCING_PAUSED</w:t>
      </w:r>
      <w:r>
        <w:t xml:space="preserve"> </w:t>
      </w:r>
      <w:r>
        <w:t xml:space="preserve">(no new applications; existing journeys continue to KFS expiry; event scope</w:t>
      </w:r>
      <w:r>
        <w:t xml:space="preserve"> </w:t>
      </w:r>
      <w:r>
        <w:rPr>
          <w:rStyle w:val="VerbatimChar"/>
        </w:rPr>
        <w:t xml:space="preserve">NEW_BUSINESS</w:t>
      </w:r>
      <w:r>
        <w:t xml:space="preserve">),</w:t>
      </w:r>
      <w:r>
        <w:t xml:space="preserve"> </w:t>
      </w:r>
      <w:r>
        <w:rPr>
          <w:rStyle w:val="VerbatimChar"/>
        </w:rPr>
        <w:t xml:space="preserve">RECOVERY_PAUSED</w:t>
      </w:r>
      <w:r>
        <w:t xml:space="preserve"> </w:t>
      </w:r>
      <w:r>
        <w:t xml:space="preserve">(Part 7A UR4 stops; reminders continue if the RE allows),</w:t>
      </w:r>
      <w:r>
        <w:t xml:space="preserve"> </w:t>
      </w:r>
      <w:r>
        <w:rPr>
          <w:rStyle w:val="VerbatimChar"/>
        </w:rPr>
        <w:t xml:space="preserve">CONNECTOR_PAUSED</w:t>
      </w:r>
      <w:r>
        <w:t xml:space="preserve"> </w:t>
      </w:r>
      <w:r>
        <w:t xml:space="preserve">(no data exchange; borrower sees honest status; queued messages replayed in order on resumption),</w:t>
      </w:r>
      <w:r>
        <w:t xml:space="preserve"> </w:t>
      </w:r>
      <w:r>
        <w:rPr>
          <w:rStyle w:val="VerbatimChar"/>
        </w:rPr>
        <w:t xml:space="preserve">FULL</w:t>
      </w:r>
      <w:r>
        <w:t xml:space="preserve"> </w:t>
      </w:r>
      <w:r>
        <w:t xml:space="preserve">(all of the above; servicing view read-only); the last three publish event scope</w:t>
      </w:r>
      <w:r>
        <w:t xml:space="preserve"> </w:t>
      </w:r>
      <w:r>
        <w:rPr>
          <w:rStyle w:val="VerbatimChar"/>
        </w:rPr>
        <w:t xml:space="preserve">ALL</w:t>
      </w:r>
      <w:r>
        <w:t xml:space="preserve">. A suspension never blocks repayments to the RE’s accounts, open grievances, document downloads or cooling-off exits.</w:t>
      </w:r>
    </w:p>
    <w:bookmarkEnd w:id="148"/>
    <w:bookmarkStart w:id="149" w:name="X4e4fad8786e30be0bac31c6823dc500ee72cdea"/>
    <w:p>
      <w:pPr>
        <w:pStyle w:val="Heading3"/>
      </w:pPr>
      <w:r>
        <w:t xml:space="preserve">Borrower continuity rules (exit or suspension)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93"/>
        <w:gridCol w:w="7145"/>
      </w:tblGrid>
      <w:tr>
        <w:trPr>
          <w:tblHeader w:val="true"/>
          <w:tblHeader w:val="true"/>
        </w:trPr>
        <w:tc>
          <w:tcPr>
            <w:tcW w:w="2493" w:type="dxa"/>
            <w:shd w:val="clear" w:color="auto" w:fill="1F3A5F"/>
          </w:tcPr>
          <w:p>
            <w:pPr>
              <w:pStyle w:val="Compact"/>
              <w:spacing w:after="40"/>
              <w:jc w:val="left"/>
            </w:pPr>
            <w:r>
              <w:rPr>
                <w:b/>
                <w:color w:val="FFFFFF"/>
                <w:sz w:val="18"/>
              </w:rPr>
              <w:t xml:space="preserve">Borrower position</w:t>
            </w:r>
          </w:p>
        </w:tc>
        <w:tc>
          <w:tcPr>
            <w:tcW w:w="7145" w:type="dxa"/>
            <w:shd w:val="clear" w:color="auto" w:fill="1F3A5F"/>
          </w:tcPr>
          <w:p>
            <w:pPr>
              <w:pStyle w:val="Compact"/>
              <w:spacing w:after="40"/>
              <w:jc w:val="left"/>
            </w:pPr>
            <w:r>
              <w:rPr>
                <w:b/>
                <w:color w:val="FFFFFF"/>
                <w:sz w:val="18"/>
              </w:rPr>
              <w:t xml:space="preserve">Treatment</w:t>
            </w:r>
          </w:p>
        </w:tc>
      </w:tr>
      <w:tr>
        <w:tc>
          <w:tcPr>
            <w:tcW w:w="2493" w:type="dxa"/>
          </w:tcPr>
          <w:p>
            <w:pPr>
              <w:pStyle w:val="Compact"/>
              <w:spacing w:after="40"/>
              <w:jc w:val="left"/>
            </w:pPr>
            <w:r>
              <w:rPr>
                <w:sz w:val="18"/>
              </w:rPr>
              <w:t xml:space="preserve">Browsing or not yet applied</w:t>
            </w:r>
          </w:p>
        </w:tc>
        <w:tc>
          <w:tcPr>
            <w:tcW w:w="7145" w:type="dxa"/>
          </w:tcPr>
          <w:p>
            <w:pPr>
              <w:pStyle w:val="Compact"/>
              <w:spacing w:after="40"/>
              <w:jc w:val="left"/>
            </w:pPr>
            <w:r>
              <w:rPr>
                <w:sz w:val="18"/>
              </w:rPr>
              <w:t xml:space="preserve">The RE disappears from new matching; the unmatched-lender list does not name an exited RE [INTERP: an exited lender is no longer a lender with an agreement]</w:t>
            </w:r>
          </w:p>
        </w:tc>
      </w:tr>
      <w:tr>
        <w:tc>
          <w:tcPr>
            <w:tcW w:w="2493" w:type="dxa"/>
          </w:tcPr>
          <w:p>
            <w:pPr>
              <w:pStyle w:val="Compact"/>
              <w:spacing w:after="40"/>
              <w:jc w:val="left"/>
            </w:pPr>
            <w:r>
              <w:rPr>
                <w:sz w:val="18"/>
              </w:rPr>
              <w:t xml:space="preserve">Application submitted, no decision</w:t>
            </w:r>
          </w:p>
        </w:tc>
        <w:tc>
          <w:tcPr>
            <w:tcW w:w="7145" w:type="dxa"/>
          </w:tcPr>
          <w:p>
            <w:pPr>
              <w:pStyle w:val="Compact"/>
              <w:spacing w:after="40"/>
              <w:jc w:val="left"/>
            </w:pPr>
            <w:r>
              <w:rPr>
                <w:sz w:val="18"/>
              </w:rPr>
              <w:t xml:space="preserve">The RE decides or returns it within the agreed wind-down period; the borrower is told the RE’s name and status; on return, the borrower may apply elsewhere with fresh consent</w:t>
            </w:r>
          </w:p>
        </w:tc>
      </w:tr>
      <w:tr>
        <w:tc>
          <w:tcPr>
            <w:tcW w:w="2493" w:type="dxa"/>
          </w:tcPr>
          <w:p>
            <w:pPr>
              <w:pStyle w:val="Compact"/>
              <w:spacing w:after="40"/>
              <w:jc w:val="left"/>
            </w:pPr>
            <w:r>
              <w:rPr>
                <w:sz w:val="18"/>
              </w:rPr>
              <w:t xml:space="preserve">KFS issued, not accepted</w:t>
            </w:r>
          </w:p>
        </w:tc>
        <w:tc>
          <w:tcPr>
            <w:tcW w:w="7145" w:type="dxa"/>
          </w:tcPr>
          <w:p>
            <w:pPr>
              <w:pStyle w:val="Compact"/>
              <w:spacing w:after="40"/>
              <w:jc w:val="left"/>
            </w:pPr>
            <w:r>
              <w:rPr>
                <w:sz w:val="18"/>
              </w:rPr>
              <w:t xml:space="preserve">Offer withdrawn at the earlier of KFS validity expiry or the exit date, with notice</w:t>
            </w:r>
          </w:p>
        </w:tc>
      </w:tr>
      <w:tr>
        <w:tc>
          <w:tcPr>
            <w:tcW w:w="2493" w:type="dxa"/>
          </w:tcPr>
          <w:p>
            <w:pPr>
              <w:pStyle w:val="Compact"/>
              <w:spacing w:after="40"/>
              <w:jc w:val="left"/>
            </w:pPr>
            <w:r>
              <w:rPr>
                <w:sz w:val="18"/>
              </w:rPr>
              <w:t xml:space="preserve">KFS accepted, not disbursed</w:t>
            </w:r>
          </w:p>
        </w:tc>
        <w:tc>
          <w:tcPr>
            <w:tcW w:w="7145" w:type="dxa"/>
          </w:tcPr>
          <w:p>
            <w:pPr>
              <w:pStyle w:val="Compact"/>
              <w:spacing w:after="40"/>
              <w:jc w:val="left"/>
            </w:pPr>
            <w:r>
              <w:rPr>
                <w:sz w:val="18"/>
              </w:rPr>
              <w:t xml:space="preserve">The RE is bound by the accepted KFS within validity (RBC para 29(2) Explanation); the RE completes or formally cancels with reasons; Udofin keeps the journey open until then</w:t>
            </w:r>
          </w:p>
        </w:tc>
      </w:tr>
      <w:tr>
        <w:tc>
          <w:tcPr>
            <w:tcW w:w="2493" w:type="dxa"/>
          </w:tcPr>
          <w:p>
            <w:pPr>
              <w:pStyle w:val="Compact"/>
              <w:spacing w:after="40"/>
              <w:jc w:val="left"/>
            </w:pPr>
            <w:r>
              <w:rPr>
                <w:sz w:val="18"/>
              </w:rPr>
              <w:t xml:space="preserve">Active loan</w:t>
            </w:r>
          </w:p>
        </w:tc>
        <w:tc>
          <w:tcPr>
            <w:tcW w:w="7145" w:type="dxa"/>
          </w:tcPr>
          <w:p>
            <w:pPr>
              <w:pStyle w:val="Compact"/>
              <w:spacing w:after="40"/>
              <w:jc w:val="left"/>
            </w:pPr>
            <w:r>
              <w:rPr>
                <w:sz w:val="18"/>
              </w:rPr>
              <w:t xml:space="preserve">Repayments continue to the RE’s accounts and mandates in the RE’s favour are unaffected; the Udofin servicing view continues for the transition period or becomes read-only with</w:t>
            </w:r>
            <w:r>
              <w:rPr>
                <w:sz w:val="18"/>
              </w:rPr>
              <w:t xml:space="preserve"> </w:t>
            </w:r>
            <w:r>
              <w:rPr>
                <w:sz w:val="18"/>
              </w:rPr>
              <w:t xml:space="preserve">“</w:t>
            </w:r>
            <w:r>
              <w:rPr>
                <w:sz w:val="18"/>
              </w:rPr>
              <w:t xml:space="preserve">contact [RE name]</w:t>
            </w:r>
            <w:r>
              <w:rPr>
                <w:sz w:val="18"/>
              </w:rPr>
              <w:t xml:space="preserve">”</w:t>
            </w:r>
            <w:r>
              <w:rPr>
                <w:sz w:val="18"/>
              </w:rPr>
              <w:t xml:space="preserve"> </w:t>
            </w:r>
            <w:r>
              <w:rPr>
                <w:sz w:val="18"/>
              </w:rPr>
              <w:t xml:space="preserve">details; payment links and UPI intents are re-pointed only on the RE’s instruction</w:t>
            </w:r>
          </w:p>
        </w:tc>
      </w:tr>
      <w:tr>
        <w:tc>
          <w:tcPr>
            <w:tcW w:w="2493" w:type="dxa"/>
          </w:tcPr>
          <w:p>
            <w:pPr>
              <w:pStyle w:val="Compact"/>
              <w:spacing w:after="40"/>
              <w:jc w:val="left"/>
            </w:pPr>
            <w:r>
              <w:rPr>
                <w:sz w:val="18"/>
              </w:rPr>
              <w:t xml:space="preserve">Cooling-off running</w:t>
            </w:r>
          </w:p>
        </w:tc>
        <w:tc>
          <w:tcPr>
            <w:tcW w:w="7145" w:type="dxa"/>
          </w:tcPr>
          <w:p>
            <w:pPr>
              <w:pStyle w:val="Compact"/>
              <w:spacing w:after="40"/>
              <w:jc w:val="left"/>
            </w:pPr>
            <w:r>
              <w:rPr>
                <w:sz w:val="18"/>
              </w:rPr>
              <w:t xml:space="preserve">The exit option stays available to the end of the period</w:t>
            </w:r>
          </w:p>
        </w:tc>
      </w:tr>
      <w:tr>
        <w:tc>
          <w:tcPr>
            <w:tcW w:w="2493" w:type="dxa"/>
          </w:tcPr>
          <w:p>
            <w:pPr>
              <w:pStyle w:val="Compact"/>
              <w:spacing w:after="40"/>
              <w:jc w:val="left"/>
            </w:pPr>
            <w:r>
              <w:rPr>
                <w:sz w:val="18"/>
              </w:rPr>
              <w:t xml:space="preserve">Open grievance</w:t>
            </w:r>
          </w:p>
        </w:tc>
        <w:tc>
          <w:tcPr>
            <w:tcW w:w="7145" w:type="dxa"/>
          </w:tcPr>
          <w:p>
            <w:pPr>
              <w:pStyle w:val="Compact"/>
              <w:spacing w:after="40"/>
              <w:jc w:val="left"/>
            </w:pPr>
            <w:r>
              <w:rPr>
                <w:sz w:val="18"/>
              </w:rPr>
              <w:t xml:space="preserve">Continues to be forwarded and tracked to closure; UB3 clocks and escalation information unchanged</w:t>
            </w:r>
          </w:p>
        </w:tc>
      </w:tr>
      <w:tr>
        <w:tc>
          <w:tcPr>
            <w:tcW w:w="2493" w:type="dxa"/>
          </w:tcPr>
          <w:p>
            <w:pPr>
              <w:pStyle w:val="Compact"/>
              <w:spacing w:after="40"/>
              <w:jc w:val="left"/>
            </w:pPr>
            <w:r>
              <w:rPr>
                <w:sz w:val="18"/>
              </w:rPr>
              <w:t xml:space="preserve">Recovery allocation</w:t>
            </w:r>
          </w:p>
        </w:tc>
        <w:tc>
          <w:tcPr>
            <w:tcW w:w="7145" w:type="dxa"/>
          </w:tcPr>
          <w:p>
            <w:pPr>
              <w:pStyle w:val="Compact"/>
              <w:spacing w:after="40"/>
              <w:jc w:val="left"/>
            </w:pPr>
            <w:r>
              <w:rPr>
                <w:sz w:val="18"/>
              </w:rPr>
              <w:t xml:space="preserve">Handed back to the RE (</w:t>
            </w:r>
            <w:r>
              <w:rPr>
                <w:rStyle w:val="VerbatimChar"/>
                <w:sz w:val="18"/>
              </w:rPr>
              <w:t xml:space="preserve">CollectionDeallocated</w:t>
            </w:r>
            <w:r>
              <w:rPr>
                <w:sz w:val="18"/>
              </w:rPr>
              <w:t xml:space="preserve">); borrower notified by the RE of the change (RBC para 95; paras 100M–100N from 1 Jan 2027 [VERIFY])</w:t>
            </w:r>
          </w:p>
        </w:tc>
      </w:tr>
      <w:tr>
        <w:tc>
          <w:tcPr>
            <w:tcW w:w="2493" w:type="dxa"/>
          </w:tcPr>
          <w:p>
            <w:pPr>
              <w:pStyle w:val="Compact"/>
              <w:spacing w:after="40"/>
              <w:jc w:val="left"/>
            </w:pPr>
            <w:r>
              <w:rPr>
                <w:sz w:val="18"/>
              </w:rPr>
              <w:t xml:space="preserve">Documents and data</w:t>
            </w:r>
          </w:p>
        </w:tc>
        <w:tc>
          <w:tcPr>
            <w:tcW w:w="7145" w:type="dxa"/>
          </w:tcPr>
          <w:p>
            <w:pPr>
              <w:pStyle w:val="Compact"/>
              <w:spacing w:after="40"/>
              <w:jc w:val="left"/>
            </w:pPr>
            <w:r>
              <w:rPr>
                <w:sz w:val="18"/>
              </w:rPr>
              <w:t xml:space="preserve">The borrower keeps download access (UB1) for at least 90 days after the servicing view closes [REC], with notice before access ends; afterwards a</w:t>
            </w:r>
            <w:r>
              <w:rPr>
                <w:sz w:val="18"/>
              </w:rPr>
              <w:t xml:space="preserve"> </w:t>
            </w:r>
            <w:r>
              <w:rPr>
                <w:sz w:val="18"/>
              </w:rPr>
              <w:t xml:space="preserve">“</w:t>
            </w:r>
            <w:r>
              <w:rPr>
                <w:sz w:val="18"/>
              </w:rPr>
              <w:t xml:space="preserve">request from [RE name]</w:t>
            </w:r>
            <w:r>
              <w:rPr>
                <w:sz w:val="18"/>
              </w:rPr>
              <w:t xml:space="preserve">”</w:t>
            </w:r>
            <w:r>
              <w:rPr>
                <w:sz w:val="18"/>
              </w:rPr>
              <w:t xml:space="preserve"> </w:t>
            </w:r>
            <w:r>
              <w:rPr>
                <w:sz w:val="18"/>
              </w:rPr>
              <w:t xml:space="preserve">route</w:t>
            </w:r>
          </w:p>
        </w:tc>
      </w:tr>
    </w:tbl>
    <w:bookmarkEnd w:id="149"/>
    <w:bookmarkStart w:id="150" w:name="re-duties-udofin-supports"/>
    <w:p>
      <w:pPr>
        <w:pStyle w:val="Heading3"/>
      </w:pPr>
      <w:r>
        <w:t xml:space="preserve">RE duties Udofin supports</w:t>
      </w:r>
    </w:p>
    <w:p>
      <w:pPr>
        <w:numPr>
          <w:ilvl w:val="0"/>
          <w:numId w:val="1085"/>
        </w:numPr>
        <w:pStyle w:val="Compact"/>
      </w:pPr>
      <w:r>
        <w:rPr>
          <w:bCs/>
          <w:b/>
        </w:rPr>
        <w:t xml:space="preserve">Publicity</w:t>
      </w:r>
      <w:r>
        <w:t xml:space="preserve"> </w:t>
      </w:r>
      <w:r>
        <w:t xml:space="preserve">is the RE’s (OUT paras 44, 89); Udofin sends the RE-approved borrower notice on instruction and records delivery.</w:t>
      </w:r>
    </w:p>
    <w:p>
      <w:pPr>
        <w:numPr>
          <w:ilvl w:val="0"/>
          <w:numId w:val="1085"/>
        </w:numPr>
        <w:pStyle w:val="Compact"/>
      </w:pPr>
      <w:r>
        <w:rPr>
          <w:bCs/>
          <w:b/>
        </w:rPr>
        <w:t xml:space="preserve">CIMS and websites:</w:t>
      </w:r>
      <w:r>
        <w:t xml:space="preserve"> </w:t>
      </w:r>
      <w:r>
        <w:t xml:space="preserve">the RE updates its CIMS lines (CF para 18(2)) and disclosure page (CF para 9(4)) from Udofin’s final P1 pack with cessation dates; Udofin removes the RE from store descriptions and its lender list on the exit date.</w:t>
      </w:r>
    </w:p>
    <w:p>
      <w:pPr>
        <w:numPr>
          <w:ilvl w:val="0"/>
          <w:numId w:val="1085"/>
        </w:numPr>
        <w:pStyle w:val="Compact"/>
      </w:pPr>
      <w:r>
        <w:rPr>
          <w:bCs/>
          <w:b/>
        </w:rPr>
        <w:t xml:space="preserve">DLG</w:t>
      </w:r>
      <w:r>
        <w:t xml:space="preserve"> </w:t>
      </w:r>
      <w:r>
        <w:t xml:space="preserve">survives exit: cover, invocation and monthly disclosure continue for the set to the agreed term, not shorter than the longest tenor (CF paras 27(2), 28).</w:t>
      </w:r>
    </w:p>
    <w:bookmarkEnd w:id="150"/>
    <w:bookmarkStart w:id="151" w:name="data-return-and-destruction"/>
    <w:p>
      <w:pPr>
        <w:pStyle w:val="Heading3"/>
      </w:pPr>
      <w:r>
        <w:t xml:space="preserve">Data return and destruction</w:t>
      </w:r>
    </w:p>
    <w:p>
      <w:pPr>
        <w:numPr>
          <w:ilvl w:val="0"/>
          <w:numId w:val="1086"/>
        </w:numPr>
        <w:pStyle w:val="Compact"/>
      </w:pPr>
      <w:r>
        <w:rPr>
          <w:bCs/>
          <w:b/>
        </w:rPr>
        <w:t xml:space="preserve">Freeze:</w:t>
      </w:r>
      <w:r>
        <w:t xml:space="preserve"> </w:t>
      </w:r>
      <w:r>
        <w:t xml:space="preserve">from exit notice, no erasure, purge or alteration of the RE’s data except as the RE or regulator directs (OUT para 87); scheduled purges for this RE are suspended and logged.</w:t>
      </w:r>
    </w:p>
    <w:p>
      <w:pPr>
        <w:numPr>
          <w:ilvl w:val="0"/>
          <w:numId w:val="1086"/>
        </w:numPr>
        <w:pStyle w:val="Compact"/>
      </w:pPr>
      <w:r>
        <w:rPr>
          <w:bCs/>
          <w:b/>
        </w:rPr>
        <w:t xml:space="preserve">Return:</w:t>
      </w:r>
      <w:r>
        <w:t xml:space="preserve"> </w:t>
      </w:r>
      <w:r>
        <w:t xml:space="preserve">full export in the archive standard (Integration Specification v1.1; RA3): borrowers and consents, applications and journeys, KYC evidence references, documents and hashes, communications, grievance records, recordings (if UR4), DLG ledgers, configuration versions and audit trail, with manifest and hashes (OUT para 42; Part 10.8 item 21).</w:t>
      </w:r>
    </w:p>
    <w:p>
      <w:pPr>
        <w:numPr>
          <w:ilvl w:val="0"/>
          <w:numId w:val="1086"/>
        </w:numPr>
        <w:pStyle w:val="Compact"/>
      </w:pPr>
      <w:r>
        <w:rPr>
          <w:bCs/>
          <w:b/>
        </w:rPr>
        <w:t xml:space="preserve">Transition:</w:t>
      </w:r>
      <w:r>
        <w:t xml:space="preserve"> </w:t>
      </w:r>
      <w:r>
        <w:t xml:space="preserve">full cooperation with the RE and any incoming provider (OUT para 88), with mapping notes and a dry-run import [REC]; the RE acknowledges receipt and integrity by hash.</w:t>
      </w:r>
    </w:p>
    <w:p>
      <w:pPr>
        <w:numPr>
          <w:ilvl w:val="0"/>
          <w:numId w:val="1086"/>
        </w:numPr>
        <w:pStyle w:val="Compact"/>
      </w:pPr>
      <w:r>
        <w:rPr>
          <w:bCs/>
          <w:b/>
        </w:rPr>
        <w:t xml:space="preserve">Destruction:</w:t>
      </w:r>
      <w:r>
        <w:t xml:space="preserve"> </w:t>
      </w:r>
      <w:r>
        <w:t xml:space="preserve">after acknowledgement and any retention Udofin must keep (its own books, consent evidence, legal holds), Udofin destroys the RE’s data and issues a certificate of scope, method and, where required, independent assurance (OUT paras 42, 87, 97(xvi)). Udofin’s own records follow its own schedule.</w:t>
      </w:r>
    </w:p>
    <w:bookmarkEnd w:id="151"/>
    <w:bookmarkStart w:id="152" w:name="portability-for-the-re"/>
    <w:p>
      <w:pPr>
        <w:pStyle w:val="Heading3"/>
      </w:pPr>
      <w:r>
        <w:t xml:space="preserve">Portability for the RE</w:t>
      </w:r>
    </w:p>
    <w:p>
      <w:pPr>
        <w:numPr>
          <w:ilvl w:val="0"/>
          <w:numId w:val="1087"/>
        </w:numPr>
        <w:pStyle w:val="Compact"/>
      </w:pPr>
      <w:r>
        <w:t xml:space="preserve">Annual exit dry-run per active RE: generate the full export on a synthetic copy, verify hashes and import into a reference reader; results go into the P2 pack (Part 10.8 item 21; CYB 102 cited in Part 8A.16.2).</w:t>
      </w:r>
    </w:p>
    <w:p>
      <w:pPr>
        <w:numPr>
          <w:ilvl w:val="0"/>
          <w:numId w:val="1087"/>
        </w:numPr>
        <w:pStyle w:val="Compact"/>
      </w:pPr>
      <w:r>
        <w:t xml:space="preserve">Export formats are documented and stable; no proprietary encoding.</w:t>
      </w:r>
    </w:p>
    <w:bookmarkEnd w:id="152"/>
    <w:bookmarkStart w:id="153" w:name="states-1"/>
    <w:p>
      <w:pPr>
        <w:pStyle w:val="Heading3"/>
      </w:pPr>
      <w:r>
        <w:t xml:space="preserve">States</w:t>
      </w:r>
    </w:p>
    <w:p>
      <w:pPr>
        <w:pStyle w:val="FirstParagraph"/>
      </w:pPr>
      <w:r>
        <w:rPr>
          <w:rStyle w:val="VerbatimChar"/>
        </w:rPr>
        <w:t xml:space="preserve">deal_exit</w:t>
      </w:r>
      <w:r>
        <w:t xml:space="preserve">:</w:t>
      </w:r>
      <w:r>
        <w:t xml:space="preserve"> </w:t>
      </w:r>
      <w:r>
        <w:rPr>
          <w:rStyle w:val="VerbatimChar"/>
        </w:rPr>
        <w:t xml:space="preserve">NOTICE_RECEIVED → PLAN_DRAFTED → PLAN_APPROVED (both parties) → WIND_DOWN → DATA_RETURNED → RE_ACKNOWLEDGED → DESTROYED → CLOSED</w:t>
      </w:r>
      <w:r>
        <w:t xml:space="preserve">, with</w:t>
      </w:r>
      <w:r>
        <w:t xml:space="preserve"> </w:t>
      </w:r>
      <w:r>
        <w:rPr>
          <w:rStyle w:val="VerbatimChar"/>
        </w:rPr>
        <w:t xml:space="preserve">DISPUTED</w:t>
      </w:r>
      <w:r>
        <w:t xml:space="preserve"> </w:t>
      </w:r>
      <w:r>
        <w:t xml:space="preserve">(exit terms contested; freeze continues). The deal itself moves</w:t>
      </w:r>
      <w:r>
        <w:t xml:space="preserve"> </w:t>
      </w:r>
      <w:r>
        <w:rPr>
          <w:rStyle w:val="VerbatimChar"/>
        </w:rPr>
        <w:t xml:space="preserve">ACTIVE or SUSPENDED → TERMINATING</w:t>
      </w:r>
      <w:r>
        <w:t xml:space="preserve"> </w:t>
      </w:r>
      <w:r>
        <w:t xml:space="preserve">at PLAN_APPROVED and</w:t>
      </w:r>
      <w:r>
        <w:t xml:space="preserve"> </w:t>
      </w:r>
      <w:r>
        <w:rPr>
          <w:rStyle w:val="VerbatimChar"/>
        </w:rPr>
        <w:t xml:space="preserve">TERMINATED</w:t>
      </w:r>
      <w:r>
        <w:t xml:space="preserve"> </w:t>
      </w:r>
      <w:r>
        <w:t xml:space="preserve">at CLOSED (</w:t>
      </w:r>
      <w:r>
        <w:rPr>
          <w:rStyle w:val="VerbatimChar"/>
        </w:rPr>
        <w:t xml:space="preserve">LenderDealTerminated</w:t>
      </w:r>
      <w:r>
        <w:t xml:space="preserve">).</w:t>
      </w:r>
    </w:p>
    <w:bookmarkEnd w:id="153"/>
    <w:bookmarkStart w:id="154" w:name="settings-and-options-4"/>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643"/>
        <w:gridCol w:w="1200"/>
        <w:gridCol w:w="3198"/>
        <w:gridCol w:w="2597"/>
      </w:tblGrid>
      <w:tr>
        <w:trPr>
          <w:tblHeader w:val="true"/>
          <w:tblHeader w:val="true"/>
        </w:trPr>
        <w:tc>
          <w:tcPr>
            <w:tcW w:w="2643" w:type="dxa"/>
            <w:shd w:val="clear" w:color="auto" w:fill="1F3A5F"/>
          </w:tcPr>
          <w:p>
            <w:pPr>
              <w:pStyle w:val="Compact"/>
              <w:spacing w:after="40"/>
              <w:jc w:val="left"/>
            </w:pPr>
            <w:r>
              <w:rPr>
                <w:b/>
                <w:color w:val="FFFFFF"/>
                <w:sz w:val="18"/>
              </w:rPr>
              <w:t xml:space="preserve">Setting</w:t>
            </w:r>
          </w:p>
        </w:tc>
        <w:tc>
          <w:tcPr>
            <w:tcW w:w="1200" w:type="dxa"/>
            <w:shd w:val="clear" w:color="auto" w:fill="1F3A5F"/>
          </w:tcPr>
          <w:p>
            <w:pPr>
              <w:pStyle w:val="Compact"/>
              <w:spacing w:after="40"/>
              <w:jc w:val="left"/>
            </w:pPr>
            <w:r>
              <w:rPr>
                <w:b/>
                <w:color w:val="FFFFFF"/>
                <w:sz w:val="18"/>
              </w:rPr>
              <w:t xml:space="preserve">Level</w:t>
            </w:r>
          </w:p>
        </w:tc>
        <w:tc>
          <w:tcPr>
            <w:tcW w:w="3198" w:type="dxa"/>
            <w:shd w:val="clear" w:color="auto" w:fill="1F3A5F"/>
          </w:tcPr>
          <w:p>
            <w:pPr>
              <w:pStyle w:val="Compact"/>
              <w:spacing w:after="40"/>
              <w:jc w:val="left"/>
            </w:pPr>
            <w:r>
              <w:rPr>
                <w:b/>
                <w:color w:val="FFFFFF"/>
                <w:sz w:val="18"/>
              </w:rPr>
              <w:t xml:space="preserve">Default</w:t>
            </w:r>
          </w:p>
        </w:tc>
        <w:tc>
          <w:tcPr>
            <w:tcW w:w="2597" w:type="dxa"/>
            <w:shd w:val="clear" w:color="auto" w:fill="1F3A5F"/>
          </w:tcPr>
          <w:p>
            <w:pPr>
              <w:pStyle w:val="Compact"/>
              <w:spacing w:after="40"/>
              <w:jc w:val="left"/>
            </w:pPr>
            <w:r>
              <w:rPr>
                <w:b/>
                <w:color w:val="FFFFFF"/>
                <w:sz w:val="18"/>
              </w:rPr>
              <w:t xml:space="preserve">Nature</w:t>
            </w:r>
          </w:p>
        </w:tc>
      </w:tr>
      <w:tr>
        <w:tc>
          <w:tcPr>
            <w:tcW w:w="2643" w:type="dxa"/>
          </w:tcPr>
          <w:p>
            <w:pPr>
              <w:pStyle w:val="Compact"/>
              <w:spacing w:after="40"/>
              <w:jc w:val="left"/>
            </w:pPr>
            <w:r>
              <w:rPr>
                <w:sz w:val="18"/>
              </w:rPr>
              <w:t xml:space="preserve">Wind-down period for undecided applications</w:t>
            </w:r>
          </w:p>
        </w:tc>
        <w:tc>
          <w:tcPr>
            <w:tcW w:w="1200" w:type="dxa"/>
          </w:tcPr>
          <w:p>
            <w:pPr>
              <w:pStyle w:val="Compact"/>
              <w:spacing w:after="40"/>
              <w:jc w:val="left"/>
            </w:pPr>
            <w:r>
              <w:rPr>
                <w:sz w:val="18"/>
              </w:rPr>
              <w:t xml:space="preserve">Deal</w:t>
            </w:r>
          </w:p>
        </w:tc>
        <w:tc>
          <w:tcPr>
            <w:tcW w:w="3198" w:type="dxa"/>
          </w:tcPr>
          <w:p>
            <w:pPr>
              <w:pStyle w:val="Compact"/>
              <w:spacing w:after="40"/>
              <w:jc w:val="left"/>
            </w:pPr>
            <w:r>
              <w:rPr>
                <w:sz w:val="18"/>
              </w:rPr>
              <w:t xml:space="preserve">15 business days [REC]</w:t>
            </w:r>
          </w:p>
        </w:tc>
        <w:tc>
          <w:tcPr>
            <w:tcW w:w="2597" w:type="dxa"/>
          </w:tcPr>
          <w:p>
            <w:pPr>
              <w:pStyle w:val="Compact"/>
              <w:spacing w:after="40"/>
              <w:jc w:val="left"/>
            </w:pPr>
            <w:r>
              <w:rPr>
                <w:sz w:val="18"/>
              </w:rPr>
              <w:t xml:space="preserve">Commercial; agreed in the exit plan</w:t>
            </w:r>
          </w:p>
        </w:tc>
      </w:tr>
      <w:tr>
        <w:tc>
          <w:tcPr>
            <w:tcW w:w="2643" w:type="dxa"/>
          </w:tcPr>
          <w:p>
            <w:pPr>
              <w:pStyle w:val="Compact"/>
              <w:spacing w:after="40"/>
              <w:jc w:val="left"/>
            </w:pPr>
            <w:r>
              <w:rPr>
                <w:sz w:val="18"/>
              </w:rPr>
              <w:t xml:space="preserve">Borrower download access after the servicing view closes</w:t>
            </w:r>
          </w:p>
        </w:tc>
        <w:tc>
          <w:tcPr>
            <w:tcW w:w="1200" w:type="dxa"/>
          </w:tcPr>
          <w:p>
            <w:pPr>
              <w:pStyle w:val="Compact"/>
              <w:spacing w:after="40"/>
              <w:jc w:val="left"/>
            </w:pPr>
            <w:r>
              <w:rPr>
                <w:sz w:val="18"/>
              </w:rPr>
              <w:t xml:space="preserve">Platform</w:t>
            </w:r>
          </w:p>
        </w:tc>
        <w:tc>
          <w:tcPr>
            <w:tcW w:w="3198" w:type="dxa"/>
          </w:tcPr>
          <w:p>
            <w:pPr>
              <w:pStyle w:val="Compact"/>
              <w:spacing w:after="40"/>
              <w:jc w:val="left"/>
            </w:pPr>
            <w:r>
              <w:rPr>
                <w:sz w:val="18"/>
              </w:rPr>
              <w:t xml:space="preserve">90 days, with notice 15 days before it ends</w:t>
            </w:r>
          </w:p>
        </w:tc>
        <w:tc>
          <w:tcPr>
            <w:tcW w:w="2597" w:type="dxa"/>
          </w:tcPr>
          <w:p>
            <w:pPr>
              <w:pStyle w:val="Compact"/>
              <w:spacing w:after="40"/>
              <w:jc w:val="left"/>
            </w:pPr>
            <w:r>
              <w:rPr>
                <w:sz w:val="18"/>
              </w:rPr>
              <w:t xml:space="preserve">Floor (may lengthen) [REC]</w:t>
            </w:r>
          </w:p>
        </w:tc>
      </w:tr>
      <w:tr>
        <w:tc>
          <w:tcPr>
            <w:tcW w:w="2643" w:type="dxa"/>
          </w:tcPr>
          <w:p>
            <w:pPr>
              <w:pStyle w:val="Compact"/>
              <w:spacing w:after="40"/>
              <w:jc w:val="left"/>
            </w:pPr>
            <w:r>
              <w:rPr>
                <w:sz w:val="18"/>
              </w:rPr>
              <w:t xml:space="preserve">Freeze on purge from exit notice</w:t>
            </w:r>
          </w:p>
        </w:tc>
        <w:tc>
          <w:tcPr>
            <w:tcW w:w="1200" w:type="dxa"/>
          </w:tcPr>
          <w:p>
            <w:pPr>
              <w:pStyle w:val="Compact"/>
              <w:spacing w:after="40"/>
              <w:jc w:val="left"/>
            </w:pPr>
            <w:r>
              <w:rPr>
                <w:sz w:val="18"/>
              </w:rPr>
              <w:t xml:space="preserve">Deal</w:t>
            </w:r>
          </w:p>
        </w:tc>
        <w:tc>
          <w:tcPr>
            <w:tcW w:w="3198" w:type="dxa"/>
          </w:tcPr>
          <w:p>
            <w:pPr>
              <w:pStyle w:val="Compact"/>
              <w:spacing w:after="40"/>
              <w:jc w:val="left"/>
            </w:pPr>
            <w:r>
              <w:rPr>
                <w:sz w:val="18"/>
              </w:rPr>
              <w:t xml:space="preserve">On</w:t>
            </w:r>
          </w:p>
        </w:tc>
        <w:tc>
          <w:tcPr>
            <w:tcW w:w="2597" w:type="dxa"/>
          </w:tcPr>
          <w:p>
            <w:pPr>
              <w:pStyle w:val="Compact"/>
              <w:spacing w:after="40"/>
              <w:jc w:val="left"/>
            </w:pPr>
            <w:r>
              <w:rPr>
                <w:sz w:val="18"/>
              </w:rPr>
              <w:t xml:space="preserve">Regulatory floor (OUT para 87); cannot be switched off</w:t>
            </w:r>
          </w:p>
        </w:tc>
      </w:tr>
      <w:tr>
        <w:tc>
          <w:tcPr>
            <w:tcW w:w="2643" w:type="dxa"/>
          </w:tcPr>
          <w:p>
            <w:pPr>
              <w:pStyle w:val="Compact"/>
              <w:spacing w:after="40"/>
              <w:jc w:val="left"/>
            </w:pPr>
            <w:r>
              <w:rPr>
                <w:sz w:val="18"/>
              </w:rPr>
              <w:t xml:space="preserve">Exit dry-run</w:t>
            </w:r>
          </w:p>
        </w:tc>
        <w:tc>
          <w:tcPr>
            <w:tcW w:w="1200" w:type="dxa"/>
          </w:tcPr>
          <w:p>
            <w:pPr>
              <w:pStyle w:val="Compact"/>
              <w:spacing w:after="40"/>
              <w:jc w:val="left"/>
            </w:pPr>
            <w:r>
              <w:rPr>
                <w:sz w:val="18"/>
              </w:rPr>
              <w:t xml:space="preserve">RE</w:t>
            </w:r>
          </w:p>
        </w:tc>
        <w:tc>
          <w:tcPr>
            <w:tcW w:w="3198" w:type="dxa"/>
          </w:tcPr>
          <w:p>
            <w:pPr>
              <w:pStyle w:val="Compact"/>
              <w:spacing w:after="40"/>
              <w:jc w:val="left"/>
            </w:pPr>
            <w:r>
              <w:rPr>
                <w:sz w:val="18"/>
              </w:rPr>
              <w:t xml:space="preserve">Annual</w:t>
            </w:r>
          </w:p>
        </w:tc>
        <w:tc>
          <w:tcPr>
            <w:tcW w:w="2597" w:type="dxa"/>
          </w:tcPr>
          <w:p>
            <w:pPr>
              <w:pStyle w:val="Compact"/>
              <w:spacing w:after="40"/>
              <w:jc w:val="left"/>
            </w:pPr>
            <w:r>
              <w:rPr>
                <w:sz w:val="18"/>
              </w:rPr>
              <w:t xml:space="preserve">Tighten only</w:t>
            </w:r>
          </w:p>
        </w:tc>
      </w:tr>
      <w:tr>
        <w:tc>
          <w:tcPr>
            <w:tcW w:w="2643" w:type="dxa"/>
          </w:tcPr>
          <w:p>
            <w:pPr>
              <w:pStyle w:val="Compact"/>
              <w:spacing w:after="40"/>
              <w:jc w:val="left"/>
            </w:pPr>
            <w:r>
              <w:rPr>
                <w:sz w:val="18"/>
              </w:rPr>
              <w:t xml:space="preserve">Destruction assurance</w:t>
            </w:r>
          </w:p>
        </w:tc>
        <w:tc>
          <w:tcPr>
            <w:tcW w:w="1200" w:type="dxa"/>
          </w:tcPr>
          <w:p>
            <w:pPr>
              <w:pStyle w:val="Compact"/>
              <w:spacing w:after="40"/>
              <w:jc w:val="left"/>
            </w:pPr>
            <w:r>
              <w:rPr>
                <w:sz w:val="18"/>
              </w:rPr>
              <w:t xml:space="preserve">Deal</w:t>
            </w:r>
          </w:p>
        </w:tc>
        <w:tc>
          <w:tcPr>
            <w:tcW w:w="3198" w:type="dxa"/>
          </w:tcPr>
          <w:p>
            <w:pPr>
              <w:pStyle w:val="Compact"/>
              <w:spacing w:after="40"/>
              <w:jc w:val="left"/>
            </w:pPr>
            <w:r>
              <w:rPr>
                <w:sz w:val="18"/>
              </w:rPr>
              <w:t xml:space="preserve">Udofin certificate; independent assurance where the RE requires (OUT para 97(xvi))</w:t>
            </w:r>
          </w:p>
        </w:tc>
        <w:tc>
          <w:tcPr>
            <w:tcW w:w="2597" w:type="dxa"/>
          </w:tcPr>
          <w:p>
            <w:pPr>
              <w:pStyle w:val="Compact"/>
              <w:spacing w:after="40"/>
              <w:jc w:val="left"/>
            </w:pPr>
            <w:r>
              <w:rPr>
                <w:sz w:val="18"/>
              </w:rPr>
              <w:t xml:space="preserve">RE choice</w:t>
            </w:r>
          </w:p>
        </w:tc>
      </w:tr>
    </w:tbl>
    <w:bookmarkEnd w:id="154"/>
    <w:bookmarkStart w:id="155" w:name="menu-and-screens-4"/>
    <w:p>
      <w:pPr>
        <w:pStyle w:val="Heading3"/>
      </w:pPr>
      <w:r>
        <w:t xml:space="preserve">Menu and screens</w:t>
      </w:r>
    </w:p>
    <w:p>
      <w:pPr>
        <w:numPr>
          <w:ilvl w:val="0"/>
          <w:numId w:val="1088"/>
        </w:numPr>
        <w:pStyle w:val="Compact"/>
      </w:pPr>
      <w:r>
        <w:rPr>
          <w:bCs/>
          <w:b/>
        </w:rPr>
        <w:t xml:space="preserve">Partners › Exit</w:t>
      </w:r>
      <w:r>
        <w:t xml:space="preserve"> </w:t>
      </w:r>
      <w:r>
        <w:t xml:space="preserve">(C: partnerships, DPO, engineering; D: RE CCO and CTO): exit list by state; exit detail with the borrower-position table (counts and treatment, UP-C19), notice templates for RE approval, export progress with hashes, acknowledgement status, destruction certificate; actions</w:t>
      </w:r>
      <w:r>
        <w:t xml:space="preserve"> </w:t>
      </w:r>
      <w:r>
        <w:rPr>
          <w:bCs/>
          <w:b/>
        </w:rPr>
        <w:t xml:space="preserve">Suspend</w:t>
      </w:r>
      <w:r>
        <w:t xml:space="preserve"> </w:t>
      </w:r>
      <w:r>
        <w:t xml:space="preserve">(choose type and scope),</w:t>
      </w:r>
      <w:r>
        <w:t xml:space="preserve"> </w:t>
      </w:r>
      <w:r>
        <w:rPr>
          <w:bCs/>
          <w:b/>
        </w:rPr>
        <w:t xml:space="preserve">Lift suspension</w:t>
      </w:r>
      <w:r>
        <w:t xml:space="preserve">,</w:t>
      </w:r>
      <w:r>
        <w:t xml:space="preserve"> </w:t>
      </w:r>
      <w:r>
        <w:rPr>
          <w:bCs/>
          <w:b/>
        </w:rPr>
        <w:t xml:space="preserve">Approve plan</w:t>
      </w:r>
      <w:r>
        <w:t xml:space="preserve"> </w:t>
      </w:r>
      <w:r>
        <w:t xml:space="preserve">(both parties),</w:t>
      </w:r>
      <w:r>
        <w:t xml:space="preserve"> </w:t>
      </w:r>
      <w:r>
        <w:rPr>
          <w:bCs/>
          <w:b/>
        </w:rPr>
        <w:t xml:space="preserve">Mark disputed</w:t>
      </w:r>
      <w:r>
        <w:t xml:space="preserve">,</w:t>
      </w:r>
      <w:r>
        <w:t xml:space="preserve"> </w:t>
      </w:r>
      <w:r>
        <w:rPr>
          <w:bCs/>
          <w:b/>
        </w:rPr>
        <w:t xml:space="preserve">Issue destruction certificate</w:t>
      </w:r>
      <w:r>
        <w:t xml:space="preserve">. Borrower channels: RE-approved notices, read-only servicing view, download prompts with the end date.</w:t>
      </w:r>
    </w:p>
    <w:bookmarkEnd w:id="155"/>
    <w:bookmarkStart w:id="156" w:name="controls-4"/>
    <w:p>
      <w:pPr>
        <w:pStyle w:val="Heading3"/>
      </w:pPr>
      <w:r>
        <w:t xml:space="preserve">Controls</w:t>
      </w:r>
    </w:p>
    <w:p>
      <w:pPr>
        <w:numPr>
          <w:ilvl w:val="0"/>
          <w:numId w:val="1089"/>
        </w:numPr>
        <w:pStyle w:val="Compact"/>
      </w:pPr>
      <w:r>
        <w:t xml:space="preserve">UP-C18: purge jobs check a per-RE freeze flag before running; a purge attempt during transition fails and alerts.</w:t>
      </w:r>
    </w:p>
    <w:p>
      <w:pPr>
        <w:numPr>
          <w:ilvl w:val="0"/>
          <w:numId w:val="1089"/>
        </w:numPr>
        <w:pStyle w:val="Compact"/>
      </w:pPr>
      <w:r>
        <w:t xml:space="preserve">UP-C19: the exit plan cannot be approved without counts and treatment for every borrower position in the table above.</w:t>
      </w:r>
    </w:p>
    <w:p>
      <w:pPr>
        <w:numPr>
          <w:ilvl w:val="0"/>
          <w:numId w:val="1089"/>
        </w:numPr>
        <w:pStyle w:val="Compact"/>
      </w:pPr>
      <w:r>
        <w:t xml:space="preserve">UP-C20: an exited RE never appears in new offer sets or unmatched-lender lists after the exit date.</w:t>
      </w:r>
    </w:p>
    <w:p>
      <w:pPr>
        <w:numPr>
          <w:ilvl w:val="0"/>
          <w:numId w:val="1089"/>
        </w:numPr>
        <w:pStyle w:val="Compact"/>
      </w:pPr>
      <w:r>
        <w:t xml:space="preserve">UP-C21: DLG ledgers stay active after</w:t>
      </w:r>
      <w:r>
        <w:t xml:space="preserve"> </w:t>
      </w:r>
      <w:r>
        <w:rPr>
          <w:rStyle w:val="VerbatimChar"/>
        </w:rPr>
        <w:t xml:space="preserve">TERMINATED</w:t>
      </w:r>
      <w:r>
        <w:t xml:space="preserve"> </w:t>
      </w:r>
      <w:r>
        <w:t xml:space="preserve">until the DLG term ends.</w:t>
      </w:r>
    </w:p>
    <w:bookmarkEnd w:id="156"/>
    <w:bookmarkStart w:id="157" w:name="acceptance-tests-4"/>
    <w:p>
      <w:pPr>
        <w:pStyle w:val="Heading3"/>
      </w:pPr>
      <w:r>
        <w:t xml:space="preserve">Acceptance tests</w:t>
      </w:r>
    </w:p>
    <w:p>
      <w:pPr>
        <w:numPr>
          <w:ilvl w:val="0"/>
          <w:numId w:val="1090"/>
        </w:numPr>
        <w:pStyle w:val="Compact"/>
      </w:pPr>
      <w:r>
        <w:t xml:space="preserve">With a freeze active, a scheduled retention purge of the RE’s applications is blocked and logged.</w:t>
      </w:r>
    </w:p>
    <w:p>
      <w:pPr>
        <w:numPr>
          <w:ilvl w:val="0"/>
          <w:numId w:val="1090"/>
        </w:numPr>
        <w:pStyle w:val="Compact"/>
      </w:pPr>
      <w:r>
        <w:t xml:space="preserve">A borrower with a KFS accepted the day before exit still reaches disbursal status from the RE, or sees the RE’s cancellation reason.</w:t>
      </w:r>
    </w:p>
    <w:p>
      <w:pPr>
        <w:numPr>
          <w:ilvl w:val="0"/>
          <w:numId w:val="1090"/>
        </w:numPr>
        <w:pStyle w:val="Compact"/>
      </w:pPr>
      <w:r>
        <w:t xml:space="preserve">A borrower in the cooling-off period on the exit date can still exit through the RE.</w:t>
      </w:r>
    </w:p>
    <w:p>
      <w:pPr>
        <w:numPr>
          <w:ilvl w:val="0"/>
          <w:numId w:val="1090"/>
        </w:numPr>
        <w:pStyle w:val="Compact"/>
      </w:pPr>
      <w:r>
        <w:t xml:space="preserve">Open grievances for the exited RE continue to show live clocks and RB-IOS information until closed.</w:t>
      </w:r>
    </w:p>
    <w:p>
      <w:pPr>
        <w:numPr>
          <w:ilvl w:val="0"/>
          <w:numId w:val="1090"/>
        </w:numPr>
        <w:pStyle w:val="Compact"/>
      </w:pPr>
      <w:r>
        <w:t xml:space="preserve">The full export imports into the reference reader with zero hash mismatches; the destruction certificate lists every store, including backups, with dates.</w:t>
      </w:r>
    </w:p>
    <w:p>
      <w:pPr>
        <w:numPr>
          <w:ilvl w:val="0"/>
          <w:numId w:val="1090"/>
        </w:numPr>
        <w:pStyle w:val="Compact"/>
      </w:pPr>
      <w:r>
        <w:t xml:space="preserve">After</w:t>
      </w:r>
      <w:r>
        <w:t xml:space="preserve"> </w:t>
      </w:r>
      <w:r>
        <w:rPr>
          <w:rStyle w:val="VerbatimChar"/>
        </w:rPr>
        <w:t xml:space="preserve">TERMINATED</w:t>
      </w:r>
      <w:r>
        <w:t xml:space="preserve">, the RE’s monthly DLG disclosure is still generated for open sets.</w:t>
      </w:r>
    </w:p>
    <w:p>
      <w:r>
        <w:pict>
          <v:rect style="width:0;height:1.5pt" o:hralign="center" o:hrstd="t" o:hr="t"/>
        </w:pict>
      </w:r>
    </w:p>
    <w:bookmarkEnd w:id="157"/>
    <w:bookmarkEnd w:id="158"/>
    <w:bookmarkEnd w:id="159"/>
    <w:bookmarkStart w:id="206" w:name="X594354225ad5c1a9edac4462e8444ad2460f731"/>
    <w:p>
      <w:pPr>
        <w:pStyle w:val="Heading1"/>
      </w:pPr>
      <w:r>
        <w:t xml:space="preserve">PART 7C — BORROWER DOWNLOADS, TAX DOCUMENTS AND GRIEVANCE ESCALATION</w:t>
      </w:r>
    </w:p>
    <w:p>
      <w:pPr>
        <w:pStyle w:val="FirstParagraph"/>
      </w:pPr>
      <w:r>
        <w:rPr>
          <w:bCs/>
          <w:b/>
        </w:rPr>
        <w:t xml:space="preserve">Purpose.</w:t>
      </w:r>
      <w:r>
        <w:t xml:space="preserve"> </w:t>
      </w:r>
      <w:r>
        <w:t xml:space="preserve">Give every borrower one dependable place to find, download and export their documents and data; to obtain the lender-issued tax documents they need under the Income-tax Act, 2025; and to raise, track and escalate a complaint through the correct chain, from the help centre to the RE’s Internal Ombudsman and the RBI Ombudsman, with the parallel routes for credit information, insurance, personal data, subscriptions and co-operative societies shown accurately.</w:t>
      </w:r>
    </w:p>
    <w:p>
      <w:pPr>
        <w:pStyle w:val="BodyText"/>
      </w:pPr>
      <w:r>
        <w:rPr>
          <w:bCs/>
          <w:b/>
        </w:rPr>
        <w:t xml:space="preserve">Extends, does not replace.</w:t>
      </w:r>
      <w:r>
        <w:t xml:space="preserve"> </w:t>
      </w:r>
      <w:r>
        <w:t xml:space="preserve">U4 (consent, privacy, data-principal requests), U9 (DMS and</w:t>
      </w:r>
      <w:r>
        <w:t xml:space="preserve"> </w:t>
      </w:r>
      <w:r>
        <w:t xml:space="preserve">“</w:t>
      </w:r>
      <w:r>
        <w:t xml:space="preserve">My documents</w:t>
      </w:r>
      <w:r>
        <w:t xml:space="preserve">”</w:t>
      </w:r>
      <w:r>
        <w:t xml:space="preserve">), U12 (servicing requests, NOC, document-release tracking), U15 (grievance redressal), U25 (borrower dashboard and downloads), Part 7A UR2 (ADR access) and UR3 (notices).</w:t>
      </w:r>
      <w:r>
        <w:t xml:space="preserve"> </w:t>
      </w:r>
      <w:r>
        <w:rPr>
          <w:bCs/>
          <w:b/>
        </w:rPr>
        <w:t xml:space="preserve">U15 is superseded by UB3 and UB4 for chain, timers, display and borrower capabilities; where they differ, this Part prevails.</w:t>
      </w:r>
      <w:r>
        <w:t xml:space="preserve"> </w:t>
      </w:r>
      <w:r>
        <w:t xml:space="preserve">U25</w:t>
      </w:r>
      <w:r>
        <w:t xml:space="preserve"> </w:t>
      </w:r>
      <w:r>
        <w:t xml:space="preserve">“</w:t>
      </w:r>
      <w:r>
        <w:t xml:space="preserve">Downloads</w:t>
      </w:r>
      <w:r>
        <w:t xml:space="preserve">”</w:t>
      </w:r>
      <w:r>
        <w:t xml:space="preserve"> </w:t>
      </w:r>
      <w:r>
        <w:t xml:space="preserve">becomes a pointer to UB1. Billing for any Udofin subscription is Part 7G; the wellness add-ons are Part 7D.</w:t>
      </w:r>
    </w:p>
    <w:p>
      <w:pPr>
        <w:pStyle w:val="BodyText"/>
      </w:pPr>
      <w:r>
        <w:rPr>
          <w:bCs/>
          <w:b/>
        </w:rPr>
        <w:t xml:space="preserve">Applicability.</w:t>
      </w:r>
      <w:r>
        <w:t xml:space="preserve"> </w:t>
      </w:r>
      <w:r>
        <w:t xml:space="preserve">Every borrower, co-borrower and guarantor on any Udofin channel, for loans from any partner RE (NBFC of any layer, HFC, NBFC-MFI, bank) and from non-RE lenders on the UP4 track (credit co-operative societies), plus Udofin’s own non-loan relationships (platform account, wellness subscriptions). Route selection depends on the lender’s profile: RB-IOS 2026 coverage, Internal Ombudsman applicability, HFC status and lender class (UB3).</w:t>
      </w:r>
    </w:p>
    <w:p>
      <w:pPr>
        <w:pStyle w:val="BodyText"/>
      </w:pPr>
      <w:r>
        <w:rPr>
          <w:bCs/>
          <w:b/>
        </w:rPr>
        <w:t xml:space="preserve">Codes used.</w:t>
      </w:r>
      <w:r>
        <w:t xml:space="preserve"> </w:t>
      </w:r>
      <w:r>
        <w:t xml:space="preserve">CF, RBC, OUT, CIR, KYC, MFI, FS;</w:t>
      </w:r>
      <w:r>
        <w:t xml:space="preserve"> </w:t>
      </w:r>
      <w:r>
        <w:rPr>
          <w:rStyle w:val="VerbatimChar"/>
        </w:rPr>
        <w:t xml:space="preserve">RB-IOS 2026</w:t>
      </w:r>
      <w:r>
        <w:t xml:space="preserve"> </w:t>
      </w:r>
      <w:r>
        <w:t xml:space="preserve">(Reserve Bank – Integrated Ombudsman Scheme, 2026, notified 16 Jan 2026, effective 1 Jul 2026);</w:t>
      </w:r>
      <w:r>
        <w:t xml:space="preserve"> </w:t>
      </w:r>
      <w:r>
        <w:rPr>
          <w:rStyle w:val="VerbatimChar"/>
        </w:rPr>
        <w:t xml:space="preserve">IO 2026</w:t>
      </w:r>
      <w:r>
        <w:t xml:space="preserve"> </w:t>
      </w:r>
      <w:r>
        <w:t xml:space="preserve">(RBI (NBFCs – Internal Ombudsman) Directions, 2026, issued 14 Jan 2026); non-RBI:</w:t>
      </w:r>
      <w:r>
        <w:t xml:space="preserve"> </w:t>
      </w:r>
      <w:r>
        <w:rPr>
          <w:rStyle w:val="VerbatimChar"/>
        </w:rPr>
        <w:t xml:space="preserve">DPDP</w:t>
      </w:r>
      <w:r>
        <w:t xml:space="preserve"> </w:t>
      </w:r>
      <w:r>
        <w:t xml:space="preserve">(Act 2023 and Rules 2025),</w:t>
      </w:r>
      <w:r>
        <w:t xml:space="preserve"> </w:t>
      </w:r>
      <w:r>
        <w:rPr>
          <w:rStyle w:val="VerbatimChar"/>
        </w:rPr>
        <w:t xml:space="preserve">ITA25</w:t>
      </w:r>
      <w:r>
        <w:t xml:space="preserve"> </w:t>
      </w:r>
      <w:r>
        <w:t xml:space="preserve">(Income-tax Act, 2025, in force 1 Apr 2026),</w:t>
      </w:r>
      <w:r>
        <w:t xml:space="preserve"> </w:t>
      </w:r>
      <w:r>
        <w:rPr>
          <w:rStyle w:val="VerbatimChar"/>
        </w:rPr>
        <w:t xml:space="preserve">ITA61</w:t>
      </w:r>
      <w:r>
        <w:t xml:space="preserve"> </w:t>
      </w:r>
      <w:r>
        <w:t xml:space="preserve">(Income-tax Act, 1961, for FY 2025-26 documents),</w:t>
      </w:r>
      <w:r>
        <w:t xml:space="preserve"> </w:t>
      </w:r>
      <w:r>
        <w:rPr>
          <w:rStyle w:val="VerbatimChar"/>
        </w:rPr>
        <w:t xml:space="preserve">GST</w:t>
      </w:r>
      <w:r>
        <w:t xml:space="preserve">,</w:t>
      </w:r>
      <w:r>
        <w:t xml:space="preserve"> </w:t>
      </w:r>
      <w:r>
        <w:rPr>
          <w:rStyle w:val="VerbatimChar"/>
        </w:rPr>
        <w:t xml:space="preserve">CICRA</w:t>
      </w:r>
      <w:r>
        <w:t xml:space="preserve">,</w:t>
      </w:r>
      <w:r>
        <w:t xml:space="preserve"> </w:t>
      </w:r>
      <w:r>
        <w:rPr>
          <w:rStyle w:val="VerbatimChar"/>
        </w:rPr>
        <w:t xml:space="preserve">MSCS</w:t>
      </w:r>
      <w:r>
        <w:t xml:space="preserve">,</w:t>
      </w:r>
      <w:r>
        <w:t xml:space="preserve"> </w:t>
      </w:r>
      <w:r>
        <w:rPr>
          <w:rStyle w:val="VerbatimChar"/>
        </w:rPr>
        <w:t xml:space="preserve">SCS</w:t>
      </w:r>
      <w:r>
        <w:t xml:space="preserve">,</w:t>
      </w:r>
      <w:r>
        <w:t xml:space="preserve"> </w:t>
      </w:r>
      <w:r>
        <w:rPr>
          <w:rStyle w:val="VerbatimChar"/>
        </w:rPr>
        <w:t xml:space="preserve">IRDAI</w:t>
      </w:r>
      <w:r>
        <w:t xml:space="preserve">,</w:t>
      </w:r>
      <w:r>
        <w:t xml:space="preserve"> </w:t>
      </w:r>
      <w:r>
        <w:rPr>
          <w:rStyle w:val="VerbatimChar"/>
        </w:rPr>
        <w:t xml:space="preserve">CPA19</w:t>
      </w:r>
      <w:r>
        <w:t xml:space="preserve"> </w:t>
      </w:r>
      <w:r>
        <w:t xml:space="preserve">(Consumer Protection Act, 2019). Labels:</w:t>
      </w:r>
      <w:r>
        <w:t xml:space="preserve"> </w:t>
      </w:r>
      <w:r>
        <w:rPr>
          <w:bCs/>
          <w:b/>
        </w:rPr>
        <w:t xml:space="preserve">[LAW]</w:t>
      </w:r>
      <w:r>
        <w:t xml:space="preserve">,</w:t>
      </w:r>
      <w:r>
        <w:t xml:space="preserve"> </w:t>
      </w:r>
      <w:r>
        <w:rPr>
          <w:bCs/>
          <w:b/>
        </w:rPr>
        <w:t xml:space="preserve">[REG]</w:t>
      </w:r>
      <w:r>
        <w:t xml:space="preserve">,</w:t>
      </w:r>
      <w:r>
        <w:t xml:space="preserve"> </w:t>
      </w:r>
      <w:r>
        <w:rPr>
          <w:bCs/>
          <w:b/>
        </w:rPr>
        <w:t xml:space="preserve">[INTERP]</w:t>
      </w:r>
      <w:r>
        <w:t xml:space="preserve">,</w:t>
      </w:r>
      <w:r>
        <w:t xml:space="preserve"> </w:t>
      </w:r>
      <w:r>
        <w:rPr>
          <w:bCs/>
          <w:b/>
        </w:rPr>
        <w:t xml:space="preserve">[REC]</w:t>
      </w:r>
      <w:r>
        <w:t xml:space="preserve">,</w:t>
      </w:r>
      <w:r>
        <w:t xml:space="preserve"> </w:t>
      </w:r>
      <w:r>
        <w:rPr>
          <w:bCs/>
          <w:b/>
        </w:rPr>
        <w:t xml:space="preserve">[MKT]</w:t>
      </w:r>
      <w:r>
        <w:t xml:space="preserve">; unconfirmed items carry</w:t>
      </w:r>
      <w:r>
        <w:t xml:space="preserve"> </w:t>
      </w:r>
      <w:r>
        <w:rPr>
          <w:rStyle w:val="VerbatimChar"/>
        </w:rPr>
        <w:t xml:space="preserve">[VERIFY: …]</w:t>
      </w:r>
      <w:r>
        <w:t xml:space="preserve">. New controls are</w:t>
      </w:r>
      <w:r>
        <w:t xml:space="preserve"> </w:t>
      </w:r>
      <w:r>
        <w:rPr>
          <w:rStyle w:val="VerbatimChar"/>
        </w:rPr>
        <w:t xml:space="preserve">UB-Cnn</w:t>
      </w:r>
      <w:r>
        <w:t xml:space="preserve">.</w:t>
      </w:r>
    </w:p>
    <w:p>
      <w:pPr>
        <w:pStyle w:val="BodyText"/>
      </w:pPr>
      <w:r>
        <w:rPr>
          <w:bCs/>
          <w:b/>
        </w:rPr>
        <w:t xml:space="preserve">Data owned by Udofin.</w:t>
      </w:r>
      <w:r>
        <w:t xml:space="preserve"> </w:t>
      </w:r>
      <w:r>
        <w:t xml:space="preserve">Document catalogue entries and request records, data-access and export jobs, the borrower’s business tax profile (as captured, with consent), uploaded Form 131 copies (as relayed), grievance cases handled or received by Udofin with their clocks and tier history, case packs, ratings, help-centre content.</w:t>
      </w:r>
      <w:r>
        <w:t xml:space="preserve"> </w:t>
      </w:r>
      <w:r>
        <w:rPr>
          <w:bCs/>
          <w:b/>
        </w:rPr>
        <w:t xml:space="preserve">Not owned:</w:t>
      </w:r>
      <w:r>
        <w:t xml:space="preserve"> </w:t>
      </w:r>
      <w:r>
        <w:t xml:space="preserve">RE-issued documents and certificates (Udofin mirrors or fetches them; the RE’s DMS is the source), the RE’s grievance decisions, IO reviews and Ombudsman proceedings.</w:t>
      </w:r>
    </w:p>
    <w:p>
      <w:pPr>
        <w:pStyle w:val="BodyText"/>
      </w:pPr>
      <w:r>
        <w:rPr>
          <w:bCs/>
          <w:b/>
        </w:rPr>
        <w:t xml:space="preserve">Events.</w:t>
      </w:r>
      <w:r>
        <w:t xml:space="preserve"> </w:t>
      </w:r>
      <w:r>
        <w:t xml:space="preserve">Consumes</w:t>
      </w:r>
      <w:r>
        <w:t xml:space="preserve"> </w:t>
      </w:r>
      <w:r>
        <w:rPr>
          <w:rStyle w:val="VerbatimChar"/>
        </w:rPr>
        <w:t xml:space="preserve">DocumentShared</w:t>
      </w:r>
      <w:r>
        <w:t xml:space="preserve">,</w:t>
      </w:r>
      <w:r>
        <w:t xml:space="preserve"> </w:t>
      </w:r>
      <w:r>
        <w:rPr>
          <w:rStyle w:val="VerbatimChar"/>
        </w:rPr>
        <w:t xml:space="preserve">KFSIssued</w:t>
      </w:r>
      <w:r>
        <w:t xml:space="preserve">,</w:t>
      </w:r>
      <w:r>
        <w:t xml:space="preserve"> </w:t>
      </w:r>
      <w:r>
        <w:rPr>
          <w:rStyle w:val="VerbatimChar"/>
        </w:rPr>
        <w:t xml:space="preserve">SanctionLetterIssued</w:t>
      </w:r>
      <w:r>
        <w:t xml:space="preserve">,</w:t>
      </w:r>
      <w:r>
        <w:t xml:space="preserve"> </w:t>
      </w:r>
      <w:r>
        <w:rPr>
          <w:rStyle w:val="VerbatimChar"/>
        </w:rPr>
        <w:t xml:space="preserve">NOCIssued</w:t>
      </w:r>
      <w:r>
        <w:t xml:space="preserve">,</w:t>
      </w:r>
      <w:r>
        <w:t xml:space="preserve"> </w:t>
      </w:r>
      <w:r>
        <w:rPr>
          <w:rStyle w:val="VerbatimChar"/>
        </w:rPr>
        <w:t xml:space="preserve">LoanClosed</w:t>
      </w:r>
      <w:r>
        <w:t xml:space="preserve">,</w:t>
      </w:r>
      <w:r>
        <w:t xml:space="preserve"> </w:t>
      </w:r>
      <w:r>
        <w:rPr>
          <w:rStyle w:val="VerbatimChar"/>
        </w:rPr>
        <w:t xml:space="preserve">InterestCertificateIssued</w:t>
      </w:r>
      <w:r>
        <w:t xml:space="preserve"> </w:t>
      </w:r>
      <w:r>
        <w:t xml:space="preserve">(Integration Specification v1.1 finance domain; RE → Udofin),</w:t>
      </w:r>
      <w:r>
        <w:t xml:space="preserve"> </w:t>
      </w:r>
      <w:r>
        <w:rPr>
          <w:rStyle w:val="VerbatimChar"/>
        </w:rPr>
        <w:t xml:space="preserve">GrievanceUpdated</w:t>
      </w:r>
      <w:r>
        <w:t xml:space="preserve">,</w:t>
      </w:r>
      <w:r>
        <w:t xml:space="preserve"> </w:t>
      </w:r>
      <w:r>
        <w:rPr>
          <w:rStyle w:val="VerbatimChar"/>
        </w:rPr>
        <w:t xml:space="preserve">GrievanceEscalated</w:t>
      </w:r>
      <w:r>
        <w:t xml:space="preserve"> </w:t>
      </w:r>
      <w:r>
        <w:t xml:space="preserve">and</w:t>
      </w:r>
      <w:r>
        <w:t xml:space="preserve"> </w:t>
      </w:r>
      <w:r>
        <w:rPr>
          <w:rStyle w:val="VerbatimChar"/>
        </w:rPr>
        <w:t xml:space="preserve">OmbudsmanReferralRecorded</w:t>
      </w:r>
      <w:r>
        <w:t xml:space="preserve"> </w:t>
      </w:r>
      <w:r>
        <w:t xml:space="preserve">(Ombudsman stages the RE reports; section 6.12). Produces</w:t>
      </w:r>
      <w:r>
        <w:t xml:space="preserve"> </w:t>
      </w:r>
      <w:r>
        <w:rPr>
          <w:rStyle w:val="VerbatimChar"/>
        </w:rPr>
        <w:t xml:space="preserve">DataPrincipalRequest</w:t>
      </w:r>
      <w:r>
        <w:t xml:space="preserve">,</w:t>
      </w:r>
      <w:r>
        <w:t xml:space="preserve"> </w:t>
      </w:r>
      <w:r>
        <w:rPr>
          <w:rStyle w:val="VerbatimChar"/>
        </w:rPr>
        <w:t xml:space="preserve">GrievanceRaised</w:t>
      </w:r>
      <w:r>
        <w:t xml:space="preserve">,</w:t>
      </w:r>
      <w:r>
        <w:t xml:space="preserve"> </w:t>
      </w:r>
      <w:r>
        <w:rPr>
          <w:rStyle w:val="VerbatimChar"/>
        </w:rPr>
        <w:t xml:space="preserve">GrievanceReopened</w:t>
      </w:r>
      <w:r>
        <w:t xml:space="preserve">,</w:t>
      </w:r>
      <w:r>
        <w:t xml:space="preserve"> </w:t>
      </w:r>
      <w:r>
        <w:rPr>
          <w:rStyle w:val="VerbatimChar"/>
        </w:rPr>
        <w:t xml:space="preserve">GrievanceRated</w:t>
      </w:r>
      <w:r>
        <w:t xml:space="preserve">,</w:t>
      </w:r>
      <w:r>
        <w:t xml:space="preserve"> </w:t>
      </w:r>
      <w:r>
        <w:rPr>
          <w:rStyle w:val="VerbatimChar"/>
        </w:rPr>
        <w:t xml:space="preserve">OmbudsmanReferralRecorded</w:t>
      </w:r>
      <w:r>
        <w:t xml:space="preserve"> </w:t>
      </w:r>
      <w:r>
        <w:t xml:space="preserve">(borrower-declared external filing) and</w:t>
      </w:r>
      <w:r>
        <w:t xml:space="preserve"> </w:t>
      </w:r>
      <w:r>
        <w:rPr>
          <w:rStyle w:val="VerbatimChar"/>
        </w:rPr>
        <w:t xml:space="preserve">DocumentShared</w:t>
      </w:r>
      <w:r>
        <w:t xml:space="preserve"> </w:t>
      </w:r>
      <w:r>
        <w:t xml:space="preserve">(Form 131 relayed to the RE). Borrower self-service exports publish no cross-product event (section 6.26).</w:t>
      </w:r>
    </w:p>
    <w:p>
      <w:pPr>
        <w:pStyle w:val="BodyText"/>
      </w:pPr>
      <w:r>
        <w:rPr>
          <w:bCs/>
          <w:b/>
        </w:rPr>
        <w:t xml:space="preserve">Borrower navigation (channels A and B; used by Parts 7C–7E).</w:t>
      </w:r>
      <w:r>
        <w:t xml:space="preserve"> </w:t>
      </w:r>
      <w:r>
        <w:t xml:space="preserve">The mobile app has five bottom tabs; the web app shows the same five items in the header (a side rail on desktop). Labels are short, icon-led and vernacular; the active loan and any open complaint show a badge.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87"/>
        <w:gridCol w:w="5800"/>
        <w:gridCol w:w="2751"/>
      </w:tblGrid>
      <w:tr>
        <w:trPr>
          <w:tblHeader w:val="true"/>
          <w:tblHeader w:val="true"/>
        </w:trPr>
        <w:tc>
          <w:tcPr>
            <w:tcW w:w="1087" w:type="dxa"/>
            <w:shd w:val="clear" w:color="auto" w:fill="1F3A5F"/>
          </w:tcPr>
          <w:p>
            <w:pPr>
              <w:pStyle w:val="Compact"/>
              <w:spacing w:after="40"/>
              <w:jc w:val="left"/>
            </w:pPr>
            <w:r>
              <w:rPr>
                <w:b/>
                <w:color w:val="FFFFFF"/>
                <w:sz w:val="18"/>
              </w:rPr>
              <w:t xml:space="preserve">Tab</w:t>
            </w:r>
          </w:p>
        </w:tc>
        <w:tc>
          <w:tcPr>
            <w:tcW w:w="5800" w:type="dxa"/>
            <w:shd w:val="clear" w:color="auto" w:fill="1F3A5F"/>
          </w:tcPr>
          <w:p>
            <w:pPr>
              <w:pStyle w:val="Compact"/>
              <w:spacing w:after="40"/>
              <w:jc w:val="left"/>
            </w:pPr>
            <w:r>
              <w:rPr>
                <w:b/>
                <w:color w:val="FFFFFF"/>
                <w:sz w:val="18"/>
              </w:rPr>
              <w:t xml:space="preserve">Contents</w:t>
            </w:r>
          </w:p>
        </w:tc>
        <w:tc>
          <w:tcPr>
            <w:tcW w:w="2751" w:type="dxa"/>
            <w:shd w:val="clear" w:color="auto" w:fill="1F3A5F"/>
          </w:tcPr>
          <w:p>
            <w:pPr>
              <w:pStyle w:val="Compact"/>
              <w:spacing w:after="40"/>
              <w:jc w:val="left"/>
            </w:pPr>
            <w:r>
              <w:rPr>
                <w:b/>
                <w:color w:val="FFFFFF"/>
                <w:sz w:val="18"/>
              </w:rPr>
              <w:t xml:space="preserve">Never contains</w:t>
            </w:r>
          </w:p>
        </w:tc>
      </w:tr>
      <w:tr>
        <w:tc>
          <w:tcPr>
            <w:tcW w:w="1087" w:type="dxa"/>
          </w:tcPr>
          <w:p>
            <w:pPr>
              <w:pStyle w:val="Compact"/>
              <w:spacing w:after="40"/>
              <w:jc w:val="left"/>
            </w:pPr>
            <w:r>
              <w:rPr>
                <w:sz w:val="18"/>
              </w:rPr>
              <w:t xml:space="preserve">Home</w:t>
            </w:r>
          </w:p>
        </w:tc>
        <w:tc>
          <w:tcPr>
            <w:tcW w:w="5800" w:type="dxa"/>
          </w:tcPr>
          <w:p>
            <w:pPr>
              <w:pStyle w:val="Compact"/>
              <w:spacing w:after="40"/>
              <w:jc w:val="left"/>
            </w:pPr>
            <w:r>
              <w:rPr>
                <w:sz w:val="18"/>
              </w:rPr>
              <w:t xml:space="preserve">Next due date and amount for each loan, tasks (documents to sign, information requested by an RE, consent renewals), open complaint status, notices; a</w:t>
            </w:r>
            <w:r>
              <w:rPr>
                <w:sz w:val="18"/>
              </w:rPr>
              <w:t xml:space="preserve"> </w:t>
            </w:r>
            <w:r>
              <w:rPr>
                <w:sz w:val="18"/>
              </w:rPr>
              <w:t xml:space="preserve">“</w:t>
            </w:r>
            <w:r>
              <w:rPr>
                <w:sz w:val="18"/>
              </w:rPr>
              <w:t xml:space="preserve">Your society</w:t>
            </w:r>
            <w:r>
              <w:rPr>
                <w:sz w:val="18"/>
              </w:rPr>
              <w:t xml:space="preserve">”</w:t>
            </w:r>
            <w:r>
              <w:rPr>
                <w:sz w:val="18"/>
              </w:rPr>
              <w:t xml:space="preserve"> </w:t>
            </w:r>
            <w:r>
              <w:rPr>
                <w:sz w:val="18"/>
              </w:rPr>
              <w:t xml:space="preserve">tile for verified society members on web (MG1)</w:t>
            </w:r>
          </w:p>
        </w:tc>
        <w:tc>
          <w:tcPr>
            <w:tcW w:w="2751" w:type="dxa"/>
          </w:tcPr>
          <w:p>
            <w:pPr>
              <w:pStyle w:val="Compact"/>
              <w:spacing w:after="40"/>
              <w:jc w:val="left"/>
            </w:pPr>
            <w:r>
              <w:rPr>
                <w:sz w:val="18"/>
              </w:rPr>
              <w:t xml:space="preserve">Offers pushed by fee or DLG, advertising inside loan cards (Part 4.6; RV4)</w:t>
            </w:r>
          </w:p>
        </w:tc>
      </w:tr>
      <w:tr>
        <w:tc>
          <w:tcPr>
            <w:tcW w:w="1087" w:type="dxa"/>
          </w:tcPr>
          <w:p>
            <w:pPr>
              <w:pStyle w:val="Compact"/>
              <w:spacing w:after="40"/>
              <w:jc w:val="left"/>
            </w:pPr>
            <w:r>
              <w:rPr>
                <w:sz w:val="18"/>
              </w:rPr>
              <w:t xml:space="preserve">Loans</w:t>
            </w:r>
          </w:p>
        </w:tc>
        <w:tc>
          <w:tcPr>
            <w:tcW w:w="5800" w:type="dxa"/>
          </w:tcPr>
          <w:p>
            <w:pPr>
              <w:pStyle w:val="Compact"/>
              <w:spacing w:after="40"/>
              <w:jc w:val="left"/>
            </w:pPr>
            <w:r>
              <w:rPr>
                <w:sz w:val="18"/>
              </w:rPr>
              <w:t xml:space="preserve">Apply (multi-lender offer view), my applications, my loans (statement, schedule, documents for that loan, cooling-off exit, foreclosure request),</w:t>
            </w:r>
            <w:r>
              <w:rPr>
                <w:sz w:val="18"/>
              </w:rPr>
              <w:t xml:space="preserve"> </w:t>
            </w:r>
            <w:r>
              <w:rPr>
                <w:sz w:val="18"/>
              </w:rPr>
              <w:t xml:space="preserve">“</w:t>
            </w:r>
            <w:r>
              <w:rPr>
                <w:sz w:val="18"/>
              </w:rPr>
              <w:t xml:space="preserve">Your society</w:t>
            </w:r>
            <w:r>
              <w:rPr>
                <w:sz w:val="18"/>
              </w:rPr>
              <w:t xml:space="preserve">”</w:t>
            </w:r>
            <w:r>
              <w:rPr>
                <w:sz w:val="18"/>
              </w:rPr>
              <w:t xml:space="preserve"> </w:t>
            </w:r>
            <w:r>
              <w:rPr>
                <w:sz w:val="18"/>
              </w:rPr>
              <w:t xml:space="preserve">on web and assisted channels (MG1), group loans (MG2–MG3)</w:t>
            </w:r>
          </w:p>
        </w:tc>
        <w:tc>
          <w:tcPr>
            <w:tcW w:w="2751" w:type="dxa"/>
          </w:tcPr>
          <w:p>
            <w:pPr>
              <w:pStyle w:val="Compact"/>
              <w:spacing w:after="40"/>
              <w:jc w:val="left"/>
            </w:pPr>
            <w:r>
              <w:rPr>
                <w:sz w:val="18"/>
              </w:rPr>
              <w:t xml:space="preserve">Money tools, insurance or plan upsells</w:t>
            </w:r>
          </w:p>
        </w:tc>
      </w:tr>
      <w:tr>
        <w:tc>
          <w:tcPr>
            <w:tcW w:w="1087" w:type="dxa"/>
          </w:tcPr>
          <w:p>
            <w:pPr>
              <w:pStyle w:val="Compact"/>
              <w:spacing w:after="40"/>
              <w:jc w:val="left"/>
            </w:pPr>
            <w:r>
              <w:rPr>
                <w:sz w:val="18"/>
              </w:rPr>
              <w:t xml:space="preserve">Pay</w:t>
            </w:r>
          </w:p>
        </w:tc>
        <w:tc>
          <w:tcPr>
            <w:tcW w:w="5800" w:type="dxa"/>
          </w:tcPr>
          <w:p>
            <w:pPr>
              <w:pStyle w:val="Compact"/>
              <w:spacing w:after="40"/>
              <w:jc w:val="left"/>
            </w:pPr>
            <w:r>
              <w:rPr>
                <w:sz w:val="18"/>
              </w:rPr>
              <w:t xml:space="preserve">Dues across loans with RE-named payment buttons (UPI intent or QR, mandate status), receipts from the RE, overdue centre (Part 7A UR1)</w:t>
            </w:r>
          </w:p>
        </w:tc>
        <w:tc>
          <w:tcPr>
            <w:tcW w:w="2751" w:type="dxa"/>
          </w:tcPr>
          <w:p>
            <w:pPr>
              <w:pStyle w:val="Compact"/>
              <w:spacing w:after="40"/>
              <w:jc w:val="left"/>
            </w:pPr>
            <w:r>
              <w:rPr>
                <w:sz w:val="18"/>
              </w:rPr>
              <w:t xml:space="preserve">Any Udofin account or any payment to Udofin</w:t>
            </w:r>
          </w:p>
        </w:tc>
      </w:tr>
      <w:tr>
        <w:tc>
          <w:tcPr>
            <w:tcW w:w="1087" w:type="dxa"/>
          </w:tcPr>
          <w:p>
            <w:pPr>
              <w:pStyle w:val="Compact"/>
              <w:spacing w:after="40"/>
              <w:jc w:val="left"/>
            </w:pPr>
            <w:r>
              <w:rPr>
                <w:sz w:val="18"/>
              </w:rPr>
              <w:t xml:space="preserve">Help</w:t>
            </w:r>
          </w:p>
        </w:tc>
        <w:tc>
          <w:tcPr>
            <w:tcW w:w="5800" w:type="dxa"/>
          </w:tcPr>
          <w:p>
            <w:pPr>
              <w:pStyle w:val="Compact"/>
              <w:spacing w:after="40"/>
              <w:jc w:val="left"/>
            </w:pPr>
            <w:r>
              <w:rPr>
                <w:sz w:val="18"/>
              </w:rPr>
              <w:t xml:space="preserve">Help centre,</w:t>
            </w:r>
            <w:r>
              <w:rPr>
                <w:sz w:val="18"/>
              </w:rPr>
              <w:t xml:space="preserve"> </w:t>
            </w:r>
            <w:r>
              <w:rPr>
                <w:bCs/>
                <w:b/>
                <w:sz w:val="18"/>
              </w:rPr>
              <w:t xml:space="preserve">Raise a complaint</w:t>
            </w:r>
            <w:r>
              <w:rPr>
                <w:sz w:val="18"/>
              </w:rPr>
              <w:t xml:space="preserve">, my complaints with timeline and clocks, external routes when open (UB3–UB4),</w:t>
            </w:r>
            <w:r>
              <w:rPr>
                <w:sz w:val="18"/>
              </w:rPr>
              <w:t xml:space="preserve"> </w:t>
            </w:r>
            <w:r>
              <w:rPr>
                <w:sz w:val="18"/>
              </w:rPr>
              <w:t xml:space="preserve">“</w:t>
            </w:r>
            <w:r>
              <w:rPr>
                <w:sz w:val="18"/>
              </w:rPr>
              <w:t xml:space="preserve">verify this agent</w:t>
            </w:r>
            <w:r>
              <w:rPr>
                <w:sz w:val="18"/>
              </w:rPr>
              <w:t xml:space="preserve">”</w:t>
            </w:r>
            <w:r>
              <w:rPr>
                <w:sz w:val="18"/>
              </w:rPr>
              <w:t xml:space="preserve"> </w:t>
            </w:r>
            <w:r>
              <w:rPr>
                <w:sz w:val="18"/>
              </w:rPr>
              <w:t xml:space="preserve">(UR4), call-back request</w:t>
            </w:r>
          </w:p>
        </w:tc>
        <w:tc>
          <w:tcPr>
            <w:tcW w:w="2751" w:type="dxa"/>
          </w:tcPr>
          <w:p>
            <w:pPr>
              <w:pStyle w:val="Compact"/>
              <w:spacing w:after="40"/>
              <w:jc w:val="left"/>
            </w:pPr>
            <w:r>
              <w:rPr>
                <w:sz w:val="18"/>
              </w:rPr>
              <w:t xml:space="preserve">Retention offers, discouraging wording</w:t>
            </w:r>
          </w:p>
        </w:tc>
      </w:tr>
      <w:tr>
        <w:tc>
          <w:tcPr>
            <w:tcW w:w="1087" w:type="dxa"/>
          </w:tcPr>
          <w:p>
            <w:pPr>
              <w:pStyle w:val="Compact"/>
              <w:spacing w:after="40"/>
              <w:jc w:val="left"/>
            </w:pPr>
            <w:r>
              <w:rPr>
                <w:sz w:val="18"/>
              </w:rPr>
              <w:t xml:space="preserve">Account</w:t>
            </w:r>
          </w:p>
        </w:tc>
        <w:tc>
          <w:tcPr>
            <w:tcW w:w="5800" w:type="dxa"/>
          </w:tcPr>
          <w:p>
            <w:pPr>
              <w:pStyle w:val="Compact"/>
              <w:spacing w:after="40"/>
              <w:jc w:val="left"/>
            </w:pPr>
            <w:r>
              <w:rPr>
                <w:sz w:val="18"/>
              </w:rPr>
              <w:t xml:space="preserve">Profile and contacts, security (devices, passkeys, step-up),</w:t>
            </w:r>
            <w:r>
              <w:rPr>
                <w:sz w:val="18"/>
              </w:rPr>
              <w:t xml:space="preserve"> </w:t>
            </w:r>
            <w:r>
              <w:rPr>
                <w:bCs/>
                <w:b/>
                <w:sz w:val="18"/>
              </w:rPr>
              <w:t xml:space="preserve">My documents and data</w:t>
            </w:r>
            <w:r>
              <w:rPr>
                <w:sz w:val="18"/>
              </w:rPr>
              <w:t xml:space="preserve"> </w:t>
            </w:r>
            <w:r>
              <w:rPr>
                <w:sz w:val="18"/>
              </w:rPr>
              <w:t xml:space="preserve">(UB1),</w:t>
            </w:r>
            <w:r>
              <w:rPr>
                <w:sz w:val="18"/>
              </w:rPr>
              <w:t xml:space="preserve"> </w:t>
            </w:r>
            <w:r>
              <w:rPr>
                <w:bCs/>
                <w:b/>
                <w:sz w:val="18"/>
              </w:rPr>
              <w:t xml:space="preserve">Tax documents</w:t>
            </w:r>
            <w:r>
              <w:rPr>
                <w:sz w:val="18"/>
              </w:rPr>
              <w:t xml:space="preserve"> </w:t>
            </w:r>
            <w:r>
              <w:rPr>
                <w:sz w:val="18"/>
              </w:rPr>
              <w:t xml:space="preserve">(UB2), consents and privacy, language and accessibility, Plans and billing (Part 7G RV2.3, only while S09 is active), Money tools (Part 7D, only while</w:t>
            </w:r>
            <w:r>
              <w:rPr>
                <w:sz w:val="18"/>
              </w:rPr>
              <w:t xml:space="preserve"> </w:t>
            </w:r>
            <w:r>
              <w:rPr>
                <w:rStyle w:val="VerbatimChar"/>
                <w:sz w:val="18"/>
              </w:rPr>
              <w:t xml:space="preserve">addons.wellness</w:t>
            </w:r>
            <w:r>
              <w:rPr>
                <w:sz w:val="18"/>
              </w:rPr>
              <w:t xml:space="preserve"> </w:t>
            </w:r>
            <w:r>
              <w:rPr>
                <w:sz w:val="18"/>
              </w:rPr>
              <w:t xml:space="preserve">is on), Protect (Part 7F, only after the XP1 licence gate)</w:t>
            </w:r>
          </w:p>
        </w:tc>
        <w:tc>
          <w:tcPr>
            <w:tcW w:w="2751" w:type="dxa"/>
          </w:tcPr>
          <w:p>
            <w:pPr>
              <w:pStyle w:val="Compact"/>
              <w:spacing w:after="40"/>
              <w:jc w:val="left"/>
            </w:pPr>
            <w:r>
              <w:rPr>
                <w:sz w:val="18"/>
              </w:rPr>
              <w:t xml:space="preserve">Loan offers inside Money tools or Protect</w:t>
            </w:r>
          </w:p>
        </w:tc>
      </w:tr>
    </w:tbl>
    <w:p>
      <w:pPr>
        <w:pStyle w:val="BodyText"/>
      </w:pPr>
      <w:r>
        <w:t xml:space="preserve">The Account tab is the</w:t>
      </w:r>
      <w:r>
        <w:t xml:space="preserve"> </w:t>
      </w:r>
      <w:r>
        <w:t xml:space="preserve">“</w:t>
      </w:r>
      <w:r>
        <w:t xml:space="preserve">Account</w:t>
      </w:r>
      <w:r>
        <w:t xml:space="preserve">”</w:t>
      </w:r>
      <w:r>
        <w:t xml:space="preserve"> </w:t>
      </w:r>
      <w:r>
        <w:t xml:space="preserve">section of Part 7G RV2.3. Money tools and Protect are areas reached from Account (and from a Home tile the user has opted into), never extra tabs inside the loan journey; a loan, offer, KFS, payment, overdue or grievance screen never links into them (FW4; XP2.2).</w:t>
      </w:r>
    </w:p>
    <w:p>
      <w:r>
        <w:pict>
          <v:rect style="width:0;height:1.5pt" o:hralign="center" o:hrstd="t" o:hr="t"/>
        </w:pict>
      </w:r>
    </w:p>
    <w:bookmarkStart w:id="169" w:name="ub1.-my-documents-and-my-data"/>
    <w:p>
      <w:pPr>
        <w:pStyle w:val="Heading2"/>
      </w:pPr>
      <w:r>
        <w:t xml:space="preserve">UB1. My documents and my data</w:t>
      </w:r>
    </w:p>
    <w:bookmarkStart w:id="160" w:name="purpose-and-scope-5"/>
    <w:p>
      <w:pPr>
        <w:pStyle w:val="Heading3"/>
      </w:pPr>
      <w:r>
        <w:t xml:space="preserve">Purpose and scope</w:t>
      </w:r>
    </w:p>
    <w:p>
      <w:pPr>
        <w:pStyle w:val="FirstParagraph"/>
      </w:pPr>
      <w:r>
        <w:t xml:space="preserve">A single</w:t>
      </w:r>
      <w:r>
        <w:t xml:space="preserve"> </w:t>
      </w:r>
      <w:r>
        <w:t xml:space="preserve">“</w:t>
      </w:r>
      <w:r>
        <w:t xml:space="preserve">My documents and data</w:t>
      </w:r>
      <w:r>
        <w:t xml:space="preserve">”</w:t>
      </w:r>
      <w:r>
        <w:t xml:space="preserve"> </w:t>
      </w:r>
      <w:r>
        <w:t xml:space="preserve">area, identical on app and web, that lists every document relevant to the borrower, says who issued it and where it is, serves RE documents from the RE, explains what the borrower can ask for and when, and lets the borrower download their data in readable formats.</w:t>
      </w:r>
    </w:p>
    <w:bookmarkEnd w:id="160"/>
    <w:bookmarkStart w:id="161" w:name="document-catalogue"/>
    <w:p>
      <w:pPr>
        <w:pStyle w:val="Heading3"/>
      </w:pPr>
      <w:r>
        <w:t xml:space="preserve">Document catalogue</w:t>
      </w:r>
    </w:p>
    <w:p>
      <w:pPr>
        <w:pStyle w:val="FirstParagraph"/>
      </w:pPr>
      <w:r>
        <w:t xml:space="preserve">Each entry is a</w:t>
      </w:r>
      <w:r>
        <w:t xml:space="preserve"> </w:t>
      </w:r>
      <w:r>
        <w:rPr>
          <w:rStyle w:val="VerbatimChar"/>
        </w:rPr>
        <w:t xml:space="preserve">document_catalogue_entry</w:t>
      </w:r>
      <w:r>
        <w:t xml:space="preserve"> </w:t>
      </w:r>
      <w:r>
        <w:t xml:space="preserve">with issuer, owner, source, availability state and the rule that makes it available.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01"/>
        <w:gridCol w:w="1422"/>
        <w:gridCol w:w="2752"/>
        <w:gridCol w:w="2095"/>
        <w:gridCol w:w="1468"/>
      </w:tblGrid>
      <w:tr>
        <w:trPr>
          <w:tblHeader w:val="true"/>
          <w:tblHeader w:val="true"/>
        </w:trPr>
        <w:tc>
          <w:tcPr>
            <w:tcW w:w="1901" w:type="dxa"/>
            <w:shd w:val="clear" w:color="auto" w:fill="1F3A5F"/>
          </w:tcPr>
          <w:p>
            <w:pPr>
              <w:pStyle w:val="Compact"/>
              <w:spacing w:after="40"/>
              <w:jc w:val="left"/>
            </w:pPr>
            <w:r>
              <w:rPr>
                <w:b/>
                <w:color w:val="FFFFFF"/>
                <w:sz w:val="18"/>
              </w:rPr>
              <w:t xml:space="preserve">Document</w:t>
            </w:r>
          </w:p>
        </w:tc>
        <w:tc>
          <w:tcPr>
            <w:tcW w:w="1422" w:type="dxa"/>
            <w:shd w:val="clear" w:color="auto" w:fill="1F3A5F"/>
          </w:tcPr>
          <w:p>
            <w:pPr>
              <w:pStyle w:val="Compact"/>
              <w:spacing w:after="40"/>
              <w:jc w:val="left"/>
            </w:pPr>
            <w:r>
              <w:rPr>
                <w:b/>
                <w:color w:val="FFFFFF"/>
                <w:sz w:val="18"/>
              </w:rPr>
              <w:t xml:space="preserve">Issuer and owner</w:t>
            </w:r>
          </w:p>
        </w:tc>
        <w:tc>
          <w:tcPr>
            <w:tcW w:w="2752" w:type="dxa"/>
            <w:shd w:val="clear" w:color="auto" w:fill="1F3A5F"/>
          </w:tcPr>
          <w:p>
            <w:pPr>
              <w:pStyle w:val="Compact"/>
              <w:spacing w:after="40"/>
              <w:jc w:val="left"/>
            </w:pPr>
            <w:r>
              <w:rPr>
                <w:b/>
                <w:color w:val="FFFFFF"/>
                <w:sz w:val="18"/>
              </w:rPr>
              <w:t xml:space="preserve">How Udofin serves it</w:t>
            </w:r>
          </w:p>
        </w:tc>
        <w:tc>
          <w:tcPr>
            <w:tcW w:w="2095" w:type="dxa"/>
            <w:shd w:val="clear" w:color="auto" w:fill="1F3A5F"/>
          </w:tcPr>
          <w:p>
            <w:pPr>
              <w:pStyle w:val="Compact"/>
              <w:spacing w:after="40"/>
              <w:jc w:val="left"/>
            </w:pPr>
            <w:r>
              <w:rPr>
                <w:b/>
                <w:color w:val="FFFFFF"/>
                <w:sz w:val="18"/>
              </w:rPr>
              <w:t xml:space="preserve">When available</w:t>
            </w:r>
          </w:p>
        </w:tc>
        <w:tc>
          <w:tcPr>
            <w:tcW w:w="1468" w:type="dxa"/>
            <w:shd w:val="clear" w:color="auto" w:fill="1F3A5F"/>
          </w:tcPr>
          <w:p>
            <w:pPr>
              <w:pStyle w:val="Compact"/>
              <w:spacing w:after="40"/>
              <w:jc w:val="left"/>
            </w:pPr>
            <w:r>
              <w:rPr>
                <w:b/>
                <w:color w:val="FFFFFF"/>
                <w:sz w:val="18"/>
              </w:rPr>
              <w:t xml:space="preserve">Basis</w:t>
            </w:r>
          </w:p>
        </w:tc>
      </w:tr>
      <w:tr>
        <w:tc>
          <w:tcPr>
            <w:tcW w:w="1901" w:type="dxa"/>
          </w:tcPr>
          <w:p>
            <w:pPr>
              <w:pStyle w:val="Compact"/>
              <w:spacing w:after="40"/>
              <w:jc w:val="left"/>
            </w:pPr>
            <w:r>
              <w:rPr>
                <w:sz w:val="18"/>
              </w:rPr>
              <w:t xml:space="preserve">KFS (with APR sheet and amortisation schedule)</w:t>
            </w:r>
          </w:p>
        </w:tc>
        <w:tc>
          <w:tcPr>
            <w:tcW w:w="1422" w:type="dxa"/>
          </w:tcPr>
          <w:p>
            <w:pPr>
              <w:pStyle w:val="Compact"/>
              <w:spacing w:after="40"/>
              <w:jc w:val="left"/>
            </w:pPr>
            <w:r>
              <w:rPr>
                <w:sz w:val="18"/>
              </w:rPr>
              <w:t xml:space="preserve">RE</w:t>
            </w:r>
          </w:p>
        </w:tc>
        <w:tc>
          <w:tcPr>
            <w:tcW w:w="2752" w:type="dxa"/>
          </w:tcPr>
          <w:p>
            <w:pPr>
              <w:pStyle w:val="Compact"/>
              <w:spacing w:after="40"/>
              <w:jc w:val="left"/>
            </w:pPr>
            <w:r>
              <w:rPr>
                <w:sz w:val="18"/>
              </w:rPr>
              <w:t xml:space="preserve">RE-signed copy stored in U9 on</w:t>
            </w:r>
            <w:r>
              <w:rPr>
                <w:sz w:val="18"/>
              </w:rPr>
              <w:t xml:space="preserve"> </w:t>
            </w:r>
            <w:r>
              <w:rPr>
                <w:rStyle w:val="VerbatimChar"/>
                <w:sz w:val="18"/>
              </w:rPr>
              <w:t xml:space="preserve">KFSIssued</w:t>
            </w:r>
            <w:r>
              <w:rPr>
                <w:sz w:val="18"/>
              </w:rPr>
              <w:t xml:space="preserve">, hash and JWS verified before display</w:t>
            </w:r>
          </w:p>
        </w:tc>
        <w:tc>
          <w:tcPr>
            <w:tcW w:w="2095" w:type="dxa"/>
          </w:tcPr>
          <w:p>
            <w:pPr>
              <w:pStyle w:val="Compact"/>
              <w:spacing w:after="40"/>
              <w:jc w:val="left"/>
            </w:pPr>
            <w:r>
              <w:rPr>
                <w:sz w:val="18"/>
              </w:rPr>
              <w:t xml:space="preserve">On issue; kept after acceptance or expiry</w:t>
            </w:r>
          </w:p>
        </w:tc>
        <w:tc>
          <w:tcPr>
            <w:tcW w:w="1468" w:type="dxa"/>
          </w:tcPr>
          <w:p>
            <w:pPr>
              <w:pStyle w:val="Compact"/>
              <w:spacing w:after="40"/>
              <w:jc w:val="left"/>
            </w:pPr>
            <w:r>
              <w:rPr>
                <w:sz w:val="18"/>
              </w:rPr>
              <w:t xml:space="preserve">RBC para 29; CF para 9(1), 9(3)</w:t>
            </w:r>
          </w:p>
        </w:tc>
      </w:tr>
      <w:tr>
        <w:tc>
          <w:tcPr>
            <w:tcW w:w="1901" w:type="dxa"/>
          </w:tcPr>
          <w:p>
            <w:pPr>
              <w:pStyle w:val="Compact"/>
              <w:spacing w:after="40"/>
              <w:jc w:val="left"/>
            </w:pPr>
            <w:r>
              <w:rPr>
                <w:sz w:val="18"/>
              </w:rPr>
              <w:t xml:space="preserve">Sanction letter</w:t>
            </w:r>
          </w:p>
        </w:tc>
        <w:tc>
          <w:tcPr>
            <w:tcW w:w="1422" w:type="dxa"/>
          </w:tcPr>
          <w:p>
            <w:pPr>
              <w:pStyle w:val="Compact"/>
              <w:spacing w:after="40"/>
              <w:jc w:val="left"/>
            </w:pPr>
            <w:r>
              <w:rPr>
                <w:sz w:val="18"/>
              </w:rPr>
              <w:t xml:space="preserve">RE</w:t>
            </w:r>
          </w:p>
        </w:tc>
        <w:tc>
          <w:tcPr>
            <w:tcW w:w="2752" w:type="dxa"/>
          </w:tcPr>
          <w:p>
            <w:pPr>
              <w:pStyle w:val="Compact"/>
              <w:spacing w:after="40"/>
              <w:jc w:val="left"/>
            </w:pPr>
            <w:r>
              <w:rPr>
                <w:sz w:val="18"/>
              </w:rPr>
              <w:t xml:space="preserve">As above on</w:t>
            </w:r>
            <w:r>
              <w:rPr>
                <w:sz w:val="18"/>
              </w:rPr>
              <w:t xml:space="preserve"> </w:t>
            </w:r>
            <w:r>
              <w:rPr>
                <w:rStyle w:val="VerbatimChar"/>
                <w:sz w:val="18"/>
              </w:rPr>
              <w:t xml:space="preserve">SanctionLetterIssued</w:t>
            </w:r>
          </w:p>
        </w:tc>
        <w:tc>
          <w:tcPr>
            <w:tcW w:w="2095" w:type="dxa"/>
          </w:tcPr>
          <w:p>
            <w:pPr>
              <w:pStyle w:val="Compact"/>
              <w:spacing w:after="40"/>
              <w:jc w:val="left"/>
            </w:pPr>
            <w:r>
              <w:rPr>
                <w:sz w:val="18"/>
              </w:rPr>
              <w:t xml:space="preserve">On sanction</w:t>
            </w:r>
          </w:p>
        </w:tc>
        <w:tc>
          <w:tcPr>
            <w:tcW w:w="1468" w:type="dxa"/>
          </w:tcPr>
          <w:p>
            <w:pPr>
              <w:pStyle w:val="Compact"/>
              <w:spacing w:after="40"/>
              <w:jc w:val="left"/>
            </w:pPr>
            <w:r>
              <w:rPr>
                <w:sz w:val="18"/>
              </w:rPr>
              <w:t xml:space="preserve">RBC para 13; CF para 9(3)</w:t>
            </w:r>
          </w:p>
        </w:tc>
      </w:tr>
      <w:tr>
        <w:tc>
          <w:tcPr>
            <w:tcW w:w="1901" w:type="dxa"/>
          </w:tcPr>
          <w:p>
            <w:pPr>
              <w:pStyle w:val="Compact"/>
              <w:spacing w:after="40"/>
              <w:jc w:val="left"/>
            </w:pPr>
            <w:r>
              <w:rPr>
                <w:sz w:val="18"/>
              </w:rPr>
              <w:t xml:space="preserve">Loan agreement with every enclosure quoted in it</w:t>
            </w:r>
          </w:p>
        </w:tc>
        <w:tc>
          <w:tcPr>
            <w:tcW w:w="1422" w:type="dxa"/>
          </w:tcPr>
          <w:p>
            <w:pPr>
              <w:pStyle w:val="Compact"/>
              <w:spacing w:after="40"/>
              <w:jc w:val="left"/>
            </w:pPr>
            <w:r>
              <w:rPr>
                <w:sz w:val="18"/>
              </w:rPr>
              <w:t xml:space="preserve">RE</w:t>
            </w:r>
          </w:p>
        </w:tc>
        <w:tc>
          <w:tcPr>
            <w:tcW w:w="2752" w:type="dxa"/>
          </w:tcPr>
          <w:p>
            <w:pPr>
              <w:pStyle w:val="Compact"/>
              <w:spacing w:after="40"/>
              <w:jc w:val="left"/>
            </w:pPr>
            <w:r>
              <w:rPr>
                <w:sz w:val="18"/>
              </w:rPr>
              <w:t xml:space="preserve">Executed pack from U9 with enclosure checklist</w:t>
            </w:r>
          </w:p>
        </w:tc>
        <w:tc>
          <w:tcPr>
            <w:tcW w:w="2095" w:type="dxa"/>
          </w:tcPr>
          <w:p>
            <w:pPr>
              <w:pStyle w:val="Compact"/>
              <w:spacing w:after="40"/>
              <w:jc w:val="left"/>
            </w:pPr>
            <w:r>
              <w:rPr>
                <w:sz w:val="18"/>
              </w:rPr>
              <w:t xml:space="preserve">At sanction or disbursal</w:t>
            </w:r>
          </w:p>
        </w:tc>
        <w:tc>
          <w:tcPr>
            <w:tcW w:w="1468" w:type="dxa"/>
          </w:tcPr>
          <w:p>
            <w:pPr>
              <w:pStyle w:val="Compact"/>
              <w:spacing w:after="40"/>
              <w:jc w:val="left"/>
            </w:pPr>
            <w:r>
              <w:rPr>
                <w:sz w:val="18"/>
              </w:rPr>
              <w:t xml:space="preserve">RBC para 14; CF para 9(3)</w:t>
            </w:r>
          </w:p>
        </w:tc>
      </w:tr>
      <w:tr>
        <w:tc>
          <w:tcPr>
            <w:tcW w:w="1901" w:type="dxa"/>
          </w:tcPr>
          <w:p>
            <w:pPr>
              <w:pStyle w:val="Compact"/>
              <w:spacing w:after="40"/>
              <w:jc w:val="left"/>
            </w:pPr>
            <w:r>
              <w:rPr>
                <w:sz w:val="18"/>
              </w:rPr>
              <w:t xml:space="preserve">Summary of loan product, terms and conditions, privacy policies of the RE and Udofin</w:t>
            </w:r>
          </w:p>
        </w:tc>
        <w:tc>
          <w:tcPr>
            <w:tcW w:w="1422" w:type="dxa"/>
          </w:tcPr>
          <w:p>
            <w:pPr>
              <w:pStyle w:val="Compact"/>
              <w:spacing w:after="40"/>
              <w:jc w:val="left"/>
            </w:pPr>
            <w:r>
              <w:rPr>
                <w:sz w:val="18"/>
              </w:rPr>
              <w:t xml:space="preserve">RE and Udofin</w:t>
            </w:r>
          </w:p>
        </w:tc>
        <w:tc>
          <w:tcPr>
            <w:tcW w:w="2752" w:type="dxa"/>
          </w:tcPr>
          <w:p>
            <w:pPr>
              <w:pStyle w:val="Compact"/>
              <w:spacing w:after="40"/>
              <w:jc w:val="left"/>
            </w:pPr>
            <w:r>
              <w:rPr>
                <w:sz w:val="18"/>
              </w:rPr>
              <w:t xml:space="preserve">Flowed on execution</w:t>
            </w:r>
          </w:p>
        </w:tc>
        <w:tc>
          <w:tcPr>
            <w:tcW w:w="2095" w:type="dxa"/>
          </w:tcPr>
          <w:p>
            <w:pPr>
              <w:pStyle w:val="Compact"/>
              <w:spacing w:after="40"/>
              <w:jc w:val="left"/>
            </w:pPr>
            <w:r>
              <w:rPr>
                <w:sz w:val="18"/>
              </w:rPr>
              <w:t xml:space="preserve">On execution</w:t>
            </w:r>
          </w:p>
        </w:tc>
        <w:tc>
          <w:tcPr>
            <w:tcW w:w="1468" w:type="dxa"/>
          </w:tcPr>
          <w:p>
            <w:pPr>
              <w:pStyle w:val="Compact"/>
              <w:spacing w:after="40"/>
              <w:jc w:val="left"/>
            </w:pPr>
            <w:r>
              <w:rPr>
                <w:sz w:val="18"/>
              </w:rPr>
              <w:t xml:space="preserve">CF para 9(3)</w:t>
            </w:r>
          </w:p>
        </w:tc>
      </w:tr>
      <w:tr>
        <w:tc>
          <w:tcPr>
            <w:tcW w:w="1901" w:type="dxa"/>
          </w:tcPr>
          <w:p>
            <w:pPr>
              <w:pStyle w:val="Compact"/>
              <w:spacing w:after="40"/>
              <w:jc w:val="left"/>
            </w:pPr>
            <w:r>
              <w:rPr>
                <w:sz w:val="18"/>
              </w:rPr>
              <w:t xml:space="preserve">Statement of account and repayment schedule</w:t>
            </w:r>
          </w:p>
        </w:tc>
        <w:tc>
          <w:tcPr>
            <w:tcW w:w="1422" w:type="dxa"/>
          </w:tcPr>
          <w:p>
            <w:pPr>
              <w:pStyle w:val="Compact"/>
              <w:spacing w:after="40"/>
              <w:jc w:val="left"/>
            </w:pPr>
            <w:r>
              <w:rPr>
                <w:sz w:val="18"/>
              </w:rPr>
              <w:t xml:space="preserve">RE</w:t>
            </w:r>
          </w:p>
        </w:tc>
        <w:tc>
          <w:tcPr>
            <w:tcW w:w="2752" w:type="dxa"/>
          </w:tcPr>
          <w:p>
            <w:pPr>
              <w:pStyle w:val="Compact"/>
              <w:spacing w:after="40"/>
              <w:jc w:val="left"/>
            </w:pPr>
            <w:r>
              <w:rPr>
                <w:sz w:val="18"/>
              </w:rPr>
              <w:t xml:space="preserve">Fetched live from the RE (</w:t>
            </w:r>
            <w:r>
              <w:rPr>
                <w:rStyle w:val="VerbatimChar"/>
                <w:sz w:val="18"/>
              </w:rPr>
              <w:t xml:space="preserve">GET /v1/documents/{id}</w:t>
            </w:r>
            <w:r>
              <w:rPr>
                <w:sz w:val="18"/>
              </w:rPr>
              <w:t xml:space="preserve">, Integration Specification 6.13) or from the U12 mirror labelled</w:t>
            </w:r>
            <w:r>
              <w:rPr>
                <w:sz w:val="18"/>
              </w:rPr>
              <w:t xml:space="preserve"> </w:t>
            </w:r>
            <w:r>
              <w:rPr>
                <w:sz w:val="18"/>
              </w:rPr>
              <w:t xml:space="preserve">“</w:t>
            </w:r>
            <w:r>
              <w:rPr>
                <w:sz w:val="18"/>
              </w:rPr>
              <w:t xml:space="preserve">as at [time], source [RE name]</w:t>
            </w:r>
            <w:r>
              <w:rPr>
                <w:sz w:val="18"/>
              </w:rPr>
              <w:t xml:space="preserve">”</w:t>
            </w:r>
            <w:r>
              <w:rPr>
                <w:sz w:val="18"/>
              </w:rPr>
              <w:t xml:space="preserve">; cache at most 24 hours [REC]</w:t>
            </w:r>
          </w:p>
        </w:tc>
        <w:tc>
          <w:tcPr>
            <w:tcW w:w="2095" w:type="dxa"/>
          </w:tcPr>
          <w:p>
            <w:pPr>
              <w:pStyle w:val="Compact"/>
              <w:spacing w:after="40"/>
              <w:jc w:val="left"/>
            </w:pPr>
            <w:r>
              <w:rPr>
                <w:sz w:val="18"/>
              </w:rPr>
              <w:t xml:space="preserve">On demand</w:t>
            </w:r>
          </w:p>
        </w:tc>
        <w:tc>
          <w:tcPr>
            <w:tcW w:w="1468" w:type="dxa"/>
          </w:tcPr>
          <w:p>
            <w:pPr>
              <w:pStyle w:val="Compact"/>
              <w:spacing w:after="40"/>
              <w:jc w:val="left"/>
            </w:pPr>
            <w:r>
              <w:rPr>
                <w:sz w:val="18"/>
              </w:rPr>
              <w:t xml:space="preserve">CF para 9(3) (</w:t>
            </w:r>
            <w:r>
              <w:rPr>
                <w:sz w:val="18"/>
              </w:rPr>
              <w:t xml:space="preserve">“</w:t>
            </w:r>
            <w:r>
              <w:rPr>
                <w:sz w:val="18"/>
              </w:rPr>
              <w:t xml:space="preserve">account statements</w:t>
            </w:r>
            <w:r>
              <w:rPr>
                <w:sz w:val="18"/>
              </w:rPr>
              <w:t xml:space="preserve">”</w:t>
            </w:r>
            <w:r>
              <w:rPr>
                <w:sz w:val="18"/>
              </w:rPr>
              <w:t xml:space="preserve">); U12</w:t>
            </w:r>
          </w:p>
        </w:tc>
      </w:tr>
      <w:tr>
        <w:tc>
          <w:tcPr>
            <w:tcW w:w="1901" w:type="dxa"/>
          </w:tcPr>
          <w:p>
            <w:pPr>
              <w:pStyle w:val="Compact"/>
              <w:spacing w:after="40"/>
              <w:jc w:val="left"/>
            </w:pPr>
            <w:r>
              <w:rPr>
                <w:sz w:val="18"/>
              </w:rPr>
              <w:t xml:space="preserve">Quarterly statement (floating-rate equated-instalment personal loans)</w:t>
            </w:r>
          </w:p>
        </w:tc>
        <w:tc>
          <w:tcPr>
            <w:tcW w:w="1422" w:type="dxa"/>
          </w:tcPr>
          <w:p>
            <w:pPr>
              <w:pStyle w:val="Compact"/>
              <w:spacing w:after="40"/>
              <w:jc w:val="left"/>
            </w:pPr>
            <w:r>
              <w:rPr>
                <w:sz w:val="18"/>
              </w:rPr>
              <w:t xml:space="preserve">RE</w:t>
            </w:r>
          </w:p>
        </w:tc>
        <w:tc>
          <w:tcPr>
            <w:tcW w:w="2752" w:type="dxa"/>
          </w:tcPr>
          <w:p>
            <w:pPr>
              <w:pStyle w:val="Compact"/>
              <w:spacing w:after="40"/>
              <w:jc w:val="left"/>
            </w:pPr>
            <w:r>
              <w:rPr>
                <w:sz w:val="18"/>
              </w:rPr>
              <w:t xml:space="preserve">Mirrored</w:t>
            </w:r>
          </w:p>
        </w:tc>
        <w:tc>
          <w:tcPr>
            <w:tcW w:w="2095" w:type="dxa"/>
          </w:tcPr>
          <w:p>
            <w:pPr>
              <w:pStyle w:val="Compact"/>
              <w:spacing w:after="40"/>
              <w:jc w:val="left"/>
            </w:pPr>
            <w:r>
              <w:rPr>
                <w:sz w:val="18"/>
              </w:rPr>
              <w:t xml:space="preserve">Each quarter</w:t>
            </w:r>
          </w:p>
        </w:tc>
        <w:tc>
          <w:tcPr>
            <w:tcW w:w="1468" w:type="dxa"/>
          </w:tcPr>
          <w:p>
            <w:pPr>
              <w:pStyle w:val="Compact"/>
              <w:spacing w:after="40"/>
              <w:jc w:val="left"/>
            </w:pPr>
            <w:r>
              <w:rPr>
                <w:sz w:val="18"/>
              </w:rPr>
              <w:t xml:space="preserve">RBC paras 31(6), 32</w:t>
            </w:r>
          </w:p>
        </w:tc>
      </w:tr>
      <w:tr>
        <w:tc>
          <w:tcPr>
            <w:tcW w:w="1901" w:type="dxa"/>
          </w:tcPr>
          <w:p>
            <w:pPr>
              <w:pStyle w:val="Compact"/>
              <w:spacing w:after="40"/>
              <w:jc w:val="left"/>
            </w:pPr>
            <w:r>
              <w:rPr>
                <w:sz w:val="18"/>
              </w:rPr>
              <w:t xml:space="preserve">Receipts, including insurance and other third-party charges collected by the RE</w:t>
            </w:r>
          </w:p>
        </w:tc>
        <w:tc>
          <w:tcPr>
            <w:tcW w:w="1422" w:type="dxa"/>
          </w:tcPr>
          <w:p>
            <w:pPr>
              <w:pStyle w:val="Compact"/>
              <w:spacing w:after="40"/>
              <w:jc w:val="left"/>
            </w:pPr>
            <w:r>
              <w:rPr>
                <w:sz w:val="18"/>
              </w:rPr>
              <w:t xml:space="preserve">RE</w:t>
            </w:r>
          </w:p>
        </w:tc>
        <w:tc>
          <w:tcPr>
            <w:tcW w:w="2752" w:type="dxa"/>
          </w:tcPr>
          <w:p>
            <w:pPr>
              <w:pStyle w:val="Compact"/>
              <w:spacing w:after="40"/>
              <w:jc w:val="left"/>
            </w:pPr>
            <w:r>
              <w:rPr>
                <w:sz w:val="18"/>
              </w:rPr>
              <w:t xml:space="preserve">Mirrored; Udofin’s own acknowledgement reads</w:t>
            </w:r>
            <w:r>
              <w:rPr>
                <w:sz w:val="18"/>
              </w:rPr>
              <w:t xml:space="preserve"> </w:t>
            </w:r>
            <w:r>
              <w:rPr>
                <w:sz w:val="18"/>
              </w:rPr>
              <w:t xml:space="preserve">“</w:t>
            </w:r>
            <w:r>
              <w:rPr>
                <w:sz w:val="18"/>
              </w:rPr>
              <w:t xml:space="preserve">payment initiated</w:t>
            </w:r>
            <w:r>
              <w:rPr>
                <w:sz w:val="18"/>
              </w:rPr>
              <w:t xml:space="preserve">”</w:t>
            </w:r>
            <w:r>
              <w:rPr>
                <w:sz w:val="18"/>
              </w:rPr>
              <w:t xml:space="preserve">, never</w:t>
            </w:r>
            <w:r>
              <w:rPr>
                <w:sz w:val="18"/>
              </w:rPr>
              <w:t xml:space="preserve"> </w:t>
            </w:r>
            <w:r>
              <w:rPr>
                <w:sz w:val="18"/>
              </w:rPr>
              <w:t xml:space="preserve">“</w:t>
            </w:r>
            <w:r>
              <w:rPr>
                <w:sz w:val="18"/>
              </w:rPr>
              <w:t xml:space="preserve">receipt</w:t>
            </w:r>
            <w:r>
              <w:rPr>
                <w:sz w:val="18"/>
              </w:rPr>
              <w:t xml:space="preserve">”</w:t>
            </w:r>
            <w:r>
              <w:rPr>
                <w:sz w:val="18"/>
              </w:rPr>
              <w:t xml:space="preserve"> </w:t>
            </w:r>
            <w:r>
              <w:rPr>
                <w:sz w:val="18"/>
              </w:rPr>
              <w:t xml:space="preserve">(U11)</w:t>
            </w:r>
          </w:p>
        </w:tc>
        <w:tc>
          <w:tcPr>
            <w:tcW w:w="2095" w:type="dxa"/>
          </w:tcPr>
          <w:p>
            <w:pPr>
              <w:pStyle w:val="Compact"/>
              <w:spacing w:after="40"/>
              <w:jc w:val="left"/>
            </w:pPr>
            <w:r>
              <w:rPr>
                <w:sz w:val="18"/>
              </w:rPr>
              <w:t xml:space="preserve">Each payment</w:t>
            </w:r>
          </w:p>
        </w:tc>
        <w:tc>
          <w:tcPr>
            <w:tcW w:w="1468" w:type="dxa"/>
          </w:tcPr>
          <w:p>
            <w:pPr>
              <w:pStyle w:val="Compact"/>
              <w:spacing w:after="40"/>
              <w:jc w:val="left"/>
            </w:pPr>
            <w:r>
              <w:rPr>
                <w:sz w:val="18"/>
              </w:rPr>
              <w:t xml:space="preserve">RBC para 29(4); U11</w:t>
            </w:r>
          </w:p>
        </w:tc>
      </w:tr>
      <w:tr>
        <w:tc>
          <w:tcPr>
            <w:tcW w:w="1901" w:type="dxa"/>
          </w:tcPr>
          <w:p>
            <w:pPr>
              <w:pStyle w:val="Compact"/>
              <w:spacing w:after="40"/>
              <w:jc w:val="left"/>
            </w:pPr>
            <w:r>
              <w:rPr>
                <w:sz w:val="18"/>
              </w:rPr>
              <w:t xml:space="preserve">Change-of-terms and penal-charge communications</w:t>
            </w:r>
          </w:p>
        </w:tc>
        <w:tc>
          <w:tcPr>
            <w:tcW w:w="1422" w:type="dxa"/>
          </w:tcPr>
          <w:p>
            <w:pPr>
              <w:pStyle w:val="Compact"/>
              <w:spacing w:after="40"/>
              <w:jc w:val="left"/>
            </w:pPr>
            <w:r>
              <w:rPr>
                <w:sz w:val="18"/>
              </w:rPr>
              <w:t xml:space="preserve">RE</w:t>
            </w:r>
          </w:p>
        </w:tc>
        <w:tc>
          <w:tcPr>
            <w:tcW w:w="2752" w:type="dxa"/>
          </w:tcPr>
          <w:p>
            <w:pPr>
              <w:pStyle w:val="Compact"/>
              <w:spacing w:after="40"/>
              <w:jc w:val="left"/>
            </w:pPr>
            <w:r>
              <w:rPr>
                <w:sz w:val="18"/>
              </w:rPr>
              <w:t xml:space="preserve">Mirrored with the communication log</w:t>
            </w:r>
          </w:p>
        </w:tc>
        <w:tc>
          <w:tcPr>
            <w:tcW w:w="2095" w:type="dxa"/>
          </w:tcPr>
          <w:p>
            <w:pPr>
              <w:pStyle w:val="Compact"/>
              <w:spacing w:after="40"/>
              <w:jc w:val="left"/>
            </w:pPr>
            <w:r>
              <w:rPr>
                <w:sz w:val="18"/>
              </w:rPr>
              <w:t xml:space="preserve">On event</w:t>
            </w:r>
          </w:p>
        </w:tc>
        <w:tc>
          <w:tcPr>
            <w:tcW w:w="1468" w:type="dxa"/>
          </w:tcPr>
          <w:p>
            <w:pPr>
              <w:pStyle w:val="Compact"/>
              <w:spacing w:after="40"/>
              <w:jc w:val="left"/>
            </w:pPr>
            <w:r>
              <w:rPr>
                <w:sz w:val="18"/>
              </w:rPr>
              <w:t xml:space="preserve">RBC paras 15, 30(7)</w:t>
            </w:r>
          </w:p>
        </w:tc>
      </w:tr>
      <w:tr>
        <w:tc>
          <w:tcPr>
            <w:tcW w:w="1901" w:type="dxa"/>
          </w:tcPr>
          <w:p>
            <w:pPr>
              <w:pStyle w:val="Compact"/>
              <w:spacing w:after="40"/>
              <w:jc w:val="left"/>
            </w:pPr>
            <w:r>
              <w:rPr>
                <w:sz w:val="18"/>
              </w:rPr>
              <w:t xml:space="preserve">Cooling-off exit confirmation</w:t>
            </w:r>
          </w:p>
        </w:tc>
        <w:tc>
          <w:tcPr>
            <w:tcW w:w="1422" w:type="dxa"/>
          </w:tcPr>
          <w:p>
            <w:pPr>
              <w:pStyle w:val="Compact"/>
              <w:spacing w:after="40"/>
              <w:jc w:val="left"/>
            </w:pPr>
            <w:r>
              <w:rPr>
                <w:sz w:val="18"/>
              </w:rPr>
              <w:t xml:space="preserve">RE</w:t>
            </w:r>
          </w:p>
        </w:tc>
        <w:tc>
          <w:tcPr>
            <w:tcW w:w="2752" w:type="dxa"/>
          </w:tcPr>
          <w:p>
            <w:pPr>
              <w:pStyle w:val="Compact"/>
              <w:spacing w:after="40"/>
              <w:jc w:val="left"/>
            </w:pPr>
            <w:r>
              <w:rPr>
                <w:sz w:val="18"/>
              </w:rPr>
              <w:t xml:space="preserve">Mirrored</w:t>
            </w:r>
          </w:p>
        </w:tc>
        <w:tc>
          <w:tcPr>
            <w:tcW w:w="2095" w:type="dxa"/>
          </w:tcPr>
          <w:p>
            <w:pPr>
              <w:pStyle w:val="Compact"/>
              <w:spacing w:after="40"/>
              <w:jc w:val="left"/>
            </w:pPr>
            <w:r>
              <w:rPr>
                <w:sz w:val="18"/>
              </w:rPr>
              <w:t xml:space="preserve">On exit</w:t>
            </w:r>
          </w:p>
        </w:tc>
        <w:tc>
          <w:tcPr>
            <w:tcW w:w="1468" w:type="dxa"/>
          </w:tcPr>
          <w:p>
            <w:pPr>
              <w:pStyle w:val="Compact"/>
              <w:spacing w:after="40"/>
              <w:jc w:val="left"/>
            </w:pPr>
            <w:r>
              <w:rPr>
                <w:sz w:val="18"/>
              </w:rPr>
              <w:t xml:space="preserve">CF para 11</w:t>
            </w:r>
          </w:p>
        </w:tc>
      </w:tr>
      <w:tr>
        <w:tc>
          <w:tcPr>
            <w:tcW w:w="1901" w:type="dxa"/>
          </w:tcPr>
          <w:p>
            <w:pPr>
              <w:pStyle w:val="Compact"/>
              <w:spacing w:after="40"/>
              <w:jc w:val="left"/>
            </w:pPr>
            <w:r>
              <w:rPr>
                <w:sz w:val="18"/>
              </w:rPr>
              <w:t xml:space="preserve">Foreclosure statement</w:t>
            </w:r>
          </w:p>
        </w:tc>
        <w:tc>
          <w:tcPr>
            <w:tcW w:w="1422" w:type="dxa"/>
          </w:tcPr>
          <w:p>
            <w:pPr>
              <w:pStyle w:val="Compact"/>
              <w:spacing w:after="40"/>
              <w:jc w:val="left"/>
            </w:pPr>
            <w:r>
              <w:rPr>
                <w:sz w:val="18"/>
              </w:rPr>
              <w:t xml:space="preserve">RE</w:t>
            </w:r>
          </w:p>
        </w:tc>
        <w:tc>
          <w:tcPr>
            <w:tcW w:w="2752" w:type="dxa"/>
          </w:tcPr>
          <w:p>
            <w:pPr>
              <w:pStyle w:val="Compact"/>
              <w:spacing w:after="40"/>
              <w:jc w:val="left"/>
            </w:pPr>
            <w:r>
              <w:rPr>
                <w:sz w:val="18"/>
              </w:rPr>
              <w:t xml:space="preserve">Service request to the RE</w:t>
            </w:r>
          </w:p>
        </w:tc>
        <w:tc>
          <w:tcPr>
            <w:tcW w:w="2095" w:type="dxa"/>
          </w:tcPr>
          <w:p>
            <w:pPr>
              <w:pStyle w:val="Compact"/>
              <w:spacing w:after="40"/>
              <w:jc w:val="left"/>
            </w:pPr>
            <w:r>
              <w:rPr>
                <w:sz w:val="18"/>
              </w:rPr>
              <w:t xml:space="preserve">On request</w:t>
            </w:r>
          </w:p>
        </w:tc>
        <w:tc>
          <w:tcPr>
            <w:tcW w:w="1468" w:type="dxa"/>
          </w:tcPr>
          <w:p>
            <w:pPr>
              <w:pStyle w:val="Compact"/>
              <w:spacing w:after="40"/>
              <w:jc w:val="left"/>
            </w:pPr>
            <w:r>
              <w:rPr>
                <w:sz w:val="18"/>
              </w:rPr>
              <w:t xml:space="preserve">U12</w:t>
            </w:r>
          </w:p>
        </w:tc>
      </w:tr>
      <w:tr>
        <w:tc>
          <w:tcPr>
            <w:tcW w:w="1901" w:type="dxa"/>
          </w:tcPr>
          <w:p>
            <w:pPr>
              <w:pStyle w:val="Compact"/>
              <w:spacing w:after="40"/>
              <w:jc w:val="left"/>
            </w:pPr>
            <w:r>
              <w:rPr>
                <w:sz w:val="18"/>
              </w:rPr>
              <w:t xml:space="preserve">No-objection or closure certificate</w:t>
            </w:r>
          </w:p>
        </w:tc>
        <w:tc>
          <w:tcPr>
            <w:tcW w:w="1422" w:type="dxa"/>
          </w:tcPr>
          <w:p>
            <w:pPr>
              <w:pStyle w:val="Compact"/>
              <w:spacing w:after="40"/>
              <w:jc w:val="left"/>
            </w:pPr>
            <w:r>
              <w:rPr>
                <w:sz w:val="18"/>
              </w:rPr>
              <w:t xml:space="preserve">RE</w:t>
            </w:r>
          </w:p>
        </w:tc>
        <w:tc>
          <w:tcPr>
            <w:tcW w:w="2752" w:type="dxa"/>
          </w:tcPr>
          <w:p>
            <w:pPr>
              <w:pStyle w:val="Compact"/>
              <w:spacing w:after="40"/>
              <w:jc w:val="left"/>
            </w:pPr>
            <w:r>
              <w:rPr>
                <w:sz w:val="18"/>
              </w:rPr>
              <w:t xml:space="preserve">Mirrored on</w:t>
            </w:r>
            <w:r>
              <w:rPr>
                <w:sz w:val="18"/>
              </w:rPr>
              <w:t xml:space="preserve"> </w:t>
            </w:r>
            <w:r>
              <w:rPr>
                <w:rStyle w:val="VerbatimChar"/>
                <w:sz w:val="18"/>
              </w:rPr>
              <w:t xml:space="preserve">NOCIssued</w:t>
            </w:r>
          </w:p>
        </w:tc>
        <w:tc>
          <w:tcPr>
            <w:tcW w:w="2095" w:type="dxa"/>
          </w:tcPr>
          <w:p>
            <w:pPr>
              <w:pStyle w:val="Compact"/>
              <w:spacing w:after="40"/>
              <w:jc w:val="left"/>
            </w:pPr>
            <w:r>
              <w:rPr>
                <w:sz w:val="18"/>
              </w:rPr>
              <w:t xml:space="preserve">On closure (RE policy timeline)</w:t>
            </w:r>
          </w:p>
        </w:tc>
        <w:tc>
          <w:tcPr>
            <w:tcW w:w="1468" w:type="dxa"/>
          </w:tcPr>
          <w:p>
            <w:pPr>
              <w:pStyle w:val="Compact"/>
              <w:spacing w:after="40"/>
              <w:jc w:val="left"/>
            </w:pPr>
            <w:r>
              <w:rPr>
                <w:sz w:val="18"/>
              </w:rPr>
              <w:t xml:space="preserve">U12; RE policy [INTERP: RBC fixes no NOC deadline]</w:t>
            </w:r>
          </w:p>
        </w:tc>
      </w:tr>
      <w:tr>
        <w:tc>
          <w:tcPr>
            <w:tcW w:w="1901" w:type="dxa"/>
          </w:tcPr>
          <w:p>
            <w:pPr>
              <w:pStyle w:val="Compact"/>
              <w:spacing w:after="40"/>
              <w:jc w:val="left"/>
            </w:pPr>
            <w:r>
              <w:rPr>
                <w:sz w:val="18"/>
              </w:rPr>
              <w:t xml:space="preserve">Release of original property documents and charge satisfaction</w:t>
            </w:r>
          </w:p>
        </w:tc>
        <w:tc>
          <w:tcPr>
            <w:tcW w:w="1422" w:type="dxa"/>
          </w:tcPr>
          <w:p>
            <w:pPr>
              <w:pStyle w:val="Compact"/>
              <w:spacing w:after="40"/>
              <w:jc w:val="left"/>
            </w:pPr>
            <w:r>
              <w:rPr>
                <w:sz w:val="18"/>
              </w:rPr>
              <w:t xml:space="preserve">RE</w:t>
            </w:r>
          </w:p>
        </w:tc>
        <w:tc>
          <w:tcPr>
            <w:tcW w:w="2752" w:type="dxa"/>
          </w:tcPr>
          <w:p>
            <w:pPr>
              <w:pStyle w:val="Compact"/>
              <w:spacing w:after="40"/>
              <w:jc w:val="left"/>
            </w:pPr>
            <w:r>
              <w:rPr>
                <w:sz w:val="18"/>
              </w:rPr>
              <w:t xml:space="preserve">Tracker with the 30-day clock, borrower’s chosen collection place (RBC para 36) and the RE’s compensation of ₹5,000 per day of delay attributable to it (RBC para 39)</w:t>
            </w:r>
          </w:p>
        </w:tc>
        <w:tc>
          <w:tcPr>
            <w:tcW w:w="2095" w:type="dxa"/>
          </w:tcPr>
          <w:p>
            <w:pPr>
              <w:pStyle w:val="Compact"/>
              <w:spacing w:after="40"/>
              <w:jc w:val="left"/>
            </w:pPr>
            <w:r>
              <w:rPr>
                <w:sz w:val="18"/>
              </w:rPr>
              <w:t xml:space="preserve">Within 30 days of full repayment or settlement; 60 days if documents are lost or damaged (RBC para 40)</w:t>
            </w:r>
          </w:p>
        </w:tc>
        <w:tc>
          <w:tcPr>
            <w:tcW w:w="1468" w:type="dxa"/>
          </w:tcPr>
          <w:p>
            <w:pPr>
              <w:pStyle w:val="Compact"/>
              <w:spacing w:after="40"/>
              <w:jc w:val="left"/>
            </w:pPr>
            <w:r>
              <w:rPr>
                <w:sz w:val="18"/>
              </w:rPr>
              <w:t xml:space="preserve">RBC paras 35–41 (personal loans)</w:t>
            </w:r>
          </w:p>
        </w:tc>
      </w:tr>
      <w:tr>
        <w:tc>
          <w:tcPr>
            <w:tcW w:w="1901" w:type="dxa"/>
          </w:tcPr>
          <w:p>
            <w:pPr>
              <w:pStyle w:val="Compact"/>
              <w:spacing w:after="40"/>
              <w:jc w:val="left"/>
            </w:pPr>
            <w:r>
              <w:rPr>
                <w:sz w:val="18"/>
              </w:rPr>
              <w:t xml:space="preserve">Microfinance loan card</w:t>
            </w:r>
          </w:p>
        </w:tc>
        <w:tc>
          <w:tcPr>
            <w:tcW w:w="1422" w:type="dxa"/>
          </w:tcPr>
          <w:p>
            <w:pPr>
              <w:pStyle w:val="Compact"/>
              <w:spacing w:after="40"/>
              <w:jc w:val="left"/>
            </w:pPr>
            <w:r>
              <w:rPr>
                <w:sz w:val="18"/>
              </w:rPr>
              <w:t xml:space="preserve">RE</w:t>
            </w:r>
          </w:p>
        </w:tc>
        <w:tc>
          <w:tcPr>
            <w:tcW w:w="2752" w:type="dxa"/>
          </w:tcPr>
          <w:p>
            <w:pPr>
              <w:pStyle w:val="Compact"/>
              <w:spacing w:after="40"/>
              <w:jc w:val="left"/>
            </w:pPr>
            <w:r>
              <w:rPr>
                <w:sz w:val="18"/>
              </w:rPr>
              <w:t xml:space="preserve">Digital card from RE data</w:t>
            </w:r>
          </w:p>
        </w:tc>
        <w:tc>
          <w:tcPr>
            <w:tcW w:w="2095" w:type="dxa"/>
          </w:tcPr>
          <w:p>
            <w:pPr>
              <w:pStyle w:val="Compact"/>
              <w:spacing w:after="40"/>
              <w:jc w:val="left"/>
            </w:pPr>
            <w:r>
              <w:rPr>
                <w:sz w:val="18"/>
              </w:rPr>
              <w:t xml:space="preserve">From disbursal</w:t>
            </w:r>
          </w:p>
        </w:tc>
        <w:tc>
          <w:tcPr>
            <w:tcW w:w="1468" w:type="dxa"/>
          </w:tcPr>
          <w:p>
            <w:pPr>
              <w:pStyle w:val="Compact"/>
              <w:spacing w:after="40"/>
              <w:jc w:val="left"/>
            </w:pPr>
            <w:r>
              <w:rPr>
                <w:sz w:val="18"/>
              </w:rPr>
              <w:t xml:space="preserve">RBC paras 78–79</w:t>
            </w:r>
          </w:p>
        </w:tc>
      </w:tr>
      <w:tr>
        <w:tc>
          <w:tcPr>
            <w:tcW w:w="1901" w:type="dxa"/>
          </w:tcPr>
          <w:p>
            <w:pPr>
              <w:pStyle w:val="Compact"/>
              <w:spacing w:after="40"/>
              <w:jc w:val="left"/>
            </w:pPr>
            <w:r>
              <w:rPr>
                <w:sz w:val="18"/>
              </w:rPr>
              <w:t xml:space="preserve">Notices and letters</w:t>
            </w:r>
          </w:p>
        </w:tc>
        <w:tc>
          <w:tcPr>
            <w:tcW w:w="1422" w:type="dxa"/>
          </w:tcPr>
          <w:p>
            <w:pPr>
              <w:pStyle w:val="Compact"/>
              <w:spacing w:after="40"/>
              <w:jc w:val="left"/>
            </w:pPr>
            <w:r>
              <w:rPr>
                <w:sz w:val="18"/>
              </w:rPr>
              <w:t xml:space="preserve">RE</w:t>
            </w:r>
          </w:p>
        </w:tc>
        <w:tc>
          <w:tcPr>
            <w:tcW w:w="2752" w:type="dxa"/>
          </w:tcPr>
          <w:p>
            <w:pPr>
              <w:pStyle w:val="Compact"/>
              <w:spacing w:after="40"/>
              <w:jc w:val="left"/>
            </w:pPr>
            <w:r>
              <w:rPr>
                <w:sz w:val="18"/>
              </w:rPr>
              <w:t xml:space="preserve">UR3 notice inbox</w:t>
            </w:r>
          </w:p>
        </w:tc>
        <w:tc>
          <w:tcPr>
            <w:tcW w:w="2095" w:type="dxa"/>
          </w:tcPr>
          <w:p>
            <w:pPr>
              <w:pStyle w:val="Compact"/>
              <w:spacing w:after="40"/>
              <w:jc w:val="left"/>
            </w:pPr>
            <w:r>
              <w:rPr>
                <w:sz w:val="18"/>
              </w:rPr>
              <w:t xml:space="preserve">On issue</w:t>
            </w:r>
          </w:p>
        </w:tc>
        <w:tc>
          <w:tcPr>
            <w:tcW w:w="1468" w:type="dxa"/>
          </w:tcPr>
          <w:p>
            <w:pPr>
              <w:pStyle w:val="Compact"/>
              <w:spacing w:after="40"/>
              <w:jc w:val="left"/>
            </w:pPr>
            <w:r>
              <w:rPr>
                <w:sz w:val="18"/>
              </w:rPr>
              <w:t xml:space="preserve">Part 7A UR3</w:t>
            </w:r>
          </w:p>
        </w:tc>
      </w:tr>
      <w:tr>
        <w:tc>
          <w:tcPr>
            <w:tcW w:w="1901" w:type="dxa"/>
          </w:tcPr>
          <w:p>
            <w:pPr>
              <w:pStyle w:val="Compact"/>
              <w:spacing w:after="40"/>
              <w:jc w:val="left"/>
            </w:pPr>
            <w:r>
              <w:rPr>
                <w:sz w:val="18"/>
              </w:rPr>
              <w:t xml:space="preserve">eSign evidence and eStamp certificate</w:t>
            </w:r>
          </w:p>
        </w:tc>
        <w:tc>
          <w:tcPr>
            <w:tcW w:w="1422" w:type="dxa"/>
          </w:tcPr>
          <w:p>
            <w:pPr>
              <w:pStyle w:val="Compact"/>
              <w:spacing w:after="40"/>
              <w:jc w:val="left"/>
            </w:pPr>
            <w:r>
              <w:rPr>
                <w:sz w:val="18"/>
              </w:rPr>
              <w:t xml:space="preserve">Provider evidence held by Udofin as RE’s agent</w:t>
            </w:r>
          </w:p>
        </w:tc>
        <w:tc>
          <w:tcPr>
            <w:tcW w:w="2752" w:type="dxa"/>
          </w:tcPr>
          <w:p>
            <w:pPr>
              <w:pStyle w:val="Compact"/>
              <w:spacing w:after="40"/>
              <w:jc w:val="left"/>
            </w:pPr>
            <w:r>
              <w:rPr>
                <w:sz w:val="18"/>
              </w:rPr>
              <w:t xml:space="preserve">From U9</w:t>
            </w:r>
          </w:p>
        </w:tc>
        <w:tc>
          <w:tcPr>
            <w:tcW w:w="2095" w:type="dxa"/>
          </w:tcPr>
          <w:p>
            <w:pPr>
              <w:pStyle w:val="Compact"/>
              <w:spacing w:after="40"/>
              <w:jc w:val="left"/>
            </w:pPr>
            <w:r>
              <w:rPr>
                <w:sz w:val="18"/>
              </w:rPr>
              <w:t xml:space="preserve">After execution</w:t>
            </w:r>
          </w:p>
        </w:tc>
        <w:tc>
          <w:tcPr>
            <w:tcW w:w="1468" w:type="dxa"/>
          </w:tcPr>
          <w:p>
            <w:pPr>
              <w:pStyle w:val="Compact"/>
              <w:spacing w:after="40"/>
              <w:jc w:val="left"/>
            </w:pPr>
            <w:r>
              <w:rPr>
                <w:sz w:val="18"/>
              </w:rPr>
              <w:t xml:space="preserve">U9</w:t>
            </w:r>
          </w:p>
        </w:tc>
      </w:tr>
      <w:tr>
        <w:tc>
          <w:tcPr>
            <w:tcW w:w="1901" w:type="dxa"/>
          </w:tcPr>
          <w:p>
            <w:pPr>
              <w:pStyle w:val="Compact"/>
              <w:spacing w:after="40"/>
              <w:jc w:val="left"/>
            </w:pPr>
            <w:r>
              <w:rPr>
                <w:sz w:val="18"/>
              </w:rPr>
              <w:t xml:space="preserve">Tax documents</w:t>
            </w:r>
          </w:p>
        </w:tc>
        <w:tc>
          <w:tcPr>
            <w:tcW w:w="1422" w:type="dxa"/>
          </w:tcPr>
          <w:p>
            <w:pPr>
              <w:pStyle w:val="Compact"/>
              <w:spacing w:after="40"/>
              <w:jc w:val="left"/>
            </w:pPr>
            <w:r>
              <w:rPr>
                <w:sz w:val="18"/>
              </w:rPr>
              <w:t xml:space="preserve">RE (UB2)</w:t>
            </w:r>
          </w:p>
        </w:tc>
        <w:tc>
          <w:tcPr>
            <w:tcW w:w="2752" w:type="dxa"/>
          </w:tcPr>
          <w:p>
            <w:pPr>
              <w:pStyle w:val="Compact"/>
              <w:spacing w:after="40"/>
              <w:jc w:val="left"/>
            </w:pPr>
            <w:r>
              <w:rPr>
                <w:sz w:val="18"/>
              </w:rPr>
              <w:t xml:space="preserve">UB2</w:t>
            </w:r>
          </w:p>
        </w:tc>
        <w:tc>
          <w:tcPr>
            <w:tcW w:w="2095" w:type="dxa"/>
          </w:tcPr>
          <w:p>
            <w:pPr>
              <w:pStyle w:val="Compact"/>
              <w:spacing w:after="40"/>
              <w:jc w:val="left"/>
            </w:pPr>
            <w:r>
              <w:rPr>
                <w:sz w:val="18"/>
              </w:rPr>
              <w:t xml:space="preserve">Per UB2</w:t>
            </w:r>
          </w:p>
        </w:tc>
        <w:tc>
          <w:tcPr>
            <w:tcW w:w="1468" w:type="dxa"/>
          </w:tcPr>
          <w:p>
            <w:pPr>
              <w:pStyle w:val="Compact"/>
              <w:spacing w:after="40"/>
              <w:jc w:val="left"/>
            </w:pPr>
            <w:r>
              <w:rPr>
                <w:sz w:val="18"/>
              </w:rPr>
              <w:t xml:space="preserve">ITA25</w:t>
            </w:r>
          </w:p>
        </w:tc>
      </w:tr>
      <w:tr>
        <w:tc>
          <w:tcPr>
            <w:tcW w:w="1901" w:type="dxa"/>
          </w:tcPr>
          <w:p>
            <w:pPr>
              <w:pStyle w:val="Compact"/>
              <w:spacing w:after="40"/>
              <w:jc w:val="left"/>
            </w:pPr>
            <w:r>
              <w:rPr>
                <w:sz w:val="18"/>
              </w:rPr>
              <w:t xml:space="preserve">Consent receipts and consent ledger</w:t>
            </w:r>
          </w:p>
        </w:tc>
        <w:tc>
          <w:tcPr>
            <w:tcW w:w="1422" w:type="dxa"/>
          </w:tcPr>
          <w:p>
            <w:pPr>
              <w:pStyle w:val="Compact"/>
              <w:spacing w:after="40"/>
              <w:jc w:val="left"/>
            </w:pPr>
            <w:r>
              <w:rPr>
                <w:sz w:val="18"/>
              </w:rPr>
              <w:t xml:space="preserve">Udofin</w:t>
            </w:r>
          </w:p>
        </w:tc>
        <w:tc>
          <w:tcPr>
            <w:tcW w:w="2752" w:type="dxa"/>
          </w:tcPr>
          <w:p>
            <w:pPr>
              <w:pStyle w:val="Compact"/>
              <w:spacing w:after="40"/>
              <w:jc w:val="left"/>
            </w:pPr>
            <w:r>
              <w:rPr>
                <w:sz w:val="18"/>
              </w:rPr>
              <w:t xml:space="preserve">Generated from U4</w:t>
            </w:r>
          </w:p>
        </w:tc>
        <w:tc>
          <w:tcPr>
            <w:tcW w:w="2095" w:type="dxa"/>
          </w:tcPr>
          <w:p>
            <w:pPr>
              <w:pStyle w:val="Compact"/>
              <w:spacing w:after="40"/>
              <w:jc w:val="left"/>
            </w:pPr>
            <w:r>
              <w:rPr>
                <w:sz w:val="18"/>
              </w:rPr>
              <w:t xml:space="preserve">Any time</w:t>
            </w:r>
          </w:p>
        </w:tc>
        <w:tc>
          <w:tcPr>
            <w:tcW w:w="1468" w:type="dxa"/>
          </w:tcPr>
          <w:p>
            <w:pPr>
              <w:pStyle w:val="Compact"/>
              <w:spacing w:after="40"/>
              <w:jc w:val="left"/>
            </w:pPr>
            <w:r>
              <w:rPr>
                <w:sz w:val="18"/>
              </w:rPr>
              <w:t xml:space="preserve">CF para 13; DPDP s.6</w:t>
            </w:r>
          </w:p>
        </w:tc>
      </w:tr>
      <w:tr>
        <w:tc>
          <w:tcPr>
            <w:tcW w:w="1901" w:type="dxa"/>
          </w:tcPr>
          <w:p>
            <w:pPr>
              <w:pStyle w:val="Compact"/>
              <w:spacing w:after="40"/>
              <w:jc w:val="left"/>
            </w:pPr>
            <w:r>
              <w:rPr>
                <w:sz w:val="18"/>
              </w:rPr>
              <w:t xml:space="preserve">Grievance case packs</w:t>
            </w:r>
          </w:p>
        </w:tc>
        <w:tc>
          <w:tcPr>
            <w:tcW w:w="1422" w:type="dxa"/>
          </w:tcPr>
          <w:p>
            <w:pPr>
              <w:pStyle w:val="Compact"/>
              <w:spacing w:after="40"/>
              <w:jc w:val="left"/>
            </w:pPr>
            <w:r>
              <w:rPr>
                <w:sz w:val="18"/>
              </w:rPr>
              <w:t xml:space="preserve">Udofin</w:t>
            </w:r>
          </w:p>
        </w:tc>
        <w:tc>
          <w:tcPr>
            <w:tcW w:w="2752" w:type="dxa"/>
          </w:tcPr>
          <w:p>
            <w:pPr>
              <w:pStyle w:val="Compact"/>
              <w:spacing w:after="40"/>
              <w:jc w:val="left"/>
            </w:pPr>
            <w:r>
              <w:rPr>
                <w:sz w:val="18"/>
              </w:rPr>
              <w:t xml:space="preserve">UB4</w:t>
            </w:r>
          </w:p>
        </w:tc>
        <w:tc>
          <w:tcPr>
            <w:tcW w:w="2095" w:type="dxa"/>
          </w:tcPr>
          <w:p>
            <w:pPr>
              <w:pStyle w:val="Compact"/>
              <w:spacing w:after="40"/>
              <w:jc w:val="left"/>
            </w:pPr>
            <w:r>
              <w:rPr>
                <w:sz w:val="18"/>
              </w:rPr>
              <w:t xml:space="preserve">Any time</w:t>
            </w:r>
          </w:p>
        </w:tc>
        <w:tc>
          <w:tcPr>
            <w:tcW w:w="1468" w:type="dxa"/>
          </w:tcPr>
          <w:p>
            <w:pPr>
              <w:pStyle w:val="Compact"/>
              <w:spacing w:after="40"/>
              <w:jc w:val="left"/>
            </w:pPr>
            <w:r>
              <w:rPr>
                <w:sz w:val="18"/>
              </w:rPr>
              <w:t xml:space="preserve">UB4</w:t>
            </w:r>
          </w:p>
        </w:tc>
      </w:tr>
      <w:tr>
        <w:tc>
          <w:tcPr>
            <w:tcW w:w="1901" w:type="dxa"/>
          </w:tcPr>
          <w:p>
            <w:pPr>
              <w:pStyle w:val="Compact"/>
              <w:spacing w:after="40"/>
              <w:jc w:val="left"/>
            </w:pPr>
            <w:r>
              <w:rPr>
                <w:sz w:val="18"/>
              </w:rPr>
              <w:t xml:space="preserve">Subscription invoices and credit notes</w:t>
            </w:r>
          </w:p>
        </w:tc>
        <w:tc>
          <w:tcPr>
            <w:tcW w:w="1422" w:type="dxa"/>
          </w:tcPr>
          <w:p>
            <w:pPr>
              <w:pStyle w:val="Compact"/>
              <w:spacing w:after="40"/>
              <w:jc w:val="left"/>
            </w:pPr>
            <w:r>
              <w:rPr>
                <w:sz w:val="18"/>
              </w:rPr>
              <w:t xml:space="preserve">Udofin (only if a wellness subscription exists)</w:t>
            </w:r>
          </w:p>
        </w:tc>
        <w:tc>
          <w:tcPr>
            <w:tcW w:w="2752" w:type="dxa"/>
          </w:tcPr>
          <w:p>
            <w:pPr>
              <w:pStyle w:val="Compact"/>
              <w:spacing w:after="40"/>
              <w:jc w:val="left"/>
            </w:pPr>
            <w:r>
              <w:rPr>
                <w:sz w:val="18"/>
              </w:rPr>
              <w:t xml:space="preserve">Part 7G</w:t>
            </w:r>
          </w:p>
        </w:tc>
        <w:tc>
          <w:tcPr>
            <w:tcW w:w="2095" w:type="dxa"/>
          </w:tcPr>
          <w:p>
            <w:pPr>
              <w:pStyle w:val="Compact"/>
              <w:spacing w:after="40"/>
              <w:jc w:val="left"/>
            </w:pPr>
            <w:r>
              <w:rPr>
                <w:sz w:val="18"/>
              </w:rPr>
              <w:t xml:space="preserve">Each charge</w:t>
            </w:r>
          </w:p>
        </w:tc>
        <w:tc>
          <w:tcPr>
            <w:tcW w:w="1468" w:type="dxa"/>
          </w:tcPr>
          <w:p>
            <w:pPr>
              <w:pStyle w:val="Compact"/>
              <w:spacing w:after="40"/>
              <w:jc w:val="left"/>
            </w:pPr>
            <w:r>
              <w:rPr>
                <w:sz w:val="18"/>
              </w:rPr>
              <w:t xml:space="preserve">GST</w:t>
            </w:r>
          </w:p>
        </w:tc>
      </w:tr>
    </w:tbl>
    <w:p>
      <w:pPr>
        <w:pStyle w:val="BodyText"/>
      </w:pPr>
      <w:r>
        <w:rPr>
          <w:bCs/>
          <w:b/>
        </w:rPr>
        <w:t xml:space="preserve">Rules.</w:t>
      </w:r>
    </w:p>
    <w:p>
      <w:pPr>
        <w:numPr>
          <w:ilvl w:val="0"/>
          <w:numId w:val="1091"/>
        </w:numPr>
        <w:pStyle w:val="Compact"/>
      </w:pPr>
      <w:r>
        <w:rPr>
          <w:bCs/>
          <w:b/>
        </w:rPr>
        <w:t xml:space="preserve">RE-owned documents are served from the RE.</w:t>
      </w:r>
      <w:r>
        <w:t xml:space="preserve"> </w:t>
      </w:r>
      <w:r>
        <w:t xml:space="preserve">Udofin displays only the RE-signed version; it never re-renders, edits or re-brands an RE document (CF para 9(3); Part 5.1). A hash or signature mismatch blocks display and raises an exception to the RE.</w:t>
      </w:r>
    </w:p>
    <w:p>
      <w:pPr>
        <w:numPr>
          <w:ilvl w:val="0"/>
          <w:numId w:val="1091"/>
        </w:numPr>
        <w:pStyle w:val="Compact"/>
      </w:pPr>
      <w:r>
        <w:rPr>
          <w:bCs/>
          <w:b/>
        </w:rPr>
        <w:t xml:space="preserve">Missing or not-yet-issued documents</w:t>
      </w:r>
      <w:r>
        <w:t xml:space="preserve"> </w:t>
      </w:r>
      <w:r>
        <w:t xml:space="preserve">show</w:t>
      </w:r>
      <w:r>
        <w:t xml:space="preserve"> </w:t>
      </w:r>
      <w:r>
        <w:t xml:space="preserve">“</w:t>
      </w:r>
      <w:r>
        <w:t xml:space="preserve">Not yet issued by [RE name]</w:t>
      </w:r>
      <w:r>
        <w:t xml:space="preserve">”</w:t>
      </w:r>
      <w:r>
        <w:t xml:space="preserve"> </w:t>
      </w:r>
      <w:r>
        <w:t xml:space="preserve">with a one-tap request that creates a U12</w:t>
      </w:r>
      <w:r>
        <w:t xml:space="preserve"> </w:t>
      </w:r>
      <w:r>
        <w:rPr>
          <w:rStyle w:val="VerbatimChar"/>
        </w:rPr>
        <w:t xml:space="preserve">service_request</w:t>
      </w:r>
      <w:r>
        <w:t xml:space="preserve"> </w:t>
      </w:r>
      <w:r>
        <w:t xml:space="preserve">with the RE’s SLA from the deal configuration (UP2); overdue requests escalate to the RE and are visible in UP3 pack P4.</w:t>
      </w:r>
    </w:p>
    <w:p>
      <w:pPr>
        <w:numPr>
          <w:ilvl w:val="0"/>
          <w:numId w:val="1091"/>
        </w:numPr>
        <w:pStyle w:val="Compact"/>
      </w:pPr>
      <w:r>
        <w:rPr>
          <w:bCs/>
          <w:b/>
        </w:rPr>
        <w:t xml:space="preserve">Co-borrowers and guarantors</w:t>
      </w:r>
      <w:r>
        <w:t xml:space="preserve"> </w:t>
      </w:r>
      <w:r>
        <w:t xml:space="preserve">see only documents to which they are a party; business-entity borrowers see documents through authorised-signatory roles.</w:t>
      </w:r>
    </w:p>
    <w:p>
      <w:pPr>
        <w:numPr>
          <w:ilvl w:val="0"/>
          <w:numId w:val="1091"/>
        </w:numPr>
        <w:pStyle w:val="Compact"/>
      </w:pPr>
      <w:r>
        <w:rPr>
          <w:bCs/>
          <w:b/>
        </w:rPr>
        <w:t xml:space="preserve">After a deal ends</w:t>
      </w:r>
      <w:r>
        <w:t xml:space="preserve"> </w:t>
      </w:r>
      <w:r>
        <w:t xml:space="preserve">(UP5) the borrower keeps download access for at least 90 days after the servicing view closes, with notice before it ends, then sees</w:t>
      </w:r>
      <w:r>
        <w:t xml:space="preserve"> </w:t>
      </w:r>
      <w:r>
        <w:t xml:space="preserve">“</w:t>
      </w:r>
      <w:r>
        <w:t xml:space="preserve">request from [RE name]</w:t>
      </w:r>
      <w:r>
        <w:t xml:space="preserve">”</w:t>
      </w:r>
      <w:r>
        <w:t xml:space="preserve"> </w:t>
      </w:r>
      <w:r>
        <w:t xml:space="preserve">with the RE’s contact.</w:t>
      </w:r>
    </w:p>
    <w:p>
      <w:pPr>
        <w:numPr>
          <w:ilvl w:val="0"/>
          <w:numId w:val="1091"/>
        </w:numPr>
        <w:pStyle w:val="Compact"/>
      </w:pPr>
      <w:r>
        <w:rPr>
          <w:bCs/>
          <w:b/>
        </w:rPr>
        <w:t xml:space="preserve">Deceased borrower:</w:t>
      </w:r>
      <w:r>
        <w:t xml:space="preserve"> </w:t>
      </w:r>
      <w:r>
        <w:t xml:space="preserve">requests from legal heirs are routed to the RE’s published legal-heir procedure (RBC para 38); Udofin releases nothing to heirs on its own authority. For Udofin-owned data, a DPDP nominee is honoured (DPDP s.14) from 13 May 2027 [VERIFY commencement].</w:t>
      </w:r>
    </w:p>
    <w:p>
      <w:pPr>
        <w:numPr>
          <w:ilvl w:val="0"/>
          <w:numId w:val="1091"/>
        </w:numPr>
        <w:pStyle w:val="Compact"/>
      </w:pPr>
      <w:r>
        <w:rPr>
          <w:bCs/>
          <w:b/>
        </w:rPr>
        <w:t xml:space="preserve">Non-RE lenders (UP4):</w:t>
      </w:r>
      <w:r>
        <w:t xml:space="preserve"> </w:t>
      </w:r>
      <w:r>
        <w:t xml:space="preserve">documents are issued by the society and shown with the society’s name; RBI-specific labels are suppressed.</w:t>
      </w:r>
    </w:p>
    <w:bookmarkEnd w:id="161"/>
    <w:bookmarkStart w:id="162" w:name="download-and-share-controls"/>
    <w:p>
      <w:pPr>
        <w:pStyle w:val="Heading3"/>
      </w:pPr>
      <w:r>
        <w:t xml:space="preserve">Download and share controls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689"/>
        <w:gridCol w:w="6949"/>
      </w:tblGrid>
      <w:tr>
        <w:trPr>
          <w:tblHeader w:val="true"/>
          <w:tblHeader w:val="true"/>
        </w:trPr>
        <w:tc>
          <w:tcPr>
            <w:tcW w:w="2689" w:type="dxa"/>
            <w:shd w:val="clear" w:color="auto" w:fill="1F3A5F"/>
          </w:tcPr>
          <w:p>
            <w:pPr>
              <w:pStyle w:val="Compact"/>
              <w:spacing w:after="40"/>
              <w:jc w:val="left"/>
            </w:pPr>
            <w:r>
              <w:rPr>
                <w:b/>
                <w:color w:val="FFFFFF"/>
                <w:sz w:val="18"/>
              </w:rPr>
              <w:t xml:space="preserve">Action</w:t>
            </w:r>
          </w:p>
        </w:tc>
        <w:tc>
          <w:tcPr>
            <w:tcW w:w="6949" w:type="dxa"/>
            <w:shd w:val="clear" w:color="auto" w:fill="1F3A5F"/>
          </w:tcPr>
          <w:p>
            <w:pPr>
              <w:pStyle w:val="Compact"/>
              <w:spacing w:after="40"/>
              <w:jc w:val="left"/>
            </w:pPr>
            <w:r>
              <w:rPr>
                <w:b/>
                <w:color w:val="FFFFFF"/>
                <w:sz w:val="18"/>
              </w:rPr>
              <w:t xml:space="preserve">Control</w:t>
            </w:r>
          </w:p>
        </w:tc>
      </w:tr>
      <w:tr>
        <w:tc>
          <w:tcPr>
            <w:tcW w:w="2689" w:type="dxa"/>
          </w:tcPr>
          <w:p>
            <w:pPr>
              <w:pStyle w:val="Compact"/>
              <w:spacing w:after="40"/>
              <w:jc w:val="left"/>
            </w:pPr>
            <w:r>
              <w:rPr>
                <w:sz w:val="18"/>
              </w:rPr>
              <w:t xml:space="preserve">View in app or browser</w:t>
            </w:r>
          </w:p>
        </w:tc>
        <w:tc>
          <w:tcPr>
            <w:tcW w:w="6949" w:type="dxa"/>
          </w:tcPr>
          <w:p>
            <w:pPr>
              <w:pStyle w:val="Compact"/>
              <w:spacing w:after="40"/>
              <w:jc w:val="left"/>
            </w:pPr>
            <w:r>
              <w:rPr>
                <w:sz w:val="18"/>
              </w:rPr>
              <w:t xml:space="preserve">Authenticated session; viewer overlays a visible watermark (masked name,</w:t>
            </w:r>
            <w:r>
              <w:rPr>
                <w:sz w:val="18"/>
              </w:rPr>
              <w:t xml:space="preserve"> </w:t>
            </w:r>
            <w:r>
              <w:rPr>
                <w:sz w:val="18"/>
              </w:rPr>
              <w:t xml:space="preserve">“</w:t>
            </w:r>
            <w:r>
              <w:rPr>
                <w:sz w:val="18"/>
              </w:rPr>
              <w:t xml:space="preserve">viewed on [date, time IST]</w:t>
            </w:r>
            <w:r>
              <w:rPr>
                <w:sz w:val="18"/>
              </w:rPr>
              <w:t xml:space="preserve">”</w:t>
            </w:r>
            <w:r>
              <w:rPr>
                <w:sz w:val="18"/>
              </w:rPr>
              <w:t xml:space="preserve">, view ID); screenshots blocked on Android (</w:t>
            </w:r>
            <w:r>
              <w:rPr>
                <w:rStyle w:val="VerbatimChar"/>
                <w:sz w:val="18"/>
              </w:rPr>
              <w:t xml:space="preserve">FLAG_SECURE</w:t>
            </w:r>
            <w:r>
              <w:rPr>
                <w:sz w:val="18"/>
              </w:rPr>
              <w:t xml:space="preserve">) for KFS, sanction letter, agreement and statements; iOS shows a privacy cover in the app switcher</w:t>
            </w:r>
          </w:p>
        </w:tc>
      </w:tr>
      <w:tr>
        <w:tc>
          <w:tcPr>
            <w:tcW w:w="2689" w:type="dxa"/>
          </w:tcPr>
          <w:p>
            <w:pPr>
              <w:pStyle w:val="Compact"/>
              <w:spacing w:after="40"/>
              <w:jc w:val="left"/>
            </w:pPr>
            <w:r>
              <w:rPr>
                <w:bCs/>
                <w:b/>
                <w:sz w:val="18"/>
              </w:rPr>
              <w:t xml:space="preserve">Download original</w:t>
            </w:r>
            <w:r>
              <w:rPr>
                <w:sz w:val="18"/>
              </w:rPr>
              <w:t xml:space="preserve"> </w:t>
            </w:r>
            <w:r>
              <w:rPr>
                <w:sz w:val="18"/>
              </w:rPr>
              <w:t xml:space="preserve">(byte-identical RE-signed file)</w:t>
            </w:r>
          </w:p>
        </w:tc>
        <w:tc>
          <w:tcPr>
            <w:tcW w:w="6949" w:type="dxa"/>
          </w:tcPr>
          <w:p>
            <w:pPr>
              <w:pStyle w:val="Compact"/>
              <w:spacing w:after="40"/>
              <w:jc w:val="left"/>
            </w:pPr>
            <w:r>
              <w:rPr>
                <w:sz w:val="18"/>
              </w:rPr>
              <w:t xml:space="preserve">Step-up re-authentication (OTP to the registered mobile, passkey or device biometric unlock, U3) if the last authentication is older than 5 minutes; the file is never altered, so its signature and SHA-256 still verify; the download is logged with a download ID and a</w:t>
            </w:r>
            <w:r>
              <w:rPr>
                <w:sz w:val="18"/>
              </w:rPr>
              <w:t xml:space="preserve"> </w:t>
            </w:r>
            <w:r>
              <w:rPr>
                <w:sz w:val="18"/>
              </w:rPr>
              <w:t xml:space="preserve">“</w:t>
            </w:r>
            <w:r>
              <w:rPr>
                <w:sz w:val="18"/>
              </w:rPr>
              <w:t xml:space="preserve">document downloaded</w:t>
            </w:r>
            <w:r>
              <w:rPr>
                <w:sz w:val="18"/>
              </w:rPr>
              <w:t xml:space="preserve">”</w:t>
            </w:r>
            <w:r>
              <w:rPr>
                <w:sz w:val="18"/>
              </w:rPr>
              <w:t xml:space="preserve"> </w:t>
            </w:r>
            <w:r>
              <w:rPr>
                <w:sz w:val="18"/>
              </w:rPr>
              <w:t xml:space="preserve">notice goes to the registered channels</w:t>
            </w:r>
          </w:p>
        </w:tc>
      </w:tr>
      <w:tr>
        <w:tc>
          <w:tcPr>
            <w:tcW w:w="2689" w:type="dxa"/>
          </w:tcPr>
          <w:p>
            <w:pPr>
              <w:pStyle w:val="Compact"/>
              <w:spacing w:after="40"/>
              <w:jc w:val="left"/>
            </w:pPr>
            <w:r>
              <w:rPr>
                <w:bCs/>
                <w:b/>
                <w:sz w:val="18"/>
              </w:rPr>
              <w:t xml:space="preserve">Download shareable copy</w:t>
            </w:r>
          </w:p>
        </w:tc>
        <w:tc>
          <w:tcPr>
            <w:tcW w:w="6949" w:type="dxa"/>
          </w:tcPr>
          <w:p>
            <w:pPr>
              <w:pStyle w:val="Compact"/>
              <w:spacing w:after="40"/>
              <w:jc w:val="left"/>
            </w:pPr>
            <w:r>
              <w:rPr>
                <w:sz w:val="18"/>
              </w:rPr>
              <w:t xml:space="preserve">Same step-up; a PDF/A rendition watermarked on every page with the masked name, download ID, date and</w:t>
            </w:r>
            <w:r>
              <w:rPr>
                <w:sz w:val="18"/>
              </w:rPr>
              <w:t xml:space="preserve"> </w:t>
            </w:r>
            <w:r>
              <w:rPr>
                <w:sz w:val="18"/>
              </w:rPr>
              <w:t xml:space="preserve">“</w:t>
            </w:r>
            <w:r>
              <w:rPr>
                <w:sz w:val="18"/>
              </w:rPr>
              <w:t xml:space="preserve">Copy — verify the original at [verification URL] with this ID</w:t>
            </w:r>
            <w:r>
              <w:rPr>
                <w:sz w:val="18"/>
              </w:rPr>
              <w:t xml:space="preserve">”</w:t>
            </w:r>
            <w:r>
              <w:rPr>
                <w:sz w:val="18"/>
              </w:rPr>
              <w:t xml:space="preserve">; the verification page confirms issuer, document type, date and hash without showing content</w:t>
            </w:r>
          </w:p>
        </w:tc>
      </w:tr>
      <w:tr>
        <w:tc>
          <w:tcPr>
            <w:tcW w:w="2689" w:type="dxa"/>
          </w:tcPr>
          <w:p>
            <w:pPr>
              <w:pStyle w:val="Compact"/>
              <w:spacing w:after="40"/>
              <w:jc w:val="left"/>
            </w:pPr>
            <w:r>
              <w:rPr>
                <w:sz w:val="18"/>
              </w:rPr>
              <w:t xml:space="preserve">Share</w:t>
            </w:r>
          </w:p>
        </w:tc>
        <w:tc>
          <w:tcPr>
            <w:tcW w:w="6949" w:type="dxa"/>
          </w:tcPr>
          <w:p>
            <w:pPr>
              <w:pStyle w:val="Compact"/>
              <w:spacing w:after="40"/>
              <w:jc w:val="left"/>
            </w:pPr>
            <w:r>
              <w:rPr>
                <w:sz w:val="18"/>
              </w:rPr>
              <w:t xml:space="preserve">Only through the operating-system share sheet with the shareable copy; never a public link; e-mail and SMS carry no attachment</w:t>
            </w:r>
          </w:p>
        </w:tc>
      </w:tr>
      <w:tr>
        <w:tc>
          <w:tcPr>
            <w:tcW w:w="2689" w:type="dxa"/>
          </w:tcPr>
          <w:p>
            <w:pPr>
              <w:pStyle w:val="Compact"/>
              <w:spacing w:after="40"/>
              <w:jc w:val="left"/>
            </w:pPr>
            <w:r>
              <w:rPr>
                <w:sz w:val="18"/>
              </w:rPr>
              <w:t xml:space="preserve">Limits and alerts</w:t>
            </w:r>
          </w:p>
        </w:tc>
        <w:tc>
          <w:tcPr>
            <w:tcW w:w="6949" w:type="dxa"/>
          </w:tcPr>
          <w:p>
            <w:pPr>
              <w:pStyle w:val="Compact"/>
              <w:spacing w:after="40"/>
              <w:jc w:val="left"/>
            </w:pPr>
            <w:r>
              <w:rPr>
                <w:sz w:val="18"/>
              </w:rPr>
              <w:t xml:space="preserve">20 original downloads per day per borrower [REC]; repeated step-up failures lock downloads for 30 minutes and alert the borrower; downloads from a new device within 24 hours of binding need a second factor</w:t>
            </w:r>
          </w:p>
        </w:tc>
      </w:tr>
    </w:tbl>
    <w:bookmarkEnd w:id="162"/>
    <w:bookmarkStart w:id="163" w:name="X7b000296772b952dd1464c2494d74f80406ca2e"/>
    <w:p>
      <w:pPr>
        <w:pStyle w:val="Heading3"/>
      </w:pPr>
      <w:r>
        <w:t xml:space="preserve">My data: access, correction, erasure and export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90"/>
        <w:gridCol w:w="3240"/>
        <w:gridCol w:w="3508"/>
      </w:tblGrid>
      <w:tr>
        <w:trPr>
          <w:tblHeader w:val="true"/>
          <w:tblHeader w:val="true"/>
        </w:trPr>
        <w:tc>
          <w:tcPr>
            <w:tcW w:w="2890" w:type="dxa"/>
            <w:shd w:val="clear" w:color="auto" w:fill="1F3A5F"/>
          </w:tcPr>
          <w:p>
            <w:pPr>
              <w:pStyle w:val="Compact"/>
              <w:spacing w:after="40"/>
              <w:jc w:val="left"/>
            </w:pPr>
            <w:r>
              <w:rPr>
                <w:b/>
                <w:color w:val="FFFFFF"/>
                <w:sz w:val="18"/>
              </w:rPr>
              <w:t xml:space="preserve">Right or feature</w:t>
            </w:r>
          </w:p>
        </w:tc>
        <w:tc>
          <w:tcPr>
            <w:tcW w:w="3240" w:type="dxa"/>
            <w:shd w:val="clear" w:color="auto" w:fill="1F3A5F"/>
          </w:tcPr>
          <w:p>
            <w:pPr>
              <w:pStyle w:val="Compact"/>
              <w:spacing w:after="40"/>
              <w:jc w:val="left"/>
            </w:pPr>
            <w:r>
              <w:rPr>
                <w:b/>
                <w:color w:val="FFFFFF"/>
                <w:sz w:val="18"/>
              </w:rPr>
              <w:t xml:space="preserve">Legal position</w:t>
            </w:r>
          </w:p>
        </w:tc>
        <w:tc>
          <w:tcPr>
            <w:tcW w:w="3508" w:type="dxa"/>
            <w:shd w:val="clear" w:color="auto" w:fill="1F3A5F"/>
          </w:tcPr>
          <w:p>
            <w:pPr>
              <w:pStyle w:val="Compact"/>
              <w:spacing w:after="40"/>
              <w:jc w:val="left"/>
            </w:pPr>
            <w:r>
              <w:rPr>
                <w:b/>
                <w:color w:val="FFFFFF"/>
                <w:sz w:val="18"/>
              </w:rPr>
              <w:t xml:space="preserve">Udofin implementation</w:t>
            </w:r>
          </w:p>
        </w:tc>
      </w:tr>
      <w:tr>
        <w:tc>
          <w:tcPr>
            <w:tcW w:w="2890" w:type="dxa"/>
          </w:tcPr>
          <w:p>
            <w:pPr>
              <w:pStyle w:val="Compact"/>
              <w:spacing w:after="40"/>
              <w:jc w:val="left"/>
            </w:pPr>
            <w:r>
              <w:rPr>
                <w:sz w:val="18"/>
              </w:rPr>
              <w:t xml:space="preserve">Summary of personal data and processing; identities of other fiduciaries and processors it was shared with, and a description of what was shared</w:t>
            </w:r>
          </w:p>
        </w:tc>
        <w:tc>
          <w:tcPr>
            <w:tcW w:w="3240" w:type="dxa"/>
          </w:tcPr>
          <w:p>
            <w:pPr>
              <w:pStyle w:val="Compact"/>
              <w:spacing w:after="40"/>
              <w:jc w:val="left"/>
            </w:pPr>
            <w:r>
              <w:rPr>
                <w:sz w:val="18"/>
              </w:rPr>
              <w:t xml:space="preserve">[LAW] DPDP s.11 (from 13 May 2027)</w:t>
            </w:r>
          </w:p>
        </w:tc>
        <w:tc>
          <w:tcPr>
            <w:tcW w:w="3508" w:type="dxa"/>
          </w:tcPr>
          <w:p>
            <w:pPr>
              <w:pStyle w:val="Compact"/>
              <w:spacing w:after="40"/>
              <w:jc w:val="left"/>
            </w:pPr>
            <w:r>
              <w:rPr>
                <w:sz w:val="18"/>
              </w:rPr>
              <w:t xml:space="preserve">“</w:t>
            </w:r>
            <w:r>
              <w:rPr>
                <w:sz w:val="18"/>
              </w:rPr>
              <w:t xml:space="preserve">What we hold about you</w:t>
            </w:r>
            <w:r>
              <w:rPr>
                <w:sz w:val="18"/>
              </w:rPr>
              <w:t xml:space="preserve">”</w:t>
            </w:r>
            <w:r>
              <w:rPr>
                <w:sz w:val="18"/>
              </w:rPr>
              <w:t xml:space="preserve">: Udofin’s own data plus the list of REs and providers that received data, by consent artefact; built now as practice [REC]</w:t>
            </w:r>
          </w:p>
        </w:tc>
      </w:tr>
      <w:tr>
        <w:tc>
          <w:tcPr>
            <w:tcW w:w="2890" w:type="dxa"/>
          </w:tcPr>
          <w:p>
            <w:pPr>
              <w:pStyle w:val="Compact"/>
              <w:spacing w:after="40"/>
              <w:jc w:val="left"/>
            </w:pPr>
            <w:r>
              <w:rPr>
                <w:sz w:val="18"/>
              </w:rPr>
              <w:t xml:space="preserve">Correction, completion, updating, erasure</w:t>
            </w:r>
          </w:p>
        </w:tc>
        <w:tc>
          <w:tcPr>
            <w:tcW w:w="3240" w:type="dxa"/>
          </w:tcPr>
          <w:p>
            <w:pPr>
              <w:pStyle w:val="Compact"/>
              <w:spacing w:after="40"/>
              <w:jc w:val="left"/>
            </w:pPr>
            <w:r>
              <w:rPr>
                <w:sz w:val="18"/>
              </w:rPr>
              <w:t xml:space="preserve">[LAW] DPDP s.12; s.8(7) (erasure unless retention is required by law)</w:t>
            </w:r>
          </w:p>
        </w:tc>
        <w:tc>
          <w:tcPr>
            <w:tcW w:w="3508" w:type="dxa"/>
          </w:tcPr>
          <w:p>
            <w:pPr>
              <w:pStyle w:val="Compact"/>
              <w:spacing w:after="40"/>
              <w:jc w:val="left"/>
            </w:pPr>
            <w:r>
              <w:rPr>
                <w:sz w:val="18"/>
              </w:rPr>
              <w:t xml:space="preserve">U4 request flow; loan data requests forwarded to the RE as</w:t>
            </w:r>
            <w:r>
              <w:rPr>
                <w:sz w:val="18"/>
              </w:rPr>
              <w:t xml:space="preserve"> </w:t>
            </w:r>
            <w:r>
              <w:rPr>
                <w:rStyle w:val="VerbatimChar"/>
                <w:sz w:val="18"/>
              </w:rPr>
              <w:t xml:space="preserve">DataPrincipalRequest</w:t>
            </w:r>
            <w:r>
              <w:rPr>
                <w:sz w:val="18"/>
              </w:rPr>
              <w:t xml:space="preserve"> </w:t>
            </w:r>
            <w:r>
              <w:rPr>
                <w:sz w:val="18"/>
              </w:rPr>
              <w:t xml:space="preserve">within 1 working day; statutory retention explained in plain words (for example PMLA and KYC records, KYC Directions; CIC reporting)</w:t>
            </w:r>
          </w:p>
        </w:tc>
      </w:tr>
      <w:tr>
        <w:tc>
          <w:tcPr>
            <w:tcW w:w="2890" w:type="dxa"/>
          </w:tcPr>
          <w:p>
            <w:pPr>
              <w:pStyle w:val="Compact"/>
              <w:spacing w:after="40"/>
              <w:jc w:val="left"/>
            </w:pPr>
            <w:r>
              <w:rPr>
                <w:sz w:val="18"/>
              </w:rPr>
              <w:t xml:space="preserve">Response time</w:t>
            </w:r>
          </w:p>
        </w:tc>
        <w:tc>
          <w:tcPr>
            <w:tcW w:w="3240" w:type="dxa"/>
          </w:tcPr>
          <w:p>
            <w:pPr>
              <w:pStyle w:val="Compact"/>
              <w:spacing w:after="40"/>
              <w:jc w:val="left"/>
            </w:pPr>
            <w:r>
              <w:rPr>
                <w:sz w:val="18"/>
              </w:rPr>
              <w:t xml:space="preserve">[LAW] DPDP Rules r.14(3): grievances answered within the period the fiduciary publishes, at most 90 days (from 13 May 2027) [VERIFY: whether the same limit governs s.11–12 requests]</w:t>
            </w:r>
          </w:p>
        </w:tc>
        <w:tc>
          <w:tcPr>
            <w:tcW w:w="3508" w:type="dxa"/>
          </w:tcPr>
          <w:p>
            <w:pPr>
              <w:pStyle w:val="Compact"/>
              <w:spacing w:after="40"/>
              <w:jc w:val="left"/>
            </w:pPr>
            <w:r>
              <w:rPr>
                <w:sz w:val="18"/>
              </w:rPr>
              <w:t xml:space="preserve">Udofin target 30 days for every request [REC]; clock shown; a shorter RE or RBI clock wins</w:t>
            </w:r>
          </w:p>
        </w:tc>
      </w:tr>
      <w:tr>
        <w:tc>
          <w:tcPr>
            <w:tcW w:w="2890" w:type="dxa"/>
          </w:tcPr>
          <w:p>
            <w:pPr>
              <w:pStyle w:val="Compact"/>
              <w:spacing w:after="40"/>
              <w:jc w:val="left"/>
            </w:pPr>
            <w:r>
              <w:rPr>
                <w:sz w:val="18"/>
              </w:rPr>
              <w:t xml:space="preserve">Grievance about data handling</w:t>
            </w:r>
          </w:p>
        </w:tc>
        <w:tc>
          <w:tcPr>
            <w:tcW w:w="3240" w:type="dxa"/>
          </w:tcPr>
          <w:p>
            <w:pPr>
              <w:pStyle w:val="Compact"/>
              <w:spacing w:after="40"/>
              <w:jc w:val="left"/>
            </w:pPr>
            <w:r>
              <w:rPr>
                <w:sz w:val="18"/>
              </w:rPr>
              <w:t xml:space="preserve">[LAW] DPDP s.13 (exhaust before the Board)</w:t>
            </w:r>
          </w:p>
        </w:tc>
        <w:tc>
          <w:tcPr>
            <w:tcW w:w="3508" w:type="dxa"/>
          </w:tcPr>
          <w:p>
            <w:pPr>
              <w:pStyle w:val="Compact"/>
              <w:spacing w:after="40"/>
              <w:jc w:val="left"/>
            </w:pPr>
            <w:r>
              <w:rPr>
                <w:sz w:val="18"/>
              </w:rPr>
              <w:t xml:space="preserve">UB3 data route</w:t>
            </w:r>
          </w:p>
        </w:tc>
      </w:tr>
      <w:tr>
        <w:tc>
          <w:tcPr>
            <w:tcW w:w="2890" w:type="dxa"/>
          </w:tcPr>
          <w:p>
            <w:pPr>
              <w:pStyle w:val="Compact"/>
              <w:spacing w:after="40"/>
              <w:jc w:val="left"/>
            </w:pPr>
            <w:r>
              <w:rPr>
                <w:sz w:val="18"/>
              </w:rPr>
              <w:t xml:space="preserve">Nomination</w:t>
            </w:r>
          </w:p>
        </w:tc>
        <w:tc>
          <w:tcPr>
            <w:tcW w:w="3240" w:type="dxa"/>
          </w:tcPr>
          <w:p>
            <w:pPr>
              <w:pStyle w:val="Compact"/>
              <w:spacing w:after="40"/>
              <w:jc w:val="left"/>
            </w:pPr>
            <w:r>
              <w:rPr>
                <w:sz w:val="18"/>
              </w:rPr>
              <w:t xml:space="preserve">[LAW] DPDP s.14; Rules</w:t>
            </w:r>
          </w:p>
        </w:tc>
        <w:tc>
          <w:tcPr>
            <w:tcW w:w="3508" w:type="dxa"/>
          </w:tcPr>
          <w:p>
            <w:pPr>
              <w:pStyle w:val="Compact"/>
              <w:spacing w:after="40"/>
              <w:jc w:val="left"/>
            </w:pPr>
            <w:r>
              <w:rPr>
                <w:sz w:val="18"/>
              </w:rPr>
              <w:t xml:space="preserve">U4 nomination record</w:t>
            </w:r>
          </w:p>
        </w:tc>
      </w:tr>
      <w:tr>
        <w:tc>
          <w:tcPr>
            <w:tcW w:w="2890" w:type="dxa"/>
          </w:tcPr>
          <w:p>
            <w:pPr>
              <w:pStyle w:val="Compact"/>
              <w:spacing w:after="40"/>
              <w:jc w:val="left"/>
            </w:pPr>
            <w:r>
              <w:rPr>
                <w:sz w:val="18"/>
              </w:rPr>
              <w:t xml:space="preserve">Data portability</w:t>
            </w:r>
          </w:p>
        </w:tc>
        <w:tc>
          <w:tcPr>
            <w:tcW w:w="3240" w:type="dxa"/>
          </w:tcPr>
          <w:p>
            <w:pPr>
              <w:pStyle w:val="Compact"/>
              <w:spacing w:after="40"/>
              <w:jc w:val="left"/>
            </w:pPr>
            <w:r>
              <w:rPr>
                <w:bCs/>
                <w:b/>
                <w:sz w:val="18"/>
              </w:rPr>
              <w:t xml:space="preserve">No portability right</w:t>
            </w:r>
            <w:r>
              <w:rPr>
                <w:sz w:val="18"/>
              </w:rPr>
              <w:t xml:space="preserve"> </w:t>
            </w:r>
            <w:r>
              <w:rPr>
                <w:sz w:val="18"/>
              </w:rPr>
              <w:t xml:space="preserve">in the DPDP Act [LAW]</w:t>
            </w:r>
          </w:p>
        </w:tc>
        <w:tc>
          <w:tcPr>
            <w:tcW w:w="3508" w:type="dxa"/>
          </w:tcPr>
          <w:p>
            <w:pPr>
              <w:pStyle w:val="Compact"/>
              <w:spacing w:after="40"/>
              <w:jc w:val="left"/>
            </w:pPr>
            <w:r>
              <w:rPr>
                <w:sz w:val="18"/>
              </w:rPr>
              <w:t xml:space="preserve">Offered anyway as</w:t>
            </w:r>
            <w:r>
              <w:rPr>
                <w:sz w:val="18"/>
              </w:rPr>
              <w:t xml:space="preserve"> </w:t>
            </w:r>
            <w:r>
              <w:rPr>
                <w:sz w:val="18"/>
              </w:rPr>
              <w:t xml:space="preserve">“</w:t>
            </w:r>
            <w:r>
              <w:rPr>
                <w:sz w:val="18"/>
              </w:rPr>
              <w:t xml:space="preserve">Download my data</w:t>
            </w:r>
            <w:r>
              <w:rPr>
                <w:sz w:val="18"/>
              </w:rPr>
              <w:t xml:space="preserve">”</w:t>
            </w:r>
            <w:r>
              <w:rPr>
                <w:sz w:val="18"/>
              </w:rPr>
              <w:t xml:space="preserve"> </w:t>
            </w:r>
            <w:r>
              <w:rPr>
                <w:sz w:val="18"/>
              </w:rPr>
              <w:t xml:space="preserve">[REC]</w:t>
            </w:r>
          </w:p>
        </w:tc>
      </w:tr>
    </w:tbl>
    <w:p>
      <w:pPr>
        <w:pStyle w:val="BodyText"/>
      </w:pPr>
      <w:r>
        <w:rPr>
          <w:bCs/>
          <w:b/>
        </w:rPr>
        <w:t xml:space="preserve">“</w:t>
      </w:r>
      <w:r>
        <w:rPr>
          <w:bCs/>
          <w:b/>
        </w:rPr>
        <w:t xml:space="preserve">Download my data</w:t>
      </w:r>
      <w:r>
        <w:rPr>
          <w:bCs/>
          <w:b/>
        </w:rPr>
        <w:t xml:space="preserve">”</w:t>
      </w:r>
      <w:r>
        <w:rPr>
          <w:bCs/>
          <w:b/>
        </w:rPr>
        <w:t xml:space="preserve"> </w:t>
      </w:r>
      <w:r>
        <w:rPr>
          <w:bCs/>
          <w:b/>
        </w:rPr>
        <w:t xml:space="preserve">package (borrower export).</w:t>
      </w:r>
    </w:p>
    <w:p>
      <w:pPr>
        <w:numPr>
          <w:ilvl w:val="0"/>
          <w:numId w:val="1092"/>
        </w:numPr>
        <w:pStyle w:val="Compact"/>
      </w:pPr>
      <w:r>
        <w:rPr>
          <w:bCs/>
          <w:b/>
        </w:rPr>
        <w:t xml:space="preserve">Scope selection:</w:t>
      </w:r>
      <w:r>
        <w:t xml:space="preserve"> </w:t>
      </w:r>
      <w:r>
        <w:t xml:space="preserve">account and profile; consents and notices shown; applications and journeys; loans (mirror data, labelled with the RE as source and the</w:t>
      </w:r>
      <w:r>
        <w:t xml:space="preserve"> </w:t>
      </w:r>
      <w:r>
        <w:t xml:space="preserve">“</w:t>
      </w:r>
      <w:r>
        <w:t xml:space="preserve">as at</w:t>
      </w:r>
      <w:r>
        <w:t xml:space="preserve">”</w:t>
      </w:r>
      <w:r>
        <w:t xml:space="preserve"> </w:t>
      </w:r>
      <w:r>
        <w:t xml:space="preserve">time); documents; communications; grievances. Wellness add-on data (Part 7D) is a</w:t>
      </w:r>
      <w:r>
        <w:t xml:space="preserve"> </w:t>
      </w:r>
      <w:r>
        <w:rPr>
          <w:bCs/>
          <w:b/>
        </w:rPr>
        <w:t xml:space="preserve">separate</w:t>
      </w:r>
      <w:r>
        <w:t xml:space="preserve"> </w:t>
      </w:r>
      <w:r>
        <w:t xml:space="preserve">package from its own store and is never merged into this one.</w:t>
      </w:r>
    </w:p>
    <w:p>
      <w:pPr>
        <w:numPr>
          <w:ilvl w:val="0"/>
          <w:numId w:val="1092"/>
        </w:numPr>
        <w:pStyle w:val="Compact"/>
      </w:pPr>
      <w:r>
        <w:rPr>
          <w:bCs/>
          <w:b/>
        </w:rPr>
        <w:t xml:space="preserve">Format:</w:t>
      </w:r>
      <w:r>
        <w:t xml:space="preserve"> </w:t>
      </w:r>
      <w:r>
        <w:t xml:space="preserve">archive standard folder profile</w:t>
      </w:r>
      <w:r>
        <w:t xml:space="preserve"> </w:t>
      </w:r>
      <w:r>
        <w:rPr>
          <w:rStyle w:val="VerbatimChar"/>
        </w:rPr>
        <w:t xml:space="preserve">udofin_borrower_v1</w:t>
      </w:r>
      <w:r>
        <w:t xml:space="preserve"> </w:t>
      </w:r>
      <w:r>
        <w:t xml:space="preserve">(Integration Specification 12.1):</w:t>
      </w:r>
      <w:r>
        <w:t xml:space="preserve"> </w:t>
      </w:r>
      <w:r>
        <w:rPr>
          <w:rStyle w:val="VerbatimChar"/>
        </w:rPr>
        <w:t xml:space="preserve">00 Start Here/</w:t>
      </w:r>
      <w:r>
        <w:t xml:space="preserve"> </w:t>
      </w:r>
      <w:r>
        <w:t xml:space="preserve">with the README as PDF, DOCX and TXT (a plain-language guide in the borrower’s language),</w:t>
      </w:r>
      <w:r>
        <w:t xml:space="preserve"> </w:t>
      </w:r>
      <w:r>
        <w:rPr>
          <w:rStyle w:val="VerbatimChar"/>
        </w:rPr>
        <w:t xml:space="preserve">export-manifest.csv</w:t>
      </w:r>
      <w:r>
        <w:t xml:space="preserve">,</w:t>
      </w:r>
      <w:r>
        <w:t xml:space="preserve"> </w:t>
      </w:r>
      <w:r>
        <w:rPr>
          <w:rStyle w:val="VerbatimChar"/>
        </w:rPr>
        <w:t xml:space="preserve">manifest.json</w:t>
      </w:r>
      <w:r>
        <w:t xml:space="preserve"> </w:t>
      </w:r>
      <w:r>
        <w:t xml:space="preserve">(files, counts, SHA-256) and its detached JWS; each dataset as</w:t>
      </w:r>
      <w:r>
        <w:t xml:space="preserve"> </w:t>
      </w:r>
      <w:r>
        <w:rPr>
          <w:rStyle w:val="VerbatimChar"/>
        </w:rPr>
        <w:t xml:space="preserve">[dataset].csv</w:t>
      </w:r>
      <w:r>
        <w:t xml:space="preserve">,</w:t>
      </w:r>
      <w:r>
        <w:t xml:space="preserve"> </w:t>
      </w:r>
      <w:r>
        <w:rPr>
          <w:rStyle w:val="VerbatimChar"/>
        </w:rPr>
        <w:t xml:space="preserve">[dataset].xlsx</w:t>
      </w:r>
      <w:r>
        <w:t xml:space="preserve"> </w:t>
      </w:r>
      <w:r>
        <w:t xml:space="preserve">and</w:t>
      </w:r>
      <w:r>
        <w:t xml:space="preserve"> </w:t>
      </w:r>
      <w:r>
        <w:rPr>
          <w:rStyle w:val="VerbatimChar"/>
        </w:rPr>
        <w:t xml:space="preserve">[dataset].schema.json</w:t>
      </w:r>
      <w:r>
        <w:t xml:space="preserve"> </w:t>
      </w:r>
      <w:r>
        <w:t xml:space="preserve">(JSON Lines optional); documents byte-identical with their original hashes; readable without Udofin.</w:t>
      </w:r>
    </w:p>
    <w:p>
      <w:pPr>
        <w:numPr>
          <w:ilvl w:val="0"/>
          <w:numId w:val="1092"/>
        </w:numPr>
        <w:pStyle w:val="Compact"/>
      </w:pPr>
      <w:r>
        <w:rPr>
          <w:bCs/>
          <w:b/>
        </w:rPr>
        <w:t xml:space="preserve">Security:</w:t>
      </w:r>
      <w:r>
        <w:t xml:space="preserve"> </w:t>
      </w:r>
      <w:r>
        <w:t xml:space="preserve">step-up authentication (U3); device risk check; package encrypted (AES-256 ZIP or equivalent) with a passphrase the borrower sets on screen; download only in the authenticated app or web through a signed URL valid at most 15 minutes; email and SMS carry a notification, never the file or the passphrase; an alert goes to every registered channel when an export is generated (account-takeover defence); package deleted 7 days after generation [REC].</w:t>
      </w:r>
    </w:p>
    <w:p>
      <w:pPr>
        <w:numPr>
          <w:ilvl w:val="0"/>
          <w:numId w:val="1092"/>
        </w:numPr>
        <w:pStyle w:val="Compact"/>
      </w:pPr>
      <w:r>
        <w:rPr>
          <w:bCs/>
          <w:b/>
        </w:rPr>
        <w:t xml:space="preserve">Limits:</w:t>
      </w:r>
      <w:r>
        <w:t xml:space="preserve"> </w:t>
      </w:r>
      <w:r>
        <w:t xml:space="preserve">at most 3 full exports per 30 days per borrower [REC], unlimited single-document downloads; requests above the limit go to support.</w:t>
      </w:r>
    </w:p>
    <w:p>
      <w:pPr>
        <w:numPr>
          <w:ilvl w:val="0"/>
          <w:numId w:val="1092"/>
        </w:numPr>
        <w:pStyle w:val="Compact"/>
      </w:pPr>
      <w:r>
        <w:rPr>
          <w:bCs/>
          <w:b/>
        </w:rPr>
        <w:t xml:space="preserve">RE part:</w:t>
      </w:r>
      <w:r>
        <w:t xml:space="preserve"> </w:t>
      </w:r>
      <w:r>
        <w:t xml:space="preserve">where the borrower asks for data only the RE holds (for example underwriting data), Udofin forwards a</w:t>
      </w:r>
      <w:r>
        <w:t xml:space="preserve"> </w:t>
      </w:r>
      <w:r>
        <w:rPr>
          <w:rStyle w:val="VerbatimChar"/>
        </w:rPr>
        <w:t xml:space="preserve">DataPrincipalRequest</w:t>
      </w:r>
      <w:r>
        <w:t xml:space="preserve"> </w:t>
      </w:r>
      <w:r>
        <w:t xml:space="preserve">and shows</w:t>
      </w:r>
      <w:r>
        <w:t xml:space="preserve"> </w:t>
      </w:r>
      <w:r>
        <w:t xml:space="preserve">“</w:t>
      </w:r>
      <w:r>
        <w:t xml:space="preserve">[RE name] will respond</w:t>
      </w:r>
      <w:r>
        <w:t xml:space="preserve">”</w:t>
      </w:r>
      <w:r>
        <w:t xml:space="preserve">; Udofin never pulls RE back-office data it does not already hold.</w:t>
      </w:r>
    </w:p>
    <w:bookmarkEnd w:id="163"/>
    <w:bookmarkStart w:id="164" w:name="states-2"/>
    <w:p>
      <w:pPr>
        <w:pStyle w:val="Heading3"/>
      </w:pPr>
      <w:r>
        <w:t xml:space="preserve">States</w:t>
      </w:r>
    </w:p>
    <w:p>
      <w:pPr>
        <w:numPr>
          <w:ilvl w:val="0"/>
          <w:numId w:val="1093"/>
        </w:numPr>
        <w:pStyle w:val="Compact"/>
      </w:pPr>
      <w:r>
        <w:rPr>
          <w:rStyle w:val="VerbatimChar"/>
        </w:rPr>
        <w:t xml:space="preserve">document_request</w:t>
      </w:r>
      <w:r>
        <w:t xml:space="preserve">:</w:t>
      </w:r>
      <w:r>
        <w:t xml:space="preserve"> </w:t>
      </w:r>
      <w:r>
        <w:rPr>
          <w:rStyle w:val="VerbatimChar"/>
        </w:rPr>
        <w:t xml:space="preserve">REQUESTED → FORWARDED_TO_RE → RE_ACKNOWLEDGED → {FULFILLED | DECLINED (reason) }</w:t>
      </w:r>
      <w:r>
        <w:t xml:space="preserve">, with</w:t>
      </w:r>
      <w:r>
        <w:t xml:space="preserve"> </w:t>
      </w:r>
      <w:r>
        <w:rPr>
          <w:rStyle w:val="VerbatimChar"/>
        </w:rPr>
        <w:t xml:space="preserve">OVERDUE</w:t>
      </w:r>
      <w:r>
        <w:t xml:space="preserve"> </w:t>
      </w:r>
      <w:r>
        <w:t xml:space="preserve">raised by timer and</w:t>
      </w:r>
      <w:r>
        <w:t xml:space="preserve"> </w:t>
      </w:r>
      <w:r>
        <w:rPr>
          <w:rStyle w:val="VerbatimChar"/>
        </w:rPr>
        <w:t xml:space="preserve">CANCELLED</w:t>
      </w:r>
      <w:r>
        <w:t xml:space="preserve"> </w:t>
      </w:r>
      <w:r>
        <w:t xml:space="preserve">by the borrower.</w:t>
      </w:r>
    </w:p>
    <w:p>
      <w:pPr>
        <w:numPr>
          <w:ilvl w:val="0"/>
          <w:numId w:val="1093"/>
        </w:numPr>
        <w:pStyle w:val="Compact"/>
      </w:pPr>
      <w:r>
        <w:rPr>
          <w:rStyle w:val="VerbatimChar"/>
        </w:rPr>
        <w:t xml:space="preserve">data_access_request</w:t>
      </w:r>
      <w:r>
        <w:t xml:space="preserve"> </w:t>
      </w:r>
      <w:r>
        <w:t xml:space="preserve">(extends U4</w:t>
      </w:r>
      <w:r>
        <w:t xml:space="preserve"> </w:t>
      </w:r>
      <w:r>
        <w:rPr>
          <w:rStyle w:val="VerbatimChar"/>
        </w:rPr>
        <w:t xml:space="preserve">data_principal_request</w:t>
      </w:r>
      <w:r>
        <w:t xml:space="preserve">):</w:t>
      </w:r>
      <w:r>
        <w:t xml:space="preserve"> </w:t>
      </w:r>
      <w:r>
        <w:rPr>
          <w:rStyle w:val="VerbatimChar"/>
        </w:rPr>
        <w:t xml:space="preserve">SUBMITTED → IDENTITY_VERIFIED → IN_PROGRESS (Udofin part; RE part forwarded) → READY → DELIVERED → CLOSED</w:t>
      </w:r>
      <w:r>
        <w:t xml:space="preserve">, with</w:t>
      </w:r>
      <w:r>
        <w:t xml:space="preserve"> </w:t>
      </w:r>
      <w:r>
        <w:rPr>
          <w:rStyle w:val="VerbatimChar"/>
        </w:rPr>
        <w:t xml:space="preserve">PARTIALLY_REFUSED</w:t>
      </w:r>
      <w:r>
        <w:t xml:space="preserve"> </w:t>
      </w:r>
      <w:r>
        <w:t xml:space="preserve">(legal retention or third-party rights, with reasons).</w:t>
      </w:r>
    </w:p>
    <w:p>
      <w:pPr>
        <w:numPr>
          <w:ilvl w:val="0"/>
          <w:numId w:val="1093"/>
        </w:numPr>
        <w:pStyle w:val="Compact"/>
      </w:pPr>
      <w:r>
        <w:rPr>
          <w:rStyle w:val="VerbatimChar"/>
        </w:rPr>
        <w:t xml:space="preserve">borrower_export_job</w:t>
      </w:r>
      <w:r>
        <w:t xml:space="preserve">:</w:t>
      </w:r>
      <w:r>
        <w:t xml:space="preserve"> </w:t>
      </w:r>
      <w:r>
        <w:rPr>
          <w:rStyle w:val="VerbatimChar"/>
        </w:rPr>
        <w:t xml:space="preserve">REQUESTED → STEP_UP_PASSED → GENERATING → READY → DOWNLOADED → PURGED</w:t>
      </w:r>
      <w:r>
        <w:t xml:space="preserve">, with</w:t>
      </w:r>
      <w:r>
        <w:t xml:space="preserve"> </w:t>
      </w:r>
      <w:r>
        <w:rPr>
          <w:rStyle w:val="VerbatimChar"/>
        </w:rPr>
        <w:t xml:space="preserve">EXPIRED</w:t>
      </w:r>
      <w:r>
        <w:t xml:space="preserve"> </w:t>
      </w:r>
      <w:r>
        <w:t xml:space="preserve">(not downloaded within 7 days; purged) and</w:t>
      </w:r>
      <w:r>
        <w:t xml:space="preserve"> </w:t>
      </w:r>
      <w:r>
        <w:rPr>
          <w:rStyle w:val="VerbatimChar"/>
        </w:rPr>
        <w:t xml:space="preserve">FAILED</w:t>
      </w:r>
      <w:r>
        <w:t xml:space="preserve"> </w:t>
      </w:r>
      <w:r>
        <w:t xml:space="preserve">(generation error; the borrower is told and may retry without using a monthly allowance).</w:t>
      </w:r>
    </w:p>
    <w:bookmarkEnd w:id="164"/>
    <w:bookmarkStart w:id="165" w:name="settings-and-options-5"/>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86"/>
        <w:gridCol w:w="1444"/>
        <w:gridCol w:w="2786"/>
        <w:gridCol w:w="2622"/>
      </w:tblGrid>
      <w:tr>
        <w:trPr>
          <w:tblHeader w:val="true"/>
          <w:tblHeader w:val="true"/>
        </w:trPr>
        <w:tc>
          <w:tcPr>
            <w:tcW w:w="2786" w:type="dxa"/>
            <w:shd w:val="clear" w:color="auto" w:fill="1F3A5F"/>
          </w:tcPr>
          <w:p>
            <w:pPr>
              <w:pStyle w:val="Compact"/>
              <w:spacing w:after="40"/>
              <w:jc w:val="left"/>
            </w:pPr>
            <w:r>
              <w:rPr>
                <w:b/>
                <w:color w:val="FFFFFF"/>
                <w:sz w:val="18"/>
              </w:rPr>
              <w:t xml:space="preserve">Setting</w:t>
            </w:r>
          </w:p>
        </w:tc>
        <w:tc>
          <w:tcPr>
            <w:tcW w:w="1444" w:type="dxa"/>
            <w:shd w:val="clear" w:color="auto" w:fill="1F3A5F"/>
          </w:tcPr>
          <w:p>
            <w:pPr>
              <w:pStyle w:val="Compact"/>
              <w:spacing w:after="40"/>
              <w:jc w:val="left"/>
            </w:pPr>
            <w:r>
              <w:rPr>
                <w:b/>
                <w:color w:val="FFFFFF"/>
                <w:sz w:val="18"/>
              </w:rPr>
              <w:t xml:space="preserve">Level</w:t>
            </w:r>
          </w:p>
        </w:tc>
        <w:tc>
          <w:tcPr>
            <w:tcW w:w="2786" w:type="dxa"/>
            <w:shd w:val="clear" w:color="auto" w:fill="1F3A5F"/>
          </w:tcPr>
          <w:p>
            <w:pPr>
              <w:pStyle w:val="Compact"/>
              <w:spacing w:after="40"/>
              <w:jc w:val="left"/>
            </w:pPr>
            <w:r>
              <w:rPr>
                <w:b/>
                <w:color w:val="FFFFFF"/>
                <w:sz w:val="18"/>
              </w:rPr>
              <w:t xml:space="preserve">Default</w:t>
            </w:r>
          </w:p>
        </w:tc>
        <w:tc>
          <w:tcPr>
            <w:tcW w:w="2622" w:type="dxa"/>
            <w:shd w:val="clear" w:color="auto" w:fill="1F3A5F"/>
          </w:tcPr>
          <w:p>
            <w:pPr>
              <w:pStyle w:val="Compact"/>
              <w:spacing w:after="40"/>
              <w:jc w:val="left"/>
            </w:pPr>
            <w:r>
              <w:rPr>
                <w:b/>
                <w:color w:val="FFFFFF"/>
                <w:sz w:val="18"/>
              </w:rPr>
              <w:t xml:space="preserve">Nature</w:t>
            </w:r>
          </w:p>
        </w:tc>
      </w:tr>
      <w:tr>
        <w:tc>
          <w:tcPr>
            <w:tcW w:w="2786" w:type="dxa"/>
          </w:tcPr>
          <w:p>
            <w:pPr>
              <w:pStyle w:val="Compact"/>
              <w:spacing w:after="40"/>
              <w:jc w:val="left"/>
            </w:pPr>
            <w:r>
              <w:rPr>
                <w:sz w:val="18"/>
              </w:rPr>
              <w:t xml:space="preserve">Step-up freshness for downloads and exports</w:t>
            </w:r>
          </w:p>
        </w:tc>
        <w:tc>
          <w:tcPr>
            <w:tcW w:w="1444" w:type="dxa"/>
          </w:tcPr>
          <w:p>
            <w:pPr>
              <w:pStyle w:val="Compact"/>
              <w:spacing w:after="40"/>
              <w:jc w:val="left"/>
            </w:pPr>
            <w:r>
              <w:rPr>
                <w:sz w:val="18"/>
              </w:rPr>
              <w:t xml:space="preserve">Platform</w:t>
            </w:r>
          </w:p>
        </w:tc>
        <w:tc>
          <w:tcPr>
            <w:tcW w:w="2786" w:type="dxa"/>
          </w:tcPr>
          <w:p>
            <w:pPr>
              <w:pStyle w:val="Compact"/>
              <w:spacing w:after="40"/>
              <w:jc w:val="left"/>
            </w:pPr>
            <w:r>
              <w:rPr>
                <w:sz w:val="18"/>
              </w:rPr>
              <w:t xml:space="preserve">5 minutes</w:t>
            </w:r>
          </w:p>
        </w:tc>
        <w:tc>
          <w:tcPr>
            <w:tcW w:w="2622" w:type="dxa"/>
          </w:tcPr>
          <w:p>
            <w:pPr>
              <w:pStyle w:val="Compact"/>
              <w:spacing w:after="40"/>
              <w:jc w:val="left"/>
            </w:pPr>
            <w:r>
              <w:rPr>
                <w:sz w:val="18"/>
              </w:rPr>
              <w:t xml:space="preserve">Security floor (may shorten)</w:t>
            </w:r>
          </w:p>
        </w:tc>
      </w:tr>
      <w:tr>
        <w:tc>
          <w:tcPr>
            <w:tcW w:w="2786" w:type="dxa"/>
          </w:tcPr>
          <w:p>
            <w:pPr>
              <w:pStyle w:val="Compact"/>
              <w:spacing w:after="40"/>
              <w:jc w:val="left"/>
            </w:pPr>
            <w:r>
              <w:rPr>
                <w:sz w:val="18"/>
              </w:rPr>
              <w:t xml:space="preserve">Signed-URL validity</w:t>
            </w:r>
          </w:p>
        </w:tc>
        <w:tc>
          <w:tcPr>
            <w:tcW w:w="1444" w:type="dxa"/>
          </w:tcPr>
          <w:p>
            <w:pPr>
              <w:pStyle w:val="Compact"/>
              <w:spacing w:after="40"/>
              <w:jc w:val="left"/>
            </w:pPr>
            <w:r>
              <w:rPr>
                <w:sz w:val="18"/>
              </w:rPr>
              <w:t xml:space="preserve">Platform</w:t>
            </w:r>
          </w:p>
        </w:tc>
        <w:tc>
          <w:tcPr>
            <w:tcW w:w="2786" w:type="dxa"/>
          </w:tcPr>
          <w:p>
            <w:pPr>
              <w:pStyle w:val="Compact"/>
              <w:spacing w:after="40"/>
              <w:jc w:val="left"/>
            </w:pPr>
            <w:r>
              <w:rPr>
                <w:sz w:val="18"/>
              </w:rPr>
              <w:t xml:space="preserve">15 minutes</w:t>
            </w:r>
          </w:p>
        </w:tc>
        <w:tc>
          <w:tcPr>
            <w:tcW w:w="2622" w:type="dxa"/>
          </w:tcPr>
          <w:p>
            <w:pPr>
              <w:pStyle w:val="Compact"/>
              <w:spacing w:after="40"/>
              <w:jc w:val="left"/>
            </w:pPr>
            <w:r>
              <w:rPr>
                <w:sz w:val="18"/>
              </w:rPr>
              <w:t xml:space="preserve">Security floor (Integration Spec 6.13)</w:t>
            </w:r>
          </w:p>
        </w:tc>
      </w:tr>
      <w:tr>
        <w:tc>
          <w:tcPr>
            <w:tcW w:w="2786" w:type="dxa"/>
          </w:tcPr>
          <w:p>
            <w:pPr>
              <w:pStyle w:val="Compact"/>
              <w:spacing w:after="40"/>
              <w:jc w:val="left"/>
            </w:pPr>
            <w:r>
              <w:rPr>
                <w:sz w:val="18"/>
              </w:rPr>
              <w:t xml:space="preserve">Full exports per 30 days</w:t>
            </w:r>
          </w:p>
        </w:tc>
        <w:tc>
          <w:tcPr>
            <w:tcW w:w="1444" w:type="dxa"/>
          </w:tcPr>
          <w:p>
            <w:pPr>
              <w:pStyle w:val="Compact"/>
              <w:spacing w:after="40"/>
              <w:jc w:val="left"/>
            </w:pPr>
            <w:r>
              <w:rPr>
                <w:sz w:val="18"/>
              </w:rPr>
              <w:t xml:space="preserve">Platform</w:t>
            </w:r>
          </w:p>
        </w:tc>
        <w:tc>
          <w:tcPr>
            <w:tcW w:w="2786" w:type="dxa"/>
          </w:tcPr>
          <w:p>
            <w:pPr>
              <w:pStyle w:val="Compact"/>
              <w:spacing w:after="40"/>
              <w:jc w:val="left"/>
            </w:pPr>
            <w:r>
              <w:rPr>
                <w:sz w:val="18"/>
              </w:rPr>
              <w:t xml:space="preserve">3</w:t>
            </w:r>
          </w:p>
        </w:tc>
        <w:tc>
          <w:tcPr>
            <w:tcW w:w="2622" w:type="dxa"/>
          </w:tcPr>
          <w:p>
            <w:pPr>
              <w:pStyle w:val="Compact"/>
              <w:spacing w:after="40"/>
              <w:jc w:val="left"/>
            </w:pPr>
            <w:r>
              <w:rPr>
                <w:sz w:val="18"/>
              </w:rPr>
              <w:t xml:space="preserve">Commercial [REC]</w:t>
            </w:r>
          </w:p>
        </w:tc>
      </w:tr>
      <w:tr>
        <w:tc>
          <w:tcPr>
            <w:tcW w:w="2786" w:type="dxa"/>
          </w:tcPr>
          <w:p>
            <w:pPr>
              <w:pStyle w:val="Compact"/>
              <w:spacing w:after="40"/>
              <w:jc w:val="left"/>
            </w:pPr>
            <w:r>
              <w:rPr>
                <w:sz w:val="18"/>
              </w:rPr>
              <w:t xml:space="preserve">Export package retention</w:t>
            </w:r>
          </w:p>
        </w:tc>
        <w:tc>
          <w:tcPr>
            <w:tcW w:w="1444" w:type="dxa"/>
          </w:tcPr>
          <w:p>
            <w:pPr>
              <w:pStyle w:val="Compact"/>
              <w:spacing w:after="40"/>
              <w:jc w:val="left"/>
            </w:pPr>
            <w:r>
              <w:rPr>
                <w:sz w:val="18"/>
              </w:rPr>
              <w:t xml:space="preserve">Platform</w:t>
            </w:r>
          </w:p>
        </w:tc>
        <w:tc>
          <w:tcPr>
            <w:tcW w:w="2786" w:type="dxa"/>
          </w:tcPr>
          <w:p>
            <w:pPr>
              <w:pStyle w:val="Compact"/>
              <w:spacing w:after="40"/>
              <w:jc w:val="left"/>
            </w:pPr>
            <w:r>
              <w:rPr>
                <w:sz w:val="18"/>
              </w:rPr>
              <w:t xml:space="preserve">7 days</w:t>
            </w:r>
          </w:p>
        </w:tc>
        <w:tc>
          <w:tcPr>
            <w:tcW w:w="2622" w:type="dxa"/>
          </w:tcPr>
          <w:p>
            <w:pPr>
              <w:pStyle w:val="Compact"/>
              <w:spacing w:after="40"/>
              <w:jc w:val="left"/>
            </w:pPr>
            <w:r>
              <w:rPr>
                <w:sz w:val="18"/>
              </w:rPr>
              <w:t xml:space="preserve">Commercial [REC]</w:t>
            </w:r>
          </w:p>
        </w:tc>
      </w:tr>
      <w:tr>
        <w:tc>
          <w:tcPr>
            <w:tcW w:w="2786" w:type="dxa"/>
          </w:tcPr>
          <w:p>
            <w:pPr>
              <w:pStyle w:val="Compact"/>
              <w:spacing w:after="40"/>
              <w:jc w:val="left"/>
            </w:pPr>
            <w:r>
              <w:rPr>
                <w:sz w:val="18"/>
              </w:rPr>
              <w:t xml:space="preserve">Statement mirror freshness</w:t>
            </w:r>
          </w:p>
        </w:tc>
        <w:tc>
          <w:tcPr>
            <w:tcW w:w="1444" w:type="dxa"/>
          </w:tcPr>
          <w:p>
            <w:pPr>
              <w:pStyle w:val="Compact"/>
              <w:spacing w:after="40"/>
              <w:jc w:val="left"/>
            </w:pPr>
            <w:r>
              <w:rPr>
                <w:sz w:val="18"/>
              </w:rPr>
              <w:t xml:space="preserve">RE</w:t>
            </w:r>
          </w:p>
        </w:tc>
        <w:tc>
          <w:tcPr>
            <w:tcW w:w="2786" w:type="dxa"/>
          </w:tcPr>
          <w:p>
            <w:pPr>
              <w:pStyle w:val="Compact"/>
              <w:spacing w:after="40"/>
              <w:jc w:val="left"/>
            </w:pPr>
            <w:r>
              <w:rPr>
                <w:sz w:val="18"/>
              </w:rPr>
              <w:t xml:space="preserve">24 hours</w:t>
            </w:r>
          </w:p>
        </w:tc>
        <w:tc>
          <w:tcPr>
            <w:tcW w:w="2622" w:type="dxa"/>
          </w:tcPr>
          <w:p>
            <w:pPr>
              <w:pStyle w:val="Compact"/>
              <w:spacing w:after="40"/>
              <w:jc w:val="left"/>
            </w:pPr>
            <w:r>
              <w:rPr>
                <w:sz w:val="18"/>
              </w:rPr>
              <w:t xml:space="preserve">RE may shorten</w:t>
            </w:r>
          </w:p>
        </w:tc>
      </w:tr>
      <w:tr>
        <w:tc>
          <w:tcPr>
            <w:tcW w:w="2786" w:type="dxa"/>
          </w:tcPr>
          <w:p>
            <w:pPr>
              <w:pStyle w:val="Compact"/>
              <w:spacing w:after="40"/>
              <w:jc w:val="left"/>
            </w:pPr>
            <w:r>
              <w:rPr>
                <w:sz w:val="18"/>
              </w:rPr>
              <w:t xml:space="preserve">Document-request SLA</w:t>
            </w:r>
          </w:p>
        </w:tc>
        <w:tc>
          <w:tcPr>
            <w:tcW w:w="1444" w:type="dxa"/>
          </w:tcPr>
          <w:p>
            <w:pPr>
              <w:pStyle w:val="Compact"/>
              <w:spacing w:after="40"/>
              <w:jc w:val="left"/>
            </w:pPr>
            <w:r>
              <w:rPr>
                <w:sz w:val="18"/>
              </w:rPr>
              <w:t xml:space="preserve">RE</w:t>
            </w:r>
          </w:p>
        </w:tc>
        <w:tc>
          <w:tcPr>
            <w:tcW w:w="2786" w:type="dxa"/>
          </w:tcPr>
          <w:p>
            <w:pPr>
              <w:pStyle w:val="Compact"/>
              <w:spacing w:after="40"/>
              <w:jc w:val="left"/>
            </w:pPr>
            <w:r>
              <w:rPr>
                <w:sz w:val="18"/>
              </w:rPr>
              <w:t xml:space="preserve">From the deal configuration (UP2 section 6)</w:t>
            </w:r>
          </w:p>
        </w:tc>
        <w:tc>
          <w:tcPr>
            <w:tcW w:w="2622" w:type="dxa"/>
          </w:tcPr>
          <w:p>
            <w:pPr>
              <w:pStyle w:val="Compact"/>
              <w:spacing w:after="40"/>
              <w:jc w:val="left"/>
            </w:pPr>
            <w:r>
              <w:rPr>
                <w:sz w:val="18"/>
              </w:rPr>
              <w:t xml:space="preserve">RE-defined</w:t>
            </w:r>
          </w:p>
        </w:tc>
      </w:tr>
      <w:tr>
        <w:tc>
          <w:tcPr>
            <w:tcW w:w="2786" w:type="dxa"/>
          </w:tcPr>
          <w:p>
            <w:pPr>
              <w:pStyle w:val="Compact"/>
              <w:spacing w:after="40"/>
              <w:jc w:val="left"/>
            </w:pPr>
            <w:r>
              <w:rPr>
                <w:sz w:val="18"/>
              </w:rPr>
              <w:t xml:space="preserve">Post-exit download access</w:t>
            </w:r>
          </w:p>
        </w:tc>
        <w:tc>
          <w:tcPr>
            <w:tcW w:w="1444" w:type="dxa"/>
          </w:tcPr>
          <w:p>
            <w:pPr>
              <w:pStyle w:val="Compact"/>
              <w:spacing w:after="40"/>
              <w:jc w:val="left"/>
            </w:pPr>
            <w:r>
              <w:rPr>
                <w:sz w:val="18"/>
              </w:rPr>
              <w:t xml:space="preserve">Platform</w:t>
            </w:r>
          </w:p>
        </w:tc>
        <w:tc>
          <w:tcPr>
            <w:tcW w:w="2786" w:type="dxa"/>
          </w:tcPr>
          <w:p>
            <w:pPr>
              <w:pStyle w:val="Compact"/>
              <w:spacing w:after="40"/>
              <w:jc w:val="left"/>
            </w:pPr>
            <w:r>
              <w:rPr>
                <w:sz w:val="18"/>
              </w:rPr>
              <w:t xml:space="preserve">90 days</w:t>
            </w:r>
          </w:p>
        </w:tc>
        <w:tc>
          <w:tcPr>
            <w:tcW w:w="2622" w:type="dxa"/>
          </w:tcPr>
          <w:p>
            <w:pPr>
              <w:pStyle w:val="Compact"/>
              <w:spacing w:after="40"/>
              <w:jc w:val="left"/>
            </w:pPr>
            <w:r>
              <w:rPr>
                <w:sz w:val="18"/>
              </w:rPr>
              <w:t xml:space="preserve">Floor (UP5)</w:t>
            </w:r>
          </w:p>
        </w:tc>
      </w:tr>
      <w:tr>
        <w:tc>
          <w:tcPr>
            <w:tcW w:w="2786" w:type="dxa"/>
          </w:tcPr>
          <w:p>
            <w:pPr>
              <w:pStyle w:val="Compact"/>
              <w:spacing w:after="40"/>
              <w:jc w:val="left"/>
            </w:pPr>
            <w:r>
              <w:rPr>
                <w:sz w:val="18"/>
              </w:rPr>
              <w:t xml:space="preserve">Borrower notification on each download</w:t>
            </w:r>
          </w:p>
        </w:tc>
        <w:tc>
          <w:tcPr>
            <w:tcW w:w="1444" w:type="dxa"/>
          </w:tcPr>
          <w:p>
            <w:pPr>
              <w:pStyle w:val="Compact"/>
              <w:spacing w:after="40"/>
              <w:jc w:val="left"/>
            </w:pPr>
            <w:r>
              <w:rPr>
                <w:sz w:val="18"/>
              </w:rPr>
              <w:t xml:space="preserve">Borrower</w:t>
            </w:r>
          </w:p>
        </w:tc>
        <w:tc>
          <w:tcPr>
            <w:tcW w:w="2786" w:type="dxa"/>
          </w:tcPr>
          <w:p>
            <w:pPr>
              <w:pStyle w:val="Compact"/>
              <w:spacing w:after="40"/>
              <w:jc w:val="left"/>
            </w:pPr>
            <w:r>
              <w:rPr>
                <w:sz w:val="18"/>
              </w:rPr>
              <w:t xml:space="preserve">On for originals and exports</w:t>
            </w:r>
          </w:p>
        </w:tc>
        <w:tc>
          <w:tcPr>
            <w:tcW w:w="2622" w:type="dxa"/>
          </w:tcPr>
          <w:p>
            <w:pPr>
              <w:pStyle w:val="Compact"/>
              <w:spacing w:after="40"/>
              <w:jc w:val="left"/>
            </w:pPr>
            <w:r>
              <w:rPr>
                <w:sz w:val="18"/>
              </w:rPr>
              <w:t xml:space="preserve">Cannot be switched off for exports</w:t>
            </w:r>
          </w:p>
        </w:tc>
      </w:tr>
    </w:tbl>
    <w:bookmarkEnd w:id="165"/>
    <w:bookmarkStart w:id="166" w:name="menu-and-screens-5"/>
    <w:p>
      <w:pPr>
        <w:pStyle w:val="Heading3"/>
      </w:pPr>
      <w:r>
        <w:t xml:space="preserve">Menu and screens</w:t>
      </w:r>
    </w:p>
    <w:p>
      <w:pPr>
        <w:numPr>
          <w:ilvl w:val="0"/>
          <w:numId w:val="1094"/>
        </w:numPr>
        <w:pStyle w:val="Compact"/>
      </w:pPr>
      <w:r>
        <w:rPr>
          <w:bCs/>
          <w:b/>
        </w:rPr>
        <w:t xml:space="preserve">Account › Documents and data</w:t>
      </w:r>
      <w:r>
        <w:t xml:space="preserve"> </w:t>
      </w:r>
      <w:r>
        <w:t xml:space="preserve">(A, B): tabs</w:t>
      </w:r>
      <w:r>
        <w:t xml:space="preserve"> </w:t>
      </w:r>
      <w:r>
        <w:rPr>
          <w:bCs/>
          <w:b/>
        </w:rPr>
        <w:t xml:space="preserve">By loan</w:t>
      </w:r>
      <w:r>
        <w:t xml:space="preserve">,</w:t>
      </w:r>
      <w:r>
        <w:t xml:space="preserve"> </w:t>
      </w:r>
      <w:r>
        <w:rPr>
          <w:bCs/>
          <w:b/>
        </w:rPr>
        <w:t xml:space="preserve">By type</w:t>
      </w:r>
      <w:r>
        <w:t xml:space="preserve">,</w:t>
      </w:r>
      <w:r>
        <w:t xml:space="preserve"> </w:t>
      </w:r>
      <w:r>
        <w:rPr>
          <w:bCs/>
          <w:b/>
        </w:rPr>
        <w:t xml:space="preserve">My data</w:t>
      </w:r>
      <w:r>
        <w:t xml:space="preserve">; filters (lender, loan, type, year); document card with issuer, status (</w:t>
      </w:r>
      <w:r>
        <w:t xml:space="preserve">“</w:t>
      </w:r>
      <w:r>
        <w:t xml:space="preserve">Issued</w:t>
      </w:r>
      <w:r>
        <w:t xml:space="preserve">”</w:t>
      </w:r>
      <w:r>
        <w:t xml:space="preserve">,</w:t>
      </w:r>
      <w:r>
        <w:t xml:space="preserve"> </w:t>
      </w:r>
      <w:r>
        <w:t xml:space="preserve">“</w:t>
      </w:r>
      <w:r>
        <w:t xml:space="preserve">Not yet issued by [RE name]</w:t>
      </w:r>
      <w:r>
        <w:t xml:space="preserve">”</w:t>
      </w:r>
      <w:r>
        <w:t xml:space="preserve">,</w:t>
      </w:r>
      <w:r>
        <w:t xml:space="preserve"> </w:t>
      </w:r>
      <w:r>
        <w:t xml:space="preserve">“</w:t>
      </w:r>
      <w:r>
        <w:t xml:space="preserve">Requested on [date]</w:t>
      </w:r>
      <w:r>
        <w:t xml:space="preserve">”</w:t>
      </w:r>
      <w:r>
        <w:t xml:space="preserve">),</w:t>
      </w:r>
      <w:r>
        <w:t xml:space="preserve"> </w:t>
      </w:r>
      <w:r>
        <w:rPr>
          <w:bCs/>
          <w:b/>
        </w:rPr>
        <w:t xml:space="preserve">View</w:t>
      </w:r>
      <w:r>
        <w:t xml:space="preserve">,</w:t>
      </w:r>
      <w:r>
        <w:t xml:space="preserve"> </w:t>
      </w:r>
      <w:r>
        <w:rPr>
          <w:bCs/>
          <w:b/>
        </w:rPr>
        <w:t xml:space="preserve">Download original</w:t>
      </w:r>
      <w:r>
        <w:t xml:space="preserve">,</w:t>
      </w:r>
      <w:r>
        <w:t xml:space="preserve"> </w:t>
      </w:r>
      <w:r>
        <w:rPr>
          <w:bCs/>
          <w:b/>
        </w:rPr>
        <w:t xml:space="preserve">Download shareable copy</w:t>
      </w:r>
      <w:r>
        <w:t xml:space="preserve">,</w:t>
      </w:r>
      <w:r>
        <w:t xml:space="preserve"> </w:t>
      </w:r>
      <w:r>
        <w:rPr>
          <w:bCs/>
          <w:b/>
        </w:rPr>
        <w:t xml:space="preserve">Request</w:t>
      </w:r>
      <w:r>
        <w:t xml:space="preserve">;</w:t>
      </w:r>
      <w:r>
        <w:t xml:space="preserve"> </w:t>
      </w:r>
      <w:r>
        <w:rPr>
          <w:bCs/>
          <w:b/>
        </w:rPr>
        <w:t xml:space="preserve">Download my data</w:t>
      </w:r>
      <w:r>
        <w:t xml:space="preserve"> </w:t>
      </w:r>
      <w:r>
        <w:t xml:space="preserve">wizard (scope → step-up → passphrase → generate → download); request tracker with clocks; empty state</w:t>
      </w:r>
      <w:r>
        <w:t xml:space="preserve"> </w:t>
      </w:r>
      <w:r>
        <w:t xml:space="preserve">“</w:t>
      </w:r>
      <w:r>
        <w:t xml:space="preserve">No documents yet: they appear when [RE name] issues them</w:t>
      </w:r>
      <w:r>
        <w:t xml:space="preserve">”</w:t>
      </w:r>
      <w:r>
        <w:t xml:space="preserve">.</w:t>
      </w:r>
    </w:p>
    <w:p>
      <w:pPr>
        <w:numPr>
          <w:ilvl w:val="0"/>
          <w:numId w:val="1094"/>
        </w:numPr>
        <w:pStyle w:val="Compact"/>
      </w:pPr>
      <w:r>
        <w:t xml:space="preserve">Accessibility: tagged PDFs, screen-reader labels, large-type mode, read-aloud of document summaries.</w:t>
      </w:r>
    </w:p>
    <w:p>
      <w:pPr>
        <w:numPr>
          <w:ilvl w:val="0"/>
          <w:numId w:val="1094"/>
        </w:numPr>
        <w:pStyle w:val="Compact"/>
      </w:pPr>
      <w:r>
        <w:rPr>
          <w:bCs/>
          <w:b/>
        </w:rPr>
        <w:t xml:space="preserve">Operations portal › Service › Document requests</w:t>
      </w:r>
      <w:r>
        <w:t xml:space="preserve"> </w:t>
      </w:r>
      <w:r>
        <w:t xml:space="preserve">(C): queues with clocks, never document content beyond what support needs.</w:t>
      </w:r>
      <w:r>
        <w:t xml:space="preserve"> </w:t>
      </w:r>
      <w:r>
        <w:rPr>
          <w:bCs/>
          <w:b/>
        </w:rPr>
        <w:t xml:space="preserve">Lender portal › Servicing › Document requests</w:t>
      </w:r>
      <w:r>
        <w:t xml:space="preserve"> </w:t>
      </w:r>
      <w:r>
        <w:t xml:space="preserve">(D): the RE’s queue of document and data-principal requests, with</w:t>
      </w:r>
      <w:r>
        <w:t xml:space="preserve"> </w:t>
      </w:r>
      <w:r>
        <w:rPr>
          <w:bCs/>
          <w:b/>
        </w:rPr>
        <w:t xml:space="preserve">Fulfil</w:t>
      </w:r>
      <w:r>
        <w:t xml:space="preserve">,</w:t>
      </w:r>
      <w:r>
        <w:t xml:space="preserve"> </w:t>
      </w:r>
      <w:r>
        <w:rPr>
          <w:bCs/>
          <w:b/>
        </w:rPr>
        <w:t xml:space="preserve">Decline with reason</w:t>
      </w:r>
      <w:r>
        <w:t xml:space="preserve"> </w:t>
      </w:r>
      <w:r>
        <w:t xml:space="preserve">and bulk upload.</w:t>
      </w:r>
    </w:p>
    <w:bookmarkEnd w:id="166"/>
    <w:bookmarkStart w:id="167" w:name="controls-5"/>
    <w:p>
      <w:pPr>
        <w:pStyle w:val="Heading3"/>
      </w:pPr>
      <w:r>
        <w:t xml:space="preserve">Controls</w:t>
      </w:r>
    </w:p>
    <w:p>
      <w:pPr>
        <w:numPr>
          <w:ilvl w:val="0"/>
          <w:numId w:val="1095"/>
        </w:numPr>
        <w:pStyle w:val="Compact"/>
      </w:pPr>
      <w:r>
        <w:t xml:space="preserve">UB-C01: no display of an RE document whose hash or JWS fails verification.</w:t>
      </w:r>
    </w:p>
    <w:p>
      <w:pPr>
        <w:numPr>
          <w:ilvl w:val="0"/>
          <w:numId w:val="1095"/>
        </w:numPr>
        <w:pStyle w:val="Compact"/>
      </w:pPr>
      <w:r>
        <w:t xml:space="preserve">UB-C02: export generation requires step-up authentication within the last 5 minutes.</w:t>
      </w:r>
    </w:p>
    <w:p>
      <w:pPr>
        <w:numPr>
          <w:ilvl w:val="0"/>
          <w:numId w:val="1095"/>
        </w:numPr>
        <w:pStyle w:val="Compact"/>
      </w:pPr>
      <w:r>
        <w:t xml:space="preserve">UB-C03: wellness data cannot be included in the loan export (separate store and job type).</w:t>
      </w:r>
    </w:p>
    <w:p>
      <w:pPr>
        <w:numPr>
          <w:ilvl w:val="0"/>
          <w:numId w:val="1095"/>
        </w:numPr>
        <w:pStyle w:val="Compact"/>
      </w:pPr>
      <w:r>
        <w:t xml:space="preserve">UB-C04: document requests and DPDP requests forwarded to the RE carry the receipt timestamp so that the RE’s clock is visible in UP3 pack P4 and P6.</w:t>
      </w:r>
    </w:p>
    <w:bookmarkEnd w:id="167"/>
    <w:bookmarkStart w:id="168" w:name="acceptance-tests-5"/>
    <w:p>
      <w:pPr>
        <w:pStyle w:val="Heading3"/>
      </w:pPr>
      <w:r>
        <w:t xml:space="preserve">Acceptance tests</w:t>
      </w:r>
    </w:p>
    <w:p>
      <w:pPr>
        <w:numPr>
          <w:ilvl w:val="0"/>
          <w:numId w:val="1096"/>
        </w:numPr>
        <w:pStyle w:val="Compact"/>
      </w:pPr>
      <w:r>
        <w:t xml:space="preserve">A KFS with a tampered byte is not displayed and raises an RE exception.</w:t>
      </w:r>
    </w:p>
    <w:p>
      <w:pPr>
        <w:numPr>
          <w:ilvl w:val="0"/>
          <w:numId w:val="1096"/>
        </w:numPr>
        <w:pStyle w:val="Compact"/>
      </w:pPr>
      <w:r>
        <w:t xml:space="preserve">A co-borrower cannot see the primary borrower’s separate personal-loan documents.</w:t>
      </w:r>
    </w:p>
    <w:p>
      <w:pPr>
        <w:numPr>
          <w:ilvl w:val="0"/>
          <w:numId w:val="1096"/>
        </w:numPr>
        <w:pStyle w:val="Compact"/>
      </w:pPr>
      <w:r>
        <w:t xml:space="preserve">A borrower requesting an NOC not yet issued sees the RE’s SLA and the request appears in the RE’s lender-portal queue.</w:t>
      </w:r>
    </w:p>
    <w:p>
      <w:pPr>
        <w:numPr>
          <w:ilvl w:val="0"/>
          <w:numId w:val="1096"/>
        </w:numPr>
        <w:pStyle w:val="Compact"/>
      </w:pPr>
      <w:r>
        <w:t xml:space="preserve">A full export contains README, manifest and every selected scope; recomputed hashes match the manifest; the package cannot be opened without the passphrase.</w:t>
      </w:r>
    </w:p>
    <w:p>
      <w:pPr>
        <w:numPr>
          <w:ilvl w:val="0"/>
          <w:numId w:val="1096"/>
        </w:numPr>
        <w:pStyle w:val="Compact"/>
      </w:pPr>
      <w:r>
        <w:t xml:space="preserve">A fourth full export within 30 days is refused with a support route.</w:t>
      </w:r>
    </w:p>
    <w:p>
      <w:pPr>
        <w:numPr>
          <w:ilvl w:val="0"/>
          <w:numId w:val="1096"/>
        </w:numPr>
        <w:pStyle w:val="Compact"/>
      </w:pPr>
      <w:r>
        <w:t xml:space="preserve">An original KFS downloaded after step-up has the same SHA-256 as the RE-signed file; a shareable copy carries the download ID on every page and the verification page confirms it; a download without a step-up in the last 5 minutes prompts for OTP or passkey.</w:t>
      </w:r>
    </w:p>
    <w:p>
      <w:pPr>
        <w:numPr>
          <w:ilvl w:val="0"/>
          <w:numId w:val="1096"/>
        </w:numPr>
        <w:pStyle w:val="Compact"/>
      </w:pPr>
      <w:r>
        <w:t xml:space="preserve">An erasure request covering loan data produces a</w:t>
      </w:r>
      <w:r>
        <w:t xml:space="preserve"> </w:t>
      </w:r>
      <w:r>
        <w:rPr>
          <w:rStyle w:val="VerbatimChar"/>
        </w:rPr>
        <w:t xml:space="preserve">DataPrincipalRequest</w:t>
      </w:r>
      <w:r>
        <w:t xml:space="preserve"> </w:t>
      </w:r>
      <w:r>
        <w:t xml:space="preserve">to the RE within 1 working day and a borrower message naming the RE and the retention reasons.</w:t>
      </w:r>
    </w:p>
    <w:p>
      <w:pPr>
        <w:numPr>
          <w:ilvl w:val="0"/>
          <w:numId w:val="1096"/>
        </w:numPr>
        <w:pStyle w:val="Compact"/>
      </w:pPr>
      <w:r>
        <w:t xml:space="preserve">Wellness data never appears in a loan export, even when</w:t>
      </w:r>
      <w:r>
        <w:t xml:space="preserve"> </w:t>
      </w:r>
      <w:r>
        <w:t xml:space="preserve">“</w:t>
      </w:r>
      <w:r>
        <w:t xml:space="preserve">select all</w:t>
      </w:r>
      <w:r>
        <w:t xml:space="preserve">”</w:t>
      </w:r>
      <w:r>
        <w:t xml:space="preserve"> </w:t>
      </w:r>
      <w:r>
        <w:t xml:space="preserve">is chosen.</w:t>
      </w:r>
    </w:p>
    <w:p>
      <w:r>
        <w:pict>
          <v:rect style="width:0;height:1.5pt" o:hralign="center" o:hrstd="t" o:hr="t"/>
        </w:pict>
      </w:r>
    </w:p>
    <w:bookmarkEnd w:id="168"/>
    <w:bookmarkEnd w:id="169"/>
    <w:bookmarkStart w:id="180" w:name="X2c30d5eac2b0ab27e5c1608b1add29da4dfeb8f"/>
    <w:p>
      <w:pPr>
        <w:pStyle w:val="Heading2"/>
      </w:pPr>
      <w:r>
        <w:t xml:space="preserve">UB2. Tax documents and business-borrower details</w:t>
      </w:r>
    </w:p>
    <w:bookmarkStart w:id="170" w:name="purpose-and-scope-6"/>
    <w:p>
      <w:pPr>
        <w:pStyle w:val="Heading3"/>
      </w:pPr>
      <w:r>
        <w:t xml:space="preserve">Purpose and scope</w:t>
      </w:r>
    </w:p>
    <w:p>
      <w:pPr>
        <w:pStyle w:val="FirstParagraph"/>
      </w:pPr>
      <w:r>
        <w:t xml:space="preserve">Present the lender-issued documents borrowers need for income-tax and GST purposes, mapped correctly to the Income-tax Act, 2025, explain the regime position in neutral words, capture business-borrower tax details for the RE, and relay TDS certificates from business borrowers to the RE.</w:t>
      </w:r>
      <w:r>
        <w:t xml:space="preserve"> </w:t>
      </w:r>
      <w:r>
        <w:rPr>
          <w:bCs/>
          <w:b/>
        </w:rPr>
        <w:t xml:space="preserve">Udofin never issues a tax certificate, never computes a deduction and never gives tax advice.</w:t>
      </w:r>
    </w:p>
    <w:bookmarkEnd w:id="170"/>
    <w:bookmarkStart w:id="171" w:name="transition-between-the-two-acts"/>
    <w:p>
      <w:pPr>
        <w:pStyle w:val="Heading3"/>
      </w:pPr>
      <w:r>
        <w:t xml:space="preserve">Transition between the two Acts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703"/>
        <w:gridCol w:w="3737"/>
        <w:gridCol w:w="2198"/>
      </w:tblGrid>
      <w:tr>
        <w:trPr>
          <w:tblHeader w:val="true"/>
          <w:tblHeader w:val="true"/>
        </w:trPr>
        <w:tc>
          <w:tcPr>
            <w:tcW w:w="3703" w:type="dxa"/>
            <w:shd w:val="clear" w:color="auto" w:fill="1F3A5F"/>
          </w:tcPr>
          <w:p>
            <w:pPr>
              <w:pStyle w:val="Compact"/>
              <w:spacing w:after="40"/>
              <w:jc w:val="left"/>
            </w:pPr>
            <w:r>
              <w:rPr>
                <w:b/>
                <w:color w:val="FFFFFF"/>
                <w:sz w:val="18"/>
              </w:rPr>
              <w:t xml:space="preserve">Period</w:t>
            </w:r>
          </w:p>
        </w:tc>
        <w:tc>
          <w:tcPr>
            <w:tcW w:w="3737" w:type="dxa"/>
            <w:shd w:val="clear" w:color="auto" w:fill="1F3A5F"/>
          </w:tcPr>
          <w:p>
            <w:pPr>
              <w:pStyle w:val="Compact"/>
              <w:spacing w:after="40"/>
              <w:jc w:val="left"/>
            </w:pPr>
            <w:r>
              <w:rPr>
                <w:b/>
                <w:color w:val="FFFFFF"/>
                <w:sz w:val="18"/>
              </w:rPr>
              <w:t xml:space="preserve">Governing Act</w:t>
            </w:r>
          </w:p>
        </w:tc>
        <w:tc>
          <w:tcPr>
            <w:tcW w:w="2198" w:type="dxa"/>
            <w:shd w:val="clear" w:color="auto" w:fill="1F3A5F"/>
          </w:tcPr>
          <w:p>
            <w:pPr>
              <w:pStyle w:val="Compact"/>
              <w:spacing w:after="40"/>
              <w:jc w:val="left"/>
            </w:pPr>
            <w:r>
              <w:rPr>
                <w:b/>
                <w:color w:val="FFFFFF"/>
                <w:sz w:val="18"/>
              </w:rPr>
              <w:t xml:space="preserve">Certificate wording</w:t>
            </w:r>
          </w:p>
        </w:tc>
      </w:tr>
      <w:tr>
        <w:tc>
          <w:tcPr>
            <w:tcW w:w="3703" w:type="dxa"/>
          </w:tcPr>
          <w:p>
            <w:pPr>
              <w:pStyle w:val="Compact"/>
              <w:spacing w:after="40"/>
              <w:jc w:val="left"/>
            </w:pPr>
            <w:r>
              <w:rPr>
                <w:sz w:val="18"/>
              </w:rPr>
              <w:t xml:space="preserve">Financial year 2025-26 (assessment under the 1961 Act)</w:t>
            </w:r>
          </w:p>
        </w:tc>
        <w:tc>
          <w:tcPr>
            <w:tcW w:w="3737" w:type="dxa"/>
          </w:tcPr>
          <w:p>
            <w:pPr>
              <w:pStyle w:val="Compact"/>
              <w:spacing w:after="40"/>
              <w:jc w:val="left"/>
            </w:pPr>
            <w:r>
              <w:rPr>
                <w:sz w:val="18"/>
              </w:rPr>
              <w:t xml:space="preserve">ITA61 (s.24(b), s.80C, s.80E, s.80EE, s.80EEA, s.80EEB)</w:t>
            </w:r>
          </w:p>
        </w:tc>
        <w:tc>
          <w:tcPr>
            <w:tcW w:w="2198" w:type="dxa"/>
          </w:tcPr>
          <w:p>
            <w:pPr>
              <w:pStyle w:val="Compact"/>
              <w:spacing w:after="40"/>
              <w:jc w:val="left"/>
            </w:pPr>
            <w:r>
              <w:rPr>
                <w:sz w:val="18"/>
              </w:rPr>
              <w:t xml:space="preserve">1961-Act variant</w:t>
            </w:r>
          </w:p>
        </w:tc>
      </w:tr>
      <w:tr>
        <w:tc>
          <w:tcPr>
            <w:tcW w:w="3703" w:type="dxa"/>
          </w:tcPr>
          <w:p>
            <w:pPr>
              <w:pStyle w:val="Compact"/>
              <w:spacing w:after="40"/>
              <w:jc w:val="left"/>
            </w:pPr>
            <w:r>
              <w:rPr>
                <w:sz w:val="18"/>
              </w:rPr>
              <w:t xml:space="preserve">Tax year 2026-27 onwards</w:t>
            </w:r>
          </w:p>
        </w:tc>
        <w:tc>
          <w:tcPr>
            <w:tcW w:w="3737" w:type="dxa"/>
          </w:tcPr>
          <w:p>
            <w:pPr>
              <w:pStyle w:val="Compact"/>
              <w:spacing w:after="40"/>
              <w:jc w:val="left"/>
            </w:pPr>
            <w:r>
              <w:rPr>
                <w:sz w:val="18"/>
              </w:rPr>
              <w:t xml:space="preserve">ITA25 (in force 1 Apr 2026)</w:t>
            </w:r>
          </w:p>
        </w:tc>
        <w:tc>
          <w:tcPr>
            <w:tcW w:w="2198" w:type="dxa"/>
          </w:tcPr>
          <w:p>
            <w:pPr>
              <w:pStyle w:val="Compact"/>
              <w:spacing w:after="40"/>
              <w:jc w:val="left"/>
            </w:pPr>
            <w:r>
              <w:rPr>
                <w:sz w:val="18"/>
              </w:rPr>
              <w:t xml:space="preserve">2025-Act variant</w:t>
            </w:r>
          </w:p>
        </w:tc>
      </w:tr>
    </w:tbl>
    <w:p>
      <w:pPr>
        <w:pStyle w:val="BodyText"/>
      </w:pPr>
      <w:r>
        <w:t xml:space="preserve">[LAW via secondary concordances] The 2025 Act applies by tax year; documents for FY 2025-26 keep 1961-Act references [VERIFY: CBDT transition guidance].</w:t>
      </w:r>
    </w:p>
    <w:bookmarkEnd w:id="171"/>
    <w:bookmarkStart w:id="172" w:name="lender-issued-certificates"/>
    <w:p>
      <w:pPr>
        <w:pStyle w:val="Heading3"/>
      </w:pPr>
      <w:r>
        <w:t xml:space="preserve">Lender-issued certificates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60"/>
        <w:gridCol w:w="3256"/>
        <w:gridCol w:w="2860"/>
        <w:gridCol w:w="2362"/>
      </w:tblGrid>
      <w:tr>
        <w:trPr>
          <w:tblHeader w:val="true"/>
          <w:tblHeader w:val="true"/>
        </w:trPr>
        <w:tc>
          <w:tcPr>
            <w:tcW w:w="1160" w:type="dxa"/>
            <w:shd w:val="clear" w:color="auto" w:fill="1F3A5F"/>
          </w:tcPr>
          <w:p>
            <w:pPr>
              <w:pStyle w:val="Compact"/>
              <w:spacing w:after="40"/>
              <w:jc w:val="left"/>
            </w:pPr>
            <w:r>
              <w:rPr>
                <w:b/>
                <w:color w:val="FFFFFF"/>
                <w:sz w:val="18"/>
              </w:rPr>
              <w:t xml:space="preserve">Certificate</w:t>
            </w:r>
          </w:p>
        </w:tc>
        <w:tc>
          <w:tcPr>
            <w:tcW w:w="3256" w:type="dxa"/>
            <w:shd w:val="clear" w:color="auto" w:fill="1F3A5F"/>
          </w:tcPr>
          <w:p>
            <w:pPr>
              <w:pStyle w:val="Compact"/>
              <w:spacing w:after="40"/>
              <w:jc w:val="left"/>
            </w:pPr>
            <w:r>
              <w:rPr>
                <w:b/>
                <w:color w:val="FFFFFF"/>
                <w:sz w:val="18"/>
              </w:rPr>
              <w:t xml:space="preserve">2025-Act provision</w:t>
            </w:r>
          </w:p>
        </w:tc>
        <w:tc>
          <w:tcPr>
            <w:tcW w:w="2860" w:type="dxa"/>
            <w:shd w:val="clear" w:color="auto" w:fill="1F3A5F"/>
          </w:tcPr>
          <w:p>
            <w:pPr>
              <w:pStyle w:val="Compact"/>
              <w:spacing w:after="40"/>
              <w:jc w:val="left"/>
            </w:pPr>
            <w:r>
              <w:rPr>
                <w:b/>
                <w:color w:val="FFFFFF"/>
                <w:sz w:val="18"/>
              </w:rPr>
              <w:t xml:space="preserve">Content the RE certificate must carry (validated before display)</w:t>
            </w:r>
          </w:p>
        </w:tc>
        <w:tc>
          <w:tcPr>
            <w:tcW w:w="2362" w:type="dxa"/>
            <w:shd w:val="clear" w:color="auto" w:fill="1F3A5F"/>
          </w:tcPr>
          <w:p>
            <w:pPr>
              <w:pStyle w:val="Compact"/>
              <w:spacing w:after="40"/>
              <w:jc w:val="left"/>
            </w:pPr>
            <w:r>
              <w:rPr>
                <w:b/>
                <w:color w:val="FFFFFF"/>
                <w:sz w:val="18"/>
              </w:rPr>
              <w:t xml:space="preserve">Notes shown to the borrower</w:t>
            </w:r>
          </w:p>
        </w:tc>
      </w:tr>
      <w:tr>
        <w:tc>
          <w:tcPr>
            <w:tcW w:w="1160" w:type="dxa"/>
          </w:tcPr>
          <w:p>
            <w:pPr>
              <w:pStyle w:val="Compact"/>
              <w:spacing w:after="40"/>
              <w:jc w:val="left"/>
            </w:pPr>
            <w:r>
              <w:rPr>
                <w:sz w:val="18"/>
              </w:rPr>
              <w:t xml:space="preserve">Home-loan interest certificate</w:t>
            </w:r>
          </w:p>
        </w:tc>
        <w:tc>
          <w:tcPr>
            <w:tcW w:w="3256" w:type="dxa"/>
          </w:tcPr>
          <w:p>
            <w:pPr>
              <w:pStyle w:val="Compact"/>
              <w:spacing w:after="40"/>
              <w:jc w:val="left"/>
            </w:pPr>
            <w:r>
              <w:rPr>
                <w:sz w:val="18"/>
              </w:rPr>
              <w:t xml:space="preserve">s.22(1)(b) interest on borrowed capital; s.22(1)(c) pre-construction interest in five equal instalments; s.22(2)(a) deduction depends on</w:t>
            </w:r>
            <w:r>
              <w:rPr>
                <w:sz w:val="18"/>
              </w:rPr>
              <w:t xml:space="preserve"> </w:t>
            </w:r>
            <w:r>
              <w:rPr>
                <w:sz w:val="18"/>
              </w:rPr>
              <w:t xml:space="preserve">“</w:t>
            </w:r>
            <w:r>
              <w:rPr>
                <w:sz w:val="18"/>
              </w:rPr>
              <w:t xml:space="preserve">a certificate from the person to whom interest is payable</w:t>
            </w:r>
            <w:r>
              <w:rPr>
                <w:sz w:val="18"/>
              </w:rPr>
              <w:t xml:space="preserve">”</w:t>
            </w:r>
            <w:r>
              <w:rPr>
                <w:sz w:val="18"/>
              </w:rPr>
              <w:t xml:space="preserve">; s.22(4) interest stated, including on any refinancing loan; caps in s.22(2)(a) (₹2,00,000 for s.21(6) property, construction within 5 years), s.22(2)(b) (₹30,000) and s.22(5) (aggregate ₹2,00,000)</w:t>
            </w:r>
          </w:p>
        </w:tc>
        <w:tc>
          <w:tcPr>
            <w:tcW w:w="2860" w:type="dxa"/>
          </w:tcPr>
          <w:p>
            <w:pPr>
              <w:pStyle w:val="Compact"/>
              <w:spacing w:after="40"/>
              <w:jc w:val="left"/>
            </w:pPr>
            <w:r>
              <w:rPr>
                <w:sz w:val="18"/>
              </w:rPr>
              <w:t xml:space="preserve">RE name and PAN, borrower and co-borrower names with share as recorded by the RE, loan account, sanction date and amount, purpose, property address, possession or completion date, tax year, interest paid or due, pre-construction interest total and the instalment year, refinancing flag, digital signature</w:t>
            </w:r>
          </w:p>
        </w:tc>
        <w:tc>
          <w:tcPr>
            <w:tcW w:w="2362" w:type="dxa"/>
          </w:tcPr>
          <w:p>
            <w:pPr>
              <w:pStyle w:val="Compact"/>
              <w:spacing w:after="40"/>
              <w:jc w:val="left"/>
            </w:pPr>
            <w:r>
              <w:rPr>
                <w:sz w:val="18"/>
              </w:rPr>
              <w:t xml:space="preserve">Regime notice;</w:t>
            </w:r>
            <w:r>
              <w:rPr>
                <w:sz w:val="18"/>
              </w:rPr>
              <w:t xml:space="preserve"> </w:t>
            </w:r>
            <w:r>
              <w:rPr>
                <w:sz w:val="18"/>
              </w:rPr>
              <w:t xml:space="preserve">“</w:t>
            </w:r>
            <w:r>
              <w:rPr>
                <w:sz w:val="18"/>
              </w:rPr>
              <w:t xml:space="preserve">Caps and eligibility depend on your facts; consult a tax professional</w:t>
            </w:r>
            <w:r>
              <w:rPr>
                <w:sz w:val="18"/>
              </w:rPr>
              <w:t xml:space="preserve">”</w:t>
            </w:r>
            <w:r>
              <w:rPr>
                <w:sz w:val="18"/>
              </w:rPr>
              <w:t xml:space="preserve"> </w:t>
            </w:r>
            <w:r>
              <w:rPr>
                <w:sz w:val="18"/>
              </w:rPr>
              <w:t xml:space="preserve">[VERIFY: s.21(6) scope]</w:t>
            </w:r>
          </w:p>
        </w:tc>
      </w:tr>
      <w:tr>
        <w:tc>
          <w:tcPr>
            <w:tcW w:w="1160" w:type="dxa"/>
          </w:tcPr>
          <w:p>
            <w:pPr>
              <w:pStyle w:val="Compact"/>
              <w:spacing w:after="40"/>
              <w:jc w:val="left"/>
            </w:pPr>
            <w:r>
              <w:rPr>
                <w:sz w:val="18"/>
              </w:rPr>
              <w:t xml:space="preserve">Home-loan principal statement</w:t>
            </w:r>
          </w:p>
        </w:tc>
        <w:tc>
          <w:tcPr>
            <w:tcW w:w="3256" w:type="dxa"/>
          </w:tcPr>
          <w:p>
            <w:pPr>
              <w:pStyle w:val="Compact"/>
              <w:spacing w:after="40"/>
              <w:jc w:val="left"/>
            </w:pPr>
            <w:r>
              <w:rPr>
                <w:sz w:val="18"/>
              </w:rPr>
              <w:t xml:space="preserve">s.123 with Schedule XV (</w:t>
            </w:r>
            <w:r>
              <w:rPr>
                <w:sz w:val="18"/>
              </w:rPr>
              <w:t xml:space="preserve">“</w:t>
            </w:r>
            <w:r>
              <w:rPr>
                <w:sz w:val="18"/>
              </w:rPr>
              <w:t xml:space="preserve">repayment of home loan principal</w:t>
            </w:r>
            <w:r>
              <w:rPr>
                <w:sz w:val="18"/>
              </w:rPr>
              <w:t xml:space="preserve">”</w:t>
            </w:r>
            <w:r>
              <w:rPr>
                <w:sz w:val="18"/>
              </w:rPr>
              <w:t xml:space="preserve">), within the ₹1,50,000 aggregate</w:t>
            </w:r>
          </w:p>
        </w:tc>
        <w:tc>
          <w:tcPr>
            <w:tcW w:w="2860" w:type="dxa"/>
          </w:tcPr>
          <w:p>
            <w:pPr>
              <w:pStyle w:val="Compact"/>
              <w:spacing w:after="40"/>
              <w:jc w:val="left"/>
            </w:pPr>
            <w:r>
              <w:rPr>
                <w:sz w:val="18"/>
              </w:rPr>
              <w:t xml:space="preserve">Principal repaid in the tax year</w:t>
            </w:r>
          </w:p>
        </w:tc>
        <w:tc>
          <w:tcPr>
            <w:tcW w:w="2362" w:type="dxa"/>
          </w:tcPr>
          <w:p>
            <w:pPr>
              <w:pStyle w:val="Compact"/>
              <w:spacing w:after="40"/>
              <w:jc w:val="left"/>
            </w:pPr>
            <w:r>
              <w:rPr>
                <w:sz w:val="18"/>
              </w:rPr>
              <w:t xml:space="preserve">Regime notice</w:t>
            </w:r>
          </w:p>
        </w:tc>
      </w:tr>
      <w:tr>
        <w:tc>
          <w:tcPr>
            <w:tcW w:w="1160" w:type="dxa"/>
          </w:tcPr>
          <w:p>
            <w:pPr>
              <w:pStyle w:val="Compact"/>
              <w:spacing w:after="40"/>
              <w:jc w:val="left"/>
            </w:pPr>
            <w:r>
              <w:rPr>
                <w:sz w:val="18"/>
              </w:rPr>
              <w:t xml:space="preserve">Legacy additional deductions</w:t>
            </w:r>
          </w:p>
        </w:tc>
        <w:tc>
          <w:tcPr>
            <w:tcW w:w="3256" w:type="dxa"/>
          </w:tcPr>
          <w:p>
            <w:pPr>
              <w:pStyle w:val="Compact"/>
              <w:spacing w:after="40"/>
              <w:jc w:val="left"/>
            </w:pPr>
            <w:r>
              <w:rPr>
                <w:sz w:val="18"/>
              </w:rPr>
              <w:t xml:space="preserve">s.130 (old 80EE), s.131 (old 80EEA), s.132 (old 80EEB, electric vehicle) for loans sanctioned in the legacy windows only</w:t>
            </w:r>
          </w:p>
        </w:tc>
        <w:tc>
          <w:tcPr>
            <w:tcW w:w="2860" w:type="dxa"/>
          </w:tcPr>
          <w:p>
            <w:pPr>
              <w:pStyle w:val="Compact"/>
              <w:spacing w:after="40"/>
              <w:jc w:val="left"/>
            </w:pPr>
            <w:r>
              <w:rPr>
                <w:sz w:val="18"/>
              </w:rPr>
              <w:t xml:space="preserve">Sanction date and window flag</w:t>
            </w:r>
          </w:p>
        </w:tc>
        <w:tc>
          <w:tcPr>
            <w:tcW w:w="2362" w:type="dxa"/>
          </w:tcPr>
          <w:p>
            <w:pPr>
              <w:pStyle w:val="Compact"/>
              <w:spacing w:after="40"/>
              <w:jc w:val="left"/>
            </w:pPr>
            <w:r>
              <w:rPr>
                <w:sz w:val="18"/>
              </w:rPr>
              <w:t xml:space="preserve">Hidden until confirmed [VERIFY: secondary concordances differ on whether old s.80EEA has a successor (s.131) and on the s.130 mapping; confirm both against the official CBDT comparison table before enabling]</w:t>
            </w:r>
          </w:p>
        </w:tc>
      </w:tr>
      <w:tr>
        <w:tc>
          <w:tcPr>
            <w:tcW w:w="1160" w:type="dxa"/>
          </w:tcPr>
          <w:p>
            <w:pPr>
              <w:pStyle w:val="Compact"/>
              <w:spacing w:after="40"/>
              <w:jc w:val="left"/>
            </w:pPr>
            <w:r>
              <w:rPr>
                <w:sz w:val="18"/>
              </w:rPr>
              <w:t xml:space="preserve">Education-loan interest certificate</w:t>
            </w:r>
          </w:p>
        </w:tc>
        <w:tc>
          <w:tcPr>
            <w:tcW w:w="3256" w:type="dxa"/>
          </w:tcPr>
          <w:p>
            <w:pPr>
              <w:pStyle w:val="Compact"/>
              <w:spacing w:after="40"/>
              <w:jc w:val="left"/>
            </w:pPr>
            <w:r>
              <w:rPr>
                <w:sz w:val="18"/>
              </w:rPr>
              <w:t xml:space="preserve">s.129: interest only, no cap, for the initial tax year and the 7 following years (8 in all); lender must be an eligible financial institution or approved charitable institution</w:t>
            </w:r>
          </w:p>
        </w:tc>
        <w:tc>
          <w:tcPr>
            <w:tcW w:w="2860" w:type="dxa"/>
          </w:tcPr>
          <w:p>
            <w:pPr>
              <w:pStyle w:val="Compact"/>
              <w:spacing w:after="40"/>
              <w:jc w:val="left"/>
            </w:pPr>
            <w:r>
              <w:rPr>
                <w:sz w:val="18"/>
              </w:rPr>
              <w:t xml:space="preserve">Interest paid, year count, lender’s eligibility reference</w:t>
            </w:r>
          </w:p>
        </w:tc>
        <w:tc>
          <w:tcPr>
            <w:tcW w:w="2362" w:type="dxa"/>
          </w:tcPr>
          <w:p>
            <w:pPr>
              <w:pStyle w:val="Compact"/>
              <w:spacing w:after="40"/>
              <w:jc w:val="left"/>
            </w:pPr>
            <w:r>
              <w:rPr>
                <w:sz w:val="18"/>
              </w:rPr>
              <w:t xml:space="preserve">Regime notice; shown only if the RE records its s.129 eligibility [VERIFY: notification requirement for NBFCs]</w:t>
            </w:r>
          </w:p>
        </w:tc>
      </w:tr>
      <w:tr>
        <w:tc>
          <w:tcPr>
            <w:tcW w:w="1160" w:type="dxa"/>
          </w:tcPr>
          <w:p>
            <w:pPr>
              <w:pStyle w:val="Compact"/>
              <w:spacing w:after="40"/>
              <w:jc w:val="left"/>
            </w:pPr>
            <w:r>
              <w:rPr>
                <w:sz w:val="18"/>
              </w:rPr>
              <w:t xml:space="preserve">Annual interest and principal statement (any loan)</w:t>
            </w:r>
          </w:p>
        </w:tc>
        <w:tc>
          <w:tcPr>
            <w:tcW w:w="3256" w:type="dxa"/>
          </w:tcPr>
          <w:p>
            <w:pPr>
              <w:pStyle w:val="Compact"/>
              <w:spacing w:after="40"/>
              <w:jc w:val="left"/>
            </w:pPr>
            <w:r>
              <w:rPr>
                <w:sz w:val="18"/>
              </w:rPr>
              <w:t xml:space="preserve">No specific deduction</w:t>
            </w:r>
          </w:p>
        </w:tc>
        <w:tc>
          <w:tcPr>
            <w:tcW w:w="2860" w:type="dxa"/>
          </w:tcPr>
          <w:p>
            <w:pPr>
              <w:pStyle w:val="Compact"/>
              <w:spacing w:after="40"/>
              <w:jc w:val="left"/>
            </w:pPr>
            <w:r>
              <w:rPr>
                <w:sz w:val="18"/>
              </w:rPr>
              <w:t xml:space="preserve">Interest and principal for the tax year</w:t>
            </w:r>
          </w:p>
        </w:tc>
        <w:tc>
          <w:tcPr>
            <w:tcW w:w="2362" w:type="dxa"/>
          </w:tcPr>
          <w:p>
            <w:pPr>
              <w:pStyle w:val="Compact"/>
              <w:spacing w:after="40"/>
              <w:jc w:val="left"/>
            </w:pPr>
            <w:r>
              <w:rPr>
                <w:sz w:val="18"/>
              </w:rPr>
              <w:t xml:space="preserve">“</w:t>
            </w:r>
            <w:r>
              <w:rPr>
                <w:sz w:val="18"/>
              </w:rPr>
              <w:t xml:space="preserve">For your records; a deduction depends on how the loan was used</w:t>
            </w:r>
            <w:r>
              <w:rPr>
                <w:sz w:val="18"/>
              </w:rPr>
              <w:t xml:space="preserve">”</w:t>
            </w:r>
          </w:p>
        </w:tc>
      </w:tr>
    </w:tbl>
    <w:p>
      <w:pPr>
        <w:pStyle w:val="BodyText"/>
      </w:pPr>
      <w:r>
        <w:rPr>
          <w:bCs/>
          <w:b/>
        </w:rPr>
        <w:t xml:space="preserve">Regime notice (fixed text, shown with every certificate):</w:t>
      </w:r>
      <w:r>
        <w:t xml:space="preserve"> </w:t>
      </w:r>
      <w:r>
        <w:t xml:space="preserve">“</w:t>
      </w:r>
      <w:r>
        <w:t xml:space="preserve">Under the Income-tax Act, 2025 the new tax regime (section 202) applies by default. Deductions under sections 123, 129 to 132, and interest on a self-occupied house property under section 22(1)(b), are not available under it unless you opt out of the new regime. This is general information, not tax advice.</w:t>
      </w:r>
      <w:r>
        <w:t xml:space="preserve">”</w:t>
      </w:r>
      <w:r>
        <w:t xml:space="preserve"> </w:t>
      </w:r>
      <w:r>
        <w:t xml:space="preserve">[LAW: ITA25 s.202] [VERIFY wording with counsel]</w:t>
      </w:r>
    </w:p>
    <w:p>
      <w:pPr>
        <w:pStyle w:val="BodyText"/>
      </w:pPr>
      <w:r>
        <w:rPr>
          <w:bCs/>
          <w:b/>
        </w:rPr>
        <w:t xml:space="preserve">Rules.</w:t>
      </w:r>
    </w:p>
    <w:p>
      <w:pPr>
        <w:numPr>
          <w:ilvl w:val="0"/>
          <w:numId w:val="1097"/>
        </w:numPr>
        <w:pStyle w:val="Compact"/>
      </w:pPr>
      <w:r>
        <w:rPr>
          <w:bCs/>
          <w:b/>
        </w:rPr>
        <w:t xml:space="preserve">Issuer is the RE only.</w:t>
      </w:r>
      <w:r>
        <w:t xml:space="preserve"> </w:t>
      </w:r>
      <w:r>
        <w:t xml:space="preserve">A certificate is displayed only when received from the RE (</w:t>
      </w:r>
      <w:r>
        <w:rPr>
          <w:rStyle w:val="VerbatimChar"/>
        </w:rPr>
        <w:t xml:space="preserve">InterestCertificateIssued</w:t>
      </w:r>
      <w:r>
        <w:t xml:space="preserve"> </w:t>
      </w:r>
      <w:r>
        <w:t xml:space="preserve">with the signed PDF/A, or</w:t>
      </w:r>
      <w:r>
        <w:t xml:space="preserve"> </w:t>
      </w:r>
      <w:r>
        <w:rPr>
          <w:rStyle w:val="VerbatimChar"/>
        </w:rPr>
        <w:t xml:space="preserve">DocumentShared</w:t>
      </w:r>
      <w:r>
        <w:t xml:space="preserve">), with hash and signature verified. Udofin never generates, edits or co-signs one (ITA25 s.22(2)(a): the certificate comes from the person to whom interest is payable) [LAW].</w:t>
      </w:r>
    </w:p>
    <w:p>
      <w:pPr>
        <w:numPr>
          <w:ilvl w:val="0"/>
          <w:numId w:val="1097"/>
        </w:numPr>
        <w:pStyle w:val="Compact"/>
      </w:pPr>
      <w:r>
        <w:rPr>
          <w:bCs/>
          <w:b/>
        </w:rPr>
        <w:t xml:space="preserve">Provisional and final:</w:t>
      </w:r>
      <w:r>
        <w:t xml:space="preserve"> </w:t>
      </w:r>
      <w:r>
        <w:t xml:space="preserve">the borrower may request a provisional certificate during the tax year (for an employer’s investment declaration) and the final one after the year ends; both are U12 service requests to the RE with the RE’s SLA [MKT].</w:t>
      </w:r>
    </w:p>
    <w:p>
      <w:pPr>
        <w:numPr>
          <w:ilvl w:val="0"/>
          <w:numId w:val="1097"/>
        </w:numPr>
        <w:pStyle w:val="Compact"/>
      </w:pPr>
      <w:r>
        <w:rPr>
          <w:bCs/>
          <w:b/>
        </w:rPr>
        <w:t xml:space="preserve">Udofin summary card</w:t>
      </w:r>
      <w:r>
        <w:t xml:space="preserve"> </w:t>
      </w:r>
      <w:r>
        <w:t xml:space="preserve">(optional): totals read from the RE certificate, labelled</w:t>
      </w:r>
      <w:r>
        <w:t xml:space="preserve"> </w:t>
      </w:r>
      <w:r>
        <w:t xml:space="preserve">“</w:t>
      </w:r>
      <w:r>
        <w:t xml:space="preserve">Summary of your lender’s certificate — not a tax certificate</w:t>
      </w:r>
      <w:r>
        <w:t xml:space="preserve">”</w:t>
      </w:r>
      <w:r>
        <w:t xml:space="preserve">. It never shows a computed deduction.</w:t>
      </w:r>
    </w:p>
    <w:p>
      <w:pPr>
        <w:numPr>
          <w:ilvl w:val="0"/>
          <w:numId w:val="1097"/>
        </w:numPr>
        <w:pStyle w:val="Compact"/>
      </w:pPr>
      <w:r>
        <w:rPr>
          <w:bCs/>
          <w:b/>
        </w:rPr>
        <w:t xml:space="preserve">Co-borrower shares</w:t>
      </w:r>
      <w:r>
        <w:t xml:space="preserve"> </w:t>
      </w:r>
      <w:r>
        <w:t xml:space="preserve">come only from the RE certificate; Udofin never apportions interest.</w:t>
      </w:r>
    </w:p>
    <w:p>
      <w:pPr>
        <w:numPr>
          <w:ilvl w:val="0"/>
          <w:numId w:val="1097"/>
        </w:numPr>
        <w:pStyle w:val="Compact"/>
      </w:pPr>
      <w:r>
        <w:rPr>
          <w:bCs/>
          <w:b/>
        </w:rPr>
        <w:t xml:space="preserve">Society loans (UP4):</w:t>
      </w:r>
      <w:r>
        <w:t xml:space="preserve"> </w:t>
      </w:r>
      <w:r>
        <w:t xml:space="preserve">the society issues the certificate; same display rules.</w:t>
      </w:r>
    </w:p>
    <w:p>
      <w:pPr>
        <w:numPr>
          <w:ilvl w:val="0"/>
          <w:numId w:val="1097"/>
        </w:numPr>
        <w:pStyle w:val="Compact"/>
      </w:pPr>
      <w:r>
        <w:rPr>
          <w:bCs/>
          <w:b/>
        </w:rPr>
        <w:t xml:space="preserve">Retention:</w:t>
      </w:r>
      <w:r>
        <w:t xml:space="preserve"> </w:t>
      </w:r>
      <w:r>
        <w:t xml:space="preserve">tax documents remain downloadable for at least 8 years after the tax year [REC], subject to the RE’s retention and UP5.</w:t>
      </w:r>
    </w:p>
    <w:p>
      <w:pPr>
        <w:numPr>
          <w:ilvl w:val="0"/>
          <w:numId w:val="1097"/>
        </w:numPr>
        <w:pStyle w:val="Compact"/>
      </w:pPr>
      <w:r>
        <w:rPr>
          <w:bCs/>
          <w:b/>
        </w:rPr>
        <w:t xml:space="preserve">Never</w:t>
      </w:r>
      <w:r>
        <w:t xml:space="preserve"> </w:t>
      </w:r>
      <w:r>
        <w:t xml:space="preserve">ask for income-tax e-filing portal credentials, OTPs or AIS downloads.</w:t>
      </w:r>
    </w:p>
    <w:bookmarkEnd w:id="172"/>
    <w:bookmarkStart w:id="173" w:name="X9a07bc384d8fe2d356447ba9e4686bc3248c48c"/>
    <w:p>
      <w:pPr>
        <w:pStyle w:val="Heading3"/>
      </w:pPr>
      <w:r>
        <w:t xml:space="preserve">Business borrowers: TDS certificates (Form 131)</w:t>
      </w:r>
    </w:p>
    <w:p>
      <w:pPr>
        <w:pStyle w:val="FirstParagraph"/>
      </w:pPr>
      <w:r>
        <w:t xml:space="preserve">Where a business borrower is required to deduct tax at source on interest it pays to the RE (ITA25 s.393 table entry that replaced old s.194A [VERIFY entry and threshold]), it must issue Form 131 (old Form 16A) to the RE for each quarter.</w:t>
      </w:r>
    </w:p>
    <w:p>
      <w:pPr>
        <w:numPr>
          <w:ilvl w:val="0"/>
          <w:numId w:val="1098"/>
        </w:numPr>
        <w:pStyle w:val="Compact"/>
      </w:pPr>
      <w:r>
        <w:rPr>
          <w:bCs/>
          <w:b/>
        </w:rPr>
        <w:t xml:space="preserve">Upload slot</w:t>
      </w:r>
      <w:r>
        <w:t xml:space="preserve"> </w:t>
      </w:r>
      <w:r>
        <w:t xml:space="preserve">per loan and quarter, through the system document picker (no storage permission; Part 4.5).</w:t>
      </w:r>
    </w:p>
    <w:p>
      <w:pPr>
        <w:numPr>
          <w:ilvl w:val="0"/>
          <w:numId w:val="1098"/>
        </w:numPr>
        <w:pStyle w:val="Compact"/>
      </w:pPr>
      <w:r>
        <w:rPr>
          <w:bCs/>
          <w:b/>
        </w:rPr>
        <w:t xml:space="preserve">Validation:</w:t>
      </w:r>
      <w:r>
        <w:t xml:space="preserve"> </w:t>
      </w:r>
      <w:r>
        <w:t xml:space="preserve">PDF only; the deductor’s TAN and name, the RE’s PAN as deductee, quarter, amount and certificate number extracted and confirmed by the borrower; no auto-acceptance of OCR values.</w:t>
      </w:r>
    </w:p>
    <w:p>
      <w:pPr>
        <w:numPr>
          <w:ilvl w:val="0"/>
          <w:numId w:val="1098"/>
        </w:numPr>
        <w:pStyle w:val="Compact"/>
      </w:pPr>
      <w:r>
        <w:rPr>
          <w:bCs/>
          <w:b/>
        </w:rPr>
        <w:t xml:space="preserve">Relay:</w:t>
      </w:r>
      <w:r>
        <w:t xml:space="preserve"> </w:t>
      </w:r>
      <w:r>
        <w:t xml:space="preserve">sent to the RE as</w:t>
      </w:r>
      <w:r>
        <w:t xml:space="preserve"> </w:t>
      </w:r>
      <w:r>
        <w:rPr>
          <w:rStyle w:val="VerbatimChar"/>
        </w:rPr>
        <w:t xml:space="preserve">DocumentShared</w:t>
      </w:r>
      <w:r>
        <w:t xml:space="preserve"> </w:t>
      </w:r>
      <w:r>
        <w:t xml:space="preserve">with the extracted fields; the RE reconciles against its Form 168 credit (old Form 26AS) [VERIFY form number] and returns a status (</w:t>
      </w:r>
      <w:r>
        <w:rPr>
          <w:rStyle w:val="VerbatimChar"/>
        </w:rPr>
        <w:t xml:space="preserve">matched</w:t>
      </w:r>
      <w:r>
        <w:t xml:space="preserve">,</w:t>
      </w:r>
      <w:r>
        <w:t xml:space="preserve"> </w:t>
      </w:r>
      <w:r>
        <w:rPr>
          <w:rStyle w:val="VerbatimChar"/>
        </w:rPr>
        <w:t xml:space="preserve">mismatch</w:t>
      </w:r>
      <w:r>
        <w:t xml:space="preserve">,</w:t>
      </w:r>
      <w:r>
        <w:t xml:space="preserve"> </w:t>
      </w:r>
      <w:r>
        <w:rPr>
          <w:rStyle w:val="VerbatimChar"/>
        </w:rPr>
        <w:t xml:space="preserve">not_found</w:t>
      </w:r>
      <w:r>
        <w:t xml:space="preserve">).</w:t>
      </w:r>
    </w:p>
    <w:p>
      <w:pPr>
        <w:numPr>
          <w:ilvl w:val="0"/>
          <w:numId w:val="1098"/>
        </w:numPr>
        <w:pStyle w:val="Compact"/>
      </w:pPr>
      <w:r>
        <w:rPr>
          <w:bCs/>
          <w:b/>
        </w:rPr>
        <w:t xml:space="preserve">Display:</w:t>
      </w:r>
      <w:r>
        <w:t xml:space="preserve"> </w:t>
      </w:r>
      <w:r>
        <w:t xml:space="preserve">the RE’s reconciliation status and the RE’s policy on whether EMIs are paid gross or net of TDS (from the deal configuration); reminders at quarter-end + 15 days [REC] only if the borrower opts in.</w:t>
      </w:r>
    </w:p>
    <w:p>
      <w:pPr>
        <w:numPr>
          <w:ilvl w:val="0"/>
          <w:numId w:val="1098"/>
        </w:numPr>
        <w:pStyle w:val="Compact"/>
      </w:pPr>
      <w:r>
        <w:t xml:space="preserve">Udofin never computes TDS, never files the deductor’s quarterly TDS statement (Form 140 under the 2025 Act [VERIFY form number]) and never treats a short TDS credit as a payment.</w:t>
      </w:r>
    </w:p>
    <w:bookmarkEnd w:id="173"/>
    <w:bookmarkStart w:id="174" w:name="Xe1a0c319b48af0cfd94c1a73d73968fecd23508"/>
    <w:p>
      <w:pPr>
        <w:pStyle w:val="Heading3"/>
      </w:pPr>
      <w:r>
        <w:t xml:space="preserve">Business borrowers: GST details and invoices</w:t>
      </w:r>
    </w:p>
    <w:p>
      <w:pPr>
        <w:numPr>
          <w:ilvl w:val="0"/>
          <w:numId w:val="1099"/>
        </w:numPr>
        <w:pStyle w:val="Compact"/>
      </w:pPr>
      <w:r>
        <w:rPr>
          <w:bCs/>
          <w:b/>
        </w:rPr>
        <w:t xml:space="preserve">Business tax profile (</w:t>
      </w:r>
      <w:r>
        <w:rPr>
          <w:rStyle w:val="VerbatimChar"/>
          <w:bCs/>
          <w:b/>
        </w:rPr>
        <w:t xml:space="preserve">business_tax_profile</w:t>
      </w:r>
      <w:r>
        <w:rPr>
          <w:bCs/>
          <w:b/>
        </w:rPr>
        <w:t xml:space="preserve">):</w:t>
      </w:r>
      <w:r>
        <w:t xml:space="preserve"> </w:t>
      </w:r>
      <w:r>
        <w:t xml:space="preserve">legal name, trade name, constitution, PAN, GSTIN, registration state, status, place of supply.</w:t>
      </w:r>
    </w:p>
    <w:p>
      <w:pPr>
        <w:numPr>
          <w:ilvl w:val="0"/>
          <w:numId w:val="1099"/>
        </w:numPr>
        <w:pStyle w:val="Compact"/>
      </w:pPr>
      <w:r>
        <w:rPr>
          <w:bCs/>
          <w:b/>
        </w:rPr>
        <w:t xml:space="preserve">GSTIN validation:</w:t>
      </w:r>
      <w:r>
        <w:t xml:space="preserve"> </w:t>
      </w:r>
      <w:r>
        <w:t xml:space="preserve">15-character format; check digit; characters 3–12 equal the business PAN; first two digits equal the registration state code; status verified through the RE’s provider or a GSP public-search call [VERIFY API terms]; cancelled or suspended GSTINs flagged to the RE.</w:t>
      </w:r>
    </w:p>
    <w:p>
      <w:pPr>
        <w:numPr>
          <w:ilvl w:val="0"/>
          <w:numId w:val="1099"/>
        </w:numPr>
        <w:pStyle w:val="Compact"/>
      </w:pPr>
      <w:r>
        <w:rPr>
          <w:bCs/>
          <w:b/>
        </w:rPr>
        <w:t xml:space="preserve">Sharing:</w:t>
      </w:r>
      <w:r>
        <w:t xml:space="preserve"> </w:t>
      </w:r>
      <w:r>
        <w:t xml:space="preserve">the GSTIN goes to the chosen RE only within the application consent (CF para 13(4)); a later change is a U12 service request to the RE.</w:t>
      </w:r>
    </w:p>
    <w:p>
      <w:pPr>
        <w:numPr>
          <w:ilvl w:val="0"/>
          <w:numId w:val="1099"/>
        </w:numPr>
        <w:pStyle w:val="Compact"/>
      </w:pPr>
      <w:r>
        <w:rPr>
          <w:bCs/>
          <w:b/>
        </w:rPr>
        <w:t xml:space="preserve">GST invoices for RE fees:</w:t>
      </w:r>
      <w:r>
        <w:t xml:space="preserve"> </w:t>
      </w:r>
      <w:r>
        <w:t xml:space="preserve">taxable fees and charges (processing, documentation, foreclosure, bounce and similar) are invoiced by the</w:t>
      </w:r>
      <w:r>
        <w:t xml:space="preserve"> </w:t>
      </w:r>
      <w:r>
        <w:rPr>
          <w:bCs/>
          <w:b/>
        </w:rPr>
        <w:t xml:space="preserve">RE</w:t>
      </w:r>
      <w:r>
        <w:t xml:space="preserve"> </w:t>
      </w:r>
      <w:r>
        <w:t xml:space="preserve">at the applicable rate (typically 18% under SAC 9971 [VERIFY per fee]); interest is exempt (GST: Notification 12/2017-CT(Rate) entry 27(a) [VERIFY wording]); penal charges levied under RBI’s penal-charges framework attract no GST (GST: CBIC Circular 245/02/2025-GST); NBFCs are exempt from e-invoicing (CGST Rule 48(4); Notification 13/2020-CT), so RE invoices carry no IRN. Udofin mirrors the RE’s B2B invoices and credit notes with the GSTIN for the borrower’s input-tax-credit records; it never issues a GST invoice for an RE fee and never charges the borrower any fee of its own (CF para 10(4)).</w:t>
      </w:r>
    </w:p>
    <w:p>
      <w:pPr>
        <w:numPr>
          <w:ilvl w:val="0"/>
          <w:numId w:val="1099"/>
        </w:numPr>
        <w:pStyle w:val="Compact"/>
      </w:pPr>
      <w:r>
        <w:rPr>
          <w:bCs/>
          <w:b/>
        </w:rPr>
        <w:t xml:space="preserve">Udofin’s own invoices</w:t>
      </w:r>
      <w:r>
        <w:t xml:space="preserve"> </w:t>
      </w:r>
      <w:r>
        <w:t xml:space="preserve">exist only for a wellness subscription (Part 7D, Part 7G): Udofin is not on the e-invoicing exemption list, so B2B e-invoicing applies once its aggregate turnover crosses the threshold (₹5 crore from 1 Aug 2023; Notification 10/2023) [LAW].</w:t>
      </w:r>
    </w:p>
    <w:bookmarkEnd w:id="174"/>
    <w:bookmarkStart w:id="175" w:name="states-3"/>
    <w:p>
      <w:pPr>
        <w:pStyle w:val="Heading3"/>
      </w:pPr>
      <w:r>
        <w:t xml:space="preserve">States</w:t>
      </w:r>
    </w:p>
    <w:p>
      <w:pPr>
        <w:numPr>
          <w:ilvl w:val="0"/>
          <w:numId w:val="1100"/>
        </w:numPr>
        <w:pStyle w:val="Compact"/>
      </w:pPr>
      <w:r>
        <w:rPr>
          <w:rStyle w:val="VerbatimChar"/>
        </w:rPr>
        <w:t xml:space="preserve">interest_certificate_mirror</w:t>
      </w:r>
      <w:r>
        <w:t xml:space="preserve">:</w:t>
      </w:r>
      <w:r>
        <w:t xml:space="preserve"> </w:t>
      </w:r>
      <w:r>
        <w:rPr>
          <w:rStyle w:val="VerbatimChar"/>
        </w:rPr>
        <w:t xml:space="preserve">REQUESTED → RECEIVED → VERIFIED → PUBLISHED</w:t>
      </w:r>
      <w:r>
        <w:t xml:space="preserve">, with</w:t>
      </w:r>
      <w:r>
        <w:t xml:space="preserve"> </w:t>
      </w:r>
      <w:r>
        <w:rPr>
          <w:rStyle w:val="VerbatimChar"/>
        </w:rPr>
        <w:t xml:space="preserve">REJECTED_INTEGRITY</w:t>
      </w:r>
      <w:r>
        <w:t xml:space="preserve"> </w:t>
      </w:r>
      <w:r>
        <w:t xml:space="preserve">and</w:t>
      </w:r>
      <w:r>
        <w:t xml:space="preserve"> </w:t>
      </w:r>
      <w:r>
        <w:rPr>
          <w:rStyle w:val="VerbatimChar"/>
        </w:rPr>
        <w:t xml:space="preserve">SUPERSEDED</w:t>
      </w:r>
      <w:r>
        <w:t xml:space="preserve"> </w:t>
      </w:r>
      <w:r>
        <w:t xml:space="preserve">(a revised certificate replaces the earlier version, which stays visible as superseded).</w:t>
      </w:r>
    </w:p>
    <w:p>
      <w:pPr>
        <w:numPr>
          <w:ilvl w:val="0"/>
          <w:numId w:val="1100"/>
        </w:numPr>
        <w:pStyle w:val="Compact"/>
      </w:pPr>
      <w:r>
        <w:rPr>
          <w:rStyle w:val="VerbatimChar"/>
        </w:rPr>
        <w:t xml:space="preserve">tds_certificate_upload</w:t>
      </w:r>
      <w:r>
        <w:t xml:space="preserve">:</w:t>
      </w:r>
      <w:r>
        <w:t xml:space="preserve"> </w:t>
      </w:r>
      <w:r>
        <w:rPr>
          <w:rStyle w:val="VerbatimChar"/>
        </w:rPr>
        <w:t xml:space="preserve">UPLOADED → FIELDS_CONFIRMED → SENT_TO_RE → {MATCHED | MISMATCH | NOT_FOUND}</w:t>
      </w:r>
      <w:r>
        <w:t xml:space="preserve">, with</w:t>
      </w:r>
      <w:r>
        <w:t xml:space="preserve"> </w:t>
      </w:r>
      <w:r>
        <w:rPr>
          <w:rStyle w:val="VerbatimChar"/>
        </w:rPr>
        <w:t xml:space="preserve">WITHDRAWN</w:t>
      </w:r>
      <w:r>
        <w:t xml:space="preserve">.</w:t>
      </w:r>
    </w:p>
    <w:p>
      <w:pPr>
        <w:numPr>
          <w:ilvl w:val="0"/>
          <w:numId w:val="1100"/>
        </w:numPr>
        <w:pStyle w:val="Compact"/>
      </w:pPr>
      <w:r>
        <w:rPr>
          <w:rStyle w:val="VerbatimChar"/>
        </w:rPr>
        <w:t xml:space="preserve">gstin_check</w:t>
      </w:r>
      <w:r>
        <w:t xml:space="preserve">:</w:t>
      </w:r>
      <w:r>
        <w:t xml:space="preserve"> </w:t>
      </w:r>
      <w:r>
        <w:rPr>
          <w:rStyle w:val="VerbatimChar"/>
        </w:rPr>
        <w:t xml:space="preserve">CAPTURED → FORMAT_VALID → VERIFIED_ACTIVE | VERIFIED_INACTIVE | UNVERIFIED</w:t>
      </w:r>
      <w:r>
        <w:t xml:space="preserve">.</w:t>
      </w:r>
    </w:p>
    <w:bookmarkEnd w:id="175"/>
    <w:bookmarkStart w:id="176" w:name="settings-and-options-6"/>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61"/>
        <w:gridCol w:w="1414"/>
        <w:gridCol w:w="3000"/>
        <w:gridCol w:w="2763"/>
      </w:tblGrid>
      <w:tr>
        <w:trPr>
          <w:tblHeader w:val="true"/>
          <w:tblHeader w:val="true"/>
        </w:trPr>
        <w:tc>
          <w:tcPr>
            <w:tcW w:w="2461" w:type="dxa"/>
            <w:shd w:val="clear" w:color="auto" w:fill="1F3A5F"/>
          </w:tcPr>
          <w:p>
            <w:pPr>
              <w:pStyle w:val="Compact"/>
              <w:spacing w:after="40"/>
              <w:jc w:val="left"/>
            </w:pPr>
            <w:r>
              <w:rPr>
                <w:b/>
                <w:color w:val="FFFFFF"/>
                <w:sz w:val="18"/>
              </w:rPr>
              <w:t xml:space="preserve">Setting</w:t>
            </w:r>
          </w:p>
        </w:tc>
        <w:tc>
          <w:tcPr>
            <w:tcW w:w="1414" w:type="dxa"/>
            <w:shd w:val="clear" w:color="auto" w:fill="1F3A5F"/>
          </w:tcPr>
          <w:p>
            <w:pPr>
              <w:pStyle w:val="Compact"/>
              <w:spacing w:after="40"/>
              <w:jc w:val="left"/>
            </w:pPr>
            <w:r>
              <w:rPr>
                <w:b/>
                <w:color w:val="FFFFFF"/>
                <w:sz w:val="18"/>
              </w:rPr>
              <w:t xml:space="preserve">Level</w:t>
            </w:r>
          </w:p>
        </w:tc>
        <w:tc>
          <w:tcPr>
            <w:tcW w:w="3000" w:type="dxa"/>
            <w:shd w:val="clear" w:color="auto" w:fill="1F3A5F"/>
          </w:tcPr>
          <w:p>
            <w:pPr>
              <w:pStyle w:val="Compact"/>
              <w:spacing w:after="40"/>
              <w:jc w:val="left"/>
            </w:pPr>
            <w:r>
              <w:rPr>
                <w:b/>
                <w:color w:val="FFFFFF"/>
                <w:sz w:val="18"/>
              </w:rPr>
              <w:t xml:space="preserve">Default</w:t>
            </w:r>
          </w:p>
        </w:tc>
        <w:tc>
          <w:tcPr>
            <w:tcW w:w="2763" w:type="dxa"/>
            <w:shd w:val="clear" w:color="auto" w:fill="1F3A5F"/>
          </w:tcPr>
          <w:p>
            <w:pPr>
              <w:pStyle w:val="Compact"/>
              <w:spacing w:after="40"/>
              <w:jc w:val="left"/>
            </w:pPr>
            <w:r>
              <w:rPr>
                <w:b/>
                <w:color w:val="FFFFFF"/>
                <w:sz w:val="18"/>
              </w:rPr>
              <w:t xml:space="preserve">Nature</w:t>
            </w:r>
          </w:p>
        </w:tc>
      </w:tr>
      <w:tr>
        <w:tc>
          <w:tcPr>
            <w:tcW w:w="2461" w:type="dxa"/>
          </w:tcPr>
          <w:p>
            <w:pPr>
              <w:pStyle w:val="Compact"/>
              <w:spacing w:after="40"/>
              <w:jc w:val="left"/>
            </w:pPr>
            <w:r>
              <w:rPr>
                <w:sz w:val="18"/>
              </w:rPr>
              <w:t xml:space="preserve">Act variant by period</w:t>
            </w:r>
          </w:p>
        </w:tc>
        <w:tc>
          <w:tcPr>
            <w:tcW w:w="1414" w:type="dxa"/>
          </w:tcPr>
          <w:p>
            <w:pPr>
              <w:pStyle w:val="Compact"/>
              <w:spacing w:after="40"/>
              <w:jc w:val="left"/>
            </w:pPr>
            <w:r>
              <w:rPr>
                <w:sz w:val="18"/>
              </w:rPr>
              <w:t xml:space="preserve">Platform</w:t>
            </w:r>
          </w:p>
        </w:tc>
        <w:tc>
          <w:tcPr>
            <w:tcW w:w="3000" w:type="dxa"/>
          </w:tcPr>
          <w:p>
            <w:pPr>
              <w:pStyle w:val="Compact"/>
              <w:spacing w:after="40"/>
              <w:jc w:val="left"/>
            </w:pPr>
            <w:r>
              <w:rPr>
                <w:sz w:val="18"/>
              </w:rPr>
              <w:t xml:space="preserve">FY 2025-26 → ITA61; tax year 2026-27 onwards → ITA25</w:t>
            </w:r>
          </w:p>
        </w:tc>
        <w:tc>
          <w:tcPr>
            <w:tcW w:w="2763" w:type="dxa"/>
          </w:tcPr>
          <w:p>
            <w:pPr>
              <w:pStyle w:val="Compact"/>
              <w:spacing w:after="40"/>
              <w:jc w:val="left"/>
            </w:pPr>
            <w:r>
              <w:rPr>
                <w:sz w:val="18"/>
              </w:rPr>
              <w:t xml:space="preserve">Fixed by law</w:t>
            </w:r>
          </w:p>
        </w:tc>
      </w:tr>
      <w:tr>
        <w:tc>
          <w:tcPr>
            <w:tcW w:w="2461" w:type="dxa"/>
          </w:tcPr>
          <w:p>
            <w:pPr>
              <w:pStyle w:val="Compact"/>
              <w:spacing w:after="40"/>
              <w:jc w:val="left"/>
            </w:pPr>
            <w:r>
              <w:rPr>
                <w:sz w:val="18"/>
              </w:rPr>
              <w:t xml:space="preserve">s.131 legacy line</w:t>
            </w:r>
          </w:p>
        </w:tc>
        <w:tc>
          <w:tcPr>
            <w:tcW w:w="1414" w:type="dxa"/>
          </w:tcPr>
          <w:p>
            <w:pPr>
              <w:pStyle w:val="Compact"/>
              <w:spacing w:after="40"/>
              <w:jc w:val="left"/>
            </w:pPr>
            <w:r>
              <w:rPr>
                <w:sz w:val="18"/>
              </w:rPr>
              <w:t xml:space="preserve">Platform</w:t>
            </w:r>
          </w:p>
        </w:tc>
        <w:tc>
          <w:tcPr>
            <w:tcW w:w="3000" w:type="dxa"/>
          </w:tcPr>
          <w:p>
            <w:pPr>
              <w:pStyle w:val="Compact"/>
              <w:spacing w:after="40"/>
              <w:jc w:val="left"/>
            </w:pPr>
            <w:r>
              <w:rPr>
                <w:sz w:val="18"/>
              </w:rPr>
              <w:t xml:space="preserve">Off</w:t>
            </w:r>
          </w:p>
        </w:tc>
        <w:tc>
          <w:tcPr>
            <w:tcW w:w="2763" w:type="dxa"/>
          </w:tcPr>
          <w:p>
            <w:pPr>
              <w:pStyle w:val="Compact"/>
              <w:spacing w:after="40"/>
              <w:jc w:val="left"/>
            </w:pPr>
            <w:r>
              <w:rPr>
                <w:sz w:val="18"/>
              </w:rPr>
              <w:t xml:space="preserve">Stays off until the successor is confirmed</w:t>
            </w:r>
          </w:p>
        </w:tc>
      </w:tr>
      <w:tr>
        <w:tc>
          <w:tcPr>
            <w:tcW w:w="2461" w:type="dxa"/>
          </w:tcPr>
          <w:p>
            <w:pPr>
              <w:pStyle w:val="Compact"/>
              <w:spacing w:after="40"/>
              <w:jc w:val="left"/>
            </w:pPr>
            <w:r>
              <w:rPr>
                <w:sz w:val="18"/>
              </w:rPr>
              <w:t xml:space="preserve">s.129 certificate display</w:t>
            </w:r>
          </w:p>
        </w:tc>
        <w:tc>
          <w:tcPr>
            <w:tcW w:w="1414" w:type="dxa"/>
          </w:tcPr>
          <w:p>
            <w:pPr>
              <w:pStyle w:val="Compact"/>
              <w:spacing w:after="40"/>
              <w:jc w:val="left"/>
            </w:pPr>
            <w:r>
              <w:rPr>
                <w:sz w:val="18"/>
              </w:rPr>
              <w:t xml:space="preserve">RE</w:t>
            </w:r>
          </w:p>
        </w:tc>
        <w:tc>
          <w:tcPr>
            <w:tcW w:w="3000" w:type="dxa"/>
          </w:tcPr>
          <w:p>
            <w:pPr>
              <w:pStyle w:val="Compact"/>
              <w:spacing w:after="40"/>
              <w:jc w:val="left"/>
            </w:pPr>
            <w:r>
              <w:rPr>
                <w:sz w:val="18"/>
              </w:rPr>
              <w:t xml:space="preserve">Off until the RE records its eligibility reference</w:t>
            </w:r>
          </w:p>
        </w:tc>
        <w:tc>
          <w:tcPr>
            <w:tcW w:w="2763" w:type="dxa"/>
          </w:tcPr>
          <w:p>
            <w:pPr>
              <w:pStyle w:val="Compact"/>
              <w:spacing w:after="40"/>
              <w:jc w:val="left"/>
            </w:pPr>
            <w:r>
              <w:rPr>
                <w:sz w:val="18"/>
              </w:rPr>
              <w:t xml:space="preserve">Regulatory gate (UB-C07)</w:t>
            </w:r>
          </w:p>
        </w:tc>
      </w:tr>
      <w:tr>
        <w:tc>
          <w:tcPr>
            <w:tcW w:w="2461" w:type="dxa"/>
          </w:tcPr>
          <w:p>
            <w:pPr>
              <w:pStyle w:val="Compact"/>
              <w:spacing w:after="40"/>
              <w:jc w:val="left"/>
            </w:pPr>
            <w:r>
              <w:rPr>
                <w:sz w:val="18"/>
              </w:rPr>
              <w:t xml:space="preserve">Udofin summary card</w:t>
            </w:r>
          </w:p>
        </w:tc>
        <w:tc>
          <w:tcPr>
            <w:tcW w:w="1414" w:type="dxa"/>
          </w:tcPr>
          <w:p>
            <w:pPr>
              <w:pStyle w:val="Compact"/>
              <w:spacing w:after="40"/>
              <w:jc w:val="left"/>
            </w:pPr>
            <w:r>
              <w:rPr>
                <w:sz w:val="18"/>
              </w:rPr>
              <w:t xml:space="preserve">Borrower</w:t>
            </w:r>
          </w:p>
        </w:tc>
        <w:tc>
          <w:tcPr>
            <w:tcW w:w="3000" w:type="dxa"/>
          </w:tcPr>
          <w:p>
            <w:pPr>
              <w:pStyle w:val="Compact"/>
              <w:spacing w:after="40"/>
              <w:jc w:val="left"/>
            </w:pPr>
            <w:r>
              <w:rPr>
                <w:sz w:val="18"/>
              </w:rPr>
              <w:t xml:space="preserve">Off</w:t>
            </w:r>
          </w:p>
        </w:tc>
        <w:tc>
          <w:tcPr>
            <w:tcW w:w="2763" w:type="dxa"/>
          </w:tcPr>
          <w:p>
            <w:pPr>
              <w:pStyle w:val="Compact"/>
              <w:spacing w:after="40"/>
              <w:jc w:val="left"/>
            </w:pPr>
            <w:r>
              <w:rPr>
                <w:sz w:val="18"/>
              </w:rPr>
              <w:t xml:space="preserve">Optional; never shows a computed deduction</w:t>
            </w:r>
          </w:p>
        </w:tc>
      </w:tr>
      <w:tr>
        <w:tc>
          <w:tcPr>
            <w:tcW w:w="2461" w:type="dxa"/>
          </w:tcPr>
          <w:p>
            <w:pPr>
              <w:pStyle w:val="Compact"/>
              <w:spacing w:after="40"/>
              <w:jc w:val="left"/>
            </w:pPr>
            <w:r>
              <w:rPr>
                <w:sz w:val="18"/>
              </w:rPr>
              <w:t xml:space="preserve">Form 131 quarter-end reminder</w:t>
            </w:r>
          </w:p>
        </w:tc>
        <w:tc>
          <w:tcPr>
            <w:tcW w:w="1414" w:type="dxa"/>
          </w:tcPr>
          <w:p>
            <w:pPr>
              <w:pStyle w:val="Compact"/>
              <w:spacing w:after="40"/>
              <w:jc w:val="left"/>
            </w:pPr>
            <w:r>
              <w:rPr>
                <w:sz w:val="18"/>
              </w:rPr>
              <w:t xml:space="preserve">Borrower</w:t>
            </w:r>
          </w:p>
        </w:tc>
        <w:tc>
          <w:tcPr>
            <w:tcW w:w="3000" w:type="dxa"/>
          </w:tcPr>
          <w:p>
            <w:pPr>
              <w:pStyle w:val="Compact"/>
              <w:spacing w:after="40"/>
              <w:jc w:val="left"/>
            </w:pPr>
            <w:r>
              <w:rPr>
                <w:sz w:val="18"/>
              </w:rPr>
              <w:t xml:space="preserve">Off; quarter-end + 15 days when on</w:t>
            </w:r>
          </w:p>
        </w:tc>
        <w:tc>
          <w:tcPr>
            <w:tcW w:w="2763" w:type="dxa"/>
          </w:tcPr>
          <w:p>
            <w:pPr>
              <w:pStyle w:val="Compact"/>
              <w:spacing w:after="40"/>
              <w:jc w:val="left"/>
            </w:pPr>
            <w:r>
              <w:rPr>
                <w:sz w:val="18"/>
              </w:rPr>
              <w:t xml:space="preserve">Opt-in [REC]</w:t>
            </w:r>
          </w:p>
        </w:tc>
      </w:tr>
      <w:tr>
        <w:tc>
          <w:tcPr>
            <w:tcW w:w="2461" w:type="dxa"/>
          </w:tcPr>
          <w:p>
            <w:pPr>
              <w:pStyle w:val="Compact"/>
              <w:spacing w:after="40"/>
              <w:jc w:val="left"/>
            </w:pPr>
            <w:r>
              <w:rPr>
                <w:sz w:val="18"/>
              </w:rPr>
              <w:t xml:space="preserve">EMI treatment of TDS (gross or net)</w:t>
            </w:r>
          </w:p>
        </w:tc>
        <w:tc>
          <w:tcPr>
            <w:tcW w:w="1414" w:type="dxa"/>
          </w:tcPr>
          <w:p>
            <w:pPr>
              <w:pStyle w:val="Compact"/>
              <w:spacing w:after="40"/>
              <w:jc w:val="left"/>
            </w:pPr>
            <w:r>
              <w:rPr>
                <w:sz w:val="18"/>
              </w:rPr>
              <w:t xml:space="preserve">RE</w:t>
            </w:r>
          </w:p>
        </w:tc>
        <w:tc>
          <w:tcPr>
            <w:tcW w:w="3000" w:type="dxa"/>
          </w:tcPr>
          <w:p>
            <w:pPr>
              <w:pStyle w:val="Compact"/>
              <w:spacing w:after="40"/>
              <w:jc w:val="left"/>
            </w:pPr>
            <w:r>
              <w:rPr>
                <w:sz w:val="18"/>
              </w:rPr>
              <w:t xml:space="preserve">From the deal configuration</w:t>
            </w:r>
          </w:p>
        </w:tc>
        <w:tc>
          <w:tcPr>
            <w:tcW w:w="2763" w:type="dxa"/>
          </w:tcPr>
          <w:p>
            <w:pPr>
              <w:pStyle w:val="Compact"/>
              <w:spacing w:after="40"/>
              <w:jc w:val="left"/>
            </w:pPr>
            <w:r>
              <w:rPr>
                <w:sz w:val="18"/>
              </w:rPr>
              <w:t xml:space="preserve">RE policy, displayed only</w:t>
            </w:r>
          </w:p>
        </w:tc>
      </w:tr>
      <w:tr>
        <w:tc>
          <w:tcPr>
            <w:tcW w:w="2461" w:type="dxa"/>
          </w:tcPr>
          <w:p>
            <w:pPr>
              <w:pStyle w:val="Compact"/>
              <w:spacing w:after="40"/>
              <w:jc w:val="left"/>
            </w:pPr>
            <w:r>
              <w:rPr>
                <w:sz w:val="18"/>
              </w:rPr>
              <w:t xml:space="preserve">Tax-document retention</w:t>
            </w:r>
          </w:p>
        </w:tc>
        <w:tc>
          <w:tcPr>
            <w:tcW w:w="1414" w:type="dxa"/>
          </w:tcPr>
          <w:p>
            <w:pPr>
              <w:pStyle w:val="Compact"/>
              <w:spacing w:after="40"/>
              <w:jc w:val="left"/>
            </w:pPr>
            <w:r>
              <w:rPr>
                <w:sz w:val="18"/>
              </w:rPr>
              <w:t xml:space="preserve">Platform</w:t>
            </w:r>
          </w:p>
        </w:tc>
        <w:tc>
          <w:tcPr>
            <w:tcW w:w="3000" w:type="dxa"/>
          </w:tcPr>
          <w:p>
            <w:pPr>
              <w:pStyle w:val="Compact"/>
              <w:spacing w:after="40"/>
              <w:jc w:val="left"/>
            </w:pPr>
            <w:r>
              <w:rPr>
                <w:sz w:val="18"/>
              </w:rPr>
              <w:t xml:space="preserve">8 years after the tax year</w:t>
            </w:r>
          </w:p>
        </w:tc>
        <w:tc>
          <w:tcPr>
            <w:tcW w:w="2763" w:type="dxa"/>
          </w:tcPr>
          <w:p>
            <w:pPr>
              <w:pStyle w:val="Compact"/>
              <w:spacing w:after="40"/>
              <w:jc w:val="left"/>
            </w:pPr>
            <w:r>
              <w:rPr>
                <w:sz w:val="18"/>
              </w:rPr>
              <w:t xml:space="preserve">Floor [REC]; subject to RE retention and UP5</w:t>
            </w:r>
          </w:p>
        </w:tc>
      </w:tr>
    </w:tbl>
    <w:bookmarkEnd w:id="176"/>
    <w:bookmarkStart w:id="177" w:name="menu-and-screens-6"/>
    <w:p>
      <w:pPr>
        <w:pStyle w:val="Heading3"/>
      </w:pPr>
      <w:r>
        <w:t xml:space="preserve">Menu and screens</w:t>
      </w:r>
    </w:p>
    <w:p>
      <w:pPr>
        <w:numPr>
          <w:ilvl w:val="0"/>
          <w:numId w:val="1101"/>
        </w:numPr>
        <w:pStyle w:val="Compact"/>
      </w:pPr>
      <w:r>
        <w:rPr>
          <w:bCs/>
          <w:b/>
        </w:rPr>
        <w:t xml:space="preserve">Account › Documents and data › Tax documents</w:t>
      </w:r>
      <w:r>
        <w:t xml:space="preserve"> </w:t>
      </w:r>
      <w:r>
        <w:t xml:space="preserve">(A, B): by tax year and loan; certificate card with Act variant, status (requested, received, superseded),</w:t>
      </w:r>
      <w:r>
        <w:t xml:space="preserve"> </w:t>
      </w:r>
      <w:r>
        <w:rPr>
          <w:bCs/>
          <w:b/>
        </w:rPr>
        <w:t xml:space="preserve">Request provisional</w:t>
      </w:r>
      <w:r>
        <w:t xml:space="preserve">,</w:t>
      </w:r>
      <w:r>
        <w:t xml:space="preserve"> </w:t>
      </w:r>
      <w:r>
        <w:rPr>
          <w:bCs/>
          <w:b/>
        </w:rPr>
        <w:t xml:space="preserve">Request final</w:t>
      </w:r>
      <w:r>
        <w:t xml:space="preserve">,</w:t>
      </w:r>
      <w:r>
        <w:t xml:space="preserve"> </w:t>
      </w:r>
      <w:r>
        <w:rPr>
          <w:bCs/>
          <w:b/>
        </w:rPr>
        <w:t xml:space="preserve">View</w:t>
      </w:r>
      <w:r>
        <w:t xml:space="preserve">,</w:t>
      </w:r>
      <w:r>
        <w:t xml:space="preserve"> </w:t>
      </w:r>
      <w:r>
        <w:rPr>
          <w:bCs/>
          <w:b/>
        </w:rPr>
        <w:t xml:space="preserve">Download original</w:t>
      </w:r>
      <w:r>
        <w:t xml:space="preserve">; regime notice on every view;</w:t>
      </w:r>
      <w:r>
        <w:t xml:space="preserve"> </w:t>
      </w:r>
      <w:r>
        <w:rPr>
          <w:bCs/>
          <w:b/>
        </w:rPr>
        <w:t xml:space="preserve">Business details</w:t>
      </w:r>
      <w:r>
        <w:t xml:space="preserve"> </w:t>
      </w:r>
      <w:r>
        <w:t xml:space="preserve">(only for business-entity accounts and authorised signatories): tax profile, GSTIN check result,</w:t>
      </w:r>
      <w:r>
        <w:t xml:space="preserve"> </w:t>
      </w:r>
      <w:r>
        <w:rPr>
          <w:bCs/>
          <w:b/>
        </w:rPr>
        <w:t xml:space="preserve">Upload Form 131</w:t>
      </w:r>
      <w:r>
        <w:t xml:space="preserve"> </w:t>
      </w:r>
      <w:r>
        <w:t xml:space="preserve">per quarter with field confirmation, RE reconciliation status, mirrored RE invoices and credit notes.</w:t>
      </w:r>
    </w:p>
    <w:p>
      <w:pPr>
        <w:numPr>
          <w:ilvl w:val="0"/>
          <w:numId w:val="1101"/>
        </w:numPr>
        <w:pStyle w:val="Compact"/>
      </w:pPr>
      <w:r>
        <w:rPr>
          <w:bCs/>
          <w:b/>
        </w:rPr>
        <w:t xml:space="preserve">Lender portal › Servicing › Tax</w:t>
      </w:r>
      <w:r>
        <w:t xml:space="preserve"> </w:t>
      </w:r>
      <w:r>
        <w:t xml:space="preserve">(D): certificate-request queue, Form 131 inbox with extracted fields and</w:t>
      </w:r>
      <w:r>
        <w:t xml:space="preserve"> </w:t>
      </w:r>
      <w:r>
        <w:rPr>
          <w:bCs/>
          <w:b/>
        </w:rPr>
        <w:t xml:space="preserve">Mark matched / mismatch / not found</w:t>
      </w:r>
      <w:r>
        <w:t xml:space="preserve">.</w:t>
      </w:r>
      <w:r>
        <w:t xml:space="preserve"> </w:t>
      </w:r>
      <w:r>
        <w:rPr>
          <w:bCs/>
          <w:b/>
        </w:rPr>
        <w:t xml:space="preserve">Operations portal</w:t>
      </w:r>
      <w:r>
        <w:t xml:space="preserve"> </w:t>
      </w:r>
      <w:r>
        <w:t xml:space="preserve">(C): integrity failures only.</w:t>
      </w:r>
    </w:p>
    <w:bookmarkEnd w:id="177"/>
    <w:bookmarkStart w:id="178" w:name="controls-6"/>
    <w:p>
      <w:pPr>
        <w:pStyle w:val="Heading3"/>
      </w:pPr>
      <w:r>
        <w:t xml:space="preserve">Controls</w:t>
      </w:r>
    </w:p>
    <w:p>
      <w:pPr>
        <w:numPr>
          <w:ilvl w:val="0"/>
          <w:numId w:val="1102"/>
        </w:numPr>
        <w:pStyle w:val="Compact"/>
      </w:pPr>
      <w:r>
        <w:t xml:space="preserve">UB-C05: no tax certificate template exists in Udofin’s document generator (repository test).</w:t>
      </w:r>
    </w:p>
    <w:p>
      <w:pPr>
        <w:numPr>
          <w:ilvl w:val="0"/>
          <w:numId w:val="1102"/>
        </w:numPr>
        <w:pStyle w:val="Compact"/>
      </w:pPr>
      <w:r>
        <w:t xml:space="preserve">UB-C06: the regime notice is attached to every certificate view and download (rendering test).</w:t>
      </w:r>
    </w:p>
    <w:p>
      <w:pPr>
        <w:numPr>
          <w:ilvl w:val="0"/>
          <w:numId w:val="1102"/>
        </w:numPr>
        <w:pStyle w:val="Compact"/>
      </w:pPr>
      <w:r>
        <w:t xml:space="preserve">UB-C07: s.129 certificates are hidden unless the RE’s eligibility reference is recorded.</w:t>
      </w:r>
    </w:p>
    <w:p>
      <w:pPr>
        <w:numPr>
          <w:ilvl w:val="0"/>
          <w:numId w:val="1102"/>
        </w:numPr>
        <w:pStyle w:val="Compact"/>
      </w:pPr>
      <w:r>
        <w:t xml:space="preserve">UB-C08: GSTIN with a PAN segment different from the business PAN is rejected.</w:t>
      </w:r>
    </w:p>
    <w:bookmarkEnd w:id="178"/>
    <w:bookmarkStart w:id="179" w:name="acceptance-tests-6"/>
    <w:p>
      <w:pPr>
        <w:pStyle w:val="Heading3"/>
      </w:pPr>
      <w:r>
        <w:t xml:space="preserve">Acceptance tests</w:t>
      </w:r>
    </w:p>
    <w:p>
      <w:pPr>
        <w:numPr>
          <w:ilvl w:val="0"/>
          <w:numId w:val="1103"/>
        </w:numPr>
        <w:pStyle w:val="Compact"/>
      </w:pPr>
      <w:r>
        <w:t xml:space="preserve">A certificate whose signature fails verification is not shown; the RE is notified.</w:t>
      </w:r>
    </w:p>
    <w:p>
      <w:pPr>
        <w:numPr>
          <w:ilvl w:val="0"/>
          <w:numId w:val="1103"/>
        </w:numPr>
        <w:pStyle w:val="Compact"/>
      </w:pPr>
      <w:r>
        <w:t xml:space="preserve">A FY 2025-26 certificate displays 1961-Act references; a tax year 2026-27 certificate displays ITA25 references.</w:t>
      </w:r>
    </w:p>
    <w:p>
      <w:pPr>
        <w:numPr>
          <w:ilvl w:val="0"/>
          <w:numId w:val="1103"/>
        </w:numPr>
        <w:pStyle w:val="Compact"/>
      </w:pPr>
      <w:r>
        <w:t xml:space="preserve">The Udofin summary card carries</w:t>
      </w:r>
      <w:r>
        <w:t xml:space="preserve"> </w:t>
      </w:r>
      <w:r>
        <w:t xml:space="preserve">“</w:t>
      </w:r>
      <w:r>
        <w:t xml:space="preserve">not a tax certificate</w:t>
      </w:r>
      <w:r>
        <w:t xml:space="preserve">”</w:t>
      </w:r>
      <w:r>
        <w:t xml:space="preserve"> </w:t>
      </w:r>
      <w:r>
        <w:t xml:space="preserve">and shows no computed deduction.</w:t>
      </w:r>
    </w:p>
    <w:p>
      <w:pPr>
        <w:numPr>
          <w:ilvl w:val="0"/>
          <w:numId w:val="1103"/>
        </w:numPr>
        <w:pStyle w:val="Compact"/>
      </w:pPr>
      <w:r>
        <w:t xml:space="preserve">A Form 131 upload with an RE PAN not matching the loan’s RE is rejected before sending.</w:t>
      </w:r>
    </w:p>
    <w:p>
      <w:pPr>
        <w:numPr>
          <w:ilvl w:val="0"/>
          <w:numId w:val="1103"/>
        </w:numPr>
        <w:pStyle w:val="Compact"/>
      </w:pPr>
      <w:r>
        <w:t xml:space="preserve">A GSTIN</w:t>
      </w:r>
      <w:r>
        <w:t xml:space="preserve"> </w:t>
      </w:r>
      <w:r>
        <w:t xml:space="preserve">“</w:t>
      </w:r>
      <w:r>
        <w:t xml:space="preserve">27AAAAA0000A1Z5</w:t>
      </w:r>
      <w:r>
        <w:t xml:space="preserve">”</w:t>
      </w:r>
      <w:r>
        <w:t xml:space="preserve">-style test value with a wrong check digit fails; a valid one passes format checks and is marked unverified until the provider confirms.</w:t>
      </w:r>
    </w:p>
    <w:p>
      <w:pPr>
        <w:numPr>
          <w:ilvl w:val="0"/>
          <w:numId w:val="1103"/>
        </w:numPr>
        <w:pStyle w:val="Compact"/>
      </w:pPr>
      <w:r>
        <w:t xml:space="preserve">No Udofin GST invoice is produced for any RE fee line.</w:t>
      </w:r>
    </w:p>
    <w:p>
      <w:r>
        <w:pict>
          <v:rect style="width:0;height:1.5pt" o:hralign="center" o:hrstd="t" o:hr="t"/>
        </w:pict>
      </w:r>
    </w:p>
    <w:bookmarkEnd w:id="179"/>
    <w:bookmarkEnd w:id="180"/>
    <w:bookmarkStart w:id="194" w:name="ub3.-grievance-escalation-chain-v2"/>
    <w:p>
      <w:pPr>
        <w:pStyle w:val="Heading2"/>
      </w:pPr>
      <w:r>
        <w:t xml:space="preserve">UB3. Grievance escalation chain v2</w:t>
      </w:r>
    </w:p>
    <w:bookmarkStart w:id="181" w:name="purpose-and-scope-7"/>
    <w:p>
      <w:pPr>
        <w:pStyle w:val="Heading3"/>
      </w:pPr>
      <w:r>
        <w:t xml:space="preserve">Purpose and scope</w:t>
      </w:r>
    </w:p>
    <w:p>
      <w:pPr>
        <w:pStyle w:val="FirstParagraph"/>
      </w:pPr>
      <w:r>
        <w:t xml:space="preserve">Route every complaint to the party responsible, run the clocks that matter, unlock each escalation option at the right moment, and display the right external routes for the lender and the subject, without Udofin deciding, closing or filing anything that belongs to the RE, an Ombudsman or the borrower.</w:t>
      </w:r>
    </w:p>
    <w:bookmarkEnd w:id="181"/>
    <w:bookmarkStart w:id="182" w:name="legal-anchors"/>
    <w:p>
      <w:pPr>
        <w:pStyle w:val="Heading3"/>
      </w:pPr>
      <w:r>
        <w:t xml:space="preserve">Legal anchors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491"/>
        <w:gridCol w:w="3147"/>
      </w:tblGrid>
      <w:tr>
        <w:trPr>
          <w:tblHeader w:val="true"/>
          <w:tblHeader w:val="true"/>
        </w:trPr>
        <w:tc>
          <w:tcPr>
            <w:tcW w:w="6491" w:type="dxa"/>
            <w:shd w:val="clear" w:color="auto" w:fill="1F3A5F"/>
          </w:tcPr>
          <w:p>
            <w:pPr>
              <w:pStyle w:val="Compact"/>
              <w:spacing w:after="40"/>
              <w:jc w:val="left"/>
            </w:pPr>
            <w:r>
              <w:rPr>
                <w:b/>
                <w:color w:val="FFFFFF"/>
                <w:sz w:val="18"/>
              </w:rPr>
              <w:t xml:space="preserve">Rule</w:t>
            </w:r>
          </w:p>
        </w:tc>
        <w:tc>
          <w:tcPr>
            <w:tcW w:w="3147" w:type="dxa"/>
            <w:shd w:val="clear" w:color="auto" w:fill="1F3A5F"/>
          </w:tcPr>
          <w:p>
            <w:pPr>
              <w:pStyle w:val="Compact"/>
              <w:spacing w:after="40"/>
              <w:jc w:val="left"/>
            </w:pPr>
            <w:r>
              <w:rPr>
                <w:b/>
                <w:color w:val="FFFFFF"/>
                <w:sz w:val="18"/>
              </w:rPr>
              <w:t xml:space="preserve">Source</w:t>
            </w:r>
          </w:p>
        </w:tc>
      </w:tr>
      <w:tr>
        <w:tc>
          <w:tcPr>
            <w:tcW w:w="6491" w:type="dxa"/>
          </w:tcPr>
          <w:p>
            <w:pPr>
              <w:pStyle w:val="Compact"/>
              <w:spacing w:after="40"/>
              <w:jc w:val="left"/>
            </w:pPr>
            <w:r>
              <w:rPr>
                <w:sz w:val="18"/>
              </w:rPr>
              <w:t xml:space="preserve">RE and LSP each designate a nodal grievance officer; contacts on the RE website, Udofin website, DLA and KFS; complaints can be lodged on the DLA; redressal responsibility stays with the RE</w:t>
            </w:r>
          </w:p>
        </w:tc>
        <w:tc>
          <w:tcPr>
            <w:tcW w:w="3147" w:type="dxa"/>
          </w:tcPr>
          <w:p>
            <w:pPr>
              <w:pStyle w:val="Compact"/>
              <w:spacing w:after="40"/>
              <w:jc w:val="left"/>
            </w:pPr>
            <w:r>
              <w:rPr>
                <w:sz w:val="18"/>
              </w:rPr>
              <w:t xml:space="preserve">[REG] CF para 12(1)–(3)</w:t>
            </w:r>
          </w:p>
        </w:tc>
      </w:tr>
      <w:tr>
        <w:tc>
          <w:tcPr>
            <w:tcW w:w="6491" w:type="dxa"/>
          </w:tcPr>
          <w:p>
            <w:pPr>
              <w:pStyle w:val="Compact"/>
              <w:spacing w:after="40"/>
              <w:jc w:val="left"/>
            </w:pPr>
            <w:r>
              <w:rPr>
                <w:sz w:val="18"/>
              </w:rPr>
              <w:t xml:space="preserve">If the RE rejects wholly or partly, the borrower is dissatisfied, or no reply within 30 days of receipt by the RE, the borrower may complain on CMS or to CRPC Chandigarh under RB-IOS</w:t>
            </w:r>
            <w:r>
              <w:rPr>
                <w:sz w:val="18"/>
              </w:rPr>
              <w:t xml:space="preserve"> </w:t>
            </w:r>
            <w:r>
              <w:rPr>
                <w:sz w:val="18"/>
              </w:rPr>
              <w:t xml:space="preserve">“</w:t>
            </w:r>
            <w:r>
              <w:rPr>
                <w:sz w:val="18"/>
              </w:rPr>
              <w:t xml:space="preserve">as applicable</w:t>
            </w:r>
            <w:r>
              <w:rPr>
                <w:sz w:val="18"/>
              </w:rPr>
              <w:t xml:space="preserve">”</w:t>
            </w:r>
            <w:r>
              <w:rPr>
                <w:sz w:val="18"/>
              </w:rPr>
              <w:t xml:space="preserve">; this must be conveyed</w:t>
            </w:r>
          </w:p>
        </w:tc>
        <w:tc>
          <w:tcPr>
            <w:tcW w:w="3147" w:type="dxa"/>
          </w:tcPr>
          <w:p>
            <w:pPr>
              <w:pStyle w:val="Compact"/>
              <w:spacing w:after="40"/>
              <w:jc w:val="left"/>
            </w:pPr>
            <w:r>
              <w:rPr>
                <w:sz w:val="18"/>
              </w:rPr>
              <w:t xml:space="preserve">[REG] CF para 12(4)</w:t>
            </w:r>
          </w:p>
        </w:tc>
      </w:tr>
      <w:tr>
        <w:tc>
          <w:tcPr>
            <w:tcW w:w="6491" w:type="dxa"/>
          </w:tcPr>
          <w:p>
            <w:pPr>
              <w:pStyle w:val="Compact"/>
              <w:spacing w:after="40"/>
              <w:jc w:val="left"/>
            </w:pPr>
            <w:r>
              <w:rPr>
                <w:sz w:val="18"/>
              </w:rPr>
              <w:t xml:space="preserve">Grievance responsibility for outsourced services rests with the RE; GRO displayed; 30 days; Ombudsman or CEPC route</w:t>
            </w:r>
          </w:p>
        </w:tc>
        <w:tc>
          <w:tcPr>
            <w:tcW w:w="3147" w:type="dxa"/>
          </w:tcPr>
          <w:p>
            <w:pPr>
              <w:pStyle w:val="Compact"/>
              <w:spacing w:after="40"/>
              <w:jc w:val="left"/>
            </w:pPr>
            <w:r>
              <w:rPr>
                <w:sz w:val="18"/>
              </w:rPr>
              <w:t xml:space="preserve">[REG] OUT paras 54–57 (para 57(4) still cites the 2021 Scheme)</w:t>
            </w:r>
          </w:p>
        </w:tc>
      </w:tr>
      <w:tr>
        <w:tc>
          <w:tcPr>
            <w:tcW w:w="6491" w:type="dxa"/>
          </w:tcPr>
          <w:p>
            <w:pPr>
              <w:pStyle w:val="Compact"/>
              <w:spacing w:after="40"/>
              <w:jc w:val="left"/>
            </w:pPr>
            <w:r>
              <w:rPr>
                <w:sz w:val="18"/>
              </w:rPr>
              <w:t xml:space="preserve">Disputes heard at least at the next higher level; Board review</w:t>
            </w:r>
          </w:p>
        </w:tc>
        <w:tc>
          <w:tcPr>
            <w:tcW w:w="3147" w:type="dxa"/>
          </w:tcPr>
          <w:p>
            <w:pPr>
              <w:pStyle w:val="Compact"/>
              <w:spacing w:after="40"/>
              <w:jc w:val="left"/>
            </w:pPr>
            <w:r>
              <w:rPr>
                <w:sz w:val="18"/>
              </w:rPr>
              <w:t xml:space="preserve">[REG] RBC paras 7(2) Note, 8</w:t>
            </w:r>
          </w:p>
        </w:tc>
      </w:tr>
      <w:tr>
        <w:tc>
          <w:tcPr>
            <w:tcW w:w="6491" w:type="dxa"/>
          </w:tcPr>
          <w:p>
            <w:pPr>
              <w:pStyle w:val="Compact"/>
              <w:spacing w:after="40"/>
              <w:jc w:val="left"/>
            </w:pPr>
            <w:r>
              <w:rPr>
                <w:sz w:val="18"/>
              </w:rPr>
              <w:t xml:space="preserve">Recovery-grievance mechanism; grievance-officer block on recovery communications</w:t>
            </w:r>
          </w:p>
        </w:tc>
        <w:tc>
          <w:tcPr>
            <w:tcW w:w="3147" w:type="dxa"/>
          </w:tcPr>
          <w:p>
            <w:pPr>
              <w:pStyle w:val="Compact"/>
              <w:spacing w:after="40"/>
              <w:jc w:val="left"/>
            </w:pPr>
            <w:r>
              <w:rPr>
                <w:sz w:val="18"/>
              </w:rPr>
              <w:t xml:space="preserve">[REG] RBC para 92; Third Amendment para 100AA from 1 Jan 2027 [VERIFY official text]</w:t>
            </w:r>
          </w:p>
        </w:tc>
      </w:tr>
      <w:tr>
        <w:tc>
          <w:tcPr>
            <w:tcW w:w="6491" w:type="dxa"/>
          </w:tcPr>
          <w:p>
            <w:pPr>
              <w:pStyle w:val="Compact"/>
              <w:spacing w:after="40"/>
              <w:jc w:val="left"/>
            </w:pPr>
            <w:r>
              <w:rPr>
                <w:sz w:val="18"/>
              </w:rPr>
              <w:t xml:space="preserve">RB-IOS 2026: covers deposit-taking NBFCs and NBFCs with a customer interface and assets of ₹100 crore or more; excludes HFCs, CICs (core investment), IDF-NBFCs, IFCs, NOFHCs, PDs and MGCs; covers credit information companies except CICRA s.18 matters</w:t>
            </w:r>
          </w:p>
        </w:tc>
        <w:tc>
          <w:tcPr>
            <w:tcW w:w="3147" w:type="dxa"/>
          </w:tcPr>
          <w:p>
            <w:pPr>
              <w:pStyle w:val="Compact"/>
              <w:spacing w:after="40"/>
              <w:jc w:val="left"/>
            </w:pPr>
            <w:r>
              <w:rPr>
                <w:sz w:val="18"/>
              </w:rPr>
              <w:t xml:space="preserve">[REG] RB-IOS 2026 cl.1(3) [VERIFY clause numbering against the official text]</w:t>
            </w:r>
          </w:p>
        </w:tc>
      </w:tr>
      <w:tr>
        <w:tc>
          <w:tcPr>
            <w:tcW w:w="6491" w:type="dxa"/>
          </w:tcPr>
          <w:p>
            <w:pPr>
              <w:pStyle w:val="Compact"/>
              <w:spacing w:after="40"/>
              <w:jc w:val="left"/>
            </w:pPr>
            <w:r>
              <w:rPr>
                <w:sz w:val="18"/>
              </w:rPr>
              <w:t xml:space="preserve">Maintainability: complaint first made to the RE (cl.10(1)(e)); RE reply period 30 days (cl.10(1)(f)); Ombudsman complaint within</w:t>
            </w:r>
            <w:r>
              <w:rPr>
                <w:sz w:val="18"/>
              </w:rPr>
              <w:t xml:space="preserve"> </w:t>
            </w:r>
            <w:r>
              <w:rPr>
                <w:bCs/>
                <w:b/>
                <w:sz w:val="18"/>
              </w:rPr>
              <w:t xml:space="preserve">90 days</w:t>
            </w:r>
            <w:r>
              <w:rPr>
                <w:sz w:val="18"/>
              </w:rPr>
              <w:t xml:space="preserve"> </w:t>
            </w:r>
            <w:r>
              <w:rPr>
                <w:sz w:val="18"/>
              </w:rPr>
              <w:t xml:space="preserve">from the end of that period or the date of the RE’s last communication,</w:t>
            </w:r>
            <w:r>
              <w:rPr>
                <w:sz w:val="18"/>
              </w:rPr>
              <w:t xml:space="preserve"> </w:t>
            </w:r>
            <w:r>
              <w:rPr>
                <w:bCs/>
                <w:b/>
                <w:sz w:val="18"/>
              </w:rPr>
              <w:t xml:space="preserve">whichever is later</w:t>
            </w:r>
            <w:r>
              <w:rPr>
                <w:sz w:val="18"/>
              </w:rPr>
              <w:t xml:space="preserve"> </w:t>
            </w:r>
            <w:r>
              <w:rPr>
                <w:sz w:val="18"/>
              </w:rPr>
              <w:t xml:space="preserve">(cl.10(1)(g)); an authorised representative may file, but not an advocate unless the advocate is the aggrieved person (cl.10(1)(b)); complaints received under the Scheme before 1 Jul 2026 continue under the 2021 Scheme (cl.20)</w:t>
            </w:r>
          </w:p>
        </w:tc>
        <w:tc>
          <w:tcPr>
            <w:tcW w:w="3147" w:type="dxa"/>
          </w:tcPr>
          <w:p>
            <w:pPr>
              <w:pStyle w:val="Compact"/>
              <w:spacing w:after="40"/>
              <w:jc w:val="left"/>
            </w:pPr>
            <w:r>
              <w:rPr>
                <w:sz w:val="18"/>
              </w:rPr>
              <w:t xml:space="preserve">[REG] RB-IOS 2026; RBI FAQ on RB-IOS 2026 [VERIFY: clause numbering against the official text]</w:t>
            </w:r>
          </w:p>
        </w:tc>
      </w:tr>
      <w:tr>
        <w:tc>
          <w:tcPr>
            <w:tcW w:w="6491" w:type="dxa"/>
          </w:tcPr>
          <w:p>
            <w:pPr>
              <w:pStyle w:val="Compact"/>
              <w:spacing w:after="40"/>
              <w:jc w:val="left"/>
            </w:pPr>
            <w:r>
              <w:rPr>
                <w:sz w:val="18"/>
              </w:rPr>
              <w:t xml:space="preserve">Compensation up to ₹30 lakh for consequential loss and up to ₹3 lakh for loss of time, expenses, harassment and mental anguish; award accepted within 30 days, complied with within 30 days; appeal to the Appellate Authority (Executive Director in charge of CEPD) within 30 days, extendable by 30</w:t>
            </w:r>
          </w:p>
        </w:tc>
        <w:tc>
          <w:tcPr>
            <w:tcW w:w="3147" w:type="dxa"/>
          </w:tcPr>
          <w:p>
            <w:pPr>
              <w:pStyle w:val="Compact"/>
              <w:spacing w:after="40"/>
              <w:jc w:val="left"/>
            </w:pPr>
            <w:r>
              <w:rPr>
                <w:sz w:val="18"/>
              </w:rPr>
              <w:t xml:space="preserve">[REG] RB-IOS 2026 [VERIFY]</w:t>
            </w:r>
          </w:p>
        </w:tc>
      </w:tr>
      <w:tr>
        <w:tc>
          <w:tcPr>
            <w:tcW w:w="6491" w:type="dxa"/>
          </w:tcPr>
          <w:p>
            <w:pPr>
              <w:pStyle w:val="Compact"/>
              <w:spacing w:after="40"/>
              <w:jc w:val="left"/>
            </w:pPr>
            <w:r>
              <w:rPr>
                <w:sz w:val="18"/>
              </w:rPr>
              <w:t xml:space="preserve">Principal Nodal Officer of at least General Manager rank; salient features displayed in English, Hindi and the regional language</w:t>
            </w:r>
          </w:p>
        </w:tc>
        <w:tc>
          <w:tcPr>
            <w:tcW w:w="3147" w:type="dxa"/>
          </w:tcPr>
          <w:p>
            <w:pPr>
              <w:pStyle w:val="Compact"/>
              <w:spacing w:after="40"/>
              <w:jc w:val="left"/>
            </w:pPr>
            <w:r>
              <w:rPr>
                <w:sz w:val="18"/>
              </w:rPr>
              <w:t xml:space="preserve">[REG] RB-IOS 2026 cl.18(2), 18(4)–(6) [VERIFY]</w:t>
            </w:r>
          </w:p>
        </w:tc>
      </w:tr>
      <w:tr>
        <w:tc>
          <w:tcPr>
            <w:tcW w:w="6491" w:type="dxa"/>
          </w:tcPr>
          <w:p>
            <w:pPr>
              <w:pStyle w:val="Compact"/>
              <w:spacing w:after="40"/>
              <w:jc w:val="left"/>
            </w:pPr>
            <w:r>
              <w:rPr>
                <w:sz w:val="18"/>
              </w:rPr>
              <w:t xml:space="preserve">Internal Ombudsman: NBFC-D with 10 or more branches and NBFC-ND with assets of ₹5,000 crore or more and a public interface (HFCs and others excluded); wholly or partly rejected complaints auto-escalated to the IO within 20 days; final reply within 30 days</w:t>
            </w:r>
          </w:p>
        </w:tc>
        <w:tc>
          <w:tcPr>
            <w:tcW w:w="3147" w:type="dxa"/>
          </w:tcPr>
          <w:p>
            <w:pPr>
              <w:pStyle w:val="Compact"/>
              <w:spacing w:after="40"/>
              <w:jc w:val="left"/>
            </w:pPr>
            <w:r>
              <w:rPr>
                <w:sz w:val="18"/>
              </w:rPr>
              <w:t xml:space="preserve">[REG] IO 2026 [VERIFY paragraph numbers]</w:t>
            </w:r>
          </w:p>
        </w:tc>
      </w:tr>
      <w:tr>
        <w:tc>
          <w:tcPr>
            <w:tcW w:w="6491" w:type="dxa"/>
          </w:tcPr>
          <w:p>
            <w:pPr>
              <w:pStyle w:val="Compact"/>
              <w:spacing w:after="40"/>
              <w:jc w:val="left"/>
            </w:pPr>
            <w:r>
              <w:rPr>
                <w:sz w:val="18"/>
              </w:rPr>
              <w:t xml:space="preserve">Credit-information disputes: CI has 21 days to send corrected data; ₹100 per calendar day after 30 days; complaint forms capture bank or UPI details for compensation</w:t>
            </w:r>
          </w:p>
        </w:tc>
        <w:tc>
          <w:tcPr>
            <w:tcW w:w="3147" w:type="dxa"/>
          </w:tcPr>
          <w:p>
            <w:pPr>
              <w:pStyle w:val="Compact"/>
              <w:spacing w:after="40"/>
              <w:jc w:val="left"/>
            </w:pPr>
            <w:r>
              <w:rPr>
                <w:sz w:val="18"/>
              </w:rPr>
              <w:t xml:space="preserve">[REG] CIR paras 34–35</w:t>
            </w:r>
          </w:p>
        </w:tc>
      </w:tr>
    </w:tbl>
    <w:bookmarkEnd w:id="182"/>
    <w:bookmarkStart w:id="183" w:name="lender-redress-profile"/>
    <w:p>
      <w:pPr>
        <w:pStyle w:val="Heading3"/>
      </w:pPr>
      <w:r>
        <w:t xml:space="preserve">Lender redress profile</w:t>
      </w:r>
    </w:p>
    <w:p>
      <w:pPr>
        <w:pStyle w:val="FirstParagraph"/>
      </w:pPr>
      <w:r>
        <w:t xml:space="preserve">Computed per RE from</w:t>
      </w:r>
      <w:r>
        <w:t xml:space="preserve"> </w:t>
      </w:r>
      <w:r>
        <w:rPr>
          <w:rStyle w:val="VerbatimChar"/>
        </w:rPr>
        <w:t xml:space="preserve">re_regulatory_profile</w:t>
      </w:r>
      <w:r>
        <w:t xml:space="preserve"> </w:t>
      </w:r>
      <w:r>
        <w:t xml:space="preserve">and the deal configuration (UP2 section 10), re-evaluated on every asset-size update, and versioned (</w:t>
      </w:r>
      <w:r>
        <w:rPr>
          <w:rStyle w:val="VerbatimChar"/>
        </w:rPr>
        <w:t xml:space="preserve">re_redress_profile</w:t>
      </w:r>
      <w:r>
        <w:t xml:space="preserve">):</w:t>
      </w:r>
    </w:p>
    <w:p>
      <w:pPr>
        <w:numPr>
          <w:ilvl w:val="0"/>
          <w:numId w:val="1104"/>
        </w:numPr>
        <w:pStyle w:val="Compact"/>
      </w:pPr>
      <w:r>
        <w:rPr>
          <w:rStyle w:val="VerbatimChar"/>
        </w:rPr>
        <w:t xml:space="preserve">rbios_covered</w:t>
      </w:r>
      <w:r>
        <w:t xml:space="preserve"> </w:t>
      </w:r>
      <w:r>
        <w:t xml:space="preserve">(deposit-taking, or customer interface and assets ≥ ₹100 crore, and not an excluded class);</w:t>
      </w:r>
    </w:p>
    <w:p>
      <w:pPr>
        <w:numPr>
          <w:ilvl w:val="0"/>
          <w:numId w:val="1104"/>
        </w:numPr>
        <w:pStyle w:val="Compact"/>
      </w:pPr>
      <w:r>
        <w:rPr>
          <w:rStyle w:val="VerbatimChar"/>
        </w:rPr>
        <w:t xml:space="preserve">io_applicable</w:t>
      </w:r>
      <w:r>
        <w:t xml:space="preserve"> </w:t>
      </w:r>
      <w:r>
        <w:t xml:space="preserve">(thresholds above);</w:t>
      </w:r>
    </w:p>
    <w:p>
      <w:pPr>
        <w:numPr>
          <w:ilvl w:val="0"/>
          <w:numId w:val="1104"/>
        </w:numPr>
        <w:pStyle w:val="Compact"/>
      </w:pPr>
      <w:r>
        <w:rPr>
          <w:rStyle w:val="VerbatimChar"/>
        </w:rPr>
        <w:t xml:space="preserve">top_tier</w:t>
      </w:r>
      <w:r>
        <w:t xml:space="preserve"> </w:t>
      </w:r>
      <w:r>
        <w:t xml:space="preserve">=</w:t>
      </w:r>
      <w:r>
        <w:t xml:space="preserve"> </w:t>
      </w:r>
      <w:r>
        <w:rPr>
          <w:rStyle w:val="VerbatimChar"/>
        </w:rPr>
        <w:t xml:space="preserve">RBI_OMBUDSMAN</w:t>
      </w:r>
      <w:r>
        <w:t xml:space="preserve"> </w:t>
      </w:r>
      <w:r>
        <w:t xml:space="preserve">|</w:t>
      </w:r>
      <w:r>
        <w:t xml:space="preserve"> </w:t>
      </w:r>
      <w:r>
        <w:rPr>
          <w:rStyle w:val="VerbatimChar"/>
        </w:rPr>
        <w:t xml:space="preserve">CEPC_REGIONAL_OFFICE</w:t>
      </w:r>
      <w:r>
        <w:t xml:space="preserve"> </w:t>
      </w:r>
      <w:r>
        <w:t xml:space="preserve">(NBFC outside RB-IOS; OUT para 57(4)(ii)) |</w:t>
      </w:r>
      <w:r>
        <w:t xml:space="preserve"> </w:t>
      </w:r>
      <w:r>
        <w:rPr>
          <w:rStyle w:val="VerbatimChar"/>
        </w:rPr>
        <w:t xml:space="preserve">NHB</w:t>
      </w:r>
      <w:r>
        <w:t xml:space="preserve"> </w:t>
      </w:r>
      <w:r>
        <w:t xml:space="preserve">(HFC; [VERIFY current NHB grievance route]) |</w:t>
      </w:r>
      <w:r>
        <w:t xml:space="preserve"> </w:t>
      </w:r>
      <w:r>
        <w:rPr>
          <w:rStyle w:val="VerbatimChar"/>
        </w:rPr>
        <w:t xml:space="preserve">BANK_RBIOS</w:t>
      </w:r>
      <w:r>
        <w:t xml:space="preserve"> </w:t>
      </w:r>
      <w:r>
        <w:t xml:space="preserve">(bank REs) |</w:t>
      </w:r>
      <w:r>
        <w:t xml:space="preserve"> </w:t>
      </w:r>
      <w:r>
        <w:rPr>
          <w:rStyle w:val="VerbatimChar"/>
        </w:rPr>
        <w:t xml:space="preserve">COOP_ROUTE</w:t>
      </w:r>
      <w:r>
        <w:t xml:space="preserve"> </w:t>
      </w:r>
      <w:r>
        <w:t xml:space="preserve">(UP4 societies);</w:t>
      </w:r>
    </w:p>
    <w:p>
      <w:pPr>
        <w:numPr>
          <w:ilvl w:val="0"/>
          <w:numId w:val="1104"/>
        </w:numPr>
        <w:pStyle w:val="Compact"/>
      </w:pPr>
      <w:r>
        <w:t xml:space="preserve">PNO, GRO, IO (as published by the RE), CIC nodal officer, recovery-grievance contact, CEPC regional office address.</w:t>
      </w:r>
    </w:p>
    <w:bookmarkEnd w:id="183"/>
    <w:bookmarkStart w:id="184" w:name="tiers"/>
    <w:p>
      <w:pPr>
        <w:pStyle w:val="Heading3"/>
      </w:pPr>
      <w:r>
        <w:t xml:space="preserve">Tiers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51"/>
        <w:gridCol w:w="2519"/>
        <w:gridCol w:w="2654"/>
        <w:gridCol w:w="3414"/>
      </w:tblGrid>
      <w:tr>
        <w:trPr>
          <w:tblHeader w:val="true"/>
          <w:tblHeader w:val="true"/>
        </w:trPr>
        <w:tc>
          <w:tcPr>
            <w:tcW w:w="1051" w:type="dxa"/>
            <w:shd w:val="clear" w:color="auto" w:fill="1F3A5F"/>
          </w:tcPr>
          <w:p>
            <w:pPr>
              <w:pStyle w:val="Compact"/>
              <w:spacing w:after="40"/>
              <w:jc w:val="left"/>
            </w:pPr>
            <w:r>
              <w:rPr>
                <w:b/>
                <w:color w:val="FFFFFF"/>
                <w:sz w:val="18"/>
              </w:rPr>
              <w:t xml:space="preserve">Tier</w:t>
            </w:r>
          </w:p>
        </w:tc>
        <w:tc>
          <w:tcPr>
            <w:tcW w:w="2519" w:type="dxa"/>
            <w:shd w:val="clear" w:color="auto" w:fill="1F3A5F"/>
          </w:tcPr>
          <w:p>
            <w:pPr>
              <w:pStyle w:val="Compact"/>
              <w:spacing w:after="40"/>
              <w:jc w:val="left"/>
            </w:pPr>
            <w:r>
              <w:rPr>
                <w:b/>
                <w:color w:val="FFFFFF"/>
                <w:sz w:val="18"/>
              </w:rPr>
              <w:t xml:space="preserve">Owner</w:t>
            </w:r>
          </w:p>
        </w:tc>
        <w:tc>
          <w:tcPr>
            <w:tcW w:w="2654" w:type="dxa"/>
            <w:shd w:val="clear" w:color="auto" w:fill="1F3A5F"/>
          </w:tcPr>
          <w:p>
            <w:pPr>
              <w:pStyle w:val="Compact"/>
              <w:spacing w:after="40"/>
              <w:jc w:val="left"/>
            </w:pPr>
            <w:r>
              <w:rPr>
                <w:b/>
                <w:color w:val="FFFFFF"/>
                <w:sz w:val="18"/>
              </w:rPr>
              <w:t xml:space="preserve">Entry</w:t>
            </w:r>
          </w:p>
        </w:tc>
        <w:tc>
          <w:tcPr>
            <w:tcW w:w="3414" w:type="dxa"/>
            <w:shd w:val="clear" w:color="auto" w:fill="1F3A5F"/>
          </w:tcPr>
          <w:p>
            <w:pPr>
              <w:pStyle w:val="Compact"/>
              <w:spacing w:after="40"/>
              <w:jc w:val="left"/>
            </w:pPr>
            <w:r>
              <w:rPr>
                <w:b/>
                <w:color w:val="FFFFFF"/>
                <w:sz w:val="18"/>
              </w:rPr>
              <w:t xml:space="preserve">Timer and automatic action</w:t>
            </w:r>
          </w:p>
        </w:tc>
      </w:tr>
      <w:tr>
        <w:tc>
          <w:tcPr>
            <w:tcW w:w="1051" w:type="dxa"/>
          </w:tcPr>
          <w:p>
            <w:pPr>
              <w:pStyle w:val="Compact"/>
              <w:spacing w:after="40"/>
              <w:jc w:val="left"/>
            </w:pPr>
            <w:r>
              <w:rPr>
                <w:sz w:val="18"/>
              </w:rPr>
              <w:t xml:space="preserve">T0 Help centre</w:t>
            </w:r>
          </w:p>
        </w:tc>
        <w:tc>
          <w:tcPr>
            <w:tcW w:w="2519" w:type="dxa"/>
          </w:tcPr>
          <w:p>
            <w:pPr>
              <w:pStyle w:val="Compact"/>
              <w:spacing w:after="40"/>
              <w:jc w:val="left"/>
            </w:pPr>
            <w:r>
              <w:rPr>
                <w:sz w:val="18"/>
              </w:rPr>
              <w:t xml:space="preserve">Udofin</w:t>
            </w:r>
          </w:p>
        </w:tc>
        <w:tc>
          <w:tcPr>
            <w:tcW w:w="2654" w:type="dxa"/>
          </w:tcPr>
          <w:p>
            <w:pPr>
              <w:pStyle w:val="Compact"/>
              <w:spacing w:after="40"/>
              <w:jc w:val="left"/>
            </w:pPr>
            <w:r>
              <w:rPr>
                <w:sz w:val="18"/>
              </w:rPr>
              <w:t xml:space="preserve">Articles, guided flows, AI assistant (disclosed as AI;</w:t>
            </w:r>
            <w:r>
              <w:rPr>
                <w:sz w:val="18"/>
              </w:rPr>
              <w:t xml:space="preserve"> </w:t>
            </w:r>
            <w:r>
              <w:rPr>
                <w:sz w:val="18"/>
              </w:rPr>
              <w:t xml:space="preserve">“</w:t>
            </w:r>
            <w:r>
              <w:rPr>
                <w:sz w:val="18"/>
              </w:rPr>
              <w:t xml:space="preserve">talk to a human</w:t>
            </w:r>
            <w:r>
              <w:rPr>
                <w:sz w:val="18"/>
              </w:rPr>
              <w:t xml:space="preserve">”</w:t>
            </w:r>
            <w:r>
              <w:rPr>
                <w:sz w:val="18"/>
              </w:rPr>
              <w:t xml:space="preserve"> </w:t>
            </w:r>
            <w:r>
              <w:rPr>
                <w:sz w:val="18"/>
              </w:rPr>
              <w:t xml:space="preserve">always offered)</w:t>
            </w:r>
          </w:p>
        </w:tc>
        <w:tc>
          <w:tcPr>
            <w:tcW w:w="3414" w:type="dxa"/>
          </w:tcPr>
          <w:p>
            <w:pPr>
              <w:pStyle w:val="Compact"/>
              <w:spacing w:after="40"/>
              <w:jc w:val="left"/>
            </w:pPr>
            <w:r>
              <w:rPr>
                <w:sz w:val="18"/>
              </w:rPr>
              <w:t xml:space="preserve">No timer;</w:t>
            </w:r>
            <w:r>
              <w:rPr>
                <w:sz w:val="18"/>
              </w:rPr>
              <w:t xml:space="preserve"> </w:t>
            </w:r>
            <w:r>
              <w:rPr>
                <w:sz w:val="18"/>
              </w:rPr>
              <w:t xml:space="preserve">“</w:t>
            </w:r>
            <w:r>
              <w:rPr>
                <w:sz w:val="18"/>
              </w:rPr>
              <w:t xml:space="preserve">Raise a complaint</w:t>
            </w:r>
            <w:r>
              <w:rPr>
                <w:sz w:val="18"/>
              </w:rPr>
              <w:t xml:space="preserve">”</w:t>
            </w:r>
            <w:r>
              <w:rPr>
                <w:sz w:val="18"/>
              </w:rPr>
              <w:t xml:space="preserve"> </w:t>
            </w:r>
            <w:r>
              <w:rPr>
                <w:sz w:val="18"/>
              </w:rPr>
              <w:t xml:space="preserve">one tap from every screen (UB4)</w:t>
            </w:r>
          </w:p>
        </w:tc>
      </w:tr>
      <w:tr>
        <w:tc>
          <w:tcPr>
            <w:tcW w:w="1051" w:type="dxa"/>
          </w:tcPr>
          <w:p>
            <w:pPr>
              <w:pStyle w:val="Compact"/>
              <w:spacing w:after="40"/>
              <w:jc w:val="left"/>
            </w:pPr>
            <w:r>
              <w:rPr>
                <w:sz w:val="18"/>
              </w:rPr>
              <w:t xml:space="preserve">T1 Udofin nodal grievance officer</w:t>
            </w:r>
          </w:p>
        </w:tc>
        <w:tc>
          <w:tcPr>
            <w:tcW w:w="2519" w:type="dxa"/>
          </w:tcPr>
          <w:p>
            <w:pPr>
              <w:pStyle w:val="Compact"/>
              <w:spacing w:after="40"/>
              <w:jc w:val="left"/>
            </w:pPr>
            <w:r>
              <w:rPr>
                <w:sz w:val="18"/>
              </w:rPr>
              <w:t xml:space="preserve">Udofin (CF para 12(1))</w:t>
            </w:r>
          </w:p>
        </w:tc>
        <w:tc>
          <w:tcPr>
            <w:tcW w:w="2654" w:type="dxa"/>
          </w:tcPr>
          <w:p>
            <w:pPr>
              <w:pStyle w:val="Compact"/>
              <w:spacing w:after="40"/>
              <w:jc w:val="left"/>
            </w:pPr>
            <w:r>
              <w:rPr>
                <w:sz w:val="18"/>
              </w:rPr>
              <w:t xml:space="preserve">App, web, email, phone, assisted channel. A chain may also start at the help section of the RE’s own website or a Finbyx-hosted page; those cases appear in the borrower’s Udofin case list when the grievance host shares them (</w:t>
            </w:r>
            <w:r>
              <w:rPr>
                <w:rStyle w:val="VerbatimChar"/>
                <w:sz w:val="18"/>
              </w:rPr>
              <w:t xml:space="preserve">GrievanceUpdated</w:t>
            </w:r>
            <w:r>
              <w:rPr>
                <w:sz w:val="18"/>
              </w:rPr>
              <w:t xml:space="preserve">)</w:t>
            </w:r>
          </w:p>
        </w:tc>
        <w:tc>
          <w:tcPr>
            <w:tcW w:w="3414" w:type="dxa"/>
          </w:tcPr>
          <w:p>
            <w:pPr>
              <w:pStyle w:val="Compact"/>
              <w:spacing w:after="40"/>
              <w:jc w:val="left"/>
            </w:pPr>
            <w:r>
              <w:rPr>
                <w:sz w:val="18"/>
              </w:rPr>
              <w:t xml:space="preserve">Acknowledgement with reference at once (automated); classification within 1 business day;</w:t>
            </w:r>
            <w:r>
              <w:rPr>
                <w:sz w:val="18"/>
              </w:rPr>
              <w:t xml:space="preserve"> </w:t>
            </w:r>
            <w:r>
              <w:rPr>
                <w:bCs/>
                <w:b/>
                <w:sz w:val="18"/>
              </w:rPr>
              <w:t xml:space="preserve">every complaint about the RE’s product, decision or conduct forwarded to the RE immediately, target within 1 hour</w:t>
            </w:r>
            <w:r>
              <w:rPr>
                <w:sz w:val="18"/>
              </w:rPr>
              <w:t xml:space="preserve"> </w:t>
            </w:r>
            <w:r>
              <w:rPr>
                <w:sz w:val="18"/>
              </w:rPr>
              <w:t xml:space="preserve">(U15), with the RE’s receipt acknowledgement stored; complaints about Udofin’s own conduct resolved within 7 days [REC] and copied to the RE, because the RE stays responsible (CF para 12(3))</w:t>
            </w:r>
          </w:p>
        </w:tc>
      </w:tr>
      <w:tr>
        <w:tc>
          <w:tcPr>
            <w:tcW w:w="1051" w:type="dxa"/>
          </w:tcPr>
          <w:p>
            <w:pPr>
              <w:pStyle w:val="Compact"/>
              <w:spacing w:after="40"/>
              <w:jc w:val="left"/>
            </w:pPr>
            <w:r>
              <w:rPr>
                <w:sz w:val="18"/>
              </w:rPr>
              <w:t xml:space="preserve">T1a Udofin grievance head</w:t>
            </w:r>
          </w:p>
        </w:tc>
        <w:tc>
          <w:tcPr>
            <w:tcW w:w="2519" w:type="dxa"/>
          </w:tcPr>
          <w:p>
            <w:pPr>
              <w:pStyle w:val="Compact"/>
              <w:spacing w:after="40"/>
              <w:jc w:val="left"/>
            </w:pPr>
            <w:r>
              <w:rPr>
                <w:sz w:val="18"/>
              </w:rPr>
              <w:t xml:space="preserve">Udofin</w:t>
            </w:r>
          </w:p>
        </w:tc>
        <w:tc>
          <w:tcPr>
            <w:tcW w:w="2654" w:type="dxa"/>
          </w:tcPr>
          <w:p>
            <w:pPr>
              <w:pStyle w:val="Compact"/>
              <w:spacing w:after="40"/>
              <w:jc w:val="left"/>
            </w:pPr>
            <w:r>
              <w:rPr>
                <w:sz w:val="18"/>
              </w:rPr>
              <w:t xml:space="preserve">Borrower dissatisfied with a Udofin-only reply</w:t>
            </w:r>
          </w:p>
        </w:tc>
        <w:tc>
          <w:tcPr>
            <w:tcW w:w="3414" w:type="dxa"/>
          </w:tcPr>
          <w:p>
            <w:pPr>
              <w:pStyle w:val="Compact"/>
              <w:spacing w:after="40"/>
              <w:jc w:val="left"/>
            </w:pPr>
            <w:r>
              <w:rPr>
                <w:sz w:val="18"/>
              </w:rPr>
              <w:t xml:space="preserve">Next-higher-level review within 7 days [REC; mirrors RBC para 7(2)]</w:t>
            </w:r>
          </w:p>
        </w:tc>
      </w:tr>
      <w:tr>
        <w:tc>
          <w:tcPr>
            <w:tcW w:w="1051" w:type="dxa"/>
          </w:tcPr>
          <w:p>
            <w:pPr>
              <w:pStyle w:val="Compact"/>
              <w:spacing w:after="40"/>
              <w:jc w:val="left"/>
            </w:pPr>
            <w:r>
              <w:rPr>
                <w:sz w:val="18"/>
              </w:rPr>
              <w:t xml:space="preserve">T2 RE GRO</w:t>
            </w:r>
          </w:p>
        </w:tc>
        <w:tc>
          <w:tcPr>
            <w:tcW w:w="2519" w:type="dxa"/>
          </w:tcPr>
          <w:p>
            <w:pPr>
              <w:pStyle w:val="Compact"/>
              <w:spacing w:after="40"/>
              <w:jc w:val="left"/>
            </w:pPr>
            <w:r>
              <w:rPr>
                <w:sz w:val="18"/>
              </w:rPr>
              <w:t xml:space="preserve">RE (OUT para 57(2))</w:t>
            </w:r>
          </w:p>
        </w:tc>
        <w:tc>
          <w:tcPr>
            <w:tcW w:w="2654" w:type="dxa"/>
          </w:tcPr>
          <w:p>
            <w:pPr>
              <w:pStyle w:val="Compact"/>
              <w:spacing w:after="40"/>
              <w:jc w:val="left"/>
            </w:pPr>
            <w:r>
              <w:rPr>
                <w:sz w:val="18"/>
              </w:rPr>
              <w:t xml:space="preserve">Forwarded by Udofin, or direct to the RE (mirrored when the RE shares it)</w:t>
            </w:r>
          </w:p>
        </w:tc>
        <w:tc>
          <w:tcPr>
            <w:tcW w:w="3414" w:type="dxa"/>
          </w:tcPr>
          <w:p>
            <w:pPr>
              <w:pStyle w:val="Compact"/>
              <w:spacing w:after="40"/>
              <w:jc w:val="left"/>
            </w:pPr>
            <w:r>
              <w:rPr>
                <w:sz w:val="18"/>
              </w:rPr>
              <w:t xml:space="preserve">Reply within 30 days of the RE’s receipt; reminder to the RE at day 20 and day 25 [REC]; next-higher-level review inside the RE (RBC para 7(2))</w:t>
            </w:r>
          </w:p>
        </w:tc>
      </w:tr>
      <w:tr>
        <w:tc>
          <w:tcPr>
            <w:tcW w:w="1051" w:type="dxa"/>
          </w:tcPr>
          <w:p>
            <w:pPr>
              <w:pStyle w:val="Compact"/>
              <w:spacing w:after="40"/>
              <w:jc w:val="left"/>
            </w:pPr>
            <w:r>
              <w:rPr>
                <w:sz w:val="18"/>
              </w:rPr>
              <w:t xml:space="preserve">T3 RE Internal Ombudsman</w:t>
            </w:r>
          </w:p>
        </w:tc>
        <w:tc>
          <w:tcPr>
            <w:tcW w:w="2519" w:type="dxa"/>
          </w:tcPr>
          <w:p>
            <w:pPr>
              <w:pStyle w:val="Compact"/>
              <w:spacing w:after="40"/>
              <w:jc w:val="left"/>
            </w:pPr>
            <w:r>
              <w:rPr>
                <w:sz w:val="18"/>
              </w:rPr>
              <w:t xml:space="preserve">RE, if</w:t>
            </w:r>
            <w:r>
              <w:rPr>
                <w:sz w:val="18"/>
              </w:rPr>
              <w:t xml:space="preserve"> </w:t>
            </w:r>
            <w:r>
              <w:rPr>
                <w:rStyle w:val="VerbatimChar"/>
                <w:sz w:val="18"/>
              </w:rPr>
              <w:t xml:space="preserve">io_applicable</w:t>
            </w:r>
          </w:p>
        </w:tc>
        <w:tc>
          <w:tcPr>
            <w:tcW w:w="2654" w:type="dxa"/>
          </w:tcPr>
          <w:p>
            <w:pPr>
              <w:pStyle w:val="Compact"/>
              <w:spacing w:after="40"/>
              <w:jc w:val="left"/>
            </w:pPr>
            <w:r>
              <w:rPr>
                <w:sz w:val="18"/>
              </w:rPr>
              <w:t xml:space="preserve">The RE’s system escalates any partial or full rejection automatically</w:t>
            </w:r>
          </w:p>
        </w:tc>
        <w:tc>
          <w:tcPr>
            <w:tcW w:w="3414" w:type="dxa"/>
          </w:tcPr>
          <w:p>
            <w:pPr>
              <w:pStyle w:val="Compact"/>
              <w:spacing w:after="40"/>
              <w:jc w:val="left"/>
            </w:pPr>
            <w:r>
              <w:rPr>
                <w:sz w:val="18"/>
              </w:rPr>
              <w:t xml:space="preserve">Escalated by day 20; final reply by day 30 (IO 2026); Udofin shows</w:t>
            </w:r>
            <w:r>
              <w:rPr>
                <w:sz w:val="18"/>
              </w:rPr>
              <w:t xml:space="preserve"> </w:t>
            </w:r>
            <w:r>
              <w:rPr>
                <w:sz w:val="18"/>
              </w:rPr>
              <w:t xml:space="preserve">“</w:t>
            </w:r>
            <w:r>
              <w:rPr>
                <w:sz w:val="18"/>
              </w:rPr>
              <w:t xml:space="preserve">under review by [RE name]’s Internal Ombudsman</w:t>
            </w:r>
            <w:r>
              <w:rPr>
                <w:sz w:val="18"/>
              </w:rPr>
              <w:t xml:space="preserve">”</w:t>
            </w:r>
            <w:r>
              <w:rPr>
                <w:sz w:val="18"/>
              </w:rPr>
              <w:t xml:space="preserve"> </w:t>
            </w:r>
            <w:r>
              <w:rPr>
                <w:sz w:val="18"/>
              </w:rPr>
              <w:t xml:space="preserve">from</w:t>
            </w:r>
            <w:r>
              <w:rPr>
                <w:sz w:val="18"/>
              </w:rPr>
              <w:t xml:space="preserve"> </w:t>
            </w:r>
            <w:r>
              <w:rPr>
                <w:rStyle w:val="VerbatimChar"/>
                <w:sz w:val="18"/>
              </w:rPr>
              <w:t xml:space="preserve">GrievanceEscalated</w:t>
            </w:r>
          </w:p>
        </w:tc>
      </w:tr>
      <w:tr>
        <w:tc>
          <w:tcPr>
            <w:tcW w:w="1051" w:type="dxa"/>
          </w:tcPr>
          <w:p>
            <w:pPr>
              <w:pStyle w:val="Compact"/>
              <w:spacing w:after="40"/>
              <w:jc w:val="left"/>
            </w:pPr>
            <w:r>
              <w:rPr>
                <w:sz w:val="18"/>
              </w:rPr>
              <w:t xml:space="preserve">T3’ Principal Nodal Officer</w:t>
            </w:r>
          </w:p>
        </w:tc>
        <w:tc>
          <w:tcPr>
            <w:tcW w:w="2519" w:type="dxa"/>
          </w:tcPr>
          <w:p>
            <w:pPr>
              <w:pStyle w:val="Compact"/>
              <w:spacing w:after="40"/>
              <w:jc w:val="left"/>
            </w:pPr>
            <w:r>
              <w:rPr>
                <w:sz w:val="18"/>
              </w:rPr>
              <w:t xml:space="preserve">RE, if</w:t>
            </w:r>
            <w:r>
              <w:rPr>
                <w:sz w:val="18"/>
              </w:rPr>
              <w:t xml:space="preserve"> </w:t>
            </w:r>
            <w:r>
              <w:rPr>
                <w:rStyle w:val="VerbatimChar"/>
                <w:sz w:val="18"/>
              </w:rPr>
              <w:t xml:space="preserve">rbios_covered</w:t>
            </w:r>
          </w:p>
        </w:tc>
        <w:tc>
          <w:tcPr>
            <w:tcW w:w="2654" w:type="dxa"/>
          </w:tcPr>
          <w:p>
            <w:pPr>
              <w:pStyle w:val="Compact"/>
              <w:spacing w:after="40"/>
              <w:jc w:val="left"/>
            </w:pPr>
            <w:r>
              <w:rPr>
                <w:sz w:val="18"/>
              </w:rPr>
              <w:t xml:space="preserve">Displayed as a contact</w:t>
            </w:r>
          </w:p>
        </w:tc>
        <w:tc>
          <w:tcPr>
            <w:tcW w:w="3414" w:type="dxa"/>
          </w:tcPr>
          <w:p>
            <w:pPr>
              <w:pStyle w:val="Compact"/>
              <w:spacing w:after="40"/>
              <w:jc w:val="left"/>
            </w:pPr>
            <w:r>
              <w:rPr>
                <w:sz w:val="18"/>
              </w:rPr>
              <w:t xml:space="preserve">No separate clock</w:t>
            </w:r>
          </w:p>
        </w:tc>
      </w:tr>
      <w:tr>
        <w:tc>
          <w:tcPr>
            <w:tcW w:w="1051" w:type="dxa"/>
          </w:tcPr>
          <w:p>
            <w:pPr>
              <w:pStyle w:val="Compact"/>
              <w:spacing w:after="40"/>
              <w:jc w:val="left"/>
            </w:pPr>
            <w:r>
              <w:rPr>
                <w:sz w:val="18"/>
              </w:rPr>
              <w:t xml:space="preserve">T4 RBI Ombudsman (CMS or CRPC)</w:t>
            </w:r>
          </w:p>
        </w:tc>
        <w:tc>
          <w:tcPr>
            <w:tcW w:w="2519" w:type="dxa"/>
          </w:tcPr>
          <w:p>
            <w:pPr>
              <w:pStyle w:val="Compact"/>
              <w:spacing w:after="40"/>
              <w:jc w:val="left"/>
            </w:pPr>
            <w:r>
              <w:rPr>
                <w:sz w:val="18"/>
              </w:rPr>
              <w:t xml:space="preserve">RBI</w:t>
            </w:r>
          </w:p>
        </w:tc>
        <w:tc>
          <w:tcPr>
            <w:tcW w:w="2654" w:type="dxa"/>
          </w:tcPr>
          <w:p>
            <w:pPr>
              <w:pStyle w:val="Compact"/>
              <w:spacing w:after="40"/>
              <w:jc w:val="left"/>
            </w:pPr>
            <w:r>
              <w:rPr>
                <w:bCs/>
                <w:b/>
                <w:sz w:val="18"/>
              </w:rPr>
              <w:t xml:space="preserve">The borrower files.</w:t>
            </w:r>
            <w:r>
              <w:rPr>
                <w:sz w:val="18"/>
              </w:rPr>
              <w:t xml:space="preserve"> </w:t>
            </w:r>
            <w:r>
              <w:rPr>
                <w:sz w:val="18"/>
              </w:rPr>
              <w:t xml:space="preserve">Udofin unlocks the</w:t>
            </w:r>
            <w:r>
              <w:rPr>
                <w:sz w:val="18"/>
              </w:rPr>
              <w:t xml:space="preserve"> </w:t>
            </w:r>
            <w:r>
              <w:rPr>
                <w:sz w:val="18"/>
              </w:rPr>
              <w:t xml:space="preserve">“</w:t>
            </w:r>
            <w:r>
              <w:rPr>
                <w:sz w:val="18"/>
              </w:rPr>
              <w:t xml:space="preserve">Take this to the RBI Ombudsman</w:t>
            </w:r>
            <w:r>
              <w:rPr>
                <w:sz w:val="18"/>
              </w:rPr>
              <w:t xml:space="preserve">”</w:t>
            </w:r>
            <w:r>
              <w:rPr>
                <w:sz w:val="18"/>
              </w:rPr>
              <w:t xml:space="preserve"> </w:t>
            </w:r>
            <w:r>
              <w:rPr>
                <w:sz w:val="18"/>
              </w:rPr>
              <w:t xml:space="preserve">panel and the case pack; it never files without the borrower’s own action</w:t>
            </w:r>
          </w:p>
        </w:tc>
        <w:tc>
          <w:tcPr>
            <w:tcW w:w="3414" w:type="dxa"/>
          </w:tcPr>
          <w:p>
            <w:pPr>
              <w:pStyle w:val="Compact"/>
              <w:spacing w:after="40"/>
              <w:jc w:val="left"/>
            </w:pPr>
            <w:r>
              <w:rPr>
                <w:sz w:val="18"/>
              </w:rPr>
              <w:t xml:space="preserve">Opens at the earliest of: RE final reply rejecting wholly or partly, borrower marks the reply unsatisfactory, or expiry of the RE’s 30-day period with no reply;</w:t>
            </w:r>
            <w:r>
              <w:rPr>
                <w:sz w:val="18"/>
              </w:rPr>
              <w:t xml:space="preserve"> </w:t>
            </w:r>
            <w:r>
              <w:rPr>
                <w:bCs/>
                <w:b/>
                <w:sz w:val="18"/>
              </w:rPr>
              <w:t xml:space="preserve">closes 90 days after the later of the end of the RE’s 30-day period and the RE’s last communication</w:t>
            </w:r>
            <w:r>
              <w:rPr>
                <w:sz w:val="18"/>
              </w:rPr>
              <w:t xml:space="preserve"> </w:t>
            </w:r>
            <w:r>
              <w:rPr>
                <w:sz w:val="18"/>
              </w:rPr>
              <w:t xml:space="preserve">(RB-IOS cl.10(1)(g)); countdown shown; a borrower who declares an Ombudsman filing made before 1 Jul 2026 is tagged</w:t>
            </w:r>
            <w:r>
              <w:rPr>
                <w:sz w:val="18"/>
              </w:rPr>
              <w:t xml:space="preserve"> </w:t>
            </w:r>
            <w:r>
              <w:rPr>
                <w:rStyle w:val="VerbatimChar"/>
                <w:sz w:val="18"/>
              </w:rPr>
              <w:t xml:space="preserve">RBIOS_2021</w:t>
            </w:r>
            <w:r>
              <w:rPr>
                <w:sz w:val="18"/>
              </w:rPr>
              <w:t xml:space="preserve"> </w:t>
            </w:r>
            <w:r>
              <w:rPr>
                <w:sz w:val="18"/>
              </w:rPr>
              <w:t xml:space="preserve">and shown the 2021 Scheme position; filings on or after 1 Jul 2026 use the 90-day window even where the RE received the complaint earlier [INTERP; VERIFY cl.20 wording]</w:t>
            </w:r>
          </w:p>
        </w:tc>
      </w:tr>
      <w:tr>
        <w:tc>
          <w:tcPr>
            <w:tcW w:w="1051" w:type="dxa"/>
          </w:tcPr>
          <w:p>
            <w:pPr>
              <w:pStyle w:val="Compact"/>
              <w:spacing w:after="40"/>
              <w:jc w:val="left"/>
            </w:pPr>
            <w:r>
              <w:rPr>
                <w:sz w:val="18"/>
              </w:rPr>
              <w:t xml:space="preserve">T4-alt CEPC of the RBI regional office</w:t>
            </w:r>
          </w:p>
        </w:tc>
        <w:tc>
          <w:tcPr>
            <w:tcW w:w="2519" w:type="dxa"/>
          </w:tcPr>
          <w:p>
            <w:pPr>
              <w:pStyle w:val="Compact"/>
              <w:spacing w:after="40"/>
              <w:jc w:val="left"/>
            </w:pPr>
            <w:r>
              <w:rPr>
                <w:sz w:val="18"/>
              </w:rPr>
              <w:t xml:space="preserve">RBI</w:t>
            </w:r>
          </w:p>
        </w:tc>
        <w:tc>
          <w:tcPr>
            <w:tcW w:w="2654" w:type="dxa"/>
          </w:tcPr>
          <w:p>
            <w:pPr>
              <w:pStyle w:val="Compact"/>
              <w:spacing w:after="40"/>
              <w:jc w:val="left"/>
            </w:pPr>
            <w:r>
              <w:rPr>
                <w:rStyle w:val="VerbatimChar"/>
                <w:sz w:val="18"/>
              </w:rPr>
              <w:t xml:space="preserve">top_tier = CEPC_REGIONAL_OFFICE</w:t>
            </w:r>
          </w:p>
        </w:tc>
        <w:tc>
          <w:tcPr>
            <w:tcW w:w="3414" w:type="dxa"/>
          </w:tcPr>
          <w:p>
            <w:pPr>
              <w:pStyle w:val="Compact"/>
              <w:spacing w:after="40"/>
              <w:jc w:val="left"/>
            </w:pPr>
            <w:r>
              <w:rPr>
                <w:sz w:val="18"/>
              </w:rPr>
              <w:t xml:space="preserve">Same unlocking rule; regional office address from the profile [VERIFY post-2026 CEPC route]</w:t>
            </w:r>
          </w:p>
        </w:tc>
      </w:tr>
      <w:tr>
        <w:tc>
          <w:tcPr>
            <w:tcW w:w="1051" w:type="dxa"/>
          </w:tcPr>
          <w:p>
            <w:pPr>
              <w:pStyle w:val="Compact"/>
              <w:spacing w:after="40"/>
              <w:jc w:val="left"/>
            </w:pPr>
            <w:r>
              <w:rPr>
                <w:sz w:val="18"/>
              </w:rPr>
              <w:t xml:space="preserve">T5 Appellate Authority</w:t>
            </w:r>
          </w:p>
        </w:tc>
        <w:tc>
          <w:tcPr>
            <w:tcW w:w="2519" w:type="dxa"/>
          </w:tcPr>
          <w:p>
            <w:pPr>
              <w:pStyle w:val="Compact"/>
              <w:spacing w:after="40"/>
              <w:jc w:val="left"/>
            </w:pPr>
            <w:r>
              <w:rPr>
                <w:sz w:val="18"/>
              </w:rPr>
              <w:t xml:space="preserve">RBI (ED in charge of CEPD)</w:t>
            </w:r>
          </w:p>
        </w:tc>
        <w:tc>
          <w:tcPr>
            <w:tcW w:w="2654" w:type="dxa"/>
          </w:tcPr>
          <w:p>
            <w:pPr>
              <w:pStyle w:val="Compact"/>
              <w:spacing w:after="40"/>
              <w:jc w:val="left"/>
            </w:pPr>
            <w:r>
              <w:rPr>
                <w:sz w:val="18"/>
              </w:rPr>
              <w:t xml:space="preserve">Borrower appeals an Ombudsman decision</w:t>
            </w:r>
          </w:p>
        </w:tc>
        <w:tc>
          <w:tcPr>
            <w:tcW w:w="3414" w:type="dxa"/>
          </w:tcPr>
          <w:p>
            <w:pPr>
              <w:pStyle w:val="Compact"/>
              <w:spacing w:after="40"/>
              <w:jc w:val="left"/>
            </w:pPr>
            <w:r>
              <w:rPr>
                <w:sz w:val="18"/>
              </w:rPr>
              <w:t xml:space="preserve">30 days, extendable by 30; information only</w:t>
            </w:r>
          </w:p>
        </w:tc>
      </w:tr>
      <w:tr>
        <w:tc>
          <w:tcPr>
            <w:tcW w:w="1051" w:type="dxa"/>
          </w:tcPr>
          <w:p>
            <w:pPr>
              <w:pStyle w:val="Compact"/>
              <w:spacing w:after="40"/>
              <w:jc w:val="left"/>
            </w:pPr>
            <w:r>
              <w:rPr>
                <w:sz w:val="18"/>
              </w:rPr>
              <w:t xml:space="preserve">Co-operative route (UP4)</w:t>
            </w:r>
          </w:p>
        </w:tc>
        <w:tc>
          <w:tcPr>
            <w:tcW w:w="2519" w:type="dxa"/>
          </w:tcPr>
          <w:p>
            <w:pPr>
              <w:pStyle w:val="Compact"/>
              <w:spacing w:after="40"/>
              <w:jc w:val="left"/>
            </w:pPr>
            <w:r>
              <w:rPr>
                <w:sz w:val="18"/>
              </w:rPr>
              <w:t xml:space="preserve">Society GRO → Co-operative Ombudsman (MSCS s.85A; decision within 3 months, appeal to the Central Registrar within 1 month) [VERIFY] or State Registrar → co-operative court or statutory arbitration (MSCS s.84; MH s.91)</w:t>
            </w:r>
          </w:p>
        </w:tc>
        <w:tc>
          <w:tcPr>
            <w:tcW w:w="2654" w:type="dxa"/>
          </w:tcPr>
          <w:p>
            <w:pPr>
              <w:pStyle w:val="Compact"/>
              <w:spacing w:after="40"/>
              <w:jc w:val="left"/>
            </w:pPr>
            <w:r>
              <w:rPr>
                <w:sz w:val="18"/>
              </w:rPr>
              <w:t xml:space="preserve">Society loans only</w:t>
            </w:r>
          </w:p>
        </w:tc>
        <w:tc>
          <w:tcPr>
            <w:tcW w:w="3414" w:type="dxa"/>
          </w:tcPr>
          <w:p>
            <w:pPr>
              <w:pStyle w:val="Compact"/>
              <w:spacing w:after="40"/>
              <w:jc w:val="left"/>
            </w:pPr>
            <w:r>
              <w:rPr>
                <w:sz w:val="18"/>
              </w:rPr>
              <w:t xml:space="preserve">30-day society reply target by contract [REC]; RBI routes not shown</w:t>
            </w:r>
          </w:p>
        </w:tc>
      </w:tr>
    </w:tbl>
    <w:p>
      <w:pPr>
        <w:pStyle w:val="BodyText"/>
      </w:pPr>
      <w:r>
        <w:rPr>
          <w:bCs/>
          <w:b/>
        </w:rPr>
        <w:t xml:space="preserve">Clock rules.</w:t>
      </w:r>
    </w:p>
    <w:p>
      <w:pPr>
        <w:numPr>
          <w:ilvl w:val="0"/>
          <w:numId w:val="1105"/>
        </w:numPr>
        <w:pStyle w:val="Compact"/>
      </w:pPr>
      <w:r>
        <w:rPr>
          <w:bCs/>
          <w:b/>
        </w:rPr>
        <w:t xml:space="preserve">Legal clock start</w:t>
      </w:r>
      <w:r>
        <w:t xml:space="preserve"> </w:t>
      </w:r>
      <w:r>
        <w:t xml:space="preserve">is the RE’s receipt, evidenced by the forwarding acknowledgement; the internal clock starts at Udofin’s receipt. Because forwarding targets 1 hour, the two normally coincide. If the RE has not acknowledged within 1 business day, Udofin escalates to the RE’s nodal officer and displays the Udofin forwarding time as the receipt date, with that basis disclosed in the case pack [INTERP; record the RE’s agreement in the LSP agreement].</w:t>
      </w:r>
    </w:p>
    <w:p>
      <w:pPr>
        <w:numPr>
          <w:ilvl w:val="0"/>
          <w:numId w:val="1105"/>
        </w:numPr>
        <w:pStyle w:val="Compact"/>
      </w:pPr>
      <w:r>
        <w:t xml:space="preserve">Clocks run in calendar days; Udofin’s own SLAs use business days where stated.</w:t>
      </w:r>
    </w:p>
    <w:p>
      <w:pPr>
        <w:numPr>
          <w:ilvl w:val="0"/>
          <w:numId w:val="1105"/>
        </w:numPr>
        <w:pStyle w:val="Compact"/>
      </w:pPr>
      <w:r>
        <w:t xml:space="preserve">A reopened complaint (UB4) sent to the RE gets a new RE receipt time; the T4 window is recomputed from the RE’s last communication.</w:t>
      </w:r>
    </w:p>
    <w:p>
      <w:pPr>
        <w:numPr>
          <w:ilvl w:val="0"/>
          <w:numId w:val="1105"/>
        </w:numPr>
        <w:pStyle w:val="Compact"/>
      </w:pPr>
      <w:r>
        <w:t xml:space="preserve">Udofin never stops or pauses an RE clock; only the RE’s reply events change status.</w:t>
      </w:r>
    </w:p>
    <w:p>
      <w:pPr>
        <w:numPr>
          <w:ilvl w:val="0"/>
          <w:numId w:val="1105"/>
        </w:numPr>
        <w:pStyle w:val="Compact"/>
      </w:pPr>
      <w:r>
        <w:rPr>
          <w:rStyle w:val="VerbatimChar"/>
        </w:rPr>
        <w:t xml:space="preserve">window_closes_at = max(re_received_at + 30 days, last_re_communication_at) + 90 days</w:t>
      </w:r>
      <w:r>
        <w:t xml:space="preserve">, in calendar days and IST; each RE message that is a substantive reply (not an acknowledgement or information request) updates</w:t>
      </w:r>
      <w:r>
        <w:t xml:space="preserve"> </w:t>
      </w:r>
      <w:r>
        <w:rPr>
          <w:rStyle w:val="VerbatimChar"/>
        </w:rPr>
        <w:t xml:space="preserve">last_re_communication_at</w:t>
      </w:r>
      <w:r>
        <w:t xml:space="preserve">.</w:t>
      </w:r>
    </w:p>
    <w:bookmarkEnd w:id="184"/>
    <w:bookmarkStart w:id="185" w:name="sla-timers-and-automatic-escalation"/>
    <w:p>
      <w:pPr>
        <w:pStyle w:val="Heading3"/>
      </w:pPr>
      <w:r>
        <w:t xml:space="preserve">SLA timers and automatic escalation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54"/>
        <w:gridCol w:w="1623"/>
        <w:gridCol w:w="1261"/>
        <w:gridCol w:w="1463"/>
        <w:gridCol w:w="2147"/>
        <w:gridCol w:w="1590"/>
      </w:tblGrid>
      <w:tr>
        <w:trPr>
          <w:tblHeader w:val="true"/>
          <w:tblHeader w:val="true"/>
        </w:trPr>
        <w:tc>
          <w:tcPr>
            <w:tcW w:w="1554" w:type="dxa"/>
            <w:shd w:val="clear" w:color="auto" w:fill="1F3A5F"/>
          </w:tcPr>
          <w:p>
            <w:pPr>
              <w:pStyle w:val="Compact"/>
              <w:spacing w:after="40"/>
              <w:jc w:val="left"/>
            </w:pPr>
            <w:r>
              <w:rPr>
                <w:b/>
                <w:color w:val="FFFFFF"/>
                <w:sz w:val="18"/>
              </w:rPr>
              <w:t xml:space="preserve">Clock</w:t>
            </w:r>
          </w:p>
        </w:tc>
        <w:tc>
          <w:tcPr>
            <w:tcW w:w="1623" w:type="dxa"/>
            <w:shd w:val="clear" w:color="auto" w:fill="1F3A5F"/>
          </w:tcPr>
          <w:p>
            <w:pPr>
              <w:pStyle w:val="Compact"/>
              <w:spacing w:after="40"/>
              <w:jc w:val="left"/>
            </w:pPr>
            <w:r>
              <w:rPr>
                <w:b/>
                <w:color w:val="FFFFFF"/>
                <w:sz w:val="18"/>
              </w:rPr>
              <w:t xml:space="preserve">Starts</w:t>
            </w:r>
          </w:p>
        </w:tc>
        <w:tc>
          <w:tcPr>
            <w:tcW w:w="1261" w:type="dxa"/>
            <w:shd w:val="clear" w:color="auto" w:fill="1F3A5F"/>
          </w:tcPr>
          <w:p>
            <w:pPr>
              <w:pStyle w:val="Compact"/>
              <w:spacing w:after="40"/>
              <w:jc w:val="left"/>
            </w:pPr>
            <w:r>
              <w:rPr>
                <w:b/>
                <w:color w:val="FFFFFF"/>
                <w:sz w:val="18"/>
              </w:rPr>
              <w:t xml:space="preserve">Due</w:t>
            </w:r>
          </w:p>
        </w:tc>
        <w:tc>
          <w:tcPr>
            <w:tcW w:w="1463" w:type="dxa"/>
            <w:shd w:val="clear" w:color="auto" w:fill="1F3A5F"/>
          </w:tcPr>
          <w:p>
            <w:pPr>
              <w:pStyle w:val="Compact"/>
              <w:spacing w:after="40"/>
              <w:jc w:val="left"/>
            </w:pPr>
            <w:r>
              <w:rPr>
                <w:b/>
                <w:color w:val="FFFFFF"/>
                <w:sz w:val="18"/>
              </w:rPr>
              <w:t xml:space="preserve">Reminder</w:t>
            </w:r>
          </w:p>
        </w:tc>
        <w:tc>
          <w:tcPr>
            <w:tcW w:w="2147" w:type="dxa"/>
            <w:shd w:val="clear" w:color="auto" w:fill="1F3A5F"/>
          </w:tcPr>
          <w:p>
            <w:pPr>
              <w:pStyle w:val="Compact"/>
              <w:spacing w:after="40"/>
              <w:jc w:val="left"/>
            </w:pPr>
            <w:r>
              <w:rPr>
                <w:b/>
                <w:color w:val="FFFFFF"/>
                <w:sz w:val="18"/>
              </w:rPr>
              <w:t xml:space="preserve">On breach (automatic)</w:t>
            </w:r>
          </w:p>
        </w:tc>
        <w:tc>
          <w:tcPr>
            <w:tcW w:w="1590" w:type="dxa"/>
            <w:shd w:val="clear" w:color="auto" w:fill="1F3A5F"/>
          </w:tcPr>
          <w:p>
            <w:pPr>
              <w:pStyle w:val="Compact"/>
              <w:spacing w:after="40"/>
              <w:jc w:val="left"/>
            </w:pPr>
            <w:r>
              <w:rPr>
                <w:b/>
                <w:color w:val="FFFFFF"/>
                <w:sz w:val="18"/>
              </w:rPr>
              <w:t xml:space="preserve">Visible to borrower</w:t>
            </w:r>
          </w:p>
        </w:tc>
      </w:tr>
      <w:tr>
        <w:tc>
          <w:tcPr>
            <w:tcW w:w="1554" w:type="dxa"/>
          </w:tcPr>
          <w:p>
            <w:pPr>
              <w:pStyle w:val="Compact"/>
              <w:spacing w:after="40"/>
              <w:jc w:val="left"/>
            </w:pPr>
            <w:r>
              <w:rPr>
                <w:sz w:val="18"/>
              </w:rPr>
              <w:t xml:space="preserve">Acknowledgement</w:t>
            </w:r>
          </w:p>
        </w:tc>
        <w:tc>
          <w:tcPr>
            <w:tcW w:w="1623" w:type="dxa"/>
          </w:tcPr>
          <w:p>
            <w:pPr>
              <w:pStyle w:val="Compact"/>
              <w:spacing w:after="40"/>
              <w:jc w:val="left"/>
            </w:pPr>
            <w:r>
              <w:rPr>
                <w:sz w:val="18"/>
              </w:rPr>
              <w:t xml:space="preserve">Udofin receipt</w:t>
            </w:r>
          </w:p>
        </w:tc>
        <w:tc>
          <w:tcPr>
            <w:tcW w:w="1261" w:type="dxa"/>
          </w:tcPr>
          <w:p>
            <w:pPr>
              <w:pStyle w:val="Compact"/>
              <w:spacing w:after="40"/>
              <w:jc w:val="left"/>
            </w:pPr>
            <w:r>
              <w:rPr>
                <w:sz w:val="18"/>
              </w:rPr>
              <w:t xml:space="preserve">Immediately</w:t>
            </w:r>
          </w:p>
        </w:tc>
        <w:tc>
          <w:tcPr>
            <w:tcW w:w="1463" w:type="dxa"/>
          </w:tcPr>
          <w:p>
            <w:pPr>
              <w:pStyle w:val="Compact"/>
              <w:spacing w:after="40"/>
              <w:jc w:val="left"/>
            </w:pPr>
            <w:r>
              <w:rPr>
                <w:sz w:val="18"/>
              </w:rPr>
              <w:t xml:space="preserve">—</w:t>
            </w:r>
          </w:p>
        </w:tc>
        <w:tc>
          <w:tcPr>
            <w:tcW w:w="2147" w:type="dxa"/>
          </w:tcPr>
          <w:p>
            <w:pPr>
              <w:pStyle w:val="Compact"/>
              <w:spacing w:after="40"/>
              <w:jc w:val="left"/>
            </w:pPr>
            <w:r>
              <w:rPr>
                <w:sz w:val="18"/>
              </w:rPr>
              <w:t xml:space="preserve">Severity-2 alert to Udofin support lead</w:t>
            </w:r>
          </w:p>
        </w:tc>
        <w:tc>
          <w:tcPr>
            <w:tcW w:w="1590" w:type="dxa"/>
          </w:tcPr>
          <w:p>
            <w:pPr>
              <w:pStyle w:val="Compact"/>
              <w:spacing w:after="40"/>
              <w:jc w:val="left"/>
            </w:pPr>
            <w:r>
              <w:rPr>
                <w:sz w:val="18"/>
              </w:rPr>
              <w:t xml:space="preserve">Yes (reference number)</w:t>
            </w:r>
          </w:p>
        </w:tc>
      </w:tr>
      <w:tr>
        <w:tc>
          <w:tcPr>
            <w:tcW w:w="1554" w:type="dxa"/>
          </w:tcPr>
          <w:p>
            <w:pPr>
              <w:pStyle w:val="Compact"/>
              <w:spacing w:after="40"/>
              <w:jc w:val="left"/>
            </w:pPr>
            <w:r>
              <w:rPr>
                <w:sz w:val="18"/>
              </w:rPr>
              <w:t xml:space="preserve">Classification</w:t>
            </w:r>
          </w:p>
        </w:tc>
        <w:tc>
          <w:tcPr>
            <w:tcW w:w="1623" w:type="dxa"/>
          </w:tcPr>
          <w:p>
            <w:pPr>
              <w:pStyle w:val="Compact"/>
              <w:spacing w:after="40"/>
              <w:jc w:val="left"/>
            </w:pPr>
            <w:r>
              <w:rPr>
                <w:sz w:val="18"/>
              </w:rPr>
              <w:t xml:space="preserve">Udofin receipt</w:t>
            </w:r>
          </w:p>
        </w:tc>
        <w:tc>
          <w:tcPr>
            <w:tcW w:w="1261" w:type="dxa"/>
          </w:tcPr>
          <w:p>
            <w:pPr>
              <w:pStyle w:val="Compact"/>
              <w:spacing w:after="40"/>
              <w:jc w:val="left"/>
            </w:pPr>
            <w:r>
              <w:rPr>
                <w:sz w:val="18"/>
              </w:rPr>
              <w:t xml:space="preserve">1 business day</w:t>
            </w:r>
          </w:p>
        </w:tc>
        <w:tc>
          <w:tcPr>
            <w:tcW w:w="1463" w:type="dxa"/>
          </w:tcPr>
          <w:p>
            <w:pPr>
              <w:pStyle w:val="Compact"/>
              <w:spacing w:after="40"/>
              <w:jc w:val="left"/>
            </w:pPr>
            <w:r>
              <w:rPr>
                <w:sz w:val="18"/>
              </w:rPr>
              <w:t xml:space="preserve">4 business hours</w:t>
            </w:r>
          </w:p>
        </w:tc>
        <w:tc>
          <w:tcPr>
            <w:tcW w:w="2147" w:type="dxa"/>
          </w:tcPr>
          <w:p>
            <w:pPr>
              <w:pStyle w:val="Compact"/>
              <w:spacing w:after="40"/>
              <w:jc w:val="left"/>
            </w:pPr>
            <w:r>
              <w:rPr>
                <w:sz w:val="18"/>
              </w:rPr>
              <w:t xml:space="preserve">Page the Udofin grievance head</w:t>
            </w:r>
          </w:p>
        </w:tc>
        <w:tc>
          <w:tcPr>
            <w:tcW w:w="1590" w:type="dxa"/>
          </w:tcPr>
          <w:p>
            <w:pPr>
              <w:pStyle w:val="Compact"/>
              <w:spacing w:after="40"/>
              <w:jc w:val="left"/>
            </w:pPr>
            <w:r>
              <w:rPr>
                <w:sz w:val="18"/>
              </w:rPr>
              <w:t xml:space="preserve">No</w:t>
            </w:r>
          </w:p>
        </w:tc>
      </w:tr>
      <w:tr>
        <w:tc>
          <w:tcPr>
            <w:tcW w:w="1554" w:type="dxa"/>
          </w:tcPr>
          <w:p>
            <w:pPr>
              <w:pStyle w:val="Compact"/>
              <w:spacing w:after="40"/>
              <w:jc w:val="left"/>
            </w:pPr>
            <w:r>
              <w:rPr>
                <w:sz w:val="18"/>
              </w:rPr>
              <w:t xml:space="preserve">Forward to RE</w:t>
            </w:r>
          </w:p>
        </w:tc>
        <w:tc>
          <w:tcPr>
            <w:tcW w:w="1623" w:type="dxa"/>
          </w:tcPr>
          <w:p>
            <w:pPr>
              <w:pStyle w:val="Compact"/>
              <w:spacing w:after="40"/>
              <w:jc w:val="left"/>
            </w:pPr>
            <w:r>
              <w:rPr>
                <w:sz w:val="18"/>
              </w:rPr>
              <w:t xml:space="preserve">Classification</w:t>
            </w:r>
          </w:p>
        </w:tc>
        <w:tc>
          <w:tcPr>
            <w:tcW w:w="1261" w:type="dxa"/>
          </w:tcPr>
          <w:p>
            <w:pPr>
              <w:pStyle w:val="Compact"/>
              <w:spacing w:after="40"/>
              <w:jc w:val="left"/>
            </w:pPr>
            <w:r>
              <w:rPr>
                <w:sz w:val="18"/>
              </w:rPr>
              <w:t xml:space="preserve">1 hour (target)</w:t>
            </w:r>
          </w:p>
        </w:tc>
        <w:tc>
          <w:tcPr>
            <w:tcW w:w="1463" w:type="dxa"/>
          </w:tcPr>
          <w:p>
            <w:pPr>
              <w:pStyle w:val="Compact"/>
              <w:spacing w:after="40"/>
              <w:jc w:val="left"/>
            </w:pPr>
            <w:r>
              <w:rPr>
                <w:sz w:val="18"/>
              </w:rPr>
              <w:t xml:space="preserve">30 minutes</w:t>
            </w:r>
          </w:p>
        </w:tc>
        <w:tc>
          <w:tcPr>
            <w:tcW w:w="2147" w:type="dxa"/>
          </w:tcPr>
          <w:p>
            <w:pPr>
              <w:pStyle w:val="Compact"/>
              <w:spacing w:after="40"/>
              <w:jc w:val="left"/>
            </w:pPr>
            <w:r>
              <w:rPr>
                <w:sz w:val="18"/>
              </w:rPr>
              <w:t xml:space="preserve">Page Udofin GRO; logged in P4</w:t>
            </w:r>
          </w:p>
        </w:tc>
        <w:tc>
          <w:tcPr>
            <w:tcW w:w="1590" w:type="dxa"/>
          </w:tcPr>
          <w:p>
            <w:pPr>
              <w:pStyle w:val="Compact"/>
              <w:spacing w:after="40"/>
              <w:jc w:val="left"/>
            </w:pPr>
            <w:r>
              <w:rPr>
                <w:sz w:val="18"/>
              </w:rPr>
              <w:t xml:space="preserve">Yes (</w:t>
            </w:r>
            <w:r>
              <w:rPr>
                <w:sz w:val="18"/>
              </w:rPr>
              <w:t xml:space="preserve">“</w:t>
            </w:r>
            <w:r>
              <w:rPr>
                <w:sz w:val="18"/>
              </w:rPr>
              <w:t xml:space="preserve">sent to [RE name] at [time]</w:t>
            </w:r>
            <w:r>
              <w:rPr>
                <w:sz w:val="18"/>
              </w:rPr>
              <w:t xml:space="preserve">”</w:t>
            </w:r>
            <w:r>
              <w:rPr>
                <w:sz w:val="18"/>
              </w:rPr>
              <w:t xml:space="preserve">)</w:t>
            </w:r>
          </w:p>
        </w:tc>
      </w:tr>
      <w:tr>
        <w:tc>
          <w:tcPr>
            <w:tcW w:w="1554" w:type="dxa"/>
          </w:tcPr>
          <w:p>
            <w:pPr>
              <w:pStyle w:val="Compact"/>
              <w:spacing w:after="40"/>
              <w:jc w:val="left"/>
            </w:pPr>
            <w:r>
              <w:rPr>
                <w:sz w:val="18"/>
              </w:rPr>
              <w:t xml:space="preserve">RE acknowledgement</w:t>
            </w:r>
          </w:p>
        </w:tc>
        <w:tc>
          <w:tcPr>
            <w:tcW w:w="1623" w:type="dxa"/>
          </w:tcPr>
          <w:p>
            <w:pPr>
              <w:pStyle w:val="Compact"/>
              <w:spacing w:after="40"/>
              <w:jc w:val="left"/>
            </w:pPr>
            <w:r>
              <w:rPr>
                <w:sz w:val="18"/>
              </w:rPr>
              <w:t xml:space="preserve">Forwarding</w:t>
            </w:r>
          </w:p>
        </w:tc>
        <w:tc>
          <w:tcPr>
            <w:tcW w:w="1261" w:type="dxa"/>
          </w:tcPr>
          <w:p>
            <w:pPr>
              <w:pStyle w:val="Compact"/>
              <w:spacing w:after="40"/>
              <w:jc w:val="left"/>
            </w:pPr>
            <w:r>
              <w:rPr>
                <w:sz w:val="18"/>
              </w:rPr>
              <w:t xml:space="preserve">1 business day</w:t>
            </w:r>
          </w:p>
        </w:tc>
        <w:tc>
          <w:tcPr>
            <w:tcW w:w="1463" w:type="dxa"/>
          </w:tcPr>
          <w:p>
            <w:pPr>
              <w:pStyle w:val="Compact"/>
              <w:spacing w:after="40"/>
              <w:jc w:val="left"/>
            </w:pPr>
            <w:r>
              <w:rPr>
                <w:sz w:val="18"/>
              </w:rPr>
              <w:t xml:space="preserve">—</w:t>
            </w:r>
          </w:p>
        </w:tc>
        <w:tc>
          <w:tcPr>
            <w:tcW w:w="2147" w:type="dxa"/>
          </w:tcPr>
          <w:p>
            <w:pPr>
              <w:pStyle w:val="Compact"/>
              <w:spacing w:after="40"/>
              <w:jc w:val="left"/>
            </w:pPr>
            <w:r>
              <w:rPr>
                <w:sz w:val="18"/>
              </w:rPr>
              <w:t xml:space="preserve">Escalate to the RE nodal officer; receipt basis switches to Udofin forwarding time</w:t>
            </w:r>
          </w:p>
        </w:tc>
        <w:tc>
          <w:tcPr>
            <w:tcW w:w="1590" w:type="dxa"/>
          </w:tcPr>
          <w:p>
            <w:pPr>
              <w:pStyle w:val="Compact"/>
              <w:spacing w:after="40"/>
              <w:jc w:val="left"/>
            </w:pPr>
            <w:r>
              <w:rPr>
                <w:sz w:val="18"/>
              </w:rPr>
              <w:t xml:space="preserve">Yes (receipt date and basis)</w:t>
            </w:r>
          </w:p>
        </w:tc>
      </w:tr>
      <w:tr>
        <w:tc>
          <w:tcPr>
            <w:tcW w:w="1554" w:type="dxa"/>
          </w:tcPr>
          <w:p>
            <w:pPr>
              <w:pStyle w:val="Compact"/>
              <w:spacing w:after="40"/>
              <w:jc w:val="left"/>
            </w:pPr>
            <w:r>
              <w:rPr>
                <w:sz w:val="18"/>
              </w:rPr>
              <w:t xml:space="preserve">Udofin-only resolution</w:t>
            </w:r>
          </w:p>
        </w:tc>
        <w:tc>
          <w:tcPr>
            <w:tcW w:w="1623" w:type="dxa"/>
          </w:tcPr>
          <w:p>
            <w:pPr>
              <w:pStyle w:val="Compact"/>
              <w:spacing w:after="40"/>
              <w:jc w:val="left"/>
            </w:pPr>
            <w:r>
              <w:rPr>
                <w:sz w:val="18"/>
              </w:rPr>
              <w:t xml:space="preserve">Udofin receipt</w:t>
            </w:r>
          </w:p>
        </w:tc>
        <w:tc>
          <w:tcPr>
            <w:tcW w:w="1261" w:type="dxa"/>
          </w:tcPr>
          <w:p>
            <w:pPr>
              <w:pStyle w:val="Compact"/>
              <w:spacing w:after="40"/>
              <w:jc w:val="left"/>
            </w:pPr>
            <w:r>
              <w:rPr>
                <w:sz w:val="18"/>
              </w:rPr>
              <w:t xml:space="preserve">7 days [REC]</w:t>
            </w:r>
          </w:p>
        </w:tc>
        <w:tc>
          <w:tcPr>
            <w:tcW w:w="1463" w:type="dxa"/>
          </w:tcPr>
          <w:p>
            <w:pPr>
              <w:pStyle w:val="Compact"/>
              <w:spacing w:after="40"/>
              <w:jc w:val="left"/>
            </w:pPr>
            <w:r>
              <w:rPr>
                <w:sz w:val="18"/>
              </w:rPr>
              <w:t xml:space="preserve">Day 5</w:t>
            </w:r>
          </w:p>
        </w:tc>
        <w:tc>
          <w:tcPr>
            <w:tcW w:w="2147" w:type="dxa"/>
          </w:tcPr>
          <w:p>
            <w:pPr>
              <w:pStyle w:val="Compact"/>
              <w:spacing w:after="40"/>
              <w:jc w:val="left"/>
            </w:pPr>
            <w:r>
              <w:rPr>
                <w:sz w:val="18"/>
              </w:rPr>
              <w:t xml:space="preserve">Auto-escalate to T1a</w:t>
            </w:r>
          </w:p>
        </w:tc>
        <w:tc>
          <w:tcPr>
            <w:tcW w:w="1590" w:type="dxa"/>
          </w:tcPr>
          <w:p>
            <w:pPr>
              <w:pStyle w:val="Compact"/>
              <w:spacing w:after="40"/>
              <w:jc w:val="left"/>
            </w:pPr>
            <w:r>
              <w:rPr>
                <w:sz w:val="18"/>
              </w:rPr>
              <w:t xml:space="preserve">Yes</w:t>
            </w:r>
          </w:p>
        </w:tc>
      </w:tr>
      <w:tr>
        <w:tc>
          <w:tcPr>
            <w:tcW w:w="1554" w:type="dxa"/>
          </w:tcPr>
          <w:p>
            <w:pPr>
              <w:pStyle w:val="Compact"/>
              <w:spacing w:after="40"/>
              <w:jc w:val="left"/>
            </w:pPr>
            <w:r>
              <w:rPr>
                <w:sz w:val="18"/>
              </w:rPr>
              <w:t xml:space="preserve">RE reply</w:t>
            </w:r>
          </w:p>
        </w:tc>
        <w:tc>
          <w:tcPr>
            <w:tcW w:w="1623" w:type="dxa"/>
          </w:tcPr>
          <w:p>
            <w:pPr>
              <w:pStyle w:val="Compact"/>
              <w:spacing w:after="40"/>
              <w:jc w:val="left"/>
            </w:pPr>
            <w:r>
              <w:rPr>
                <w:sz w:val="18"/>
              </w:rPr>
              <w:t xml:space="preserve">RE receipt</w:t>
            </w:r>
          </w:p>
        </w:tc>
        <w:tc>
          <w:tcPr>
            <w:tcW w:w="1261" w:type="dxa"/>
          </w:tcPr>
          <w:p>
            <w:pPr>
              <w:pStyle w:val="Compact"/>
              <w:spacing w:after="40"/>
              <w:jc w:val="left"/>
            </w:pPr>
            <w:r>
              <w:rPr>
                <w:sz w:val="18"/>
              </w:rPr>
              <w:t xml:space="preserve">30 days</w:t>
            </w:r>
          </w:p>
        </w:tc>
        <w:tc>
          <w:tcPr>
            <w:tcW w:w="1463" w:type="dxa"/>
          </w:tcPr>
          <w:p>
            <w:pPr>
              <w:pStyle w:val="Compact"/>
              <w:spacing w:after="40"/>
              <w:jc w:val="left"/>
            </w:pPr>
            <w:r>
              <w:rPr>
                <w:sz w:val="18"/>
              </w:rPr>
              <w:t xml:space="preserve">Day 20, day 25</w:t>
            </w:r>
          </w:p>
        </w:tc>
        <w:tc>
          <w:tcPr>
            <w:tcW w:w="2147" w:type="dxa"/>
          </w:tcPr>
          <w:p>
            <w:pPr>
              <w:pStyle w:val="Compact"/>
              <w:spacing w:after="40"/>
              <w:jc w:val="left"/>
            </w:pPr>
            <w:r>
              <w:rPr>
                <w:sz w:val="18"/>
              </w:rPr>
              <w:t xml:space="preserve">Unlock T4 panel on day 31; page Udofin compliance and the RE nodal officer at day 25</w:t>
            </w:r>
          </w:p>
        </w:tc>
        <w:tc>
          <w:tcPr>
            <w:tcW w:w="1590" w:type="dxa"/>
          </w:tcPr>
          <w:p>
            <w:pPr>
              <w:pStyle w:val="Compact"/>
              <w:spacing w:after="40"/>
              <w:jc w:val="left"/>
            </w:pPr>
            <w:r>
              <w:rPr>
                <w:sz w:val="18"/>
              </w:rPr>
              <w:t xml:space="preserve">Yes (countdown)</w:t>
            </w:r>
          </w:p>
        </w:tc>
      </w:tr>
      <w:tr>
        <w:tc>
          <w:tcPr>
            <w:tcW w:w="1554" w:type="dxa"/>
          </w:tcPr>
          <w:p>
            <w:pPr>
              <w:pStyle w:val="Compact"/>
              <w:spacing w:after="40"/>
              <w:jc w:val="left"/>
            </w:pPr>
            <w:r>
              <w:rPr>
                <w:sz w:val="18"/>
              </w:rPr>
              <w:t xml:space="preserve">IO escalation (</w:t>
            </w:r>
            <w:r>
              <w:rPr>
                <w:rStyle w:val="VerbatimChar"/>
                <w:sz w:val="18"/>
              </w:rPr>
              <w:t xml:space="preserve">io_applicable</w:t>
            </w:r>
            <w:r>
              <w:rPr>
                <w:sz w:val="18"/>
              </w:rPr>
              <w:t xml:space="preserve">)</w:t>
            </w:r>
          </w:p>
        </w:tc>
        <w:tc>
          <w:tcPr>
            <w:tcW w:w="1623" w:type="dxa"/>
          </w:tcPr>
          <w:p>
            <w:pPr>
              <w:pStyle w:val="Compact"/>
              <w:spacing w:after="40"/>
              <w:jc w:val="left"/>
            </w:pPr>
            <w:r>
              <w:rPr>
                <w:sz w:val="18"/>
              </w:rPr>
              <w:t xml:space="preserve">RE partial or full rejection</w:t>
            </w:r>
          </w:p>
        </w:tc>
        <w:tc>
          <w:tcPr>
            <w:tcW w:w="1261" w:type="dxa"/>
          </w:tcPr>
          <w:p>
            <w:pPr>
              <w:pStyle w:val="Compact"/>
              <w:spacing w:after="40"/>
              <w:jc w:val="left"/>
            </w:pPr>
            <w:r>
              <w:rPr>
                <w:sz w:val="18"/>
              </w:rPr>
              <w:t xml:space="preserve">20 days</w:t>
            </w:r>
          </w:p>
        </w:tc>
        <w:tc>
          <w:tcPr>
            <w:tcW w:w="1463" w:type="dxa"/>
          </w:tcPr>
          <w:p>
            <w:pPr>
              <w:pStyle w:val="Compact"/>
              <w:spacing w:after="40"/>
              <w:jc w:val="left"/>
            </w:pPr>
            <w:r>
              <w:rPr>
                <w:sz w:val="18"/>
              </w:rPr>
              <w:t xml:space="preserve">Day 15</w:t>
            </w:r>
          </w:p>
        </w:tc>
        <w:tc>
          <w:tcPr>
            <w:tcW w:w="2147" w:type="dxa"/>
          </w:tcPr>
          <w:p>
            <w:pPr>
              <w:pStyle w:val="Compact"/>
              <w:spacing w:after="40"/>
              <w:jc w:val="left"/>
            </w:pPr>
            <w:r>
              <w:rPr>
                <w:sz w:val="18"/>
              </w:rPr>
              <w:t xml:space="preserve">Internal escalation page if no IO status</w:t>
            </w:r>
          </w:p>
        </w:tc>
        <w:tc>
          <w:tcPr>
            <w:tcW w:w="1590" w:type="dxa"/>
          </w:tcPr>
          <w:p>
            <w:pPr>
              <w:pStyle w:val="Compact"/>
              <w:spacing w:after="40"/>
              <w:jc w:val="left"/>
            </w:pPr>
            <w:r>
              <w:rPr>
                <w:sz w:val="18"/>
              </w:rPr>
              <w:t xml:space="preserve">Yes (</w:t>
            </w:r>
            <w:r>
              <w:rPr>
                <w:sz w:val="18"/>
              </w:rPr>
              <w:t xml:space="preserve">“</w:t>
            </w:r>
            <w:r>
              <w:rPr>
                <w:sz w:val="18"/>
              </w:rPr>
              <w:t xml:space="preserve">under review by the Internal Ombudsman</w:t>
            </w:r>
            <w:r>
              <w:rPr>
                <w:sz w:val="18"/>
              </w:rPr>
              <w:t xml:space="preserve">”</w:t>
            </w:r>
            <w:r>
              <w:rPr>
                <w:sz w:val="18"/>
              </w:rPr>
              <w:t xml:space="preserve">)</w:t>
            </w:r>
          </w:p>
        </w:tc>
      </w:tr>
      <w:tr>
        <w:tc>
          <w:tcPr>
            <w:tcW w:w="1554" w:type="dxa"/>
          </w:tcPr>
          <w:p>
            <w:pPr>
              <w:pStyle w:val="Compact"/>
              <w:spacing w:after="40"/>
              <w:jc w:val="left"/>
            </w:pPr>
            <w:r>
              <w:rPr>
                <w:sz w:val="18"/>
              </w:rPr>
              <w:t xml:space="preserve">External window</w:t>
            </w:r>
          </w:p>
        </w:tc>
        <w:tc>
          <w:tcPr>
            <w:tcW w:w="1623" w:type="dxa"/>
          </w:tcPr>
          <w:p>
            <w:pPr>
              <w:pStyle w:val="Compact"/>
              <w:spacing w:after="40"/>
              <w:jc w:val="left"/>
            </w:pPr>
            <w:r>
              <w:rPr>
                <w:sz w:val="18"/>
              </w:rPr>
              <w:t xml:space="preserve">Later of RE period end and last RE communication</w:t>
            </w:r>
          </w:p>
        </w:tc>
        <w:tc>
          <w:tcPr>
            <w:tcW w:w="1261" w:type="dxa"/>
          </w:tcPr>
          <w:p>
            <w:pPr>
              <w:pStyle w:val="Compact"/>
              <w:spacing w:after="40"/>
              <w:jc w:val="left"/>
            </w:pPr>
            <w:r>
              <w:rPr>
                <w:sz w:val="18"/>
              </w:rPr>
              <w:t xml:space="preserve">+ 90 days</w:t>
            </w:r>
          </w:p>
        </w:tc>
        <w:tc>
          <w:tcPr>
            <w:tcW w:w="1463" w:type="dxa"/>
          </w:tcPr>
          <w:p>
            <w:pPr>
              <w:pStyle w:val="Compact"/>
              <w:spacing w:after="40"/>
              <w:jc w:val="left"/>
            </w:pPr>
            <w:r>
              <w:rPr>
                <w:sz w:val="18"/>
              </w:rPr>
              <w:t xml:space="preserve">30, 14 and 3 days before close (opt-in)</w:t>
            </w:r>
          </w:p>
        </w:tc>
        <w:tc>
          <w:tcPr>
            <w:tcW w:w="2147" w:type="dxa"/>
          </w:tcPr>
          <w:p>
            <w:pPr>
              <w:pStyle w:val="Compact"/>
              <w:spacing w:after="40"/>
              <w:jc w:val="left"/>
            </w:pPr>
            <w:r>
              <w:rPr>
                <w:sz w:val="18"/>
              </w:rPr>
              <w:t xml:space="preserve">Panel shows</w:t>
            </w:r>
            <w:r>
              <w:rPr>
                <w:sz w:val="18"/>
              </w:rPr>
              <w:t xml:space="preserve"> </w:t>
            </w:r>
            <w:r>
              <w:rPr>
                <w:sz w:val="18"/>
              </w:rPr>
              <w:t xml:space="preserve">“</w:t>
            </w:r>
            <w:r>
              <w:rPr>
                <w:sz w:val="18"/>
              </w:rPr>
              <w:t xml:space="preserve">window closed</w:t>
            </w:r>
            <w:r>
              <w:rPr>
                <w:sz w:val="18"/>
              </w:rPr>
              <w:t xml:space="preserve">”</w:t>
            </w:r>
            <w:r>
              <w:rPr>
                <w:sz w:val="18"/>
              </w:rPr>
              <w:t xml:space="preserve"> </w:t>
            </w:r>
            <w:r>
              <w:rPr>
                <w:sz w:val="18"/>
              </w:rPr>
              <w:t xml:space="preserve">with other remedies (consumer commission, courts)</w:t>
            </w:r>
          </w:p>
        </w:tc>
        <w:tc>
          <w:tcPr>
            <w:tcW w:w="1590" w:type="dxa"/>
          </w:tcPr>
          <w:p>
            <w:pPr>
              <w:pStyle w:val="Compact"/>
              <w:spacing w:after="40"/>
              <w:jc w:val="left"/>
            </w:pPr>
            <w:r>
              <w:rPr>
                <w:sz w:val="18"/>
              </w:rPr>
              <w:t xml:space="preserve">Yes</w:t>
            </w:r>
          </w:p>
        </w:tc>
      </w:tr>
      <w:tr>
        <w:tc>
          <w:tcPr>
            <w:tcW w:w="1554" w:type="dxa"/>
          </w:tcPr>
          <w:p>
            <w:pPr>
              <w:pStyle w:val="Compact"/>
              <w:spacing w:after="40"/>
              <w:jc w:val="left"/>
            </w:pPr>
            <w:r>
              <w:rPr>
                <w:sz w:val="18"/>
              </w:rPr>
              <w:t xml:space="preserve">Credit information (CIR para 35)</w:t>
            </w:r>
          </w:p>
        </w:tc>
        <w:tc>
          <w:tcPr>
            <w:tcW w:w="1623" w:type="dxa"/>
          </w:tcPr>
          <w:p>
            <w:pPr>
              <w:pStyle w:val="Compact"/>
              <w:spacing w:after="40"/>
              <w:jc w:val="left"/>
            </w:pPr>
            <w:r>
              <w:rPr>
                <w:sz w:val="18"/>
              </w:rPr>
              <w:t xml:space="preserve">Complaint to the CI</w:t>
            </w:r>
          </w:p>
        </w:tc>
        <w:tc>
          <w:tcPr>
            <w:tcW w:w="1261" w:type="dxa"/>
          </w:tcPr>
          <w:p>
            <w:pPr>
              <w:pStyle w:val="Compact"/>
              <w:spacing w:after="40"/>
              <w:jc w:val="left"/>
            </w:pPr>
            <w:r>
              <w:rPr>
                <w:sz w:val="18"/>
              </w:rPr>
              <w:t xml:space="preserve">21 days (CI), 30 days overall</w:t>
            </w:r>
          </w:p>
        </w:tc>
        <w:tc>
          <w:tcPr>
            <w:tcW w:w="1463" w:type="dxa"/>
          </w:tcPr>
          <w:p>
            <w:pPr>
              <w:pStyle w:val="Compact"/>
              <w:spacing w:after="40"/>
              <w:jc w:val="left"/>
            </w:pPr>
            <w:r>
              <w:rPr>
                <w:sz w:val="18"/>
              </w:rPr>
              <w:t xml:space="preserve">Day 15</w:t>
            </w:r>
          </w:p>
        </w:tc>
        <w:tc>
          <w:tcPr>
            <w:tcW w:w="2147" w:type="dxa"/>
          </w:tcPr>
          <w:p>
            <w:pPr>
              <w:pStyle w:val="Compact"/>
              <w:spacing w:after="40"/>
              <w:jc w:val="left"/>
            </w:pPr>
            <w:r>
              <w:rPr>
                <w:sz w:val="18"/>
              </w:rPr>
              <w:t xml:space="preserve">Compensation clock (₹100 per day) shown</w:t>
            </w:r>
          </w:p>
        </w:tc>
        <w:tc>
          <w:tcPr>
            <w:tcW w:w="1590" w:type="dxa"/>
          </w:tcPr>
          <w:p>
            <w:pPr>
              <w:pStyle w:val="Compact"/>
              <w:spacing w:after="40"/>
              <w:jc w:val="left"/>
            </w:pPr>
            <w:r>
              <w:rPr>
                <w:sz w:val="18"/>
              </w:rPr>
              <w:t xml:space="preserve">Yes</w:t>
            </w:r>
          </w:p>
        </w:tc>
      </w:tr>
      <w:tr>
        <w:tc>
          <w:tcPr>
            <w:tcW w:w="1554" w:type="dxa"/>
          </w:tcPr>
          <w:p>
            <w:pPr>
              <w:pStyle w:val="Compact"/>
              <w:spacing w:after="40"/>
              <w:jc w:val="left"/>
            </w:pPr>
            <w:r>
              <w:rPr>
                <w:sz w:val="18"/>
              </w:rPr>
              <w:t xml:space="preserve">Priority tags (</w:t>
            </w:r>
            <w:r>
              <w:rPr>
                <w:rStyle w:val="VerbatimChar"/>
                <w:sz w:val="18"/>
              </w:rPr>
              <w:t xml:space="preserve">recovery_conduct</w:t>
            </w:r>
            <w:r>
              <w:rPr>
                <w:sz w:val="18"/>
              </w:rPr>
              <w:t xml:space="preserve">,</w:t>
            </w:r>
            <w:r>
              <w:rPr>
                <w:sz w:val="18"/>
              </w:rPr>
              <w:t xml:space="preserve"> </w:t>
            </w:r>
            <w:r>
              <w:rPr>
                <w:rStyle w:val="VerbatimChar"/>
                <w:sz w:val="18"/>
              </w:rPr>
              <w:t xml:space="preserve">fraud</w:t>
            </w:r>
            <w:r>
              <w:rPr>
                <w:sz w:val="18"/>
              </w:rPr>
              <w:t xml:space="preserve">,</w:t>
            </w:r>
            <w:r>
              <w:rPr>
                <w:sz w:val="18"/>
              </w:rPr>
              <w:t xml:space="preserve"> </w:t>
            </w:r>
            <w:r>
              <w:rPr>
                <w:rStyle w:val="VerbatimChar"/>
                <w:sz w:val="18"/>
              </w:rPr>
              <w:t xml:space="preserve">PwD</w:t>
            </w:r>
            <w:r>
              <w:rPr>
                <w:sz w:val="18"/>
              </w:rPr>
              <w:t xml:space="preserve">)</w:t>
            </w:r>
          </w:p>
        </w:tc>
        <w:tc>
          <w:tcPr>
            <w:tcW w:w="1623" w:type="dxa"/>
          </w:tcPr>
          <w:p>
            <w:pPr>
              <w:pStyle w:val="Compact"/>
              <w:spacing w:after="40"/>
              <w:jc w:val="left"/>
            </w:pPr>
            <w:r>
              <w:rPr>
                <w:sz w:val="18"/>
              </w:rPr>
              <w:t xml:space="preserve">Udofin receipt</w:t>
            </w:r>
          </w:p>
        </w:tc>
        <w:tc>
          <w:tcPr>
            <w:tcW w:w="1261" w:type="dxa"/>
          </w:tcPr>
          <w:p>
            <w:pPr>
              <w:pStyle w:val="Compact"/>
              <w:spacing w:after="40"/>
              <w:jc w:val="left"/>
            </w:pPr>
            <w:r>
              <w:rPr>
                <w:sz w:val="18"/>
              </w:rPr>
              <w:t xml:space="preserve">First action in 24 hours</w:t>
            </w:r>
          </w:p>
        </w:tc>
        <w:tc>
          <w:tcPr>
            <w:tcW w:w="1463" w:type="dxa"/>
          </w:tcPr>
          <w:p>
            <w:pPr>
              <w:pStyle w:val="Compact"/>
              <w:spacing w:after="40"/>
              <w:jc w:val="left"/>
            </w:pPr>
            <w:r>
              <w:rPr>
                <w:sz w:val="18"/>
              </w:rPr>
              <w:t xml:space="preserve">12 hours</w:t>
            </w:r>
          </w:p>
        </w:tc>
        <w:tc>
          <w:tcPr>
            <w:tcW w:w="2147" w:type="dxa"/>
          </w:tcPr>
          <w:p>
            <w:pPr>
              <w:pStyle w:val="Compact"/>
              <w:spacing w:after="40"/>
              <w:jc w:val="left"/>
            </w:pPr>
            <w:r>
              <w:rPr>
                <w:sz w:val="18"/>
              </w:rPr>
              <w:t xml:space="preserve">Page Udofin compliance and the RE nodal officer</w:t>
            </w:r>
          </w:p>
        </w:tc>
        <w:tc>
          <w:tcPr>
            <w:tcW w:w="1590" w:type="dxa"/>
          </w:tcPr>
          <w:p>
            <w:pPr>
              <w:pStyle w:val="Compact"/>
              <w:spacing w:after="40"/>
              <w:jc w:val="left"/>
            </w:pPr>
            <w:r>
              <w:rPr>
                <w:sz w:val="18"/>
              </w:rPr>
              <w:t xml:space="preserve">Yes</w:t>
            </w:r>
          </w:p>
        </w:tc>
      </w:tr>
    </w:tbl>
    <w:bookmarkEnd w:id="185"/>
    <w:bookmarkStart w:id="186" w:name="X31574529ba915248acd2669ba100dc5b3ada3e7"/>
    <w:p>
      <w:pPr>
        <w:pStyle w:val="Heading3"/>
      </w:pPr>
      <w:r>
        <w:t xml:space="preserve">Parallel routes (shown by subject, never in place of the RBI route for an RE complaint)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75"/>
        <w:gridCol w:w="3936"/>
        <w:gridCol w:w="3827"/>
      </w:tblGrid>
      <w:tr>
        <w:trPr>
          <w:tblHeader w:val="true"/>
          <w:tblHeader w:val="true"/>
        </w:trPr>
        <w:tc>
          <w:tcPr>
            <w:tcW w:w="1875" w:type="dxa"/>
            <w:shd w:val="clear" w:color="auto" w:fill="1F3A5F"/>
          </w:tcPr>
          <w:p>
            <w:pPr>
              <w:pStyle w:val="Compact"/>
              <w:spacing w:after="40"/>
              <w:jc w:val="left"/>
            </w:pPr>
            <w:r>
              <w:rPr>
                <w:b/>
                <w:color w:val="FFFFFF"/>
                <w:sz w:val="18"/>
              </w:rPr>
              <w:t xml:space="preserve">Subject</w:t>
            </w:r>
          </w:p>
        </w:tc>
        <w:tc>
          <w:tcPr>
            <w:tcW w:w="3936" w:type="dxa"/>
            <w:shd w:val="clear" w:color="auto" w:fill="1F3A5F"/>
          </w:tcPr>
          <w:p>
            <w:pPr>
              <w:pStyle w:val="Compact"/>
              <w:spacing w:after="40"/>
              <w:jc w:val="left"/>
            </w:pPr>
            <w:r>
              <w:rPr>
                <w:b/>
                <w:color w:val="FFFFFF"/>
                <w:sz w:val="18"/>
              </w:rPr>
              <w:t xml:space="preserve">Route</w:t>
            </w:r>
          </w:p>
        </w:tc>
        <w:tc>
          <w:tcPr>
            <w:tcW w:w="3827" w:type="dxa"/>
            <w:shd w:val="clear" w:color="auto" w:fill="1F3A5F"/>
          </w:tcPr>
          <w:p>
            <w:pPr>
              <w:pStyle w:val="Compact"/>
              <w:spacing w:after="40"/>
              <w:jc w:val="left"/>
            </w:pPr>
            <w:r>
              <w:rPr>
                <w:b/>
                <w:color w:val="FFFFFF"/>
                <w:sz w:val="18"/>
              </w:rPr>
              <w:t xml:space="preserve">Udofin role</w:t>
            </w:r>
          </w:p>
        </w:tc>
      </w:tr>
      <w:tr>
        <w:tc>
          <w:tcPr>
            <w:tcW w:w="1875" w:type="dxa"/>
          </w:tcPr>
          <w:p>
            <w:pPr>
              <w:pStyle w:val="Compact"/>
              <w:spacing w:after="40"/>
              <w:jc w:val="left"/>
            </w:pPr>
            <w:r>
              <w:rPr>
                <w:sz w:val="18"/>
              </w:rPr>
              <w:t xml:space="preserve">Credit information report errors</w:t>
            </w:r>
          </w:p>
        </w:tc>
        <w:tc>
          <w:tcPr>
            <w:tcW w:w="3936" w:type="dxa"/>
          </w:tcPr>
          <w:p>
            <w:pPr>
              <w:pStyle w:val="Compact"/>
              <w:spacing w:after="40"/>
              <w:jc w:val="left"/>
            </w:pPr>
            <w:r>
              <w:rPr>
                <w:sz w:val="18"/>
              </w:rPr>
              <w:t xml:space="preserve">RE’s CIC nodal officer (CIR para 34(2)) or the CIC directly; 21-day and 30-day clocks; ₹100 per day thereafter (CIR para 35); then RB-IOS (CICs are covered except CICRA s.18 matters) or CEPC</w:t>
            </w:r>
          </w:p>
        </w:tc>
        <w:tc>
          <w:tcPr>
            <w:tcW w:w="3827" w:type="dxa"/>
          </w:tcPr>
          <w:p>
            <w:pPr>
              <w:pStyle w:val="Compact"/>
              <w:spacing w:after="40"/>
              <w:jc w:val="left"/>
            </w:pPr>
            <w:r>
              <w:rPr>
                <w:sz w:val="18"/>
              </w:rPr>
              <w:t xml:space="preserve">Category</w:t>
            </w:r>
            <w:r>
              <w:rPr>
                <w:sz w:val="18"/>
              </w:rPr>
              <w:t xml:space="preserve"> </w:t>
            </w:r>
            <w:r>
              <w:rPr>
                <w:rStyle w:val="VerbatimChar"/>
                <w:sz w:val="18"/>
              </w:rPr>
              <w:t xml:space="preserve">credit_information</w:t>
            </w:r>
            <w:r>
              <w:rPr>
                <w:sz w:val="18"/>
              </w:rPr>
              <w:t xml:space="preserve"> </w:t>
            </w:r>
            <w:r>
              <w:rPr>
                <w:sz w:val="18"/>
              </w:rPr>
              <w:t xml:space="preserve">with mandatory bank or UPI details for compensation (CIR para 35(8)); immediate forwarding; for wellness credit reports (Part 7D FW1), a deep link to the CIC’s own dispute page</w:t>
            </w:r>
          </w:p>
        </w:tc>
      </w:tr>
      <w:tr>
        <w:tc>
          <w:tcPr>
            <w:tcW w:w="1875" w:type="dxa"/>
          </w:tcPr>
          <w:p>
            <w:pPr>
              <w:pStyle w:val="Compact"/>
              <w:spacing w:after="40"/>
              <w:jc w:val="left"/>
            </w:pPr>
            <w:r>
              <w:rPr>
                <w:sz w:val="18"/>
              </w:rPr>
              <w:t xml:space="preserve">Insurance (Part 7F products or RE-arranged cover)</w:t>
            </w:r>
          </w:p>
        </w:tc>
        <w:tc>
          <w:tcPr>
            <w:tcW w:w="3936" w:type="dxa"/>
          </w:tcPr>
          <w:p>
            <w:pPr>
              <w:pStyle w:val="Compact"/>
              <w:spacing w:after="40"/>
              <w:jc w:val="left"/>
            </w:pPr>
            <w:r>
              <w:rPr>
                <w:sz w:val="18"/>
              </w:rPr>
              <w:t xml:space="preserve">Insurer’s GRO → Bima Bharosa (optional) → Insurance Ombudsman under the Insurance Ombudsman Rules, 2017 via the CIO portal, within 1 year of the insurer’s reply, claims up to ₹50 lakh [VERIFY rule numbers and limits]</w:t>
            </w:r>
          </w:p>
        </w:tc>
        <w:tc>
          <w:tcPr>
            <w:tcW w:w="3827" w:type="dxa"/>
          </w:tcPr>
          <w:p>
            <w:pPr>
              <w:pStyle w:val="Compact"/>
              <w:spacing w:after="40"/>
              <w:jc w:val="left"/>
            </w:pPr>
            <w:r>
              <w:rPr>
                <w:sz w:val="18"/>
              </w:rPr>
              <w:t xml:space="preserve">Information, claim-assistance tracking, case pack; never decides</w:t>
            </w:r>
          </w:p>
        </w:tc>
      </w:tr>
      <w:tr>
        <w:tc>
          <w:tcPr>
            <w:tcW w:w="1875" w:type="dxa"/>
          </w:tcPr>
          <w:p>
            <w:pPr>
              <w:pStyle w:val="Compact"/>
              <w:spacing w:after="40"/>
              <w:jc w:val="left"/>
            </w:pPr>
            <w:r>
              <w:rPr>
                <w:sz w:val="18"/>
              </w:rPr>
              <w:t xml:space="preserve">Personal data</w:t>
            </w:r>
          </w:p>
        </w:tc>
        <w:tc>
          <w:tcPr>
            <w:tcW w:w="3936" w:type="dxa"/>
          </w:tcPr>
          <w:p>
            <w:pPr>
              <w:pStyle w:val="Compact"/>
              <w:spacing w:after="40"/>
              <w:jc w:val="left"/>
            </w:pPr>
            <w:r>
              <w:rPr>
                <w:sz w:val="18"/>
              </w:rPr>
              <w:t xml:space="preserve">Udofin’s (or the RE’s) data-protection contact → exhaust under DPDP s.13 → Data Protection Board of India (from 13 May 2027 [VERIFY]); before then the grievance officer under the IT Act and SPDI Rules [VERIFY]</w:t>
            </w:r>
          </w:p>
        </w:tc>
        <w:tc>
          <w:tcPr>
            <w:tcW w:w="3827" w:type="dxa"/>
          </w:tcPr>
          <w:p>
            <w:pPr>
              <w:pStyle w:val="Compact"/>
              <w:spacing w:after="40"/>
              <w:jc w:val="left"/>
            </w:pPr>
            <w:r>
              <w:rPr>
                <w:sz w:val="18"/>
              </w:rPr>
              <w:t xml:space="preserve">U4 request and UB3 category</w:t>
            </w:r>
            <w:r>
              <w:rPr>
                <w:sz w:val="18"/>
              </w:rPr>
              <w:t xml:space="preserve"> </w:t>
            </w:r>
            <w:r>
              <w:rPr>
                <w:rStyle w:val="VerbatimChar"/>
                <w:sz w:val="18"/>
              </w:rPr>
              <w:t xml:space="preserve">personal_data</w:t>
            </w:r>
            <w:r>
              <w:rPr>
                <w:sz w:val="18"/>
              </w:rPr>
              <w:t xml:space="preserve">; routing to the fiduciary responsible (Udofin or the RE)</w:t>
            </w:r>
          </w:p>
        </w:tc>
      </w:tr>
      <w:tr>
        <w:tc>
          <w:tcPr>
            <w:tcW w:w="1875" w:type="dxa"/>
          </w:tcPr>
          <w:p>
            <w:pPr>
              <w:pStyle w:val="Compact"/>
              <w:spacing w:after="40"/>
              <w:jc w:val="left"/>
            </w:pPr>
            <w:r>
              <w:rPr>
                <w:sz w:val="18"/>
              </w:rPr>
              <w:t xml:space="preserve">Udofin subscription or wellness add-on (non-RBI)</w:t>
            </w:r>
          </w:p>
        </w:tc>
        <w:tc>
          <w:tcPr>
            <w:tcW w:w="3936" w:type="dxa"/>
          </w:tcPr>
          <w:p>
            <w:pPr>
              <w:pStyle w:val="Compact"/>
              <w:spacing w:after="40"/>
              <w:jc w:val="left"/>
            </w:pPr>
            <w:r>
              <w:rPr>
                <w:sz w:val="18"/>
              </w:rPr>
              <w:t xml:space="preserve">Udofin GRO → National Consumer Helpline (1915) → consumer commission via e-Daakhil (CPA19)</w:t>
            </w:r>
          </w:p>
        </w:tc>
        <w:tc>
          <w:tcPr>
            <w:tcW w:w="3827" w:type="dxa"/>
          </w:tcPr>
          <w:p>
            <w:pPr>
              <w:pStyle w:val="Compact"/>
              <w:spacing w:after="40"/>
              <w:jc w:val="left"/>
            </w:pPr>
            <w:r>
              <w:rPr>
                <w:sz w:val="18"/>
              </w:rPr>
              <w:t xml:space="preserve">Udofin owns and resolves; RE never involved</w:t>
            </w:r>
          </w:p>
        </w:tc>
      </w:tr>
      <w:tr>
        <w:tc>
          <w:tcPr>
            <w:tcW w:w="1875" w:type="dxa"/>
          </w:tcPr>
          <w:p>
            <w:pPr>
              <w:pStyle w:val="Compact"/>
              <w:spacing w:after="40"/>
              <w:jc w:val="left"/>
            </w:pPr>
            <w:r>
              <w:rPr>
                <w:sz w:val="18"/>
              </w:rPr>
              <w:t xml:space="preserve">Recovery conduct</w:t>
            </w:r>
          </w:p>
        </w:tc>
        <w:tc>
          <w:tcPr>
            <w:tcW w:w="3936" w:type="dxa"/>
          </w:tcPr>
          <w:p>
            <w:pPr>
              <w:pStyle w:val="Compact"/>
              <w:spacing w:after="40"/>
              <w:jc w:val="left"/>
            </w:pPr>
            <w:r>
              <w:rPr>
                <w:sz w:val="18"/>
              </w:rPr>
              <w:t xml:space="preserve">RE recovery-grievance mechanism (RBC para 92) and GRO; immediate RE notification; stop-contact flag (Part 7A UR4)</w:t>
            </w:r>
          </w:p>
        </w:tc>
        <w:tc>
          <w:tcPr>
            <w:tcW w:w="3827" w:type="dxa"/>
          </w:tcPr>
          <w:p>
            <w:pPr>
              <w:pStyle w:val="Compact"/>
              <w:spacing w:after="40"/>
              <w:jc w:val="left"/>
            </w:pPr>
            <w:r>
              <w:rPr>
                <w:sz w:val="18"/>
              </w:rPr>
              <w:t xml:space="preserve">Category</w:t>
            </w:r>
            <w:r>
              <w:rPr>
                <w:sz w:val="18"/>
              </w:rPr>
              <w:t xml:space="preserve"> </w:t>
            </w:r>
            <w:r>
              <w:rPr>
                <w:rStyle w:val="VerbatimChar"/>
                <w:sz w:val="18"/>
              </w:rPr>
              <w:t xml:space="preserve">recovery_conduct</w:t>
            </w:r>
            <w:r>
              <w:rPr>
                <w:sz w:val="18"/>
              </w:rPr>
              <w:t xml:space="preserve">; police helpline 112 shown for threats of violence [REC]</w:t>
            </w:r>
          </w:p>
        </w:tc>
      </w:tr>
      <w:tr>
        <w:tc>
          <w:tcPr>
            <w:tcW w:w="1875" w:type="dxa"/>
          </w:tcPr>
          <w:p>
            <w:pPr>
              <w:pStyle w:val="Compact"/>
              <w:spacing w:after="40"/>
              <w:jc w:val="left"/>
            </w:pPr>
            <w:r>
              <w:rPr>
                <w:sz w:val="18"/>
              </w:rPr>
              <w:t xml:space="preserve">Fraud or unauthorised transaction</w:t>
            </w:r>
          </w:p>
        </w:tc>
        <w:tc>
          <w:tcPr>
            <w:tcW w:w="3936" w:type="dxa"/>
          </w:tcPr>
          <w:p>
            <w:pPr>
              <w:pStyle w:val="Compact"/>
              <w:spacing w:after="40"/>
              <w:jc w:val="left"/>
            </w:pPr>
            <w:r>
              <w:rPr>
                <w:sz w:val="18"/>
              </w:rPr>
              <w:t xml:space="preserve">RE (block and report); National Cyber Crime helpline 1930 and cybercrime.gov.in [REC]</w:t>
            </w:r>
          </w:p>
        </w:tc>
        <w:tc>
          <w:tcPr>
            <w:tcW w:w="3827" w:type="dxa"/>
          </w:tcPr>
          <w:p>
            <w:pPr>
              <w:pStyle w:val="Compact"/>
              <w:spacing w:after="40"/>
              <w:jc w:val="left"/>
            </w:pPr>
            <w:r>
              <w:rPr>
                <w:sz w:val="18"/>
              </w:rPr>
              <w:t xml:space="preserve">Category</w:t>
            </w:r>
            <w:r>
              <w:rPr>
                <w:sz w:val="18"/>
              </w:rPr>
              <w:t xml:space="preserve"> </w:t>
            </w:r>
            <w:r>
              <w:rPr>
                <w:rStyle w:val="VerbatimChar"/>
                <w:sz w:val="18"/>
              </w:rPr>
              <w:t xml:space="preserve">fraud</w:t>
            </w:r>
            <w:r>
              <w:rPr>
                <w:sz w:val="18"/>
              </w:rPr>
              <w:t xml:space="preserve">; immediate RE alert (U24)</w:t>
            </w:r>
          </w:p>
        </w:tc>
      </w:tr>
      <w:tr>
        <w:tc>
          <w:tcPr>
            <w:tcW w:w="1875" w:type="dxa"/>
          </w:tcPr>
          <w:p>
            <w:pPr>
              <w:pStyle w:val="Compact"/>
              <w:spacing w:after="40"/>
              <w:jc w:val="left"/>
            </w:pPr>
            <w:r>
              <w:rPr>
                <w:sz w:val="18"/>
              </w:rPr>
              <w:t xml:space="preserve">Unregulated lender or deposit scheme</w:t>
            </w:r>
          </w:p>
        </w:tc>
        <w:tc>
          <w:tcPr>
            <w:tcW w:w="3936" w:type="dxa"/>
          </w:tcPr>
          <w:p>
            <w:pPr>
              <w:pStyle w:val="Compact"/>
              <w:spacing w:after="40"/>
              <w:jc w:val="left"/>
            </w:pPr>
            <w:r>
              <w:rPr>
                <w:sz w:val="18"/>
              </w:rPr>
              <w:t xml:space="preserve">RBI Sachet portal [REC]</w:t>
            </w:r>
          </w:p>
        </w:tc>
        <w:tc>
          <w:tcPr>
            <w:tcW w:w="3827" w:type="dxa"/>
          </w:tcPr>
          <w:p>
            <w:pPr>
              <w:pStyle w:val="Compact"/>
              <w:spacing w:after="40"/>
              <w:jc w:val="left"/>
            </w:pPr>
            <w:r>
              <w:rPr>
                <w:sz w:val="18"/>
              </w:rPr>
              <w:t xml:space="preserve">Information only</w:t>
            </w:r>
          </w:p>
        </w:tc>
      </w:tr>
      <w:tr>
        <w:tc>
          <w:tcPr>
            <w:tcW w:w="1875" w:type="dxa"/>
          </w:tcPr>
          <w:p>
            <w:pPr>
              <w:pStyle w:val="Compact"/>
              <w:spacing w:after="40"/>
              <w:jc w:val="left"/>
            </w:pPr>
            <w:r>
              <w:rPr>
                <w:sz w:val="18"/>
              </w:rPr>
              <w:t xml:space="preserve">ODR (mediation, conciliation, arbitration)</w:t>
            </w:r>
          </w:p>
        </w:tc>
        <w:tc>
          <w:tcPr>
            <w:tcW w:w="3936" w:type="dxa"/>
          </w:tcPr>
          <w:p>
            <w:pPr>
              <w:pStyle w:val="Compact"/>
              <w:spacing w:after="40"/>
              <w:jc w:val="left"/>
            </w:pPr>
            <w:r>
              <w:rPr>
                <w:sz w:val="18"/>
              </w:rPr>
              <w:t xml:space="preserve">Only through RE referral or the borrower’s consent (Part 7A UR2)</w:t>
            </w:r>
          </w:p>
        </w:tc>
        <w:tc>
          <w:tcPr>
            <w:tcW w:w="3827" w:type="dxa"/>
          </w:tcPr>
          <w:p>
            <w:pPr>
              <w:pStyle w:val="Compact"/>
              <w:spacing w:after="40"/>
              <w:jc w:val="left"/>
            </w:pPr>
            <w:r>
              <w:rPr>
                <w:sz w:val="18"/>
              </w:rPr>
              <w:t xml:space="preserve">Never presented as a substitute for the RBI route</w:t>
            </w:r>
          </w:p>
        </w:tc>
      </w:tr>
      <w:tr>
        <w:tc>
          <w:tcPr>
            <w:tcW w:w="1875" w:type="dxa"/>
          </w:tcPr>
          <w:p>
            <w:pPr>
              <w:pStyle w:val="Compact"/>
              <w:spacing w:after="40"/>
              <w:jc w:val="left"/>
            </w:pPr>
            <w:r>
              <w:rPr>
                <w:sz w:val="18"/>
              </w:rPr>
              <w:t xml:space="preserve">Courts and consumer commissions</w:t>
            </w:r>
          </w:p>
        </w:tc>
        <w:tc>
          <w:tcPr>
            <w:tcW w:w="3936" w:type="dxa"/>
          </w:tcPr>
          <w:p>
            <w:pPr>
              <w:pStyle w:val="Compact"/>
              <w:spacing w:after="40"/>
              <w:jc w:val="left"/>
            </w:pPr>
            <w:r>
              <w:rPr>
                <w:sz w:val="18"/>
              </w:rPr>
              <w:t xml:space="preserve">Any time within limitation</w:t>
            </w:r>
          </w:p>
        </w:tc>
        <w:tc>
          <w:tcPr>
            <w:tcW w:w="3827" w:type="dxa"/>
          </w:tcPr>
          <w:p>
            <w:pPr>
              <w:pStyle w:val="Compact"/>
              <w:spacing w:after="40"/>
              <w:jc w:val="left"/>
            </w:pPr>
            <w:r>
              <w:rPr>
                <w:sz w:val="18"/>
              </w:rPr>
              <w:t xml:space="preserve">Information only; never discouraged</w:t>
            </w:r>
          </w:p>
        </w:tc>
      </w:tr>
    </w:tbl>
    <w:bookmarkEnd w:id="186"/>
    <w:bookmarkStart w:id="187" w:name="display-rules"/>
    <w:p>
      <w:pPr>
        <w:pStyle w:val="Heading3"/>
      </w:pPr>
      <w:r>
        <w:t xml:space="preserve">Display rules</w:t>
      </w:r>
    </w:p>
    <w:p>
      <w:pPr>
        <w:numPr>
          <w:ilvl w:val="0"/>
          <w:numId w:val="1106"/>
        </w:numPr>
        <w:pStyle w:val="Compact"/>
      </w:pPr>
      <w:r>
        <w:t xml:space="preserve">GRO and Udofin nodal officer (name, phone, email) on every DLA help screen, Udofin website and in the KFS (CF para 12(2)); the RE’s PNO where</w:t>
      </w:r>
      <w:r>
        <w:t xml:space="preserve"> </w:t>
      </w:r>
      <w:r>
        <w:rPr>
          <w:rStyle w:val="VerbatimChar"/>
        </w:rPr>
        <w:t xml:space="preserve">rbios_covered</w:t>
      </w:r>
      <w:r>
        <w:t xml:space="preserve">.</w:t>
      </w:r>
    </w:p>
    <w:p>
      <w:pPr>
        <w:numPr>
          <w:ilvl w:val="0"/>
          <w:numId w:val="1106"/>
        </w:numPr>
        <w:pStyle w:val="Compact"/>
      </w:pPr>
      <w:r>
        <w:t xml:space="preserve">Link to the RE’s disclosure page carrying the CMS and Sachet links (CF para 9(4)–(5); CF para 18(4)(i)).</w:t>
      </w:r>
    </w:p>
    <w:p>
      <w:pPr>
        <w:numPr>
          <w:ilvl w:val="0"/>
          <w:numId w:val="1106"/>
        </w:numPr>
        <w:pStyle w:val="Compact"/>
      </w:pPr>
      <w:r>
        <w:t xml:space="preserve">RB-IOS salient features mirrored from the RE in English, Hindi and the borrower’s regional language (RB-IOS cl.18(4)–(6) is the RE’s duty; Udofin mirrors the RE-approved text).</w:t>
      </w:r>
    </w:p>
    <w:p>
      <w:pPr>
        <w:numPr>
          <w:ilvl w:val="0"/>
          <w:numId w:val="1106"/>
        </w:numPr>
        <w:pStyle w:val="Compact"/>
      </w:pPr>
      <w:r>
        <w:t xml:space="preserve">Every case page shows: who owns it (Udofin or [RE name]), the current tier, the live clock, the next option and when it opens, and the T4 countdown once open.</w:t>
      </w:r>
    </w:p>
    <w:p>
      <w:pPr>
        <w:numPr>
          <w:ilvl w:val="0"/>
          <w:numId w:val="1106"/>
        </w:numPr>
        <w:pStyle w:val="Compact"/>
      </w:pPr>
      <w:r>
        <w:t xml:space="preserve">Neutral wording only: no</w:t>
      </w:r>
      <w:r>
        <w:t xml:space="preserve"> </w:t>
      </w:r>
      <w:r>
        <w:t xml:space="preserve">“</w:t>
      </w:r>
      <w:r>
        <w:t xml:space="preserve">we recommend you do not escalate</w:t>
      </w:r>
      <w:r>
        <w:t xml:space="preserve">”</w:t>
      </w:r>
      <w:r>
        <w:t xml:space="preserve">, no delay tactics, no success predictions; the CMS route is visible on every ADR screen (UR2).</w:t>
      </w:r>
    </w:p>
    <w:p>
      <w:pPr>
        <w:numPr>
          <w:ilvl w:val="0"/>
          <w:numId w:val="1106"/>
        </w:numPr>
        <w:pStyle w:val="Compact"/>
      </w:pPr>
      <w:r>
        <w:t xml:space="preserve">For society loans:</w:t>
      </w:r>
      <w:r>
        <w:t xml:space="preserve"> </w:t>
      </w:r>
      <w:r>
        <w:t xml:space="preserve">“</w:t>
      </w:r>
      <w:r>
        <w:t xml:space="preserve">The RBI Ombudsman does not cover co-operative societies</w:t>
      </w:r>
      <w:r>
        <w:t xml:space="preserve">”</w:t>
      </w:r>
      <w:r>
        <w:t xml:space="preserve"> </w:t>
      </w:r>
      <w:r>
        <w:t xml:space="preserve">with the correct route.</w:t>
      </w:r>
    </w:p>
    <w:p>
      <w:pPr>
        <w:numPr>
          <w:ilvl w:val="0"/>
          <w:numId w:val="1106"/>
        </w:numPr>
        <w:pStyle w:val="Compact"/>
      </w:pPr>
      <w:r>
        <w:t xml:space="preserve">For an HFC: the RB-IOS exclusion and the NHB route as configured [VERIFY].</w:t>
      </w:r>
    </w:p>
    <w:bookmarkEnd w:id="187"/>
    <w:bookmarkStart w:id="188" w:name="states-extends-u15"/>
    <w:p>
      <w:pPr>
        <w:pStyle w:val="Heading3"/>
      </w:pPr>
      <w:r>
        <w:t xml:space="preserve">States (extends U15)</w:t>
      </w:r>
    </w:p>
    <w:p>
      <w:pPr>
        <w:pStyle w:val="FirstParagraph"/>
      </w:pPr>
      <w:r>
        <w:rPr>
          <w:rStyle w:val="VerbatimChar"/>
        </w:rPr>
        <w:t xml:space="preserve">grievance</w:t>
      </w:r>
      <w:r>
        <w:t xml:space="preserve">:</w:t>
      </w:r>
      <w:r>
        <w:t xml:space="preserve"> </w:t>
      </w:r>
      <w:r>
        <w:rPr>
          <w:rStyle w:val="VerbatimChar"/>
        </w:rPr>
        <w:t xml:space="preserve">DRAFT → SUBMITTED → ACKNOWLEDGED → CLASSIFIED → {UDOFIN_HANDLING → (RESOLVED_BY_UDOFIN | ESCALATED_UDOFIN_HEAD) | FORWARDED_TO_RE → RE_ACKNOWLEDGED → RE_IN_PROGRESS → (IO_REVIEW)? → RE_FINAL_REPLY (resolved | partially_resolved | rejected | no_reply_30d)} → BORROWER_RESPONSE (accepted | not_satisfied) → {CLOSED | EXTERNAL_ROUTE_OPEN → EXTERNAL_REFERRAL_DECLARED → CLOSED_EXTERNAL_PENDING} → REOPENED?</w:t>
      </w:r>
      <w:r>
        <w:t xml:space="preserve">, plus</w:t>
      </w:r>
      <w:r>
        <w:t xml:space="preserve"> </w:t>
      </w:r>
      <w:r>
        <w:rPr>
          <w:rStyle w:val="VerbatimChar"/>
        </w:rPr>
        <w:t xml:space="preserve">WITHDRAWN</w:t>
      </w:r>
      <w:r>
        <w:t xml:space="preserve">.</w:t>
      </w:r>
    </w:p>
    <w:p>
      <w:pPr>
        <w:numPr>
          <w:ilvl w:val="0"/>
          <w:numId w:val="1107"/>
        </w:numPr>
        <w:pStyle w:val="Compact"/>
      </w:pPr>
      <w:r>
        <w:rPr>
          <w:rStyle w:val="VerbatimChar"/>
        </w:rPr>
        <w:t xml:space="preserve">EXTERNAL_ROUTE_OPEN</w:t>
      </w:r>
      <w:r>
        <w:t xml:space="preserve"> </w:t>
      </w:r>
      <w:r>
        <w:t xml:space="preserve">carries</w:t>
      </w:r>
      <w:r>
        <w:t xml:space="preserve"> </w:t>
      </w:r>
      <w:r>
        <w:rPr>
          <w:rStyle w:val="VerbatimChar"/>
        </w:rPr>
        <w:t xml:space="preserve">window_opens_at</w:t>
      </w:r>
      <w:r>
        <w:t xml:space="preserve">,</w:t>
      </w:r>
      <w:r>
        <w:t xml:space="preserve"> </w:t>
      </w:r>
      <w:r>
        <w:rPr>
          <w:rStyle w:val="VerbatimChar"/>
        </w:rPr>
        <w:t xml:space="preserve">window_closes_at</w:t>
      </w:r>
      <w:r>
        <w:t xml:space="preserve"> </w:t>
      </w:r>
      <w:r>
        <w:t xml:space="preserve">and</w:t>
      </w:r>
      <w:r>
        <w:t xml:space="preserve"> </w:t>
      </w:r>
      <w:r>
        <w:rPr>
          <w:rStyle w:val="VerbatimChar"/>
        </w:rPr>
        <w:t xml:space="preserve">route</w:t>
      </w:r>
      <w:r>
        <w:t xml:space="preserve"> </w:t>
      </w:r>
      <w:r>
        <w:t xml:space="preserve">(RBI Ombudsman, CEPC, NHB, co-operative, insurance, DPB, consumer).</w:t>
      </w:r>
    </w:p>
    <w:p>
      <w:pPr>
        <w:numPr>
          <w:ilvl w:val="0"/>
          <w:numId w:val="1107"/>
        </w:numPr>
        <w:pStyle w:val="Compact"/>
      </w:pPr>
      <w:r>
        <w:rPr>
          <w:rStyle w:val="VerbatimChar"/>
        </w:rPr>
        <w:t xml:space="preserve">EXTERNAL_REFERRAL_DECLARED</w:t>
      </w:r>
      <w:r>
        <w:t xml:space="preserve"> </w:t>
      </w:r>
      <w:r>
        <w:t xml:space="preserve">stores the borrower-declared CMS or other reference and date (</w:t>
      </w:r>
      <w:r>
        <w:rPr>
          <w:rStyle w:val="VerbatimChar"/>
        </w:rPr>
        <w:t xml:space="preserve">OmbudsmanReferralRecorded</w:t>
      </w:r>
      <w:r>
        <w:t xml:space="preserve">); Udofin then mirrors any RE-reported Ombudsman stages (facilitation, conciliation, advisory, award) if the RE shares them. Event</w:t>
      </w:r>
      <w:r>
        <w:t xml:space="preserve"> </w:t>
      </w:r>
      <w:r>
        <w:rPr>
          <w:rStyle w:val="VerbatimChar"/>
        </w:rPr>
        <w:t xml:space="preserve">forum</w:t>
      </w:r>
      <w:r>
        <w:t xml:space="preserve"> </w:t>
      </w:r>
      <w:r>
        <w:t xml:space="preserve">values (Integration Spec 6.12): RBI Ombudsman →</w:t>
      </w:r>
      <w:r>
        <w:t xml:space="preserve"> </w:t>
      </w:r>
      <w:r>
        <w:rPr>
          <w:rStyle w:val="VerbatimChar"/>
        </w:rPr>
        <w:t xml:space="preserve">RBIOS_2026</w:t>
      </w:r>
      <w:r>
        <w:t xml:space="preserve">; Co-operative Ombudsman →</w:t>
      </w:r>
      <w:r>
        <w:t xml:space="preserve"> </w:t>
      </w:r>
      <w:r>
        <w:rPr>
          <w:rStyle w:val="VerbatimChar"/>
        </w:rPr>
        <w:t xml:space="preserve">COOP_OMBUDSMAN</w:t>
      </w:r>
      <w:r>
        <w:t xml:space="preserve">; State or Central Registrar →</w:t>
      </w:r>
      <w:r>
        <w:t xml:space="preserve"> </w:t>
      </w:r>
      <w:r>
        <w:rPr>
          <w:rStyle w:val="VerbatimChar"/>
        </w:rPr>
        <w:t xml:space="preserve">REGISTRAR</w:t>
      </w:r>
      <w:r>
        <w:t xml:space="preserve">; consumer commission →</w:t>
      </w:r>
      <w:r>
        <w:t xml:space="preserve"> </w:t>
      </w:r>
      <w:r>
        <w:rPr>
          <w:rStyle w:val="VerbatimChar"/>
        </w:rPr>
        <w:t xml:space="preserve">CONSUMER_COMMISSION</w:t>
      </w:r>
      <w:r>
        <w:t xml:space="preserve">; CEPC, NHB, insurance, Data Protection Board and courts →</w:t>
      </w:r>
      <w:r>
        <w:t xml:space="preserve"> </w:t>
      </w:r>
      <w:r>
        <w:rPr>
          <w:rStyle w:val="VerbatimChar"/>
        </w:rPr>
        <w:t xml:space="preserve">OTHER</w:t>
      </w:r>
      <w:r>
        <w:t xml:space="preserve"> </w:t>
      </w:r>
      <w:r>
        <w:t xml:space="preserve">with the local route code.</w:t>
      </w:r>
    </w:p>
    <w:p>
      <w:pPr>
        <w:numPr>
          <w:ilvl w:val="0"/>
          <w:numId w:val="1107"/>
        </w:numPr>
        <w:pStyle w:val="Compact"/>
      </w:pPr>
      <w:r>
        <w:t xml:space="preserve">Exception paths: a borrower may withdraw at any state (record kept); an RE reply received after the T4 panel opens is shown and recomputes the window only if it is later than the period end; a duplicate complaint on the same subject within 7 days is linked to the open case, never silently merged.</w:t>
      </w:r>
    </w:p>
    <w:bookmarkEnd w:id="188"/>
    <w:bookmarkStart w:id="189" w:name="automatic-actions"/>
    <w:p>
      <w:pPr>
        <w:pStyle w:val="Heading3"/>
      </w:pPr>
      <w:r>
        <w:t xml:space="preserve">Automatic actions</w:t>
      </w:r>
    </w:p>
    <w:p>
      <w:pPr>
        <w:numPr>
          <w:ilvl w:val="0"/>
          <w:numId w:val="1108"/>
        </w:numPr>
        <w:pStyle w:val="Compact"/>
      </w:pPr>
      <w:r>
        <w:t xml:space="preserve">Udofin auto-escalates</w:t>
      </w:r>
      <w:r>
        <w:t xml:space="preserve"> </w:t>
      </w:r>
      <w:r>
        <w:rPr>
          <w:bCs/>
          <w:b/>
        </w:rPr>
        <w:t xml:space="preserve">internally</w:t>
      </w:r>
      <w:r>
        <w:t xml:space="preserve"> </w:t>
      </w:r>
      <w:r>
        <w:t xml:space="preserve">only, as the timer table sets out (</w:t>
      </w:r>
      <w:r>
        <w:rPr>
          <w:rStyle w:val="VerbatimChar"/>
        </w:rPr>
        <w:t xml:space="preserve">PwD</w:t>
      </w:r>
      <w:r>
        <w:t xml:space="preserve"> </w:t>
      </w:r>
      <w:r>
        <w:t xml:space="preserve">tag: RBC para 28); every escalation is a</w:t>
      </w:r>
      <w:r>
        <w:t xml:space="preserve"> </w:t>
      </w:r>
      <w:r>
        <w:rPr>
          <w:rStyle w:val="VerbatimChar"/>
        </w:rPr>
        <w:t xml:space="preserve">grievance_tier_transition</w:t>
      </w:r>
      <w:r>
        <w:t xml:space="preserve"> </w:t>
      </w:r>
      <w:r>
        <w:t xml:space="preserve">with reason and actor</w:t>
      </w:r>
      <w:r>
        <w:t xml:space="preserve"> </w:t>
      </w:r>
      <w:r>
        <w:rPr>
          <w:rStyle w:val="VerbatimChar"/>
        </w:rPr>
        <w:t xml:space="preserve">SYSTEM</w:t>
      </w:r>
      <w:r>
        <w:t xml:space="preserve">, idempotent per clock and breach.</w:t>
      </w:r>
    </w:p>
    <w:p>
      <w:pPr>
        <w:numPr>
          <w:ilvl w:val="0"/>
          <w:numId w:val="1108"/>
        </w:numPr>
        <w:pStyle w:val="Compact"/>
      </w:pPr>
      <w:r>
        <w:t xml:space="preserve">Udofin auto-unlocks</w:t>
      </w:r>
      <w:r>
        <w:t xml:space="preserve"> </w:t>
      </w:r>
      <w:r>
        <w:rPr>
          <w:bCs/>
          <w:b/>
        </w:rPr>
        <w:t xml:space="preserve">borrower</w:t>
      </w:r>
      <w:r>
        <w:t xml:space="preserve"> </w:t>
      </w:r>
      <w:r>
        <w:t xml:space="preserve">options; it never auto-files externally and never acts as the borrower’s representative before an Ombudsman [REC: conflict of interest].</w:t>
      </w:r>
    </w:p>
    <w:p>
      <w:pPr>
        <w:numPr>
          <w:ilvl w:val="0"/>
          <w:numId w:val="1108"/>
        </w:numPr>
        <w:pStyle w:val="Compact"/>
      </w:pPr>
      <w:r>
        <w:t xml:space="preserve">Outage rule: if the RE connector is down, forwarding falls back to the RE’s agreed e-mail or SFTP channel within the 1-hour target, the fallback is logged, and the clocks keep running.</w:t>
      </w:r>
    </w:p>
    <w:p>
      <w:pPr>
        <w:numPr>
          <w:ilvl w:val="0"/>
          <w:numId w:val="1108"/>
        </w:numPr>
        <w:pStyle w:val="Compact"/>
      </w:pPr>
      <w:r>
        <w:t xml:space="preserve">AI may draft classifications and replies for staff review; it never rejects, closes, settles or advises against escalation (U20; FREE-AI human authority [GUID]).</w:t>
      </w:r>
    </w:p>
    <w:bookmarkEnd w:id="189"/>
    <w:bookmarkStart w:id="190" w:name="settings-and-options-7"/>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660"/>
        <w:gridCol w:w="1319"/>
        <w:gridCol w:w="2296"/>
        <w:gridCol w:w="3363"/>
      </w:tblGrid>
      <w:tr>
        <w:trPr>
          <w:tblHeader w:val="true"/>
          <w:tblHeader w:val="true"/>
        </w:trPr>
        <w:tc>
          <w:tcPr>
            <w:tcW w:w="2660" w:type="dxa"/>
            <w:shd w:val="clear" w:color="auto" w:fill="1F3A5F"/>
          </w:tcPr>
          <w:p>
            <w:pPr>
              <w:pStyle w:val="Compact"/>
              <w:spacing w:after="40"/>
              <w:jc w:val="left"/>
            </w:pPr>
            <w:r>
              <w:rPr>
                <w:b/>
                <w:color w:val="FFFFFF"/>
                <w:sz w:val="18"/>
              </w:rPr>
              <w:t xml:space="preserve">Setting</w:t>
            </w:r>
          </w:p>
        </w:tc>
        <w:tc>
          <w:tcPr>
            <w:tcW w:w="1319" w:type="dxa"/>
            <w:shd w:val="clear" w:color="auto" w:fill="1F3A5F"/>
          </w:tcPr>
          <w:p>
            <w:pPr>
              <w:pStyle w:val="Compact"/>
              <w:spacing w:after="40"/>
              <w:jc w:val="left"/>
            </w:pPr>
            <w:r>
              <w:rPr>
                <w:b/>
                <w:color w:val="FFFFFF"/>
                <w:sz w:val="18"/>
              </w:rPr>
              <w:t xml:space="preserve">Level</w:t>
            </w:r>
          </w:p>
        </w:tc>
        <w:tc>
          <w:tcPr>
            <w:tcW w:w="2296" w:type="dxa"/>
            <w:shd w:val="clear" w:color="auto" w:fill="1F3A5F"/>
          </w:tcPr>
          <w:p>
            <w:pPr>
              <w:pStyle w:val="Compact"/>
              <w:spacing w:after="40"/>
              <w:jc w:val="left"/>
            </w:pPr>
            <w:r>
              <w:rPr>
                <w:b/>
                <w:color w:val="FFFFFF"/>
                <w:sz w:val="18"/>
              </w:rPr>
              <w:t xml:space="preserve">Default</w:t>
            </w:r>
          </w:p>
        </w:tc>
        <w:tc>
          <w:tcPr>
            <w:tcW w:w="3363" w:type="dxa"/>
            <w:shd w:val="clear" w:color="auto" w:fill="1F3A5F"/>
          </w:tcPr>
          <w:p>
            <w:pPr>
              <w:pStyle w:val="Compact"/>
              <w:spacing w:after="40"/>
              <w:jc w:val="left"/>
            </w:pPr>
            <w:r>
              <w:rPr>
                <w:b/>
                <w:color w:val="FFFFFF"/>
                <w:sz w:val="18"/>
              </w:rPr>
              <w:t xml:space="preserve">Nature</w:t>
            </w:r>
          </w:p>
        </w:tc>
      </w:tr>
      <w:tr>
        <w:tc>
          <w:tcPr>
            <w:tcW w:w="2660" w:type="dxa"/>
          </w:tcPr>
          <w:p>
            <w:pPr>
              <w:pStyle w:val="Compact"/>
              <w:spacing w:after="40"/>
              <w:jc w:val="left"/>
            </w:pPr>
            <w:r>
              <w:rPr>
                <w:sz w:val="18"/>
              </w:rPr>
              <w:t xml:space="preserve">RE reply period</w:t>
            </w:r>
          </w:p>
        </w:tc>
        <w:tc>
          <w:tcPr>
            <w:tcW w:w="1319" w:type="dxa"/>
          </w:tcPr>
          <w:p>
            <w:pPr>
              <w:pStyle w:val="Compact"/>
              <w:spacing w:after="40"/>
              <w:jc w:val="left"/>
            </w:pPr>
            <w:r>
              <w:rPr>
                <w:sz w:val="18"/>
              </w:rPr>
              <w:t xml:space="preserve">Platform</w:t>
            </w:r>
          </w:p>
        </w:tc>
        <w:tc>
          <w:tcPr>
            <w:tcW w:w="2296" w:type="dxa"/>
          </w:tcPr>
          <w:p>
            <w:pPr>
              <w:pStyle w:val="Compact"/>
              <w:spacing w:after="40"/>
              <w:jc w:val="left"/>
            </w:pPr>
            <w:r>
              <w:rPr>
                <w:sz w:val="18"/>
              </w:rPr>
              <w:t xml:space="preserve">30 days</w:t>
            </w:r>
          </w:p>
        </w:tc>
        <w:tc>
          <w:tcPr>
            <w:tcW w:w="3363" w:type="dxa"/>
          </w:tcPr>
          <w:p>
            <w:pPr>
              <w:pStyle w:val="Compact"/>
              <w:spacing w:after="40"/>
              <w:jc w:val="left"/>
            </w:pPr>
            <w:r>
              <w:rPr>
                <w:sz w:val="18"/>
              </w:rPr>
              <w:t xml:space="preserve">Regulatory ceiling (CF para 12(4); OUT para 57); RE may reply sooner</w:t>
            </w:r>
          </w:p>
        </w:tc>
      </w:tr>
      <w:tr>
        <w:tc>
          <w:tcPr>
            <w:tcW w:w="2660" w:type="dxa"/>
          </w:tcPr>
          <w:p>
            <w:pPr>
              <w:pStyle w:val="Compact"/>
              <w:spacing w:after="40"/>
              <w:jc w:val="left"/>
            </w:pPr>
            <w:r>
              <w:rPr>
                <w:sz w:val="18"/>
              </w:rPr>
              <w:t xml:space="preserve">External window</w:t>
            </w:r>
          </w:p>
        </w:tc>
        <w:tc>
          <w:tcPr>
            <w:tcW w:w="1319" w:type="dxa"/>
          </w:tcPr>
          <w:p>
            <w:pPr>
              <w:pStyle w:val="Compact"/>
              <w:spacing w:after="40"/>
              <w:jc w:val="left"/>
            </w:pPr>
            <w:r>
              <w:rPr>
                <w:sz w:val="18"/>
              </w:rPr>
              <w:t xml:space="preserve">Platform</w:t>
            </w:r>
          </w:p>
        </w:tc>
        <w:tc>
          <w:tcPr>
            <w:tcW w:w="2296" w:type="dxa"/>
          </w:tcPr>
          <w:p>
            <w:pPr>
              <w:pStyle w:val="Compact"/>
              <w:spacing w:after="40"/>
              <w:jc w:val="left"/>
            </w:pPr>
            <w:r>
              <w:rPr>
                <w:sz w:val="18"/>
              </w:rPr>
              <w:t xml:space="preserve">90 days (RB-IOS 2026)</w:t>
            </w:r>
          </w:p>
        </w:tc>
        <w:tc>
          <w:tcPr>
            <w:tcW w:w="3363" w:type="dxa"/>
          </w:tcPr>
          <w:p>
            <w:pPr>
              <w:pStyle w:val="Compact"/>
              <w:spacing w:after="40"/>
              <w:jc w:val="left"/>
            </w:pPr>
            <w:r>
              <w:rPr>
                <w:sz w:val="18"/>
              </w:rPr>
              <w:t xml:space="preserve">Fixed by the Scheme</w:t>
            </w:r>
          </w:p>
        </w:tc>
      </w:tr>
      <w:tr>
        <w:tc>
          <w:tcPr>
            <w:tcW w:w="2660" w:type="dxa"/>
          </w:tcPr>
          <w:p>
            <w:pPr>
              <w:pStyle w:val="Compact"/>
              <w:spacing w:after="40"/>
              <w:jc w:val="left"/>
            </w:pPr>
            <w:r>
              <w:rPr>
                <w:sz w:val="18"/>
              </w:rPr>
              <w:t xml:space="preserve">RE reply reminders</w:t>
            </w:r>
          </w:p>
        </w:tc>
        <w:tc>
          <w:tcPr>
            <w:tcW w:w="1319" w:type="dxa"/>
          </w:tcPr>
          <w:p>
            <w:pPr>
              <w:pStyle w:val="Compact"/>
              <w:spacing w:after="40"/>
              <w:jc w:val="left"/>
            </w:pPr>
            <w:r>
              <w:rPr>
                <w:sz w:val="18"/>
              </w:rPr>
              <w:t xml:space="preserve">RE</w:t>
            </w:r>
          </w:p>
        </w:tc>
        <w:tc>
          <w:tcPr>
            <w:tcW w:w="2296" w:type="dxa"/>
          </w:tcPr>
          <w:p>
            <w:pPr>
              <w:pStyle w:val="Compact"/>
              <w:spacing w:after="40"/>
              <w:jc w:val="left"/>
            </w:pPr>
            <w:r>
              <w:rPr>
                <w:sz w:val="18"/>
              </w:rPr>
              <w:t xml:space="preserve">Day 20 and day 25</w:t>
            </w:r>
          </w:p>
        </w:tc>
        <w:tc>
          <w:tcPr>
            <w:tcW w:w="3363" w:type="dxa"/>
          </w:tcPr>
          <w:p>
            <w:pPr>
              <w:pStyle w:val="Compact"/>
              <w:spacing w:after="40"/>
              <w:jc w:val="left"/>
            </w:pPr>
            <w:r>
              <w:rPr>
                <w:sz w:val="18"/>
              </w:rPr>
              <w:t xml:space="preserve">Tighten only</w:t>
            </w:r>
          </w:p>
        </w:tc>
      </w:tr>
      <w:tr>
        <w:tc>
          <w:tcPr>
            <w:tcW w:w="2660" w:type="dxa"/>
          </w:tcPr>
          <w:p>
            <w:pPr>
              <w:pStyle w:val="Compact"/>
              <w:spacing w:after="40"/>
              <w:jc w:val="left"/>
            </w:pPr>
            <w:r>
              <w:rPr>
                <w:sz w:val="18"/>
              </w:rPr>
              <w:t xml:space="preserve">Forwarding target</w:t>
            </w:r>
          </w:p>
        </w:tc>
        <w:tc>
          <w:tcPr>
            <w:tcW w:w="1319" w:type="dxa"/>
          </w:tcPr>
          <w:p>
            <w:pPr>
              <w:pStyle w:val="Compact"/>
              <w:spacing w:after="40"/>
              <w:jc w:val="left"/>
            </w:pPr>
            <w:r>
              <w:rPr>
                <w:sz w:val="18"/>
              </w:rPr>
              <w:t xml:space="preserve">Platform</w:t>
            </w:r>
          </w:p>
        </w:tc>
        <w:tc>
          <w:tcPr>
            <w:tcW w:w="2296" w:type="dxa"/>
          </w:tcPr>
          <w:p>
            <w:pPr>
              <w:pStyle w:val="Compact"/>
              <w:spacing w:after="40"/>
              <w:jc w:val="left"/>
            </w:pPr>
            <w:r>
              <w:rPr>
                <w:sz w:val="18"/>
              </w:rPr>
              <w:t xml:space="preserve">1 hour</w:t>
            </w:r>
          </w:p>
        </w:tc>
        <w:tc>
          <w:tcPr>
            <w:tcW w:w="3363" w:type="dxa"/>
          </w:tcPr>
          <w:p>
            <w:pPr>
              <w:pStyle w:val="Compact"/>
              <w:spacing w:after="40"/>
              <w:jc w:val="left"/>
            </w:pPr>
            <w:r>
              <w:rPr>
                <w:sz w:val="18"/>
              </w:rPr>
              <w:t xml:space="preserve">Commercial floor (U15)</w:t>
            </w:r>
          </w:p>
        </w:tc>
      </w:tr>
      <w:tr>
        <w:tc>
          <w:tcPr>
            <w:tcW w:w="2660" w:type="dxa"/>
          </w:tcPr>
          <w:p>
            <w:pPr>
              <w:pStyle w:val="Compact"/>
              <w:spacing w:after="40"/>
              <w:jc w:val="left"/>
            </w:pPr>
            <w:r>
              <w:rPr>
                <w:sz w:val="18"/>
              </w:rPr>
              <w:t xml:space="preserve">Udofin-only resolution target and T1a review</w:t>
            </w:r>
          </w:p>
        </w:tc>
        <w:tc>
          <w:tcPr>
            <w:tcW w:w="1319" w:type="dxa"/>
          </w:tcPr>
          <w:p>
            <w:pPr>
              <w:pStyle w:val="Compact"/>
              <w:spacing w:after="40"/>
              <w:jc w:val="left"/>
            </w:pPr>
            <w:r>
              <w:rPr>
                <w:sz w:val="18"/>
              </w:rPr>
              <w:t xml:space="preserve">Platform</w:t>
            </w:r>
          </w:p>
        </w:tc>
        <w:tc>
          <w:tcPr>
            <w:tcW w:w="2296" w:type="dxa"/>
          </w:tcPr>
          <w:p>
            <w:pPr>
              <w:pStyle w:val="Compact"/>
              <w:spacing w:after="40"/>
              <w:jc w:val="left"/>
            </w:pPr>
            <w:r>
              <w:rPr>
                <w:sz w:val="18"/>
              </w:rPr>
              <w:t xml:space="preserve">7 days each</w:t>
            </w:r>
          </w:p>
        </w:tc>
        <w:tc>
          <w:tcPr>
            <w:tcW w:w="3363" w:type="dxa"/>
          </w:tcPr>
          <w:p>
            <w:pPr>
              <w:pStyle w:val="Compact"/>
              <w:spacing w:after="40"/>
              <w:jc w:val="left"/>
            </w:pPr>
            <w:r>
              <w:rPr>
                <w:sz w:val="18"/>
              </w:rPr>
              <w:t xml:space="preserve">Commercial [REC]</w:t>
            </w:r>
          </w:p>
        </w:tc>
      </w:tr>
      <w:tr>
        <w:tc>
          <w:tcPr>
            <w:tcW w:w="2660" w:type="dxa"/>
          </w:tcPr>
          <w:p>
            <w:pPr>
              <w:pStyle w:val="Compact"/>
              <w:spacing w:after="40"/>
              <w:jc w:val="left"/>
            </w:pPr>
            <w:r>
              <w:rPr>
                <w:sz w:val="18"/>
              </w:rPr>
              <w:t xml:space="preserve">Redress profile (RB-IOS coverage, IO, top tier)</w:t>
            </w:r>
          </w:p>
        </w:tc>
        <w:tc>
          <w:tcPr>
            <w:tcW w:w="1319" w:type="dxa"/>
          </w:tcPr>
          <w:p>
            <w:pPr>
              <w:pStyle w:val="Compact"/>
              <w:spacing w:after="40"/>
              <w:jc w:val="left"/>
            </w:pPr>
            <w:r>
              <w:rPr>
                <w:sz w:val="18"/>
              </w:rPr>
              <w:t xml:space="preserve">RE</w:t>
            </w:r>
          </w:p>
        </w:tc>
        <w:tc>
          <w:tcPr>
            <w:tcW w:w="2296" w:type="dxa"/>
          </w:tcPr>
          <w:p>
            <w:pPr>
              <w:pStyle w:val="Compact"/>
              <w:spacing w:after="40"/>
              <w:jc w:val="left"/>
            </w:pPr>
            <w:r>
              <w:rPr>
                <w:sz w:val="18"/>
              </w:rPr>
              <w:t xml:space="preserve">Computed from</w:t>
            </w:r>
            <w:r>
              <w:rPr>
                <w:sz w:val="18"/>
              </w:rPr>
              <w:t xml:space="preserve"> </w:t>
            </w:r>
            <w:r>
              <w:rPr>
                <w:rStyle w:val="VerbatimChar"/>
                <w:sz w:val="18"/>
              </w:rPr>
              <w:t xml:space="preserve">re_regulatory_profile</w:t>
            </w:r>
          </w:p>
        </w:tc>
        <w:tc>
          <w:tcPr>
            <w:tcW w:w="3363" w:type="dxa"/>
          </w:tcPr>
          <w:p>
            <w:pPr>
              <w:pStyle w:val="Compact"/>
              <w:spacing w:after="40"/>
              <w:jc w:val="left"/>
            </w:pPr>
            <w:r>
              <w:rPr>
                <w:sz w:val="18"/>
              </w:rPr>
              <w:t xml:space="preserve">Computed; manual override only with Udofin compliance approval and evidence</w:t>
            </w:r>
          </w:p>
        </w:tc>
      </w:tr>
      <w:tr>
        <w:tc>
          <w:tcPr>
            <w:tcW w:w="2660" w:type="dxa"/>
          </w:tcPr>
          <w:p>
            <w:pPr>
              <w:pStyle w:val="Compact"/>
              <w:spacing w:after="40"/>
              <w:jc w:val="left"/>
            </w:pPr>
            <w:r>
              <w:rPr>
                <w:sz w:val="18"/>
              </w:rPr>
              <w:t xml:space="preserve">Borrower window reminders</w:t>
            </w:r>
          </w:p>
        </w:tc>
        <w:tc>
          <w:tcPr>
            <w:tcW w:w="1319" w:type="dxa"/>
          </w:tcPr>
          <w:p>
            <w:pPr>
              <w:pStyle w:val="Compact"/>
              <w:spacing w:after="40"/>
              <w:jc w:val="left"/>
            </w:pPr>
            <w:r>
              <w:rPr>
                <w:sz w:val="18"/>
              </w:rPr>
              <w:t xml:space="preserve">Borrower</w:t>
            </w:r>
          </w:p>
        </w:tc>
        <w:tc>
          <w:tcPr>
            <w:tcW w:w="2296" w:type="dxa"/>
          </w:tcPr>
          <w:p>
            <w:pPr>
              <w:pStyle w:val="Compact"/>
              <w:spacing w:after="40"/>
              <w:jc w:val="left"/>
            </w:pPr>
            <w:r>
              <w:rPr>
                <w:sz w:val="18"/>
              </w:rPr>
              <w:t xml:space="preserve">Off</w:t>
            </w:r>
          </w:p>
        </w:tc>
        <w:tc>
          <w:tcPr>
            <w:tcW w:w="3363" w:type="dxa"/>
          </w:tcPr>
          <w:p>
            <w:pPr>
              <w:pStyle w:val="Compact"/>
              <w:spacing w:after="40"/>
              <w:jc w:val="left"/>
            </w:pPr>
            <w:r>
              <w:rPr>
                <w:sz w:val="18"/>
              </w:rPr>
              <w:t xml:space="preserve">Opt-in</w:t>
            </w:r>
          </w:p>
        </w:tc>
      </w:tr>
      <w:tr>
        <w:tc>
          <w:tcPr>
            <w:tcW w:w="2660" w:type="dxa"/>
          </w:tcPr>
          <w:p>
            <w:pPr>
              <w:pStyle w:val="Compact"/>
              <w:spacing w:after="40"/>
              <w:jc w:val="left"/>
            </w:pPr>
            <w:r>
              <w:rPr>
                <w:sz w:val="18"/>
              </w:rPr>
              <w:t xml:space="preserve">AI drafting of replies</w:t>
            </w:r>
          </w:p>
        </w:tc>
        <w:tc>
          <w:tcPr>
            <w:tcW w:w="1319" w:type="dxa"/>
          </w:tcPr>
          <w:p>
            <w:pPr>
              <w:pStyle w:val="Compact"/>
              <w:spacing w:after="40"/>
              <w:jc w:val="left"/>
            </w:pPr>
            <w:r>
              <w:rPr>
                <w:sz w:val="18"/>
              </w:rPr>
              <w:t xml:space="preserve">Platform</w:t>
            </w:r>
          </w:p>
        </w:tc>
        <w:tc>
          <w:tcPr>
            <w:tcW w:w="2296" w:type="dxa"/>
          </w:tcPr>
          <w:p>
            <w:pPr>
              <w:pStyle w:val="Compact"/>
              <w:spacing w:after="40"/>
              <w:jc w:val="left"/>
            </w:pPr>
            <w:r>
              <w:rPr>
                <w:sz w:val="18"/>
              </w:rPr>
              <w:t xml:space="preserve">On, staff approval required</w:t>
            </w:r>
          </w:p>
        </w:tc>
        <w:tc>
          <w:tcPr>
            <w:tcW w:w="3363" w:type="dxa"/>
          </w:tcPr>
          <w:p>
            <w:pPr>
              <w:pStyle w:val="Compact"/>
              <w:spacing w:after="40"/>
              <w:jc w:val="left"/>
            </w:pPr>
            <w:r>
              <w:rPr>
                <w:sz w:val="18"/>
              </w:rPr>
              <w:t xml:space="preserve">AI never sends, rejects or closes</w:t>
            </w:r>
          </w:p>
        </w:tc>
      </w:tr>
    </w:tbl>
    <w:bookmarkEnd w:id="190"/>
    <w:bookmarkStart w:id="191" w:name="menu-and-screens-7"/>
    <w:p>
      <w:pPr>
        <w:pStyle w:val="Heading3"/>
      </w:pPr>
      <w:r>
        <w:t xml:space="preserve">Menu and screens</w:t>
      </w:r>
    </w:p>
    <w:p>
      <w:pPr>
        <w:numPr>
          <w:ilvl w:val="0"/>
          <w:numId w:val="1109"/>
        </w:numPr>
        <w:pStyle w:val="Compact"/>
      </w:pPr>
      <w:r>
        <w:rPr>
          <w:bCs/>
          <w:b/>
        </w:rPr>
        <w:t xml:space="preserve">Help › My complaints</w:t>
      </w:r>
      <w:r>
        <w:t xml:space="preserve"> </w:t>
      </w:r>
      <w:r>
        <w:t xml:space="preserve">(A, B): see UB4.</w:t>
      </w:r>
    </w:p>
    <w:p>
      <w:pPr>
        <w:numPr>
          <w:ilvl w:val="0"/>
          <w:numId w:val="1109"/>
        </w:numPr>
        <w:pStyle w:val="Compact"/>
      </w:pPr>
      <w:r>
        <w:rPr>
          <w:bCs/>
          <w:b/>
        </w:rPr>
        <w:t xml:space="preserve">Operations portal › Grievances</w:t>
      </w:r>
      <w:r>
        <w:t xml:space="preserve"> </w:t>
      </w:r>
      <w:r>
        <w:t xml:space="preserve">(C): tiered queues (T0–T2, priority tags first), case detail with timeline, clocks and forwarding evidence, clock heatmap, breach board, RE acknowledgement monitor; actions</w:t>
      </w:r>
      <w:r>
        <w:t xml:space="preserve"> </w:t>
      </w:r>
      <w:r>
        <w:rPr>
          <w:bCs/>
          <w:b/>
        </w:rPr>
        <w:t xml:space="preserve">Classify</w:t>
      </w:r>
      <w:r>
        <w:t xml:space="preserve">,</w:t>
      </w:r>
      <w:r>
        <w:t xml:space="preserve"> </w:t>
      </w:r>
      <w:r>
        <w:rPr>
          <w:bCs/>
          <w:b/>
        </w:rPr>
        <w:t xml:space="preserve">Forward to RE</w:t>
      </w:r>
      <w:r>
        <w:t xml:space="preserve">,</w:t>
      </w:r>
      <w:r>
        <w:t xml:space="preserve"> </w:t>
      </w:r>
      <w:r>
        <w:rPr>
          <w:bCs/>
          <w:b/>
        </w:rPr>
        <w:t xml:space="preserve">Resolve (Udofin only)</w:t>
      </w:r>
      <w:r>
        <w:t xml:space="preserve">,</w:t>
      </w:r>
      <w:r>
        <w:t xml:space="preserve"> </w:t>
      </w:r>
      <w:r>
        <w:rPr>
          <w:bCs/>
          <w:b/>
        </w:rPr>
        <w:t xml:space="preserve">Escalate to grievance head</w:t>
      </w:r>
      <w:r>
        <w:t xml:space="preserve">,</w:t>
      </w:r>
      <w:r>
        <w:t xml:space="preserve"> </w:t>
      </w:r>
      <w:r>
        <w:rPr>
          <w:bCs/>
          <w:b/>
        </w:rPr>
        <w:t xml:space="preserve">Request information</w:t>
      </w:r>
      <w:r>
        <w:t xml:space="preserve">; saved views by RE and category; keyboard shortcuts (</w:t>
      </w:r>
      <w:r>
        <w:rPr>
          <w:rStyle w:val="VerbatimChar"/>
        </w:rPr>
        <w:t xml:space="preserve">f</w:t>
      </w:r>
      <w:r>
        <w:t xml:space="preserve"> </w:t>
      </w:r>
      <w:r>
        <w:t xml:space="preserve">forward,</w:t>
      </w:r>
      <w:r>
        <w:t xml:space="preserve"> </w:t>
      </w:r>
      <w:r>
        <w:rPr>
          <w:rStyle w:val="VerbatimChar"/>
        </w:rPr>
        <w:t xml:space="preserve">r</w:t>
      </w:r>
      <w:r>
        <w:t xml:space="preserve"> </w:t>
      </w:r>
      <w:r>
        <w:t xml:space="preserve">reply,</w:t>
      </w:r>
      <w:r>
        <w:t xml:space="preserve"> </w:t>
      </w:r>
      <w:r>
        <w:rPr>
          <w:rStyle w:val="VerbatimChar"/>
        </w:rPr>
        <w:t xml:space="preserve">e</w:t>
      </w:r>
      <w:r>
        <w:t xml:space="preserve"> </w:t>
      </w:r>
      <w:r>
        <w:t xml:space="preserve">escalate).</w:t>
      </w:r>
    </w:p>
    <w:p>
      <w:pPr>
        <w:numPr>
          <w:ilvl w:val="0"/>
          <w:numId w:val="1109"/>
        </w:numPr>
        <w:pStyle w:val="Compact"/>
      </w:pPr>
      <w:r>
        <w:rPr>
          <w:bCs/>
          <w:b/>
        </w:rPr>
        <w:t xml:space="preserve">Lender portal › Grievances</w:t>
      </w:r>
      <w:r>
        <w:t xml:space="preserve"> </w:t>
      </w:r>
      <w:r>
        <w:t xml:space="preserve">(D): the RE’s queue with clocks,</w:t>
      </w:r>
      <w:r>
        <w:t xml:space="preserve"> </w:t>
      </w:r>
      <w:r>
        <w:rPr>
          <w:bCs/>
          <w:b/>
        </w:rPr>
        <w:t xml:space="preserve">Acknowledge</w:t>
      </w:r>
      <w:r>
        <w:t xml:space="preserve">,</w:t>
      </w:r>
      <w:r>
        <w:t xml:space="preserve"> </w:t>
      </w:r>
      <w:r>
        <w:rPr>
          <w:bCs/>
          <w:b/>
        </w:rPr>
        <w:t xml:space="preserve">Reply</w:t>
      </w:r>
      <w:r>
        <w:t xml:space="preserve">,</w:t>
      </w:r>
      <w:r>
        <w:t xml:space="preserve"> </w:t>
      </w:r>
      <w:r>
        <w:rPr>
          <w:bCs/>
          <w:b/>
        </w:rPr>
        <w:t xml:space="preserve">Final reply</w:t>
      </w:r>
      <w:r>
        <w:t xml:space="preserve"> </w:t>
      </w:r>
      <w:r>
        <w:t xml:space="preserve">(resolved, partially resolved, rejected), IO status update, Ombudsman stage update, monthly MIS (UP3 pack P4). Finbyx or LawDocsComply as grievance host under the Part 2 switch use the same events.</w:t>
      </w:r>
    </w:p>
    <w:bookmarkEnd w:id="191"/>
    <w:bookmarkStart w:id="192" w:name="controls-7"/>
    <w:p>
      <w:pPr>
        <w:pStyle w:val="Heading3"/>
      </w:pPr>
      <w:r>
        <w:t xml:space="preserve">Controls</w:t>
      </w:r>
    </w:p>
    <w:p>
      <w:pPr>
        <w:numPr>
          <w:ilvl w:val="0"/>
          <w:numId w:val="1110"/>
        </w:numPr>
        <w:pStyle w:val="Compact"/>
      </w:pPr>
      <w:r>
        <w:t xml:space="preserve">UB-C09: the redress profile must exist and be current before an RE deal reaches</w:t>
      </w:r>
      <w:r>
        <w:t xml:space="preserve"> </w:t>
      </w:r>
      <w:r>
        <w:rPr>
          <w:rStyle w:val="VerbatimChar"/>
        </w:rPr>
        <w:t xml:space="preserve">PILOT</w:t>
      </w:r>
      <w:r>
        <w:t xml:space="preserve"> </w:t>
      </w:r>
      <w:r>
        <w:t xml:space="preserve">(UP1).</w:t>
      </w:r>
    </w:p>
    <w:p>
      <w:pPr>
        <w:numPr>
          <w:ilvl w:val="0"/>
          <w:numId w:val="1110"/>
        </w:numPr>
        <w:pStyle w:val="Compact"/>
      </w:pPr>
      <w:r>
        <w:t xml:space="preserve">UB-C10: no Udofin role can set</w:t>
      </w:r>
      <w:r>
        <w:t xml:space="preserve"> </w:t>
      </w:r>
      <w:r>
        <w:rPr>
          <w:rStyle w:val="VerbatimChar"/>
        </w:rPr>
        <w:t xml:space="preserve">RE_FINAL_REPLY</w:t>
      </w:r>
      <w:r>
        <w:t xml:space="preserve"> </w:t>
      </w:r>
      <w:r>
        <w:t xml:space="preserve">or close an RE-owned complaint (permission test; CF para 12(3); OUT para 56).</w:t>
      </w:r>
    </w:p>
    <w:p>
      <w:pPr>
        <w:numPr>
          <w:ilvl w:val="0"/>
          <w:numId w:val="1110"/>
        </w:numPr>
        <w:pStyle w:val="Compact"/>
      </w:pPr>
      <w:r>
        <w:t xml:space="preserve">UB-C11: T4 panel never displays for</w:t>
      </w:r>
      <w:r>
        <w:t xml:space="preserve"> </w:t>
      </w:r>
      <w:r>
        <w:rPr>
          <w:rStyle w:val="VerbatimChar"/>
        </w:rPr>
        <w:t xml:space="preserve">COOP_ROUTE</w:t>
      </w:r>
      <w:r>
        <w:t xml:space="preserve">; co-operative route never displays for an RE loan.</w:t>
      </w:r>
    </w:p>
    <w:p>
      <w:pPr>
        <w:numPr>
          <w:ilvl w:val="0"/>
          <w:numId w:val="1110"/>
        </w:numPr>
        <w:pStyle w:val="Compact"/>
      </w:pPr>
      <w:r>
        <w:t xml:space="preserve">UB-C12: templates containing discouraging phrases fail the content linter.</w:t>
      </w:r>
    </w:p>
    <w:p>
      <w:pPr>
        <w:numPr>
          <w:ilvl w:val="0"/>
          <w:numId w:val="1110"/>
        </w:numPr>
        <w:pStyle w:val="Compact"/>
      </w:pPr>
      <w:r>
        <w:t xml:space="preserve">UB-C13: every forwarded complaint has an RE receipt acknowledgement or an open escalation.</w:t>
      </w:r>
    </w:p>
    <w:bookmarkEnd w:id="192"/>
    <w:bookmarkStart w:id="193" w:name="acceptance-tests-7"/>
    <w:p>
      <w:pPr>
        <w:pStyle w:val="Heading3"/>
      </w:pPr>
      <w:r>
        <w:t xml:space="preserve">Acceptance tests</w:t>
      </w:r>
    </w:p>
    <w:p>
      <w:pPr>
        <w:numPr>
          <w:ilvl w:val="0"/>
          <w:numId w:val="1111"/>
        </w:numPr>
        <w:pStyle w:val="Compact"/>
      </w:pPr>
      <w:r>
        <w:t xml:space="preserve">An RE with assets of ₹80 crore, no deposits: the T4 panel shows the CEPC regional office, not the RBI Ombudsman.</w:t>
      </w:r>
    </w:p>
    <w:p>
      <w:pPr>
        <w:numPr>
          <w:ilvl w:val="0"/>
          <w:numId w:val="1111"/>
        </w:numPr>
        <w:pStyle w:val="Compact"/>
      </w:pPr>
      <w:r>
        <w:t xml:space="preserve">An HFC loan never shows the RB-IOS panel and shows the configured NHB route.</w:t>
      </w:r>
    </w:p>
    <w:p>
      <w:pPr>
        <w:numPr>
          <w:ilvl w:val="0"/>
          <w:numId w:val="1111"/>
        </w:numPr>
        <w:pStyle w:val="Compact"/>
      </w:pPr>
      <w:r>
        <w:t xml:space="preserve">A complaint received by the RE on 1 Aug 2026 with no reply: the RE’s 30-day period ends on 31 Aug 2026; the external route opens on 1 Sep 2026 and closes on 29 Nov 2026 (90 days after the period ends) [VERIFY day-count convention against RB-IOS 2026 cl.10]; the countdown is correct across month boundaries.</w:t>
      </w:r>
    </w:p>
    <w:p>
      <w:pPr>
        <w:numPr>
          <w:ilvl w:val="0"/>
          <w:numId w:val="1111"/>
        </w:numPr>
        <w:pStyle w:val="Compact"/>
      </w:pPr>
      <w:r>
        <w:t xml:space="preserve">The same complaint with an RE rejection sent on 15 Sep 2026: the window closes on 14 Dec 2026 (90 days after the later date).</w:t>
      </w:r>
    </w:p>
    <w:p>
      <w:pPr>
        <w:numPr>
          <w:ilvl w:val="0"/>
          <w:numId w:val="1111"/>
        </w:numPr>
        <w:pStyle w:val="Compact"/>
      </w:pPr>
      <w:r>
        <w:t xml:space="preserve">A complaint received by the RE on 20 Jun 2026 with no reply, filed by the borrower after 1 Jul 2026: the window closes on 18 Oct 2026 under the 2026 Scheme; a borrower-declared filing dated 25 Jun 2026 is tagged</w:t>
      </w:r>
      <w:r>
        <w:t xml:space="preserve"> </w:t>
      </w:r>
      <w:r>
        <w:rPr>
          <w:rStyle w:val="VerbatimChar"/>
        </w:rPr>
        <w:t xml:space="preserve">RBIOS_2021</w:t>
      </w:r>
      <w:r>
        <w:t xml:space="preserve">.</w:t>
      </w:r>
    </w:p>
    <w:p>
      <w:pPr>
        <w:numPr>
          <w:ilvl w:val="0"/>
          <w:numId w:val="1111"/>
        </w:numPr>
        <w:pStyle w:val="Compact"/>
      </w:pPr>
      <w:r>
        <w:t xml:space="preserve">A partial rejection by an</w:t>
      </w:r>
      <w:r>
        <w:t xml:space="preserve"> </w:t>
      </w:r>
      <w:r>
        <w:rPr>
          <w:rStyle w:val="VerbatimChar"/>
        </w:rPr>
        <w:t xml:space="preserve">io_applicable</w:t>
      </w:r>
      <w:r>
        <w:t xml:space="preserve"> </w:t>
      </w:r>
      <w:r>
        <w:t xml:space="preserve">RE without an IO status by day 20 triggers an internal escalation page.</w:t>
      </w:r>
    </w:p>
    <w:p>
      <w:pPr>
        <w:numPr>
          <w:ilvl w:val="0"/>
          <w:numId w:val="1111"/>
        </w:numPr>
        <w:pStyle w:val="Compact"/>
      </w:pPr>
      <w:r>
        <w:t xml:space="preserve">A credit-information complaint without bank or UPI details cannot be submitted.</w:t>
      </w:r>
    </w:p>
    <w:p>
      <w:pPr>
        <w:numPr>
          <w:ilvl w:val="0"/>
          <w:numId w:val="1111"/>
        </w:numPr>
        <w:pStyle w:val="Compact"/>
      </w:pPr>
      <w:r>
        <w:t xml:space="preserve">A subscription complaint never reaches any RE and shows the consumer route.</w:t>
      </w:r>
    </w:p>
    <w:p>
      <w:pPr>
        <w:numPr>
          <w:ilvl w:val="0"/>
          <w:numId w:val="1111"/>
        </w:numPr>
        <w:pStyle w:val="Compact"/>
      </w:pPr>
      <w:r>
        <w:t xml:space="preserve">An AI-drafted reply cannot be sent without a staff approval, and no AI action can close a case.</w:t>
      </w:r>
    </w:p>
    <w:p>
      <w:r>
        <w:pict>
          <v:rect style="width:0;height:1.5pt" o:hralign="center" o:hrstd="t" o:hr="t"/>
        </w:pict>
      </w:r>
    </w:p>
    <w:bookmarkEnd w:id="193"/>
    <w:bookmarkEnd w:id="194"/>
    <w:bookmarkStart w:id="205" w:name="X08c9671a1022f9eb5a1766e0d88560e8c4d2e88"/>
    <w:p>
      <w:pPr>
        <w:pStyle w:val="Heading2"/>
      </w:pPr>
      <w:r>
        <w:t xml:space="preserve">UB4. Borrower complaint capabilities and help centre</w:t>
      </w:r>
    </w:p>
    <w:bookmarkStart w:id="195" w:name="purpose-and-scope-8"/>
    <w:p>
      <w:pPr>
        <w:pStyle w:val="Heading3"/>
      </w:pPr>
      <w:r>
        <w:t xml:space="preserve">Purpose and scope</w:t>
      </w:r>
    </w:p>
    <w:p>
      <w:pPr>
        <w:pStyle w:val="FirstParagraph"/>
      </w:pPr>
      <w:r>
        <w:t xml:space="preserve">Specify what a borrower can do with a complaint, what the case pack contains, how help-centre content is modelled and approved, and how all of it works in the borrower’s language and accessibility needs.</w:t>
      </w:r>
    </w:p>
    <w:bookmarkEnd w:id="195"/>
    <w:bookmarkStart w:id="196" w:name="borrower-capabilities"/>
    <w:p>
      <w:pPr>
        <w:pStyle w:val="Heading3"/>
      </w:pPr>
      <w:r>
        <w:t xml:space="preserve">Borrower capabilities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30"/>
        <w:gridCol w:w="1726"/>
        <w:gridCol w:w="4883"/>
        <w:gridCol w:w="2199"/>
      </w:tblGrid>
      <w:tr>
        <w:trPr>
          <w:tblHeader w:val="true"/>
          <w:tblHeader w:val="true"/>
        </w:trPr>
        <w:tc>
          <w:tcPr>
            <w:tcW w:w="830" w:type="dxa"/>
            <w:shd w:val="clear" w:color="auto" w:fill="1F3A5F"/>
          </w:tcPr>
          <w:p>
            <w:pPr>
              <w:pStyle w:val="Compact"/>
              <w:spacing w:after="40"/>
              <w:jc w:val="left"/>
            </w:pPr>
            <w:r>
              <w:rPr>
                <w:b/>
                <w:color w:val="FFFFFF"/>
                <w:sz w:val="18"/>
              </w:rPr>
              <w:t xml:space="preserve">#</w:t>
            </w:r>
          </w:p>
        </w:tc>
        <w:tc>
          <w:tcPr>
            <w:tcW w:w="1726" w:type="dxa"/>
            <w:shd w:val="clear" w:color="auto" w:fill="1F3A5F"/>
          </w:tcPr>
          <w:p>
            <w:pPr>
              <w:pStyle w:val="Compact"/>
              <w:spacing w:after="40"/>
              <w:jc w:val="left"/>
            </w:pPr>
            <w:r>
              <w:rPr>
                <w:b/>
                <w:color w:val="FFFFFF"/>
                <w:sz w:val="18"/>
              </w:rPr>
              <w:t xml:space="preserve">Capability</w:t>
            </w:r>
          </w:p>
        </w:tc>
        <w:tc>
          <w:tcPr>
            <w:tcW w:w="4883" w:type="dxa"/>
            <w:shd w:val="clear" w:color="auto" w:fill="1F3A5F"/>
          </w:tcPr>
          <w:p>
            <w:pPr>
              <w:pStyle w:val="Compact"/>
              <w:spacing w:after="40"/>
              <w:jc w:val="left"/>
            </w:pPr>
            <w:r>
              <w:rPr>
                <w:b/>
                <w:color w:val="FFFFFF"/>
                <w:sz w:val="18"/>
              </w:rPr>
              <w:t xml:space="preserve">Behaviour</w:t>
            </w:r>
          </w:p>
        </w:tc>
        <w:tc>
          <w:tcPr>
            <w:tcW w:w="2199" w:type="dxa"/>
            <w:shd w:val="clear" w:color="auto" w:fill="1F3A5F"/>
          </w:tcPr>
          <w:p>
            <w:pPr>
              <w:pStyle w:val="Compact"/>
              <w:spacing w:after="40"/>
              <w:jc w:val="left"/>
            </w:pPr>
            <w:r>
              <w:rPr>
                <w:b/>
                <w:color w:val="FFFFFF"/>
                <w:sz w:val="18"/>
              </w:rPr>
              <w:t xml:space="preserve">Event or record</w:t>
            </w:r>
          </w:p>
        </w:tc>
      </w:tr>
      <w:tr>
        <w:tc>
          <w:tcPr>
            <w:tcW w:w="830" w:type="dxa"/>
          </w:tcPr>
          <w:p>
            <w:pPr>
              <w:pStyle w:val="Compact"/>
              <w:spacing w:after="40"/>
              <w:jc w:val="left"/>
            </w:pPr>
            <w:r>
              <w:rPr>
                <w:sz w:val="18"/>
              </w:rPr>
              <w:t xml:space="preserve">1</w:t>
            </w:r>
          </w:p>
        </w:tc>
        <w:tc>
          <w:tcPr>
            <w:tcW w:w="1726" w:type="dxa"/>
          </w:tcPr>
          <w:p>
            <w:pPr>
              <w:pStyle w:val="Compact"/>
              <w:spacing w:after="40"/>
              <w:jc w:val="left"/>
            </w:pPr>
            <w:r>
              <w:rPr>
                <w:sz w:val="18"/>
              </w:rPr>
              <w:t xml:space="preserve">Raise a complaint</w:t>
            </w:r>
          </w:p>
        </w:tc>
        <w:tc>
          <w:tcPr>
            <w:tcW w:w="4883" w:type="dxa"/>
          </w:tcPr>
          <w:p>
            <w:pPr>
              <w:pStyle w:val="Compact"/>
              <w:spacing w:after="40"/>
              <w:jc w:val="left"/>
            </w:pPr>
            <w:r>
              <w:rPr>
                <w:sz w:val="18"/>
              </w:rPr>
              <w:t xml:space="preserve">From any screen, the help centre, a document, a payment or a notice; category picker in plain words; in the borrower’s language; free text plus structured fields; voice note with transcript [REC]</w:t>
            </w:r>
          </w:p>
        </w:tc>
        <w:tc>
          <w:tcPr>
            <w:tcW w:w="2199" w:type="dxa"/>
          </w:tcPr>
          <w:p>
            <w:pPr>
              <w:pStyle w:val="Compact"/>
              <w:spacing w:after="40"/>
              <w:jc w:val="left"/>
            </w:pPr>
            <w:r>
              <w:rPr>
                <w:rStyle w:val="VerbatimChar"/>
                <w:sz w:val="18"/>
              </w:rPr>
              <w:t xml:space="preserve">GrievanceRaised</w:t>
            </w:r>
          </w:p>
        </w:tc>
      </w:tr>
      <w:tr>
        <w:tc>
          <w:tcPr>
            <w:tcW w:w="830" w:type="dxa"/>
          </w:tcPr>
          <w:p>
            <w:pPr>
              <w:pStyle w:val="Compact"/>
              <w:spacing w:after="40"/>
              <w:jc w:val="left"/>
            </w:pPr>
            <w:r>
              <w:rPr>
                <w:sz w:val="18"/>
              </w:rPr>
              <w:t xml:space="preserve">2</w:t>
            </w:r>
          </w:p>
        </w:tc>
        <w:tc>
          <w:tcPr>
            <w:tcW w:w="1726" w:type="dxa"/>
          </w:tcPr>
          <w:p>
            <w:pPr>
              <w:pStyle w:val="Compact"/>
              <w:spacing w:after="40"/>
              <w:jc w:val="left"/>
            </w:pPr>
            <w:r>
              <w:rPr>
                <w:sz w:val="18"/>
              </w:rPr>
              <w:t xml:space="preserve">Attach evidence</w:t>
            </w:r>
          </w:p>
        </w:tc>
        <w:tc>
          <w:tcPr>
            <w:tcW w:w="4883" w:type="dxa"/>
          </w:tcPr>
          <w:p>
            <w:pPr>
              <w:pStyle w:val="Compact"/>
              <w:spacing w:after="40"/>
              <w:jc w:val="left"/>
            </w:pPr>
            <w:r>
              <w:rPr>
                <w:sz w:val="18"/>
              </w:rPr>
              <w:t xml:space="preserve">Through the system document or photo picker only (no storage permission; Part 4.5); up to 10 files, 10 MB each [REC]; virus-scanned; hash recorded</w:t>
            </w:r>
          </w:p>
        </w:tc>
        <w:tc>
          <w:tcPr>
            <w:tcW w:w="2199" w:type="dxa"/>
          </w:tcPr>
          <w:p>
            <w:pPr>
              <w:pStyle w:val="Compact"/>
              <w:spacing w:after="40"/>
              <w:jc w:val="left"/>
            </w:pPr>
            <w:r>
              <w:rPr>
                <w:rStyle w:val="VerbatimChar"/>
                <w:sz w:val="18"/>
              </w:rPr>
              <w:t xml:space="preserve">grievance_attachment</w:t>
            </w:r>
          </w:p>
        </w:tc>
      </w:tr>
      <w:tr>
        <w:tc>
          <w:tcPr>
            <w:tcW w:w="830" w:type="dxa"/>
          </w:tcPr>
          <w:p>
            <w:pPr>
              <w:pStyle w:val="Compact"/>
              <w:spacing w:after="40"/>
              <w:jc w:val="left"/>
            </w:pPr>
            <w:r>
              <w:rPr>
                <w:sz w:val="18"/>
              </w:rPr>
              <w:t xml:space="preserve">3</w:t>
            </w:r>
          </w:p>
        </w:tc>
        <w:tc>
          <w:tcPr>
            <w:tcW w:w="1726" w:type="dxa"/>
          </w:tcPr>
          <w:p>
            <w:pPr>
              <w:pStyle w:val="Compact"/>
              <w:spacing w:after="40"/>
              <w:jc w:val="left"/>
            </w:pPr>
            <w:r>
              <w:rPr>
                <w:sz w:val="18"/>
              </w:rPr>
              <w:t xml:space="preserve">Acknowledgement and reference</w:t>
            </w:r>
          </w:p>
        </w:tc>
        <w:tc>
          <w:tcPr>
            <w:tcW w:w="4883" w:type="dxa"/>
          </w:tcPr>
          <w:p>
            <w:pPr>
              <w:pStyle w:val="Compact"/>
              <w:spacing w:after="40"/>
              <w:jc w:val="left"/>
            </w:pPr>
            <w:r>
              <w:rPr>
                <w:sz w:val="18"/>
              </w:rPr>
              <w:t xml:space="preserve">Instant reference number and acknowledgement in app and by SMS or email on the registered contact</w:t>
            </w:r>
          </w:p>
        </w:tc>
        <w:tc>
          <w:tcPr>
            <w:tcW w:w="2199" w:type="dxa"/>
          </w:tcPr>
          <w:p>
            <w:pPr>
              <w:pStyle w:val="Compact"/>
              <w:spacing w:after="40"/>
              <w:jc w:val="left"/>
            </w:pPr>
            <w:r>
              <w:rPr>
                <w:sz w:val="18"/>
              </w:rPr>
              <w:t xml:space="preserve">U15</w:t>
            </w:r>
          </w:p>
        </w:tc>
      </w:tr>
      <w:tr>
        <w:tc>
          <w:tcPr>
            <w:tcW w:w="830" w:type="dxa"/>
          </w:tcPr>
          <w:p>
            <w:pPr>
              <w:pStyle w:val="Compact"/>
              <w:spacing w:after="40"/>
              <w:jc w:val="left"/>
            </w:pPr>
            <w:r>
              <w:rPr>
                <w:sz w:val="18"/>
              </w:rPr>
              <w:t xml:space="preserve">4</w:t>
            </w:r>
          </w:p>
        </w:tc>
        <w:tc>
          <w:tcPr>
            <w:tcW w:w="1726" w:type="dxa"/>
          </w:tcPr>
          <w:p>
            <w:pPr>
              <w:pStyle w:val="Compact"/>
              <w:spacing w:after="40"/>
              <w:jc w:val="left"/>
            </w:pPr>
            <w:r>
              <w:rPr>
                <w:sz w:val="18"/>
              </w:rPr>
              <w:t xml:space="preserve">Track</w:t>
            </w:r>
          </w:p>
        </w:tc>
        <w:tc>
          <w:tcPr>
            <w:tcW w:w="4883" w:type="dxa"/>
          </w:tcPr>
          <w:p>
            <w:pPr>
              <w:pStyle w:val="Compact"/>
              <w:spacing w:after="40"/>
              <w:jc w:val="left"/>
            </w:pPr>
            <w:r>
              <w:rPr>
                <w:sz w:val="18"/>
              </w:rPr>
              <w:t xml:space="preserve">Owner (Udofin or [RE name]), tier, live clock, next option and its opening date, full timeline</w:t>
            </w:r>
          </w:p>
        </w:tc>
        <w:tc>
          <w:tcPr>
            <w:tcW w:w="2199" w:type="dxa"/>
          </w:tcPr>
          <w:p>
            <w:pPr>
              <w:pStyle w:val="Compact"/>
              <w:spacing w:after="40"/>
              <w:jc w:val="left"/>
            </w:pPr>
            <w:r>
              <w:rPr>
                <w:rStyle w:val="VerbatimChar"/>
                <w:sz w:val="18"/>
              </w:rPr>
              <w:t xml:space="preserve">grievance_event</w:t>
            </w:r>
          </w:p>
        </w:tc>
      </w:tr>
      <w:tr>
        <w:tc>
          <w:tcPr>
            <w:tcW w:w="830" w:type="dxa"/>
          </w:tcPr>
          <w:p>
            <w:pPr>
              <w:pStyle w:val="Compact"/>
              <w:spacing w:after="40"/>
              <w:jc w:val="left"/>
            </w:pPr>
            <w:r>
              <w:rPr>
                <w:sz w:val="18"/>
              </w:rPr>
              <w:t xml:space="preserve">5</w:t>
            </w:r>
          </w:p>
        </w:tc>
        <w:tc>
          <w:tcPr>
            <w:tcW w:w="1726" w:type="dxa"/>
          </w:tcPr>
          <w:p>
            <w:pPr>
              <w:pStyle w:val="Compact"/>
              <w:spacing w:after="40"/>
              <w:jc w:val="left"/>
            </w:pPr>
            <w:r>
              <w:rPr>
                <w:sz w:val="18"/>
              </w:rPr>
              <w:t xml:space="preserve">Reply and add information</w:t>
            </w:r>
          </w:p>
        </w:tc>
        <w:tc>
          <w:tcPr>
            <w:tcW w:w="4883" w:type="dxa"/>
          </w:tcPr>
          <w:p>
            <w:pPr>
              <w:pStyle w:val="Compact"/>
              <w:spacing w:after="40"/>
              <w:jc w:val="left"/>
            </w:pPr>
            <w:r>
              <w:rPr>
                <w:sz w:val="18"/>
              </w:rPr>
              <w:t xml:space="preserve">Threaded messages; RE information requests appear as tasks with reminders</w:t>
            </w:r>
          </w:p>
        </w:tc>
        <w:tc>
          <w:tcPr>
            <w:tcW w:w="2199" w:type="dxa"/>
          </w:tcPr>
          <w:p>
            <w:pPr>
              <w:pStyle w:val="Compact"/>
              <w:spacing w:after="40"/>
              <w:jc w:val="left"/>
            </w:pPr>
            <w:r>
              <w:rPr>
                <w:rStyle w:val="VerbatimChar"/>
                <w:sz w:val="18"/>
              </w:rPr>
              <w:t xml:space="preserve">GrievanceUpdated</w:t>
            </w:r>
          </w:p>
        </w:tc>
      </w:tr>
      <w:tr>
        <w:tc>
          <w:tcPr>
            <w:tcW w:w="830" w:type="dxa"/>
          </w:tcPr>
          <w:p>
            <w:pPr>
              <w:pStyle w:val="Compact"/>
              <w:spacing w:after="40"/>
              <w:jc w:val="left"/>
            </w:pPr>
            <w:r>
              <w:rPr>
                <w:sz w:val="18"/>
              </w:rPr>
              <w:t xml:space="preserve">6</w:t>
            </w:r>
          </w:p>
        </w:tc>
        <w:tc>
          <w:tcPr>
            <w:tcW w:w="1726" w:type="dxa"/>
          </w:tcPr>
          <w:p>
            <w:pPr>
              <w:pStyle w:val="Compact"/>
              <w:spacing w:after="40"/>
              <w:jc w:val="left"/>
            </w:pPr>
            <w:r>
              <w:rPr>
                <w:sz w:val="18"/>
              </w:rPr>
              <w:t xml:space="preserve">Escalate</w:t>
            </w:r>
          </w:p>
        </w:tc>
        <w:tc>
          <w:tcPr>
            <w:tcW w:w="4883" w:type="dxa"/>
          </w:tcPr>
          <w:p>
            <w:pPr>
              <w:pStyle w:val="Compact"/>
              <w:spacing w:after="40"/>
              <w:jc w:val="left"/>
            </w:pPr>
            <w:r>
              <w:rPr>
                <w:sz w:val="18"/>
              </w:rPr>
              <w:t xml:space="preserve">One tap when a timer expires or after a rejection: inside Udofin (T1a), to the RE (if raised against Udofin and the borrower wants the RE’s review), or to the external route panel (T4) with instructions and the pre-filled case pack</w:t>
            </w:r>
          </w:p>
        </w:tc>
        <w:tc>
          <w:tcPr>
            <w:tcW w:w="2199" w:type="dxa"/>
          </w:tcPr>
          <w:p>
            <w:pPr>
              <w:pStyle w:val="Compact"/>
              <w:spacing w:after="40"/>
              <w:jc w:val="left"/>
            </w:pPr>
            <w:r>
              <w:rPr>
                <w:rStyle w:val="VerbatimChar"/>
                <w:sz w:val="18"/>
              </w:rPr>
              <w:t xml:space="preserve">GrievanceEscalated</w:t>
            </w:r>
            <w:r>
              <w:rPr>
                <w:sz w:val="18"/>
              </w:rPr>
              <w:t xml:space="preserve">;</w:t>
            </w:r>
            <w:r>
              <w:rPr>
                <w:sz w:val="18"/>
              </w:rPr>
              <w:t xml:space="preserve"> </w:t>
            </w:r>
            <w:r>
              <w:rPr>
                <w:rStyle w:val="VerbatimChar"/>
                <w:sz w:val="18"/>
              </w:rPr>
              <w:t xml:space="preserve">OmbudsmanReferralRecorded</w:t>
            </w:r>
            <w:r>
              <w:rPr>
                <w:sz w:val="18"/>
              </w:rPr>
              <w:t xml:space="preserve"> </w:t>
            </w:r>
            <w:r>
              <w:rPr>
                <w:sz w:val="18"/>
              </w:rPr>
              <w:t xml:space="preserve">when the borrower declares a filing</w:t>
            </w:r>
          </w:p>
        </w:tc>
      </w:tr>
      <w:tr>
        <w:tc>
          <w:tcPr>
            <w:tcW w:w="830" w:type="dxa"/>
          </w:tcPr>
          <w:p>
            <w:pPr>
              <w:pStyle w:val="Compact"/>
              <w:spacing w:after="40"/>
              <w:jc w:val="left"/>
            </w:pPr>
            <w:r>
              <w:rPr>
                <w:sz w:val="18"/>
              </w:rPr>
              <w:t xml:space="preserve">7</w:t>
            </w:r>
          </w:p>
        </w:tc>
        <w:tc>
          <w:tcPr>
            <w:tcW w:w="1726" w:type="dxa"/>
          </w:tcPr>
          <w:p>
            <w:pPr>
              <w:pStyle w:val="Compact"/>
              <w:spacing w:after="40"/>
              <w:jc w:val="left"/>
            </w:pPr>
            <w:r>
              <w:rPr>
                <w:sz w:val="18"/>
              </w:rPr>
              <w:t xml:space="preserve">Download case pack</w:t>
            </w:r>
          </w:p>
        </w:tc>
        <w:tc>
          <w:tcPr>
            <w:tcW w:w="4883" w:type="dxa"/>
          </w:tcPr>
          <w:p>
            <w:pPr>
              <w:pStyle w:val="Compact"/>
              <w:spacing w:after="40"/>
              <w:jc w:val="left"/>
            </w:pPr>
            <w:r>
              <w:rPr>
                <w:sz w:val="18"/>
              </w:rPr>
              <w:t xml:space="preserve">PDF/A plus JSON: summary, timeline with timestamps and time zone, the original complaint, attachments list with hashes, all replies, the RE’s final reply, clock calculations and the basis for the receipt date, lender details (name, registration, GRO, PNO), Udofin’s LSP details, loan reference partly masked, the route and window; signed by Udofin; sized for CMS upload limits [VERIFY CMS file limits]</w:t>
            </w:r>
          </w:p>
        </w:tc>
        <w:tc>
          <w:tcPr>
            <w:tcW w:w="2199" w:type="dxa"/>
          </w:tcPr>
          <w:p>
            <w:pPr>
              <w:pStyle w:val="Compact"/>
              <w:spacing w:after="40"/>
              <w:jc w:val="left"/>
            </w:pPr>
            <w:r>
              <w:rPr>
                <w:rStyle w:val="VerbatimChar"/>
                <w:sz w:val="18"/>
              </w:rPr>
              <w:t xml:space="preserve">case_pack</w:t>
            </w:r>
          </w:p>
        </w:tc>
      </w:tr>
      <w:tr>
        <w:tc>
          <w:tcPr>
            <w:tcW w:w="830" w:type="dxa"/>
          </w:tcPr>
          <w:p>
            <w:pPr>
              <w:pStyle w:val="Compact"/>
              <w:spacing w:after="40"/>
              <w:jc w:val="left"/>
            </w:pPr>
            <w:r>
              <w:rPr>
                <w:sz w:val="18"/>
              </w:rPr>
              <w:t xml:space="preserve">8</w:t>
            </w:r>
          </w:p>
        </w:tc>
        <w:tc>
          <w:tcPr>
            <w:tcW w:w="1726" w:type="dxa"/>
          </w:tcPr>
          <w:p>
            <w:pPr>
              <w:pStyle w:val="Compact"/>
              <w:spacing w:after="40"/>
              <w:jc w:val="left"/>
            </w:pPr>
            <w:r>
              <w:rPr>
                <w:sz w:val="18"/>
              </w:rPr>
              <w:t xml:space="preserve">Reopen</w:t>
            </w:r>
          </w:p>
        </w:tc>
        <w:tc>
          <w:tcPr>
            <w:tcW w:w="4883" w:type="dxa"/>
          </w:tcPr>
          <w:p>
            <w:pPr>
              <w:pStyle w:val="Compact"/>
              <w:spacing w:after="40"/>
              <w:jc w:val="left"/>
            </w:pPr>
            <w:r>
              <w:rPr>
                <w:sz w:val="18"/>
              </w:rPr>
              <w:t xml:space="preserve">Within 30 days of closure [REC]; same case ID; reason required; sent to the RE as a fresh receipt</w:t>
            </w:r>
          </w:p>
        </w:tc>
        <w:tc>
          <w:tcPr>
            <w:tcW w:w="2199" w:type="dxa"/>
          </w:tcPr>
          <w:p>
            <w:pPr>
              <w:pStyle w:val="Compact"/>
              <w:spacing w:after="40"/>
              <w:jc w:val="left"/>
            </w:pPr>
            <w:r>
              <w:rPr>
                <w:rStyle w:val="VerbatimChar"/>
                <w:sz w:val="18"/>
              </w:rPr>
              <w:t xml:space="preserve">GrievanceReopened</w:t>
            </w:r>
          </w:p>
        </w:tc>
      </w:tr>
      <w:tr>
        <w:tc>
          <w:tcPr>
            <w:tcW w:w="830" w:type="dxa"/>
          </w:tcPr>
          <w:p>
            <w:pPr>
              <w:pStyle w:val="Compact"/>
              <w:spacing w:after="40"/>
              <w:jc w:val="left"/>
            </w:pPr>
            <w:r>
              <w:rPr>
                <w:sz w:val="18"/>
              </w:rPr>
              <w:t xml:space="preserve">9</w:t>
            </w:r>
          </w:p>
        </w:tc>
        <w:tc>
          <w:tcPr>
            <w:tcW w:w="1726" w:type="dxa"/>
          </w:tcPr>
          <w:p>
            <w:pPr>
              <w:pStyle w:val="Compact"/>
              <w:spacing w:after="40"/>
              <w:jc w:val="left"/>
            </w:pPr>
            <w:r>
              <w:rPr>
                <w:sz w:val="18"/>
              </w:rPr>
              <w:t xml:space="preserve">Rate the resolution</w:t>
            </w:r>
          </w:p>
        </w:tc>
        <w:tc>
          <w:tcPr>
            <w:tcW w:w="4883" w:type="dxa"/>
          </w:tcPr>
          <w:p>
            <w:pPr>
              <w:pStyle w:val="Compact"/>
              <w:spacing w:after="40"/>
              <w:jc w:val="left"/>
            </w:pPr>
            <w:r>
              <w:rPr>
                <w:sz w:val="18"/>
              </w:rPr>
              <w:t xml:space="preserve">1–5 stars plus optional text after closure; never shown to the handling agent before closure; a low rating prompts the escalation options, never a retention offer</w:t>
            </w:r>
          </w:p>
        </w:tc>
        <w:tc>
          <w:tcPr>
            <w:tcW w:w="2199" w:type="dxa"/>
          </w:tcPr>
          <w:p>
            <w:pPr>
              <w:pStyle w:val="Compact"/>
              <w:spacing w:after="40"/>
              <w:jc w:val="left"/>
            </w:pPr>
            <w:r>
              <w:rPr>
                <w:rStyle w:val="VerbatimChar"/>
                <w:sz w:val="18"/>
              </w:rPr>
              <w:t xml:space="preserve">GrievanceRated</w:t>
            </w:r>
          </w:p>
        </w:tc>
      </w:tr>
      <w:tr>
        <w:tc>
          <w:tcPr>
            <w:tcW w:w="830" w:type="dxa"/>
          </w:tcPr>
          <w:p>
            <w:pPr>
              <w:pStyle w:val="Compact"/>
              <w:spacing w:after="40"/>
              <w:jc w:val="left"/>
            </w:pPr>
            <w:r>
              <w:rPr>
                <w:sz w:val="18"/>
              </w:rPr>
              <w:t xml:space="preserve">10</w:t>
            </w:r>
          </w:p>
        </w:tc>
        <w:tc>
          <w:tcPr>
            <w:tcW w:w="1726" w:type="dxa"/>
          </w:tcPr>
          <w:p>
            <w:pPr>
              <w:pStyle w:val="Compact"/>
              <w:spacing w:after="40"/>
              <w:jc w:val="left"/>
            </w:pPr>
            <w:r>
              <w:rPr>
                <w:sz w:val="18"/>
              </w:rPr>
              <w:t xml:space="preserve">Withdraw</w:t>
            </w:r>
          </w:p>
        </w:tc>
        <w:tc>
          <w:tcPr>
            <w:tcW w:w="4883" w:type="dxa"/>
          </w:tcPr>
          <w:p>
            <w:pPr>
              <w:pStyle w:val="Compact"/>
              <w:spacing w:after="40"/>
              <w:jc w:val="left"/>
            </w:pPr>
            <w:r>
              <w:rPr>
                <w:sz w:val="18"/>
              </w:rPr>
              <w:t xml:space="preserve">At any time with an optional reason; withdrawal never removes the record</w:t>
            </w:r>
          </w:p>
        </w:tc>
        <w:tc>
          <w:tcPr>
            <w:tcW w:w="2199" w:type="dxa"/>
          </w:tcPr>
          <w:p>
            <w:pPr>
              <w:pStyle w:val="Compact"/>
              <w:spacing w:after="40"/>
              <w:jc w:val="left"/>
            </w:pPr>
            <w:r>
              <w:rPr>
                <w:rStyle w:val="VerbatimChar"/>
                <w:sz w:val="18"/>
              </w:rPr>
              <w:t xml:space="preserve">grievance_event</w:t>
            </w:r>
          </w:p>
        </w:tc>
      </w:tr>
      <w:tr>
        <w:tc>
          <w:tcPr>
            <w:tcW w:w="830" w:type="dxa"/>
          </w:tcPr>
          <w:p>
            <w:pPr>
              <w:pStyle w:val="Compact"/>
              <w:spacing w:after="40"/>
              <w:jc w:val="left"/>
            </w:pPr>
            <w:r>
              <w:rPr>
                <w:sz w:val="18"/>
              </w:rPr>
              <w:t xml:space="preserve">11</w:t>
            </w:r>
          </w:p>
        </w:tc>
        <w:tc>
          <w:tcPr>
            <w:tcW w:w="1726" w:type="dxa"/>
          </w:tcPr>
          <w:p>
            <w:pPr>
              <w:pStyle w:val="Compact"/>
              <w:spacing w:after="40"/>
              <w:jc w:val="left"/>
            </w:pPr>
            <w:r>
              <w:rPr>
                <w:sz w:val="18"/>
              </w:rPr>
              <w:t xml:space="preserve">Nominate a representative</w:t>
            </w:r>
          </w:p>
        </w:tc>
        <w:tc>
          <w:tcPr>
            <w:tcW w:w="4883" w:type="dxa"/>
          </w:tcPr>
          <w:p>
            <w:pPr>
              <w:pStyle w:val="Compact"/>
              <w:spacing w:after="40"/>
              <w:jc w:val="left"/>
            </w:pPr>
            <w:r>
              <w:rPr>
                <w:sz w:val="18"/>
              </w:rPr>
              <w:t xml:space="preserve">A person authorised in writing, not an advocate unless the advocate is the aggrieved person (RB-IOS cl.10(1)(b); RBI FAQ); authorisation and consent captured; the representative gets read-only case access by OTP on their own mobile</w:t>
            </w:r>
          </w:p>
        </w:tc>
        <w:tc>
          <w:tcPr>
            <w:tcW w:w="2199" w:type="dxa"/>
          </w:tcPr>
          <w:p>
            <w:pPr>
              <w:pStyle w:val="Compact"/>
              <w:spacing w:after="40"/>
              <w:jc w:val="left"/>
            </w:pPr>
            <w:r>
              <w:rPr>
                <w:rStyle w:val="VerbatimChar"/>
                <w:sz w:val="18"/>
              </w:rPr>
              <w:t xml:space="preserve">grievance_representative</w:t>
            </w:r>
          </w:p>
        </w:tc>
      </w:tr>
      <w:tr>
        <w:tc>
          <w:tcPr>
            <w:tcW w:w="830" w:type="dxa"/>
          </w:tcPr>
          <w:p>
            <w:pPr>
              <w:pStyle w:val="Compact"/>
              <w:spacing w:after="40"/>
              <w:jc w:val="left"/>
            </w:pPr>
            <w:r>
              <w:rPr>
                <w:sz w:val="18"/>
              </w:rPr>
              <w:t xml:space="preserve">12</w:t>
            </w:r>
          </w:p>
        </w:tc>
        <w:tc>
          <w:tcPr>
            <w:tcW w:w="1726" w:type="dxa"/>
          </w:tcPr>
          <w:p>
            <w:pPr>
              <w:pStyle w:val="Compact"/>
              <w:spacing w:after="40"/>
              <w:jc w:val="left"/>
            </w:pPr>
            <w:r>
              <w:rPr>
                <w:sz w:val="18"/>
              </w:rPr>
              <w:t xml:space="preserve">Request a callback and choose an accessible format</w:t>
            </w:r>
          </w:p>
        </w:tc>
        <w:tc>
          <w:tcPr>
            <w:tcW w:w="4883" w:type="dxa"/>
          </w:tcPr>
          <w:p>
            <w:pPr>
              <w:pStyle w:val="Compact"/>
              <w:spacing w:after="40"/>
              <w:jc w:val="left"/>
            </w:pPr>
            <w:r>
              <w:rPr>
                <w:sz w:val="18"/>
              </w:rPr>
              <w:t xml:space="preserve">Callback within the borrower’s chosen window and lawful calling hours (Part 7H RA5); large text, screen reader, audio read-out, regional language, assisted channel; PwD tag (RBC para 28)</w:t>
            </w:r>
          </w:p>
        </w:tc>
        <w:tc>
          <w:tcPr>
            <w:tcW w:w="2199" w:type="dxa"/>
          </w:tcPr>
          <w:p>
            <w:pPr>
              <w:pStyle w:val="Compact"/>
              <w:spacing w:after="40"/>
              <w:jc w:val="left"/>
            </w:pPr>
            <w:r>
              <w:rPr>
                <w:rStyle w:val="VerbatimChar"/>
                <w:sz w:val="18"/>
              </w:rPr>
              <w:t xml:space="preserve">callback_request</w:t>
            </w:r>
            <w:r>
              <w:rPr>
                <w:sz w:val="18"/>
              </w:rPr>
              <w:t xml:space="preserve">;</w:t>
            </w:r>
            <w:r>
              <w:rPr>
                <w:sz w:val="18"/>
              </w:rPr>
              <w:t xml:space="preserve"> </w:t>
            </w:r>
            <w:r>
              <w:rPr>
                <w:rStyle w:val="VerbatimChar"/>
                <w:sz w:val="18"/>
              </w:rPr>
              <w:t xml:space="preserve">accessibility_preference</w:t>
            </w:r>
          </w:p>
        </w:tc>
      </w:tr>
    </w:tbl>
    <w:bookmarkEnd w:id="196"/>
    <w:bookmarkStart w:id="197" w:name="borrower-visible-timeline"/>
    <w:p>
      <w:pPr>
        <w:pStyle w:val="Heading3"/>
      </w:pPr>
      <w:r>
        <w:t xml:space="preserve">Borrower-visible timeline</w:t>
      </w:r>
    </w:p>
    <w:p>
      <w:pPr>
        <w:pStyle w:val="FirstParagraph"/>
      </w:pPr>
      <w:r>
        <w:t xml:space="preserve">Every case page shows a vertical timeline, newest first, with time in IST and the actor: received by Udofin; classified (category in plain words); sent to [RE name] (with forwarding time); acknowledged by [RE name] (receipt date and its basis); information requested (task with due date); reply sent; escalated (tier, reason,</w:t>
      </w:r>
      <w:r>
        <w:t xml:space="preserve"> </w:t>
      </w:r>
      <w:r>
        <w:t xml:space="preserve">“</w:t>
      </w:r>
      <w:r>
        <w:t xml:space="preserve">automatic</w:t>
      </w:r>
      <w:r>
        <w:t xml:space="preserve">”</w:t>
      </w:r>
      <w:r>
        <w:t xml:space="preserve"> </w:t>
      </w:r>
      <w:r>
        <w:t xml:space="preserve">or</w:t>
      </w:r>
      <w:r>
        <w:t xml:space="preserve"> </w:t>
      </w:r>
      <w:r>
        <w:t xml:space="preserve">“</w:t>
      </w:r>
      <w:r>
        <w:t xml:space="preserve">by you</w:t>
      </w:r>
      <w:r>
        <w:t xml:space="preserve">”</w:t>
      </w:r>
      <w:r>
        <w:t xml:space="preserve">); Internal Ombudsman review; final reply (type); your response; external route open (window dates and countdown); filing declared; Ombudsman stage (as the RE reports); closed, reopened, rated or withdrawn. Internal notes, staff names beyond the role, and AI drafts never appear. The same timeline is the spine of the case pack.</w:t>
      </w:r>
    </w:p>
    <w:bookmarkEnd w:id="197"/>
    <w:bookmarkStart w:id="198" w:name="help-centre-content-model"/>
    <w:p>
      <w:pPr>
        <w:pStyle w:val="Heading3"/>
      </w:pPr>
      <w:r>
        <w:t xml:space="preserve">Help-centre content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84"/>
        <w:gridCol w:w="6354"/>
      </w:tblGrid>
      <w:tr>
        <w:trPr>
          <w:tblHeader w:val="true"/>
          <w:tblHeader w:val="true"/>
        </w:trPr>
        <w:tc>
          <w:tcPr>
            <w:tcW w:w="3284" w:type="dxa"/>
            <w:shd w:val="clear" w:color="auto" w:fill="1F3A5F"/>
          </w:tcPr>
          <w:p>
            <w:pPr>
              <w:pStyle w:val="Compact"/>
              <w:spacing w:after="40"/>
              <w:jc w:val="left"/>
            </w:pPr>
            <w:r>
              <w:rPr>
                <w:b/>
                <w:color w:val="FFFFFF"/>
                <w:sz w:val="18"/>
              </w:rPr>
              <w:t xml:space="preserve">Field</w:t>
            </w:r>
          </w:p>
        </w:tc>
        <w:tc>
          <w:tcPr>
            <w:tcW w:w="6354" w:type="dxa"/>
            <w:shd w:val="clear" w:color="auto" w:fill="1F3A5F"/>
          </w:tcPr>
          <w:p>
            <w:pPr>
              <w:pStyle w:val="Compact"/>
              <w:spacing w:after="40"/>
              <w:jc w:val="left"/>
            </w:pPr>
            <w:r>
              <w:rPr>
                <w:b/>
                <w:color w:val="FFFFFF"/>
                <w:sz w:val="18"/>
              </w:rPr>
              <w:t xml:space="preserve">Rule</w:t>
            </w:r>
          </w:p>
        </w:tc>
      </w:tr>
      <w:tr>
        <w:tc>
          <w:tcPr>
            <w:tcW w:w="3284" w:type="dxa"/>
          </w:tcPr>
          <w:p>
            <w:pPr>
              <w:pStyle w:val="Compact"/>
              <w:spacing w:after="40"/>
              <w:jc w:val="left"/>
            </w:pPr>
            <w:r>
              <w:rPr>
                <w:rStyle w:val="VerbatimChar"/>
                <w:sz w:val="18"/>
              </w:rPr>
              <w:t xml:space="preserve">article_id</w:t>
            </w:r>
            <w:r>
              <w:rPr>
                <w:sz w:val="18"/>
              </w:rPr>
              <w:t xml:space="preserve">,</w:t>
            </w:r>
            <w:r>
              <w:rPr>
                <w:sz w:val="18"/>
              </w:rPr>
              <w:t xml:space="preserve"> </w:t>
            </w:r>
            <w:r>
              <w:rPr>
                <w:rStyle w:val="VerbatimChar"/>
                <w:sz w:val="18"/>
              </w:rPr>
              <w:t xml:space="preserve">type</w:t>
            </w:r>
          </w:p>
        </w:tc>
        <w:tc>
          <w:tcPr>
            <w:tcW w:w="6354" w:type="dxa"/>
          </w:tcPr>
          <w:p>
            <w:pPr>
              <w:pStyle w:val="Compact"/>
              <w:spacing w:after="40"/>
              <w:jc w:val="left"/>
            </w:pPr>
            <w:r>
              <w:rPr>
                <w:sz w:val="18"/>
              </w:rPr>
              <w:t xml:space="preserve">FAQ, guided flow, rights explainer, RE-specific article, product explainer, regulatory notice (for example RB-IOS salient features)</w:t>
            </w:r>
          </w:p>
        </w:tc>
      </w:tr>
      <w:tr>
        <w:tc>
          <w:tcPr>
            <w:tcW w:w="3284" w:type="dxa"/>
          </w:tcPr>
          <w:p>
            <w:pPr>
              <w:pStyle w:val="Compact"/>
              <w:spacing w:after="40"/>
              <w:jc w:val="left"/>
            </w:pPr>
            <w:r>
              <w:rPr>
                <w:rStyle w:val="VerbatimChar"/>
                <w:sz w:val="18"/>
              </w:rPr>
              <w:t xml:space="preserve">scope</w:t>
            </w:r>
          </w:p>
        </w:tc>
        <w:tc>
          <w:tcPr>
            <w:tcW w:w="6354" w:type="dxa"/>
          </w:tcPr>
          <w:p>
            <w:pPr>
              <w:pStyle w:val="Compact"/>
              <w:spacing w:after="40"/>
              <w:jc w:val="left"/>
            </w:pPr>
            <w:r>
              <w:rPr>
                <w:sz w:val="18"/>
              </w:rPr>
              <w:t xml:space="preserve">Global, RE-specific (tenant), product, channel, lender class (RE or society)</w:t>
            </w:r>
          </w:p>
        </w:tc>
      </w:tr>
      <w:tr>
        <w:tc>
          <w:tcPr>
            <w:tcW w:w="3284" w:type="dxa"/>
          </w:tcPr>
          <w:p>
            <w:pPr>
              <w:pStyle w:val="Compact"/>
              <w:spacing w:after="40"/>
              <w:jc w:val="left"/>
            </w:pPr>
            <w:r>
              <w:rPr>
                <w:rStyle w:val="VerbatimChar"/>
                <w:sz w:val="18"/>
              </w:rPr>
              <w:t xml:space="preserve">locale</w:t>
            </w:r>
            <w:r>
              <w:rPr>
                <w:sz w:val="18"/>
              </w:rPr>
              <w:t xml:space="preserve"> </w:t>
            </w:r>
            <w:r>
              <w:rPr>
                <w:sz w:val="18"/>
              </w:rPr>
              <w:t xml:space="preserve">and translations</w:t>
            </w:r>
          </w:p>
        </w:tc>
        <w:tc>
          <w:tcPr>
            <w:tcW w:w="6354" w:type="dxa"/>
          </w:tcPr>
          <w:p>
            <w:pPr>
              <w:pStyle w:val="Compact"/>
              <w:spacing w:after="40"/>
              <w:jc w:val="left"/>
            </w:pPr>
            <w:r>
              <w:rPr>
                <w:sz w:val="18"/>
              </w:rPr>
              <w:t xml:space="preserve">Source language plus approved translations; machine translation only as a draft for human review [REC]</w:t>
            </w:r>
          </w:p>
        </w:tc>
      </w:tr>
      <w:tr>
        <w:tc>
          <w:tcPr>
            <w:tcW w:w="3284" w:type="dxa"/>
          </w:tcPr>
          <w:p>
            <w:pPr>
              <w:pStyle w:val="Compact"/>
              <w:spacing w:after="40"/>
              <w:jc w:val="left"/>
            </w:pPr>
            <w:r>
              <w:rPr>
                <w:rStyle w:val="VerbatimChar"/>
                <w:sz w:val="18"/>
              </w:rPr>
              <w:t xml:space="preserve">owner</w:t>
            </w:r>
            <w:r>
              <w:rPr>
                <w:sz w:val="18"/>
              </w:rPr>
              <w:t xml:space="preserve"> </w:t>
            </w:r>
            <w:r>
              <w:rPr>
                <w:sz w:val="18"/>
              </w:rPr>
              <w:t xml:space="preserve">and</w:t>
            </w:r>
            <w:r>
              <w:rPr>
                <w:sz w:val="18"/>
              </w:rPr>
              <w:t xml:space="preserve"> </w:t>
            </w:r>
            <w:r>
              <w:rPr>
                <w:rStyle w:val="VerbatimChar"/>
                <w:sz w:val="18"/>
              </w:rPr>
              <w:t xml:space="preserve">approver</w:t>
            </w:r>
          </w:p>
        </w:tc>
        <w:tc>
          <w:tcPr>
            <w:tcW w:w="6354" w:type="dxa"/>
          </w:tcPr>
          <w:p>
            <w:pPr>
              <w:pStyle w:val="Compact"/>
              <w:spacing w:after="40"/>
              <w:jc w:val="left"/>
            </w:pPr>
            <w:r>
              <w:rPr>
                <w:sz w:val="18"/>
              </w:rPr>
              <w:t xml:space="preserve">Udofin content owner; RE approver for RE-specific content (RBC para 10); Udofin legal for rights and regulatory content</w:t>
            </w:r>
          </w:p>
        </w:tc>
      </w:tr>
      <w:tr>
        <w:tc>
          <w:tcPr>
            <w:tcW w:w="3284" w:type="dxa"/>
          </w:tcPr>
          <w:p>
            <w:pPr>
              <w:pStyle w:val="Compact"/>
              <w:spacing w:after="40"/>
              <w:jc w:val="left"/>
            </w:pPr>
            <w:r>
              <w:rPr>
                <w:rStyle w:val="VerbatimChar"/>
                <w:sz w:val="18"/>
              </w:rPr>
              <w:t xml:space="preserve">sources</w:t>
            </w:r>
          </w:p>
        </w:tc>
        <w:tc>
          <w:tcPr>
            <w:tcW w:w="6354" w:type="dxa"/>
          </w:tcPr>
          <w:p>
            <w:pPr>
              <w:pStyle w:val="Compact"/>
              <w:spacing w:after="40"/>
              <w:jc w:val="left"/>
            </w:pPr>
            <w:r>
              <w:rPr>
                <w:sz w:val="18"/>
              </w:rPr>
              <w:t xml:space="preserve">Citations to the regulation or RE policy version the article relies on</w:t>
            </w:r>
          </w:p>
        </w:tc>
      </w:tr>
      <w:tr>
        <w:tc>
          <w:tcPr>
            <w:tcW w:w="3284" w:type="dxa"/>
          </w:tcPr>
          <w:p>
            <w:pPr>
              <w:pStyle w:val="Compact"/>
              <w:spacing w:after="40"/>
              <w:jc w:val="left"/>
            </w:pPr>
            <w:r>
              <w:rPr>
                <w:rStyle w:val="VerbatimChar"/>
                <w:sz w:val="18"/>
              </w:rPr>
              <w:t xml:space="preserve">version</w:t>
            </w:r>
            <w:r>
              <w:rPr>
                <w:sz w:val="18"/>
              </w:rPr>
              <w:t xml:space="preserve">,</w:t>
            </w:r>
            <w:r>
              <w:rPr>
                <w:sz w:val="18"/>
              </w:rPr>
              <w:t xml:space="preserve"> </w:t>
            </w:r>
            <w:r>
              <w:rPr>
                <w:rStyle w:val="VerbatimChar"/>
                <w:sz w:val="18"/>
              </w:rPr>
              <w:t xml:space="preserve">effective_from</w:t>
            </w:r>
            <w:r>
              <w:rPr>
                <w:sz w:val="18"/>
              </w:rPr>
              <w:t xml:space="preserve">,</w:t>
            </w:r>
            <w:r>
              <w:rPr>
                <w:sz w:val="18"/>
              </w:rPr>
              <w:t xml:space="preserve"> </w:t>
            </w:r>
            <w:r>
              <w:rPr>
                <w:rStyle w:val="VerbatimChar"/>
                <w:sz w:val="18"/>
              </w:rPr>
              <w:t xml:space="preserve">review_due</w:t>
            </w:r>
          </w:p>
        </w:tc>
        <w:tc>
          <w:tcPr>
            <w:tcW w:w="6354" w:type="dxa"/>
          </w:tcPr>
          <w:p>
            <w:pPr>
              <w:pStyle w:val="Compact"/>
              <w:spacing w:after="40"/>
              <w:jc w:val="left"/>
            </w:pPr>
            <w:r>
              <w:rPr>
                <w:sz w:val="18"/>
              </w:rPr>
              <w:t xml:space="preserve">Review at least every 6 months and on any linked regulation or policy change [REC]</w:t>
            </w:r>
          </w:p>
        </w:tc>
      </w:tr>
      <w:tr>
        <w:tc>
          <w:tcPr>
            <w:tcW w:w="3284" w:type="dxa"/>
          </w:tcPr>
          <w:p>
            <w:pPr>
              <w:pStyle w:val="Compact"/>
              <w:spacing w:after="40"/>
              <w:jc w:val="left"/>
            </w:pPr>
            <w:r>
              <w:rPr>
                <w:rStyle w:val="VerbatimChar"/>
                <w:sz w:val="18"/>
              </w:rPr>
              <w:t xml:space="preserve">reading_level</w:t>
            </w:r>
          </w:p>
        </w:tc>
        <w:tc>
          <w:tcPr>
            <w:tcW w:w="6354" w:type="dxa"/>
          </w:tcPr>
          <w:p>
            <w:pPr>
              <w:pStyle w:val="Compact"/>
              <w:spacing w:after="40"/>
              <w:jc w:val="left"/>
            </w:pPr>
            <w:r>
              <w:rPr>
                <w:sz w:val="18"/>
              </w:rPr>
              <w:t xml:space="preserve">Target plain language (approximately grade 6–8) [REC]</w:t>
            </w:r>
          </w:p>
        </w:tc>
      </w:tr>
      <w:tr>
        <w:tc>
          <w:tcPr>
            <w:tcW w:w="3284" w:type="dxa"/>
          </w:tcPr>
          <w:p>
            <w:pPr>
              <w:pStyle w:val="Compact"/>
              <w:spacing w:after="40"/>
              <w:jc w:val="left"/>
            </w:pPr>
            <w:r>
              <w:rPr>
                <w:rStyle w:val="VerbatimChar"/>
                <w:sz w:val="18"/>
              </w:rPr>
              <w:t xml:space="preserve">complaint_cta</w:t>
            </w:r>
          </w:p>
        </w:tc>
        <w:tc>
          <w:tcPr>
            <w:tcW w:w="6354" w:type="dxa"/>
          </w:tcPr>
          <w:p>
            <w:pPr>
              <w:pStyle w:val="Compact"/>
              <w:spacing w:after="40"/>
              <w:jc w:val="left"/>
            </w:pPr>
            <w:r>
              <w:rPr>
                <w:sz w:val="18"/>
              </w:rPr>
              <w:t xml:space="preserve">Mandatory</w:t>
            </w:r>
            <w:r>
              <w:rPr>
                <w:sz w:val="18"/>
              </w:rPr>
              <w:t xml:space="preserve"> </w:t>
            </w:r>
            <w:r>
              <w:rPr>
                <w:sz w:val="18"/>
              </w:rPr>
              <w:t xml:space="preserve">“</w:t>
            </w:r>
            <w:r>
              <w:rPr>
                <w:sz w:val="18"/>
              </w:rPr>
              <w:t xml:space="preserve">Raise a complaint</w:t>
            </w:r>
            <w:r>
              <w:rPr>
                <w:sz w:val="18"/>
              </w:rPr>
              <w:t xml:space="preserve">”</w:t>
            </w:r>
            <w:r>
              <w:rPr>
                <w:sz w:val="18"/>
              </w:rPr>
              <w:t xml:space="preserve"> </w:t>
            </w:r>
            <w:r>
              <w:rPr>
                <w:sz w:val="18"/>
              </w:rPr>
              <w:t xml:space="preserve">action on every article</w:t>
            </w:r>
          </w:p>
        </w:tc>
      </w:tr>
      <w:tr>
        <w:tc>
          <w:tcPr>
            <w:tcW w:w="3284" w:type="dxa"/>
          </w:tcPr>
          <w:p>
            <w:pPr>
              <w:pStyle w:val="Compact"/>
              <w:spacing w:after="40"/>
              <w:jc w:val="left"/>
            </w:pPr>
            <w:r>
              <w:rPr>
                <w:rStyle w:val="VerbatimChar"/>
                <w:sz w:val="18"/>
              </w:rPr>
              <w:t xml:space="preserve">ai_usable</w:t>
            </w:r>
          </w:p>
        </w:tc>
        <w:tc>
          <w:tcPr>
            <w:tcW w:w="6354" w:type="dxa"/>
          </w:tcPr>
          <w:p>
            <w:pPr>
              <w:pStyle w:val="Compact"/>
              <w:spacing w:after="40"/>
              <w:jc w:val="left"/>
            </w:pPr>
            <w:r>
              <w:rPr>
                <w:sz w:val="18"/>
              </w:rPr>
              <w:t xml:space="preserve">Only approved, published, in-date articles feed the AI assistant (U20)</w:t>
            </w:r>
          </w:p>
        </w:tc>
      </w:tr>
    </w:tbl>
    <w:p>
      <w:pPr>
        <w:pStyle w:val="BodyText"/>
      </w:pPr>
      <w:r>
        <w:rPr>
          <w:bCs/>
          <w:b/>
        </w:rPr>
        <w:t xml:space="preserve">Rules.</w:t>
      </w:r>
    </w:p>
    <w:p>
      <w:pPr>
        <w:numPr>
          <w:ilvl w:val="0"/>
          <w:numId w:val="1112"/>
        </w:numPr>
        <w:pStyle w:val="Compact"/>
      </w:pPr>
      <w:r>
        <w:rPr>
          <w:bCs/>
          <w:b/>
        </w:rPr>
        <w:t xml:space="preserve">Deflection must never block.</w:t>
      </w:r>
      <w:r>
        <w:t xml:space="preserve"> </w:t>
      </w:r>
      <w:r>
        <w:t xml:space="preserve">Deflection metrics are reported but never used as a target that discourages complaints; the complaint button is never hidden behind a minimum number of articles or chatbot turns.</w:t>
      </w:r>
    </w:p>
    <w:p>
      <w:pPr>
        <w:numPr>
          <w:ilvl w:val="0"/>
          <w:numId w:val="1112"/>
        </w:numPr>
        <w:pStyle w:val="Compact"/>
      </w:pPr>
      <w:r>
        <w:rPr>
          <w:bCs/>
          <w:b/>
        </w:rPr>
        <w:t xml:space="preserve">Accuracy over speed.</w:t>
      </w:r>
      <w:r>
        <w:t xml:space="preserve"> </w:t>
      </w:r>
      <w:r>
        <w:t xml:space="preserve">An article tied to a changed regulation is withdrawn from AI use the day its</w:t>
      </w:r>
      <w:r>
        <w:t xml:space="preserve"> </w:t>
      </w:r>
      <w:r>
        <w:rPr>
          <w:rStyle w:val="VerbatimChar"/>
        </w:rPr>
        <w:t xml:space="preserve">review_due</w:t>
      </w:r>
      <w:r>
        <w:t xml:space="preserve"> </w:t>
      </w:r>
      <w:r>
        <w:t xml:space="preserve">is triggered.</w:t>
      </w:r>
    </w:p>
    <w:p>
      <w:pPr>
        <w:numPr>
          <w:ilvl w:val="0"/>
          <w:numId w:val="1112"/>
        </w:numPr>
        <w:pStyle w:val="Compact"/>
      </w:pPr>
      <w:r>
        <w:rPr>
          <w:bCs/>
          <w:b/>
        </w:rPr>
        <w:t xml:space="preserve">RE content separation:</w:t>
      </w:r>
      <w:r>
        <w:t xml:space="preserve"> </w:t>
      </w:r>
      <w:r>
        <w:t xml:space="preserve">an RE’s articles appear only for that RE’s borrowers.</w:t>
      </w:r>
    </w:p>
    <w:bookmarkEnd w:id="198"/>
    <w:bookmarkStart w:id="199" w:name="multilingual-and-accessible"/>
    <w:p>
      <w:pPr>
        <w:pStyle w:val="Heading3"/>
      </w:pPr>
      <w:r>
        <w:t xml:space="preserve">Multilingual and accessible</w:t>
      </w:r>
    </w:p>
    <w:p>
      <w:pPr>
        <w:numPr>
          <w:ilvl w:val="0"/>
          <w:numId w:val="1113"/>
        </w:numPr>
        <w:pStyle w:val="Compact"/>
      </w:pPr>
      <w:r>
        <w:t xml:space="preserve">English and Hindi at launch; regional languages following the KFS language set (UP2 section 4); RB-IOS salient features in English, Hindi and the regional language.</w:t>
      </w:r>
    </w:p>
    <w:p>
      <w:pPr>
        <w:numPr>
          <w:ilvl w:val="0"/>
          <w:numId w:val="1113"/>
        </w:numPr>
        <w:pStyle w:val="Compact"/>
      </w:pPr>
      <w:r>
        <w:t xml:space="preserve">The complaint form, case page, case pack summary and help articles are available in each supported language; the RE’s replies are shown as sent, with a machine translation clearly labelled as such [REC].</w:t>
      </w:r>
    </w:p>
    <w:p>
      <w:pPr>
        <w:numPr>
          <w:ilvl w:val="0"/>
          <w:numId w:val="1113"/>
        </w:numPr>
        <w:pStyle w:val="Compact"/>
      </w:pPr>
      <w:r>
        <w:t xml:space="preserve">WCAG 2.2 AA on web and platform accessibility APIs on mobile; no CAPTCHA without an accessible alternative; assisted channel (U22) for borrowers who cannot use the app.</w:t>
      </w:r>
    </w:p>
    <w:bookmarkEnd w:id="199"/>
    <w:bookmarkStart w:id="200" w:name="mis-and-feedback"/>
    <w:p>
      <w:pPr>
        <w:pStyle w:val="Heading3"/>
      </w:pPr>
      <w:r>
        <w:t xml:space="preserve">MIS and feedback</w:t>
      </w:r>
    </w:p>
    <w:p>
      <w:pPr>
        <w:numPr>
          <w:ilvl w:val="0"/>
          <w:numId w:val="1114"/>
        </w:numPr>
        <w:pStyle w:val="Compact"/>
      </w:pPr>
      <w:r>
        <w:t xml:space="preserve">Complaint MIS by RE, category (including FS 21(10) grounds), channel, tier reached, TAT, reopen rate, rating distribution, external referrals declared; feeds UP3 pack P4 and the RE’s FPC conduct review (RBC para 8).</w:t>
      </w:r>
    </w:p>
    <w:p>
      <w:pPr>
        <w:numPr>
          <w:ilvl w:val="0"/>
          <w:numId w:val="1114"/>
        </w:numPr>
        <w:pStyle w:val="Compact"/>
      </w:pPr>
      <w:r>
        <w:t xml:space="preserve">Root-cause tags reviewed monthly by Udofin product and compliance [REC].</w:t>
      </w:r>
    </w:p>
    <w:bookmarkEnd w:id="200"/>
    <w:bookmarkStart w:id="201" w:name="settings-and-options-8"/>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85"/>
        <w:gridCol w:w="1265"/>
        <w:gridCol w:w="2383"/>
        <w:gridCol w:w="3205"/>
      </w:tblGrid>
      <w:tr>
        <w:trPr>
          <w:tblHeader w:val="true"/>
          <w:tblHeader w:val="true"/>
        </w:trPr>
        <w:tc>
          <w:tcPr>
            <w:tcW w:w="2785" w:type="dxa"/>
            <w:shd w:val="clear" w:color="auto" w:fill="1F3A5F"/>
          </w:tcPr>
          <w:p>
            <w:pPr>
              <w:pStyle w:val="Compact"/>
              <w:spacing w:after="40"/>
              <w:jc w:val="left"/>
            </w:pPr>
            <w:r>
              <w:rPr>
                <w:b/>
                <w:color w:val="FFFFFF"/>
                <w:sz w:val="18"/>
              </w:rPr>
              <w:t xml:space="preserve">Setting</w:t>
            </w:r>
          </w:p>
        </w:tc>
        <w:tc>
          <w:tcPr>
            <w:tcW w:w="1265" w:type="dxa"/>
            <w:shd w:val="clear" w:color="auto" w:fill="1F3A5F"/>
          </w:tcPr>
          <w:p>
            <w:pPr>
              <w:pStyle w:val="Compact"/>
              <w:spacing w:after="40"/>
              <w:jc w:val="left"/>
            </w:pPr>
            <w:r>
              <w:rPr>
                <w:b/>
                <w:color w:val="FFFFFF"/>
                <w:sz w:val="18"/>
              </w:rPr>
              <w:t xml:space="preserve">Level</w:t>
            </w:r>
          </w:p>
        </w:tc>
        <w:tc>
          <w:tcPr>
            <w:tcW w:w="2383" w:type="dxa"/>
            <w:shd w:val="clear" w:color="auto" w:fill="1F3A5F"/>
          </w:tcPr>
          <w:p>
            <w:pPr>
              <w:pStyle w:val="Compact"/>
              <w:spacing w:after="40"/>
              <w:jc w:val="left"/>
            </w:pPr>
            <w:r>
              <w:rPr>
                <w:b/>
                <w:color w:val="FFFFFF"/>
                <w:sz w:val="18"/>
              </w:rPr>
              <w:t xml:space="preserve">Default</w:t>
            </w:r>
          </w:p>
        </w:tc>
        <w:tc>
          <w:tcPr>
            <w:tcW w:w="3205" w:type="dxa"/>
            <w:shd w:val="clear" w:color="auto" w:fill="1F3A5F"/>
          </w:tcPr>
          <w:p>
            <w:pPr>
              <w:pStyle w:val="Compact"/>
              <w:spacing w:after="40"/>
              <w:jc w:val="left"/>
            </w:pPr>
            <w:r>
              <w:rPr>
                <w:b/>
                <w:color w:val="FFFFFF"/>
                <w:sz w:val="18"/>
              </w:rPr>
              <w:t xml:space="preserve">Nature</w:t>
            </w:r>
          </w:p>
        </w:tc>
      </w:tr>
      <w:tr>
        <w:tc>
          <w:tcPr>
            <w:tcW w:w="2785" w:type="dxa"/>
          </w:tcPr>
          <w:p>
            <w:pPr>
              <w:pStyle w:val="Compact"/>
              <w:spacing w:after="40"/>
              <w:jc w:val="left"/>
            </w:pPr>
            <w:r>
              <w:rPr>
                <w:sz w:val="18"/>
              </w:rPr>
              <w:t xml:space="preserve">Attachments per complaint</w:t>
            </w:r>
          </w:p>
        </w:tc>
        <w:tc>
          <w:tcPr>
            <w:tcW w:w="1265" w:type="dxa"/>
          </w:tcPr>
          <w:p>
            <w:pPr>
              <w:pStyle w:val="Compact"/>
              <w:spacing w:after="40"/>
              <w:jc w:val="left"/>
            </w:pPr>
            <w:r>
              <w:rPr>
                <w:sz w:val="18"/>
              </w:rPr>
              <w:t xml:space="preserve">Platform</w:t>
            </w:r>
          </w:p>
        </w:tc>
        <w:tc>
          <w:tcPr>
            <w:tcW w:w="2383" w:type="dxa"/>
          </w:tcPr>
          <w:p>
            <w:pPr>
              <w:pStyle w:val="Compact"/>
              <w:spacing w:after="40"/>
              <w:jc w:val="left"/>
            </w:pPr>
            <w:r>
              <w:rPr>
                <w:sz w:val="18"/>
              </w:rPr>
              <w:t xml:space="preserve">10 files, 10 MB each</w:t>
            </w:r>
          </w:p>
        </w:tc>
        <w:tc>
          <w:tcPr>
            <w:tcW w:w="3205" w:type="dxa"/>
          </w:tcPr>
          <w:p>
            <w:pPr>
              <w:pStyle w:val="Compact"/>
              <w:spacing w:after="40"/>
              <w:jc w:val="left"/>
            </w:pPr>
            <w:r>
              <w:rPr>
                <w:sz w:val="18"/>
              </w:rPr>
              <w:t xml:space="preserve">Commercial [REC]</w:t>
            </w:r>
          </w:p>
        </w:tc>
      </w:tr>
      <w:tr>
        <w:tc>
          <w:tcPr>
            <w:tcW w:w="2785" w:type="dxa"/>
          </w:tcPr>
          <w:p>
            <w:pPr>
              <w:pStyle w:val="Compact"/>
              <w:spacing w:after="40"/>
              <w:jc w:val="left"/>
            </w:pPr>
            <w:r>
              <w:rPr>
                <w:sz w:val="18"/>
              </w:rPr>
              <w:t xml:space="preserve">Reopen window</w:t>
            </w:r>
          </w:p>
        </w:tc>
        <w:tc>
          <w:tcPr>
            <w:tcW w:w="1265" w:type="dxa"/>
          </w:tcPr>
          <w:p>
            <w:pPr>
              <w:pStyle w:val="Compact"/>
              <w:spacing w:after="40"/>
              <w:jc w:val="left"/>
            </w:pPr>
            <w:r>
              <w:rPr>
                <w:sz w:val="18"/>
              </w:rPr>
              <w:t xml:space="preserve">Platform</w:t>
            </w:r>
          </w:p>
        </w:tc>
        <w:tc>
          <w:tcPr>
            <w:tcW w:w="2383" w:type="dxa"/>
          </w:tcPr>
          <w:p>
            <w:pPr>
              <w:pStyle w:val="Compact"/>
              <w:spacing w:after="40"/>
              <w:jc w:val="left"/>
            </w:pPr>
            <w:r>
              <w:rPr>
                <w:sz w:val="18"/>
              </w:rPr>
              <w:t xml:space="preserve">30 days after closure</w:t>
            </w:r>
          </w:p>
        </w:tc>
        <w:tc>
          <w:tcPr>
            <w:tcW w:w="3205" w:type="dxa"/>
          </w:tcPr>
          <w:p>
            <w:pPr>
              <w:pStyle w:val="Compact"/>
              <w:spacing w:after="40"/>
              <w:jc w:val="left"/>
            </w:pPr>
            <w:r>
              <w:rPr>
                <w:sz w:val="18"/>
              </w:rPr>
              <w:t xml:space="preserve">Commercial [REC]; never shorter</w:t>
            </w:r>
          </w:p>
        </w:tc>
      </w:tr>
      <w:tr>
        <w:tc>
          <w:tcPr>
            <w:tcW w:w="2785" w:type="dxa"/>
          </w:tcPr>
          <w:p>
            <w:pPr>
              <w:pStyle w:val="Compact"/>
              <w:spacing w:after="40"/>
              <w:jc w:val="left"/>
            </w:pPr>
            <w:r>
              <w:rPr>
                <w:sz w:val="18"/>
              </w:rPr>
              <w:t xml:space="preserve">Rating prompt</w:t>
            </w:r>
          </w:p>
        </w:tc>
        <w:tc>
          <w:tcPr>
            <w:tcW w:w="1265" w:type="dxa"/>
          </w:tcPr>
          <w:p>
            <w:pPr>
              <w:pStyle w:val="Compact"/>
              <w:spacing w:after="40"/>
              <w:jc w:val="left"/>
            </w:pPr>
            <w:r>
              <w:rPr>
                <w:sz w:val="18"/>
              </w:rPr>
              <w:t xml:space="preserve">Platform</w:t>
            </w:r>
          </w:p>
        </w:tc>
        <w:tc>
          <w:tcPr>
            <w:tcW w:w="2383" w:type="dxa"/>
          </w:tcPr>
          <w:p>
            <w:pPr>
              <w:pStyle w:val="Compact"/>
              <w:spacing w:after="40"/>
              <w:jc w:val="left"/>
            </w:pPr>
            <w:r>
              <w:rPr>
                <w:sz w:val="18"/>
              </w:rPr>
              <w:t xml:space="preserve">On closure, once</w:t>
            </w:r>
          </w:p>
        </w:tc>
        <w:tc>
          <w:tcPr>
            <w:tcW w:w="3205" w:type="dxa"/>
          </w:tcPr>
          <w:p>
            <w:pPr>
              <w:pStyle w:val="Compact"/>
              <w:spacing w:after="40"/>
              <w:jc w:val="left"/>
            </w:pPr>
            <w:r>
              <w:rPr>
                <w:sz w:val="18"/>
              </w:rPr>
              <w:t xml:space="preserve">Ratings hidden from handlers until closure (fixed)</w:t>
            </w:r>
          </w:p>
        </w:tc>
      </w:tr>
      <w:tr>
        <w:tc>
          <w:tcPr>
            <w:tcW w:w="2785" w:type="dxa"/>
          </w:tcPr>
          <w:p>
            <w:pPr>
              <w:pStyle w:val="Compact"/>
              <w:spacing w:after="40"/>
              <w:jc w:val="left"/>
            </w:pPr>
            <w:r>
              <w:rPr>
                <w:sz w:val="18"/>
              </w:rPr>
              <w:t xml:space="preserve">Help-article review cycle</w:t>
            </w:r>
          </w:p>
        </w:tc>
        <w:tc>
          <w:tcPr>
            <w:tcW w:w="1265" w:type="dxa"/>
          </w:tcPr>
          <w:p>
            <w:pPr>
              <w:pStyle w:val="Compact"/>
              <w:spacing w:after="40"/>
              <w:jc w:val="left"/>
            </w:pPr>
            <w:r>
              <w:rPr>
                <w:sz w:val="18"/>
              </w:rPr>
              <w:t xml:space="preserve">Platform</w:t>
            </w:r>
          </w:p>
        </w:tc>
        <w:tc>
          <w:tcPr>
            <w:tcW w:w="2383" w:type="dxa"/>
          </w:tcPr>
          <w:p>
            <w:pPr>
              <w:pStyle w:val="Compact"/>
              <w:spacing w:after="40"/>
              <w:jc w:val="left"/>
            </w:pPr>
            <w:r>
              <w:rPr>
                <w:sz w:val="18"/>
              </w:rPr>
              <w:t xml:space="preserve">6 months and on linked change</w:t>
            </w:r>
          </w:p>
        </w:tc>
        <w:tc>
          <w:tcPr>
            <w:tcW w:w="3205" w:type="dxa"/>
          </w:tcPr>
          <w:p>
            <w:pPr>
              <w:pStyle w:val="Compact"/>
              <w:spacing w:after="40"/>
              <w:jc w:val="left"/>
            </w:pPr>
            <w:r>
              <w:rPr>
                <w:sz w:val="18"/>
              </w:rPr>
              <w:t xml:space="preserve">Tighten only</w:t>
            </w:r>
          </w:p>
        </w:tc>
      </w:tr>
      <w:tr>
        <w:tc>
          <w:tcPr>
            <w:tcW w:w="2785" w:type="dxa"/>
          </w:tcPr>
          <w:p>
            <w:pPr>
              <w:pStyle w:val="Compact"/>
              <w:spacing w:after="40"/>
              <w:jc w:val="left"/>
            </w:pPr>
            <w:r>
              <w:rPr>
                <w:sz w:val="18"/>
              </w:rPr>
              <w:t xml:space="preserve">Languages</w:t>
            </w:r>
          </w:p>
        </w:tc>
        <w:tc>
          <w:tcPr>
            <w:tcW w:w="1265" w:type="dxa"/>
          </w:tcPr>
          <w:p>
            <w:pPr>
              <w:pStyle w:val="Compact"/>
              <w:spacing w:after="40"/>
              <w:jc w:val="left"/>
            </w:pPr>
            <w:r>
              <w:rPr>
                <w:sz w:val="18"/>
              </w:rPr>
              <w:t xml:space="preserve">Platform</w:t>
            </w:r>
          </w:p>
        </w:tc>
        <w:tc>
          <w:tcPr>
            <w:tcW w:w="2383" w:type="dxa"/>
          </w:tcPr>
          <w:p>
            <w:pPr>
              <w:pStyle w:val="Compact"/>
              <w:spacing w:after="40"/>
              <w:jc w:val="left"/>
            </w:pPr>
            <w:r>
              <w:rPr>
                <w:sz w:val="18"/>
              </w:rPr>
              <w:t xml:space="preserve">English, Hindi, plus the KFS language set</w:t>
            </w:r>
          </w:p>
        </w:tc>
        <w:tc>
          <w:tcPr>
            <w:tcW w:w="3205" w:type="dxa"/>
          </w:tcPr>
          <w:p>
            <w:pPr>
              <w:pStyle w:val="Compact"/>
              <w:spacing w:after="40"/>
              <w:jc w:val="left"/>
            </w:pPr>
            <w:r>
              <w:rPr>
                <w:sz w:val="18"/>
              </w:rPr>
              <w:t xml:space="preserve">RB-IOS salient features always in English, Hindi and the regional language</w:t>
            </w:r>
          </w:p>
        </w:tc>
      </w:tr>
      <w:tr>
        <w:tc>
          <w:tcPr>
            <w:tcW w:w="2785" w:type="dxa"/>
          </w:tcPr>
          <w:p>
            <w:pPr>
              <w:pStyle w:val="Compact"/>
              <w:spacing w:after="40"/>
              <w:jc w:val="left"/>
            </w:pPr>
            <w:r>
              <w:rPr>
                <w:sz w:val="18"/>
              </w:rPr>
              <w:t xml:space="preserve">Push content</w:t>
            </w:r>
          </w:p>
        </w:tc>
        <w:tc>
          <w:tcPr>
            <w:tcW w:w="1265" w:type="dxa"/>
          </w:tcPr>
          <w:p>
            <w:pPr>
              <w:pStyle w:val="Compact"/>
              <w:spacing w:after="40"/>
              <w:jc w:val="left"/>
            </w:pPr>
            <w:r>
              <w:rPr>
                <w:sz w:val="18"/>
              </w:rPr>
              <w:t xml:space="preserve">Platform</w:t>
            </w:r>
          </w:p>
        </w:tc>
        <w:tc>
          <w:tcPr>
            <w:tcW w:w="2383" w:type="dxa"/>
          </w:tcPr>
          <w:p>
            <w:pPr>
              <w:pStyle w:val="Compact"/>
              <w:spacing w:after="40"/>
              <w:jc w:val="left"/>
            </w:pPr>
            <w:r>
              <w:rPr>
                <w:sz w:val="18"/>
              </w:rPr>
              <w:t xml:space="preserve">No case content</w:t>
            </w:r>
          </w:p>
        </w:tc>
        <w:tc>
          <w:tcPr>
            <w:tcW w:w="3205" w:type="dxa"/>
          </w:tcPr>
          <w:p>
            <w:pPr>
              <w:pStyle w:val="Compact"/>
              <w:spacing w:after="40"/>
              <w:jc w:val="left"/>
            </w:pPr>
            <w:r>
              <w:rPr>
                <w:sz w:val="18"/>
              </w:rPr>
              <w:t xml:space="preserve">Security floor</w:t>
            </w:r>
          </w:p>
        </w:tc>
      </w:tr>
      <w:tr>
        <w:tc>
          <w:tcPr>
            <w:tcW w:w="2785" w:type="dxa"/>
          </w:tcPr>
          <w:p>
            <w:pPr>
              <w:pStyle w:val="Compact"/>
              <w:spacing w:after="40"/>
              <w:jc w:val="left"/>
            </w:pPr>
            <w:r>
              <w:rPr>
                <w:sz w:val="18"/>
              </w:rPr>
              <w:t xml:space="preserve">Minimum articles or bot turns before</w:t>
            </w:r>
            <w:r>
              <w:rPr>
                <w:sz w:val="18"/>
              </w:rPr>
              <w:t xml:space="preserve"> </w:t>
            </w:r>
            <w:r>
              <w:rPr>
                <w:sz w:val="18"/>
              </w:rPr>
              <w:t xml:space="preserve">“</w:t>
            </w:r>
            <w:r>
              <w:rPr>
                <w:sz w:val="18"/>
              </w:rPr>
              <w:t xml:space="preserve">Raise a complaint</w:t>
            </w:r>
            <w:r>
              <w:rPr>
                <w:sz w:val="18"/>
              </w:rPr>
              <w:t xml:space="preserve">”</w:t>
            </w:r>
          </w:p>
        </w:tc>
        <w:tc>
          <w:tcPr>
            <w:tcW w:w="1265" w:type="dxa"/>
          </w:tcPr>
          <w:p>
            <w:pPr>
              <w:pStyle w:val="Compact"/>
              <w:spacing w:after="40"/>
              <w:jc w:val="left"/>
            </w:pPr>
            <w:r>
              <w:rPr>
                <w:sz w:val="18"/>
              </w:rPr>
              <w:t xml:space="preserve">Platform</w:t>
            </w:r>
          </w:p>
        </w:tc>
        <w:tc>
          <w:tcPr>
            <w:tcW w:w="2383" w:type="dxa"/>
          </w:tcPr>
          <w:p>
            <w:pPr>
              <w:pStyle w:val="Compact"/>
              <w:spacing w:after="40"/>
              <w:jc w:val="left"/>
            </w:pPr>
            <w:r>
              <w:rPr>
                <w:sz w:val="18"/>
              </w:rPr>
              <w:t xml:space="preserve">0</w:t>
            </w:r>
          </w:p>
        </w:tc>
        <w:tc>
          <w:tcPr>
            <w:tcW w:w="3205" w:type="dxa"/>
          </w:tcPr>
          <w:p>
            <w:pPr>
              <w:pStyle w:val="Compact"/>
              <w:spacing w:after="40"/>
              <w:jc w:val="left"/>
            </w:pPr>
            <w:r>
              <w:rPr>
                <w:sz w:val="18"/>
              </w:rPr>
              <w:t xml:space="preserve">Fixed (deflection never blocks)</w:t>
            </w:r>
          </w:p>
        </w:tc>
      </w:tr>
    </w:tbl>
    <w:bookmarkEnd w:id="201"/>
    <w:bookmarkStart w:id="202" w:name="menu-and-screens-8"/>
    <w:p>
      <w:pPr>
        <w:pStyle w:val="Heading3"/>
      </w:pPr>
      <w:r>
        <w:t xml:space="preserve">Menu and screens</w:t>
      </w:r>
    </w:p>
    <w:p>
      <w:pPr>
        <w:numPr>
          <w:ilvl w:val="0"/>
          <w:numId w:val="1115"/>
        </w:numPr>
        <w:pStyle w:val="Compact"/>
      </w:pPr>
      <w:r>
        <w:rPr>
          <w:bCs/>
          <w:b/>
        </w:rPr>
        <w:t xml:space="preserve">Help</w:t>
      </w:r>
      <w:r>
        <w:t xml:space="preserve"> </w:t>
      </w:r>
      <w:r>
        <w:t xml:space="preserve">tab (A, B): search, top articles for the borrower’s lender and loan,</w:t>
      </w:r>
      <w:r>
        <w:t xml:space="preserve"> </w:t>
      </w:r>
      <w:r>
        <w:rPr>
          <w:bCs/>
          <w:b/>
        </w:rPr>
        <w:t xml:space="preserve">Raise a complaint</w:t>
      </w:r>
      <w:r>
        <w:t xml:space="preserve"> </w:t>
      </w:r>
      <w:r>
        <w:t xml:space="preserve">(always visible),</w:t>
      </w:r>
      <w:r>
        <w:t xml:space="preserve"> </w:t>
      </w:r>
      <w:r>
        <w:rPr>
          <w:bCs/>
          <w:b/>
        </w:rPr>
        <w:t xml:space="preserve">My complaints</w:t>
      </w:r>
      <w:r>
        <w:t xml:space="preserve">,</w:t>
      </w:r>
      <w:r>
        <w:t xml:space="preserve"> </w:t>
      </w:r>
      <w:r>
        <w:rPr>
          <w:bCs/>
          <w:b/>
        </w:rPr>
        <w:t xml:space="preserve">Call me back</w:t>
      </w:r>
      <w:r>
        <w:t xml:space="preserve">,</w:t>
      </w:r>
      <w:r>
        <w:t xml:space="preserve"> </w:t>
      </w:r>
      <w:r>
        <w:t xml:space="preserve">“</w:t>
      </w:r>
      <w:r>
        <w:t xml:space="preserve">verify this agent</w:t>
      </w:r>
      <w:r>
        <w:t xml:space="preserve">”</w:t>
      </w:r>
      <w:r>
        <w:t xml:space="preserve">.</w:t>
      </w:r>
    </w:p>
    <w:p>
      <w:pPr>
        <w:numPr>
          <w:ilvl w:val="0"/>
          <w:numId w:val="1115"/>
        </w:numPr>
        <w:pStyle w:val="Compact"/>
      </w:pPr>
      <w:r>
        <w:rPr>
          <w:bCs/>
          <w:b/>
        </w:rPr>
        <w:t xml:space="preserve">Help › Raise a complaint</w:t>
      </w:r>
      <w:r>
        <w:t xml:space="preserve"> </w:t>
      </w:r>
      <w:r>
        <w:t xml:space="preserve">wizard: what is it about (plain-word categories) → which loan or lender (pre-filled from the screen it was opened on) → describe (text or voice note) → attach (system picker) → contact preference and language → review → submit; inline validation (for example bank or UPI details required for credit-information complaints).</w:t>
      </w:r>
    </w:p>
    <w:p>
      <w:pPr>
        <w:numPr>
          <w:ilvl w:val="0"/>
          <w:numId w:val="1115"/>
        </w:numPr>
        <w:pStyle w:val="Compact"/>
      </w:pPr>
      <w:r>
        <w:rPr>
          <w:bCs/>
          <w:b/>
        </w:rPr>
        <w:t xml:space="preserve">Help › My complaints</w:t>
      </w:r>
      <w:r>
        <w:t xml:space="preserve">: list with owner, tier chip and next-option date; case page with timeline, clocks, messages and tasks,</w:t>
      </w:r>
      <w:r>
        <w:t xml:space="preserve"> </w:t>
      </w:r>
      <w:r>
        <w:rPr>
          <w:bCs/>
          <w:b/>
        </w:rPr>
        <w:t xml:space="preserve">Reply</w:t>
      </w:r>
      <w:r>
        <w:t xml:space="preserve">,</w:t>
      </w:r>
      <w:r>
        <w:t xml:space="preserve"> </w:t>
      </w:r>
      <w:r>
        <w:rPr>
          <w:bCs/>
          <w:b/>
        </w:rPr>
        <w:t xml:space="preserve">Escalate</w:t>
      </w:r>
      <w:r>
        <w:t xml:space="preserve"> </w:t>
      </w:r>
      <w:r>
        <w:t xml:space="preserve">(enabled when a timer or rejection allows; explain-why text when disabled),</w:t>
      </w:r>
      <w:r>
        <w:t xml:space="preserve"> </w:t>
      </w:r>
      <w:r>
        <w:rPr>
          <w:bCs/>
          <w:b/>
        </w:rPr>
        <w:t xml:space="preserve">Download case pack</w:t>
      </w:r>
      <w:r>
        <w:t xml:space="preserve">,</w:t>
      </w:r>
      <w:r>
        <w:t xml:space="preserve"> </w:t>
      </w:r>
      <w:r>
        <w:rPr>
          <w:bCs/>
          <w:b/>
        </w:rPr>
        <w:t xml:space="preserve">Reopen</w:t>
      </w:r>
      <w:r>
        <w:t xml:space="preserve">,</w:t>
      </w:r>
      <w:r>
        <w:t xml:space="preserve"> </w:t>
      </w:r>
      <w:r>
        <w:rPr>
          <w:bCs/>
          <w:b/>
        </w:rPr>
        <w:t xml:space="preserve">Rate</w:t>
      </w:r>
      <w:r>
        <w:t xml:space="preserve">,</w:t>
      </w:r>
      <w:r>
        <w:t xml:space="preserve"> </w:t>
      </w:r>
      <w:r>
        <w:rPr>
          <w:bCs/>
          <w:b/>
        </w:rPr>
        <w:t xml:space="preserve">Withdraw</w:t>
      </w:r>
      <w:r>
        <w:t xml:space="preserve">,</w:t>
      </w:r>
      <w:r>
        <w:t xml:space="preserve"> </w:t>
      </w:r>
      <w:r>
        <w:rPr>
          <w:bCs/>
          <w:b/>
        </w:rPr>
        <w:t xml:space="preserve">Add representative</w:t>
      </w:r>
      <w:r>
        <w:t xml:space="preserve">; external route panel when open. Empty state:</w:t>
      </w:r>
      <w:r>
        <w:t xml:space="preserve"> </w:t>
      </w:r>
      <w:r>
        <w:t xml:space="preserve">“</w:t>
      </w:r>
      <w:r>
        <w:t xml:space="preserve">No complaints. If something is wrong, tell us here.</w:t>
      </w:r>
      <w:r>
        <w:t xml:space="preserve">”</w:t>
      </w:r>
    </w:p>
    <w:p>
      <w:pPr>
        <w:numPr>
          <w:ilvl w:val="0"/>
          <w:numId w:val="1115"/>
        </w:numPr>
        <w:pStyle w:val="Compact"/>
      </w:pPr>
      <w:r>
        <w:rPr>
          <w:bCs/>
          <w:b/>
        </w:rPr>
        <w:t xml:space="preserve">Operations portal › Help centre</w:t>
      </w:r>
      <w:r>
        <w:t xml:space="preserve"> </w:t>
      </w:r>
      <w:r>
        <w:t xml:space="preserve">(C): article list by owner, state and review date; editor with sources and approver; RE-specific articles in</w:t>
      </w:r>
      <w:r>
        <w:t xml:space="preserve"> </w:t>
      </w:r>
      <w:r>
        <w:rPr>
          <w:bCs/>
          <w:b/>
        </w:rPr>
        <w:t xml:space="preserve">Lender portal › Help content</w:t>
      </w:r>
      <w:r>
        <w:t xml:space="preserve"> </w:t>
      </w:r>
      <w:r>
        <w:t xml:space="preserve">(D) for RE approval. Push carries no case content; deep links open the authenticated case page; portals show the same timeline with role-based redaction.</w:t>
      </w:r>
    </w:p>
    <w:bookmarkEnd w:id="202"/>
    <w:bookmarkStart w:id="203" w:name="controls-8"/>
    <w:p>
      <w:pPr>
        <w:pStyle w:val="Heading3"/>
      </w:pPr>
      <w:r>
        <w:t xml:space="preserve">Controls</w:t>
      </w:r>
    </w:p>
    <w:p>
      <w:pPr>
        <w:numPr>
          <w:ilvl w:val="0"/>
          <w:numId w:val="1116"/>
        </w:numPr>
        <w:pStyle w:val="Compact"/>
      </w:pPr>
      <w:r>
        <w:t xml:space="preserve">UB-C14: attachments only through the picker; no storage permission in the manifest (CI).</w:t>
      </w:r>
    </w:p>
    <w:p>
      <w:pPr>
        <w:numPr>
          <w:ilvl w:val="0"/>
          <w:numId w:val="1116"/>
        </w:numPr>
        <w:pStyle w:val="Compact"/>
      </w:pPr>
      <w:r>
        <w:t xml:space="preserve">UB-C15: the case pack generator never includes another borrower’s data or the RE’s internal notes.</w:t>
      </w:r>
    </w:p>
    <w:p>
      <w:pPr>
        <w:numPr>
          <w:ilvl w:val="0"/>
          <w:numId w:val="1116"/>
        </w:numPr>
        <w:pStyle w:val="Compact"/>
      </w:pPr>
      <w:r>
        <w:t xml:space="preserve">UB-C16: ratings are hidden from handling staff until closure.</w:t>
      </w:r>
    </w:p>
    <w:p>
      <w:pPr>
        <w:numPr>
          <w:ilvl w:val="0"/>
          <w:numId w:val="1116"/>
        </w:numPr>
        <w:pStyle w:val="Compact"/>
      </w:pPr>
      <w:r>
        <w:t xml:space="preserve">UB-C17: every help article has an owner, approver, source and review date before publication.</w:t>
      </w:r>
    </w:p>
    <w:bookmarkEnd w:id="203"/>
    <w:bookmarkStart w:id="204" w:name="acceptance-tests-8"/>
    <w:p>
      <w:pPr>
        <w:pStyle w:val="Heading3"/>
      </w:pPr>
      <w:r>
        <w:t xml:space="preserve">Acceptance tests</w:t>
      </w:r>
    </w:p>
    <w:p>
      <w:pPr>
        <w:numPr>
          <w:ilvl w:val="0"/>
          <w:numId w:val="1117"/>
        </w:numPr>
        <w:pStyle w:val="Compact"/>
      </w:pPr>
      <w:r>
        <w:t xml:space="preserve">A borrower completes all 12 capabilities on Android, iOS and web with identical results.</w:t>
      </w:r>
    </w:p>
    <w:p>
      <w:pPr>
        <w:numPr>
          <w:ilvl w:val="0"/>
          <w:numId w:val="1117"/>
        </w:numPr>
        <w:pStyle w:val="Compact"/>
      </w:pPr>
      <w:r>
        <w:t xml:space="preserve">A reopened case keeps its ID, records a new RE receipt time and recomputes the external window.</w:t>
      </w:r>
    </w:p>
    <w:p>
      <w:pPr>
        <w:numPr>
          <w:ilvl w:val="0"/>
          <w:numId w:val="1117"/>
        </w:numPr>
        <w:pStyle w:val="Compact"/>
      </w:pPr>
      <w:r>
        <w:t xml:space="preserve">The case pack validates as PDF/A, contains the clock basis and hashes, and excludes RE internal notes.</w:t>
      </w:r>
    </w:p>
    <w:p>
      <w:pPr>
        <w:numPr>
          <w:ilvl w:val="0"/>
          <w:numId w:val="1117"/>
        </w:numPr>
        <w:pStyle w:val="Compact"/>
      </w:pPr>
      <w:r>
        <w:t xml:space="preserve">A Hindi-locale borrower sees the complaint form, case page and RB-IOS salient features in Hindi.</w:t>
      </w:r>
    </w:p>
    <w:p>
      <w:pPr>
        <w:numPr>
          <w:ilvl w:val="0"/>
          <w:numId w:val="1117"/>
        </w:numPr>
        <w:pStyle w:val="Compact"/>
      </w:pPr>
      <w:r>
        <w:t xml:space="preserve">A representative nominated by the borrower can view but cannot reply, withdraw or reopen.</w:t>
      </w:r>
    </w:p>
    <w:p>
      <w:pPr>
        <w:numPr>
          <w:ilvl w:val="0"/>
          <w:numId w:val="1117"/>
        </w:numPr>
        <w:pStyle w:val="Compact"/>
      </w:pPr>
      <w:r>
        <w:t xml:space="preserve">An article past its review date is excluded from AI answers.</w:t>
      </w:r>
    </w:p>
    <w:p>
      <w:pPr>
        <w:numPr>
          <w:ilvl w:val="0"/>
          <w:numId w:val="1117"/>
        </w:numPr>
        <w:pStyle w:val="Compact"/>
      </w:pPr>
      <w:r>
        <w:t xml:space="preserve">A one-star rating shows escalation options and no promotional content.</w:t>
      </w:r>
    </w:p>
    <w:p>
      <w:r>
        <w:pict>
          <v:rect style="width:0;height:1.5pt" o:hralign="center" o:hrstd="t" o:hr="t"/>
        </w:pict>
      </w:r>
    </w:p>
    <w:bookmarkEnd w:id="204"/>
    <w:bookmarkEnd w:id="205"/>
    <w:bookmarkEnd w:id="206"/>
    <w:bookmarkStart w:id="249" w:name="Xb0e7d1f00e4393a94bd02d141fa34a0b2ad3672"/>
    <w:p>
      <w:pPr>
        <w:pStyle w:val="Heading1"/>
      </w:pPr>
      <w:r>
        <w:t xml:space="preserve">PART 7D — FINANCIAL WELLNESS ADD-ONS (SEPARATE FROM LOANS)</w:t>
      </w:r>
    </w:p>
    <w:p>
      <w:pPr>
        <w:pStyle w:val="FirstParagraph"/>
      </w:pPr>
      <w:r>
        <w:rPr>
          <w:bCs/>
          <w:b/>
        </w:rPr>
        <w:t xml:space="preserve">Purpose.</w:t>
      </w:r>
      <w:r>
        <w:t xml:space="preserve"> </w:t>
      </w:r>
      <w:r>
        <w:t xml:space="preserve">Offer consumers, whether or not they borrow through Udofin, three optional money tools: credit report and score tracking obtained as the consumer’s own agent from a credit information company, an educational score simulator, and an expense tracker and budget planner fed only by data the consumer enters or uploads. Each tool sits outside every loan journey, in a separate data store under separate consent, and is never used for any credit decision or shared with any lender without fresh, explicit consent.</w:t>
      </w:r>
    </w:p>
    <w:p>
      <w:pPr>
        <w:pStyle w:val="BodyText"/>
      </w:pPr>
      <w:r>
        <w:rPr>
          <w:bCs/>
          <w:b/>
        </w:rPr>
        <w:t xml:space="preserve">Status and launch gate.</w:t>
      </w:r>
      <w:r>
        <w:t xml:space="preserve"> </w:t>
      </w:r>
      <w:r>
        <w:t xml:space="preserve">This Part is built behind the feature flag</w:t>
      </w:r>
      <w:r>
        <w:t xml:space="preserve"> </w:t>
      </w:r>
      <w:r>
        <w:rPr>
          <w:rStyle w:val="VerbatimChar"/>
        </w:rPr>
        <w:t xml:space="preserve">addons.wellness</w:t>
      </w:r>
      <w:r>
        <w:t xml:space="preserve"> </w:t>
      </w:r>
      <w:r>
        <w:t xml:space="preserve">and stays</w:t>
      </w:r>
      <w:r>
        <w:t xml:space="preserve"> </w:t>
      </w:r>
      <w:r>
        <w:rPr>
          <w:bCs/>
          <w:b/>
        </w:rPr>
        <w:t xml:space="preserve">off in production</w:t>
      </w:r>
      <w:r>
        <w:t xml:space="preserve"> </w:t>
      </w:r>
      <w:r>
        <w:t xml:space="preserve">until FW4’s legality gate is passed: an owner decision recorded in Appendix B, a written legal opinion on the CF para 10(4) and 14(1) questions below, and (for FW1) a signed CIC consumer-partner agreement. Charging for any tool needs a second, separate owner decision (FW4). The owner may decide that a separate group entity or brand runs these tools to keep the LSP clean; the design below works either way because the store, consents and billing are already separate.</w:t>
      </w:r>
    </w:p>
    <w:p>
      <w:pPr>
        <w:pStyle w:val="BodyText"/>
      </w:pPr>
      <w:r>
        <w:rPr>
          <w:bCs/>
          <w:b/>
        </w:rPr>
        <w:t xml:space="preserve">Extends, does not replace.</w:t>
      </w:r>
      <w:r>
        <w:t xml:space="preserve"> </w:t>
      </w:r>
      <w:r>
        <w:t xml:space="preserve">U25 (borrower dashboard): its</w:t>
      </w:r>
      <w:r>
        <w:t xml:space="preserve"> </w:t>
      </w:r>
      <w:r>
        <w:t xml:space="preserve">“</w:t>
      </w:r>
      <w:r>
        <w:t xml:space="preserve">Personal expense tracking … [assess]</w:t>
      </w:r>
      <w:r>
        <w:t xml:space="preserve">”</w:t>
      </w:r>
      <w:r>
        <w:t xml:space="preserve"> </w:t>
      </w:r>
      <w:r>
        <w:t xml:space="preserve">bullet is replaced by FW3. U6 (credit data) is unchanged and remains the only route for lender bureau pulls. Billing, plans and Razorpay are Part 7G (RV1–RV3); grievances are UB3 (consumer route).</w:t>
      </w:r>
    </w:p>
    <w:p>
      <w:pPr>
        <w:pStyle w:val="BodyText"/>
      </w:pPr>
      <w:r>
        <w:rPr>
          <w:bCs/>
          <w:b/>
        </w:rPr>
        <w:t xml:space="preserve">Applicability.</w:t>
      </w:r>
      <w:r>
        <w:t xml:space="preserve"> </w:t>
      </w:r>
      <w:r>
        <w:t xml:space="preserve">Individuals aged 18 or over (U3 age gate; DPDP s.9). Not offered to business entities, not configurable or visible by any RE, not part of any deal (UP2 section 12), not offered inside the assisted or field app.</w:t>
      </w:r>
    </w:p>
    <w:p>
      <w:pPr>
        <w:pStyle w:val="BodyText"/>
      </w:pPr>
      <w:r>
        <w:rPr>
          <w:bCs/>
          <w:b/>
        </w:rPr>
        <w:t xml:space="preserve">Codes used.</w:t>
      </w:r>
      <w:r>
        <w:t xml:space="preserve"> </w:t>
      </w:r>
      <w:r>
        <w:rPr>
          <w:rStyle w:val="VerbatimChar"/>
        </w:rPr>
        <w:t xml:space="preserve">CICRA</w:t>
      </w:r>
      <w:r>
        <w:t xml:space="preserve"> </w:t>
      </w:r>
      <w:r>
        <w:t xml:space="preserve">(Credit Information Companies (Regulation) Act, 2005; CIC Regulations, 2006, regs 3 and 9; CIC Rules), CIR (for what lenders must do), CF paras 7(4), 10(4), 13(1), 14(1)–(4), AA para 8(12) and 28,</w:t>
      </w:r>
      <w:r>
        <w:t xml:space="preserve"> </w:t>
      </w:r>
      <w:r>
        <w:rPr>
          <w:rStyle w:val="VerbatimChar"/>
        </w:rPr>
        <w:t xml:space="preserve">DPDP</w:t>
      </w:r>
      <w:r>
        <w:t xml:space="preserve">,</w:t>
      </w:r>
      <w:r>
        <w:t xml:space="preserve"> </w:t>
      </w:r>
      <w:r>
        <w:rPr>
          <w:rStyle w:val="VerbatimChar"/>
        </w:rPr>
        <w:t xml:space="preserve">CCPA-DP</w:t>
      </w:r>
      <w:r>
        <w:t xml:space="preserve"> </w:t>
      </w:r>
      <w:r>
        <w:t xml:space="preserve">(Dark Patterns Guidelines, 2023, Annexure 1 list),</w:t>
      </w:r>
      <w:r>
        <w:t xml:space="preserve"> </w:t>
      </w:r>
      <w:r>
        <w:rPr>
          <w:rStyle w:val="VerbatimChar"/>
        </w:rPr>
        <w:t xml:space="preserve">CCPA-MA</w:t>
      </w:r>
      <w:r>
        <w:t xml:space="preserve"> </w:t>
      </w:r>
      <w:r>
        <w:t xml:space="preserve">(Guidelines for Prevention of Misleading Advertisements, 2022),</w:t>
      </w:r>
      <w:r>
        <w:t xml:space="preserve"> </w:t>
      </w:r>
      <w:r>
        <w:rPr>
          <w:rStyle w:val="VerbatimChar"/>
        </w:rPr>
        <w:t xml:space="preserve">SEBI-IA</w:t>
      </w:r>
      <w:r>
        <w:t xml:space="preserve"> </w:t>
      </w:r>
      <w:r>
        <w:t xml:space="preserve">(SEBI (Investment Advisers) Regulations, 2013 and the SEBI Board decision of 27 Jun 2024, PR 12/2024, on association with unregistered persons), RBC Second Amendment 2026 sales-practice paragraphs (NBFC version, effective 1 Jan 2027) applied by analogy [REC], Google Play India personal-loan and permissions policies. Labels:</w:t>
      </w:r>
      <w:r>
        <w:t xml:space="preserve"> </w:t>
      </w:r>
      <w:r>
        <w:rPr>
          <w:bCs/>
          <w:b/>
        </w:rPr>
        <w:t xml:space="preserve">[LAW]</w:t>
      </w:r>
      <w:r>
        <w:t xml:space="preserve">,</w:t>
      </w:r>
      <w:r>
        <w:t xml:space="preserve"> </w:t>
      </w:r>
      <w:r>
        <w:rPr>
          <w:bCs/>
          <w:b/>
        </w:rPr>
        <w:t xml:space="preserve">[REG]</w:t>
      </w:r>
      <w:r>
        <w:t xml:space="preserve">,</w:t>
      </w:r>
      <w:r>
        <w:t xml:space="preserve"> </w:t>
      </w:r>
      <w:r>
        <w:rPr>
          <w:bCs/>
          <w:b/>
        </w:rPr>
        <w:t xml:space="preserve">[INTERP]</w:t>
      </w:r>
      <w:r>
        <w:t xml:space="preserve">,</w:t>
      </w:r>
      <w:r>
        <w:t xml:space="preserve"> </w:t>
      </w:r>
      <w:r>
        <w:rPr>
          <w:bCs/>
          <w:b/>
        </w:rPr>
        <w:t xml:space="preserve">[REC]</w:t>
      </w:r>
      <w:r>
        <w:t xml:space="preserve">,</w:t>
      </w:r>
      <w:r>
        <w:t xml:space="preserve"> </w:t>
      </w:r>
      <w:r>
        <w:rPr>
          <w:bCs/>
          <w:b/>
        </w:rPr>
        <w:t xml:space="preserve">[MKT]</w:t>
      </w:r>
      <w:r>
        <w:t xml:space="preserve">; unconfirmed items carry</w:t>
      </w:r>
      <w:r>
        <w:t xml:space="preserve"> </w:t>
      </w:r>
      <w:r>
        <w:rPr>
          <w:rStyle w:val="VerbatimChar"/>
        </w:rPr>
        <w:t xml:space="preserve">[VERIFY: …]</w:t>
      </w:r>
      <w:r>
        <w:t xml:space="preserve">. New controls are</w:t>
      </w:r>
      <w:r>
        <w:t xml:space="preserve"> </w:t>
      </w:r>
      <w:r>
        <w:rPr>
          <w:rStyle w:val="VerbatimChar"/>
        </w:rPr>
        <w:t xml:space="preserve">FW-Cnn</w:t>
      </w:r>
      <w:r>
        <w:t xml:space="preserve">.</w:t>
      </w:r>
    </w:p>
    <w:p>
      <w:pPr>
        <w:pStyle w:val="BodyText"/>
      </w:pPr>
      <w:r>
        <w:rPr>
          <w:bCs/>
          <w:b/>
        </w:rPr>
        <w:t xml:space="preserve">Data owned by Udofin, as Data Fiduciary in its own right.</w:t>
      </w:r>
      <w:r>
        <w:t xml:space="preserve"> </w:t>
      </w:r>
      <w:r>
        <w:t xml:space="preserve">The wellness account, wellness consents, credit reports and score history received as the consumer’s agent, simulator scenarios the user saves, uploaded statements (until parsed), transactions, categories, budgets and alerts. Stored only in the separate</w:t>
      </w:r>
      <w:r>
        <w:t xml:space="preserve"> </w:t>
      </w:r>
      <w:r>
        <w:rPr>
          <w:rStyle w:val="VerbatimChar"/>
        </w:rPr>
        <w:t xml:space="preserve">wellness</w:t>
      </w:r>
      <w:r>
        <w:t xml:space="preserve"> </w:t>
      </w:r>
      <w:r>
        <w:t xml:space="preserve">data store (FW4).</w:t>
      </w:r>
      <w:r>
        <w:t xml:space="preserve"> </w:t>
      </w:r>
      <w:r>
        <w:rPr>
          <w:bCs/>
          <w:b/>
        </w:rPr>
        <w:t xml:space="preserve">No RE-facing events exist for this data</w:t>
      </w:r>
      <w:r>
        <w:t xml:space="preserve">; nothing in it is a loan record.</w:t>
      </w:r>
    </w:p>
    <w:p>
      <w:pPr>
        <w:pStyle w:val="BodyText"/>
      </w:pPr>
      <w:r>
        <w:rPr>
          <w:bCs/>
          <w:b/>
        </w:rPr>
        <w:t xml:space="preserve">Events.</w:t>
      </w:r>
      <w:r>
        <w:t xml:space="preserve"> </w:t>
      </w:r>
      <w:r>
        <w:t xml:space="preserve">None cross-product for wellness content. Subscription billing (if approved) runs in Udofin’s own billing service on its own Razorpay account (Part 7G); its plan, entitlement, invoice and payment records are Udofin-internal and are not cross-product events. The Operations Hub receives only the monthly</w:t>
      </w:r>
      <w:r>
        <w:t xml:space="preserve"> </w:t>
      </w:r>
      <w:r>
        <w:rPr>
          <w:rStyle w:val="VerbatimChar"/>
        </w:rPr>
        <w:t xml:space="preserve">UsageRecorded</w:t>
      </w:r>
      <w:r>
        <w:t xml:space="preserve"> </w:t>
      </w:r>
      <w:r>
        <w:t xml:space="preserve">with</w:t>
      </w:r>
      <w:r>
        <w:t xml:space="preserve"> </w:t>
      </w:r>
      <w:r>
        <w:rPr>
          <w:rStyle w:val="VerbatimChar"/>
        </w:rPr>
        <w:t xml:space="preserve">meter_kind = REVENUE_AGGREGATE</w:t>
      </w:r>
      <w:r>
        <w:t xml:space="preserve"> </w:t>
      </w:r>
      <w:r>
        <w:t xml:space="preserve">per plan (subscriber count, gross, GST), with no subscriber key, borrower identity or wellness data (Integration Spec 6.27).</w:t>
      </w:r>
    </w:p>
    <w:p>
      <w:pPr>
        <w:pStyle w:val="BodyText"/>
      </w:pPr>
      <w:r>
        <w:rPr>
          <w:bCs/>
          <w:b/>
        </w:rPr>
        <w:t xml:space="preserve">Navigation.</w:t>
      </w:r>
      <w:r>
        <w:t xml:space="preserve"> </w:t>
      </w:r>
      <w:r>
        <w:t xml:space="preserve">“</w:t>
      </w:r>
      <w:r>
        <w:t xml:space="preserve">Money tools</w:t>
      </w:r>
      <w:r>
        <w:t xml:space="preserve">”</w:t>
      </w:r>
      <w:r>
        <w:t xml:space="preserve"> </w:t>
      </w:r>
      <w:r>
        <w:t xml:space="preserve">is an area reached from</w:t>
      </w:r>
      <w:r>
        <w:t xml:space="preserve"> </w:t>
      </w:r>
      <w:r>
        <w:rPr>
          <w:bCs/>
          <w:b/>
        </w:rPr>
        <w:t xml:space="preserve">Account › Money tools</w:t>
      </w:r>
      <w:r>
        <w:t xml:space="preserve"> </w:t>
      </w:r>
      <w:r>
        <w:t xml:space="preserve">on channels A and B (and from a Home tile only for users who have opted in); it is never a tab inside the loan journey and never linked from Loans or Pay (navigation table in Part 7C). Submenus:</w:t>
      </w:r>
      <w:r>
        <w:t xml:space="preserve"> </w:t>
      </w:r>
      <w:r>
        <w:rPr>
          <w:bCs/>
          <w:b/>
        </w:rPr>
        <w:t xml:space="preserve">Credit health</w:t>
      </w:r>
      <w:r>
        <w:t xml:space="preserve"> </w:t>
      </w:r>
      <w:r>
        <w:t xml:space="preserve">(FW1),</w:t>
      </w:r>
      <w:r>
        <w:t xml:space="preserve"> </w:t>
      </w:r>
      <w:r>
        <w:rPr>
          <w:bCs/>
          <w:b/>
        </w:rPr>
        <w:t xml:space="preserve">Score simulator</w:t>
      </w:r>
      <w:r>
        <w:t xml:space="preserve"> </w:t>
      </w:r>
      <w:r>
        <w:t xml:space="preserve">(FW2),</w:t>
      </w:r>
      <w:r>
        <w:t xml:space="preserve"> </w:t>
      </w:r>
      <w:r>
        <w:rPr>
          <w:bCs/>
          <w:b/>
        </w:rPr>
        <w:t xml:space="preserve">Expenses and budgets</w:t>
      </w:r>
      <w:r>
        <w:t xml:space="preserve"> </w:t>
      </w:r>
      <w:r>
        <w:t xml:space="preserve">(FW3),</w:t>
      </w:r>
      <w:r>
        <w:t xml:space="preserve"> </w:t>
      </w:r>
      <w:r>
        <w:rPr>
          <w:bCs/>
          <w:b/>
        </w:rPr>
        <w:t xml:space="preserve">Privacy and data</w:t>
      </w:r>
      <w:r>
        <w:t xml:space="preserve"> </w:t>
      </w:r>
      <w:r>
        <w:t xml:space="preserve">(FW4).</w:t>
      </w:r>
    </w:p>
    <w:p>
      <w:r>
        <w:pict>
          <v:rect style="width:0;height:1.5pt" o:hralign="center" o:hrstd="t" o:hr="t"/>
        </w:pict>
      </w:r>
    </w:p>
    <w:bookmarkStart w:id="217" w:name="fw1.-credit-report-and-score-tracking"/>
    <w:p>
      <w:pPr>
        <w:pStyle w:val="Heading2"/>
      </w:pPr>
      <w:r>
        <w:t xml:space="preserve">FW1. Credit report and score tracking</w:t>
      </w:r>
    </w:p>
    <w:bookmarkStart w:id="207" w:name="legal-route"/>
    <w:p>
      <w:pPr>
        <w:pStyle w:val="Heading3"/>
      </w:pPr>
      <w:r>
        <w:t xml:space="preserve">Legal route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55"/>
        <w:gridCol w:w="3926"/>
        <w:gridCol w:w="3857"/>
      </w:tblGrid>
      <w:tr>
        <w:trPr>
          <w:tblHeader w:val="true"/>
          <w:tblHeader w:val="true"/>
        </w:trPr>
        <w:tc>
          <w:tcPr>
            <w:tcW w:w="1855" w:type="dxa"/>
            <w:shd w:val="clear" w:color="auto" w:fill="1F3A5F"/>
          </w:tcPr>
          <w:p>
            <w:pPr>
              <w:pStyle w:val="Compact"/>
              <w:spacing w:after="40"/>
              <w:jc w:val="left"/>
            </w:pPr>
            <w:r>
              <w:rPr>
                <w:b/>
                <w:color w:val="FFFFFF"/>
                <w:sz w:val="18"/>
              </w:rPr>
              <w:t xml:space="preserve">Question</w:t>
            </w:r>
          </w:p>
        </w:tc>
        <w:tc>
          <w:tcPr>
            <w:tcW w:w="3926" w:type="dxa"/>
            <w:shd w:val="clear" w:color="auto" w:fill="1F3A5F"/>
          </w:tcPr>
          <w:p>
            <w:pPr>
              <w:pStyle w:val="Compact"/>
              <w:spacing w:after="40"/>
              <w:jc w:val="left"/>
            </w:pPr>
            <w:r>
              <w:rPr>
                <w:b/>
                <w:color w:val="FFFFFF"/>
                <w:sz w:val="18"/>
              </w:rPr>
              <w:t xml:space="preserve">Position</w:t>
            </w:r>
          </w:p>
        </w:tc>
        <w:tc>
          <w:tcPr>
            <w:tcW w:w="3857" w:type="dxa"/>
            <w:shd w:val="clear" w:color="auto" w:fill="1F3A5F"/>
          </w:tcPr>
          <w:p>
            <w:pPr>
              <w:pStyle w:val="Compact"/>
              <w:spacing w:after="40"/>
              <w:jc w:val="left"/>
            </w:pPr>
            <w:r>
              <w:rPr>
                <w:b/>
                <w:color w:val="FFFFFF"/>
                <w:sz w:val="18"/>
              </w:rPr>
              <w:t xml:space="preserve">Source</w:t>
            </w:r>
          </w:p>
        </w:tc>
      </w:tr>
      <w:tr>
        <w:tc>
          <w:tcPr>
            <w:tcW w:w="1855" w:type="dxa"/>
          </w:tcPr>
          <w:p>
            <w:pPr>
              <w:pStyle w:val="Compact"/>
              <w:spacing w:after="40"/>
              <w:jc w:val="left"/>
            </w:pPr>
            <w:r>
              <w:rPr>
                <w:sz w:val="18"/>
              </w:rPr>
              <w:t xml:space="preserve">Can Udofin pull bureau data in its own name?</w:t>
            </w:r>
          </w:p>
        </w:tc>
        <w:tc>
          <w:tcPr>
            <w:tcW w:w="3926" w:type="dxa"/>
          </w:tcPr>
          <w:p>
            <w:pPr>
              <w:pStyle w:val="Compact"/>
              <w:spacing w:after="40"/>
              <w:jc w:val="left"/>
            </w:pPr>
            <w:r>
              <w:rPr>
                <w:sz w:val="18"/>
              </w:rPr>
              <w:t xml:space="preserve">No. Udofin is not a credit institution, cannot be a CIC member under CIR para 6, and is not a Specified User (that route serves credit institutions, with RBI’s 2022 criteria)</w:t>
            </w:r>
          </w:p>
        </w:tc>
        <w:tc>
          <w:tcPr>
            <w:tcW w:w="3857" w:type="dxa"/>
          </w:tcPr>
          <w:p>
            <w:pPr>
              <w:pStyle w:val="Compact"/>
              <w:spacing w:after="40"/>
              <w:jc w:val="left"/>
            </w:pPr>
            <w:r>
              <w:rPr>
                <w:sz w:val="18"/>
              </w:rPr>
              <w:t xml:space="preserve">[LAW] CICRA s.2(l); CIC Regulations reg 3 (as amended 2021); [REG] CIR paras 4(3), 6</w:t>
            </w:r>
          </w:p>
        </w:tc>
      </w:tr>
      <w:tr>
        <w:tc>
          <w:tcPr>
            <w:tcW w:w="1855" w:type="dxa"/>
          </w:tcPr>
          <w:p>
            <w:pPr>
              <w:pStyle w:val="Compact"/>
              <w:spacing w:after="40"/>
              <w:jc w:val="left"/>
            </w:pPr>
            <w:r>
              <w:rPr>
                <w:sz w:val="18"/>
              </w:rPr>
              <w:t xml:space="preserve">Lawful basis for a consumer product</w:t>
            </w:r>
          </w:p>
        </w:tc>
        <w:tc>
          <w:tcPr>
            <w:tcW w:w="3926" w:type="dxa"/>
          </w:tcPr>
          <w:p>
            <w:pPr>
              <w:pStyle w:val="Compact"/>
              <w:spacing w:after="40"/>
              <w:jc w:val="left"/>
            </w:pPr>
            <w:r>
              <w:rPr>
                <w:sz w:val="18"/>
              </w:rPr>
              <w:t xml:space="preserve">The consumer obtains</w:t>
            </w:r>
            <w:r>
              <w:rPr>
                <w:sz w:val="18"/>
              </w:rPr>
              <w:t xml:space="preserve"> </w:t>
            </w:r>
            <w:r>
              <w:rPr>
                <w:bCs/>
                <w:b/>
                <w:sz w:val="18"/>
              </w:rPr>
              <w:t xml:space="preserve">their own</w:t>
            </w:r>
            <w:r>
              <w:rPr>
                <w:sz w:val="18"/>
              </w:rPr>
              <w:t xml:space="preserve"> </w:t>
            </w:r>
            <w:r>
              <w:rPr>
                <w:sz w:val="18"/>
              </w:rPr>
              <w:t xml:space="preserve">credit information; Udofin acts as the consumer’s appointed agent under a CIC’s direct-to-consumer partner programme, receiving the report solely to authenticate and display it to that consumer</w:t>
            </w:r>
          </w:p>
        </w:tc>
        <w:tc>
          <w:tcPr>
            <w:tcW w:w="3857" w:type="dxa"/>
          </w:tcPr>
          <w:p>
            <w:pPr>
              <w:pStyle w:val="Compact"/>
              <w:spacing w:after="40"/>
              <w:jc w:val="left"/>
            </w:pPr>
            <w:r>
              <w:rPr>
                <w:sz w:val="18"/>
              </w:rPr>
              <w:t xml:space="preserve">[LAW] CIC Regulations reg 9 purpose</w:t>
            </w:r>
            <w:r>
              <w:rPr>
                <w:sz w:val="18"/>
              </w:rPr>
              <w:t xml:space="preserve"> </w:t>
            </w:r>
            <w:r>
              <w:rPr>
                <w:sz w:val="18"/>
              </w:rPr>
              <w:t xml:space="preserve">“</w:t>
            </w:r>
            <w:r>
              <w:rPr>
                <w:sz w:val="18"/>
              </w:rPr>
              <w:t xml:space="preserve">to know his own credit information</w:t>
            </w:r>
            <w:r>
              <w:rPr>
                <w:sz w:val="18"/>
              </w:rPr>
              <w:t xml:space="preserve">”</w:t>
            </w:r>
            <w:r>
              <w:rPr>
                <w:sz w:val="18"/>
              </w:rPr>
              <w:t xml:space="preserve"> </w:t>
            </w:r>
            <w:r>
              <w:rPr>
                <w:sz w:val="18"/>
              </w:rPr>
              <w:t xml:space="preserve">[VERIFY reg 9 text]; [MKT] TransUnion CIBIL DTC Consumer Connect partner model [VERIFY partner eligibility, audit and price terms for each CIC]</w:t>
            </w:r>
          </w:p>
        </w:tc>
      </w:tr>
      <w:tr>
        <w:tc>
          <w:tcPr>
            <w:tcW w:w="1855" w:type="dxa"/>
          </w:tcPr>
          <w:p>
            <w:pPr>
              <w:pStyle w:val="Compact"/>
              <w:spacing w:after="40"/>
              <w:jc w:val="left"/>
            </w:pPr>
            <w:r>
              <w:rPr>
                <w:sz w:val="18"/>
              </w:rPr>
              <w:t xml:space="preserve">Can an RE’s underwriting report feed this feature?</w:t>
            </w:r>
          </w:p>
        </w:tc>
        <w:tc>
          <w:tcPr>
            <w:tcW w:w="3926" w:type="dxa"/>
          </w:tcPr>
          <w:p>
            <w:pPr>
              <w:pStyle w:val="Compact"/>
              <w:spacing w:after="40"/>
              <w:jc w:val="left"/>
            </w:pPr>
            <w:r>
              <w:rPr>
                <w:sz w:val="18"/>
              </w:rPr>
              <w:t xml:space="preserve">Never. RBI has told REs not to give unregulated entities access to credit information; an RE’s CIR is for the RE’s credit decision only</w:t>
            </w:r>
          </w:p>
        </w:tc>
        <w:tc>
          <w:tcPr>
            <w:tcW w:w="3857" w:type="dxa"/>
          </w:tcPr>
          <w:p>
            <w:pPr>
              <w:pStyle w:val="Compact"/>
              <w:spacing w:after="40"/>
              <w:jc w:val="left"/>
            </w:pPr>
            <w:r>
              <w:rPr>
                <w:sz w:val="18"/>
              </w:rPr>
              <w:t xml:space="preserve">[REG] RBI instruction of 2019 [VERIFY circular reference]; CIR para 20</w:t>
            </w:r>
          </w:p>
        </w:tc>
      </w:tr>
      <w:tr>
        <w:tc>
          <w:tcPr>
            <w:tcW w:w="1855" w:type="dxa"/>
          </w:tcPr>
          <w:p>
            <w:pPr>
              <w:pStyle w:val="Compact"/>
              <w:spacing w:after="40"/>
              <w:jc w:val="left"/>
            </w:pPr>
            <w:r>
              <w:rPr>
                <w:sz w:val="18"/>
              </w:rPr>
              <w:t xml:space="preserve">Free annual report</w:t>
            </w:r>
          </w:p>
        </w:tc>
        <w:tc>
          <w:tcPr>
            <w:tcW w:w="3926" w:type="dxa"/>
          </w:tcPr>
          <w:p>
            <w:pPr>
              <w:pStyle w:val="Compact"/>
              <w:spacing w:after="40"/>
              <w:jc w:val="left"/>
            </w:pPr>
            <w:r>
              <w:rPr>
                <w:sz w:val="18"/>
              </w:rPr>
              <w:t xml:space="preserve">Every individual may obtain one free full credit report, including the score, each calendar year from each CIC, electronically after authentication</w:t>
            </w:r>
          </w:p>
        </w:tc>
        <w:tc>
          <w:tcPr>
            <w:tcW w:w="3857" w:type="dxa"/>
          </w:tcPr>
          <w:p>
            <w:pPr>
              <w:pStyle w:val="Compact"/>
              <w:spacing w:after="40"/>
              <w:jc w:val="left"/>
            </w:pPr>
            <w:r>
              <w:rPr>
                <w:sz w:val="18"/>
              </w:rPr>
              <w:t xml:space="preserve">[REG] RBI circular DBR.CID.BC.No.11/20.16.042/2016-17, 1 Sep 2016</w:t>
            </w:r>
          </w:p>
        </w:tc>
      </w:tr>
      <w:tr>
        <w:tc>
          <w:tcPr>
            <w:tcW w:w="1855" w:type="dxa"/>
          </w:tcPr>
          <w:p>
            <w:pPr>
              <w:pStyle w:val="Compact"/>
              <w:spacing w:after="40"/>
              <w:jc w:val="left"/>
            </w:pPr>
            <w:r>
              <w:rPr>
                <w:sz w:val="18"/>
              </w:rPr>
              <w:t xml:space="preserve">Limits on CIC partner channels</w:t>
            </w:r>
          </w:p>
        </w:tc>
        <w:tc>
          <w:tcPr>
            <w:tcW w:w="3926" w:type="dxa"/>
          </w:tcPr>
          <w:p>
            <w:pPr>
              <w:pStyle w:val="Compact"/>
              <w:spacing w:after="40"/>
              <w:jc w:val="left"/>
            </w:pPr>
            <w:r>
              <w:rPr>
                <w:sz w:val="18"/>
              </w:rPr>
              <w:t xml:space="preserve">The RBI (Credit Information Companies) Directions, 2025 as amended by RBI/DOR/2025-26/119 (in force 1 Jul 2026) may restrict partner channels, refresh frequency or marketing use</w:t>
            </w:r>
          </w:p>
        </w:tc>
        <w:tc>
          <w:tcPr>
            <w:tcW w:w="3857" w:type="dxa"/>
          </w:tcPr>
          <w:p>
            <w:pPr>
              <w:pStyle w:val="Compact"/>
              <w:spacing w:after="40"/>
              <w:jc w:val="left"/>
            </w:pPr>
            <w:r>
              <w:rPr>
                <w:sz w:val="18"/>
              </w:rPr>
              <w:t xml:space="preserve">[REG] CIC-AMD [VERIFY: read the consolidated text before contracting]</w:t>
            </w:r>
          </w:p>
        </w:tc>
      </w:tr>
    </w:tbl>
    <w:bookmarkEnd w:id="207"/>
    <w:bookmarkStart w:id="208" w:name="states-4"/>
    <w:p>
      <w:pPr>
        <w:pStyle w:val="Heading3"/>
      </w:pPr>
      <w:r>
        <w:t xml:space="preserve">States</w:t>
      </w:r>
    </w:p>
    <w:p>
      <w:pPr>
        <w:pStyle w:val="FirstParagraph"/>
      </w:pPr>
      <w:r>
        <w:rPr>
          <w:rStyle w:val="VerbatimChar"/>
        </w:rPr>
        <w:t xml:space="preserve">credit_health_enrolment</w:t>
      </w:r>
      <w:r>
        <w:t xml:space="preserve">:</w:t>
      </w:r>
      <w:r>
        <w:t xml:space="preserve"> </w:t>
      </w:r>
      <w:r>
        <w:rPr>
          <w:rStyle w:val="VerbatimChar"/>
        </w:rPr>
        <w:t xml:space="preserve">NOT_ENROLLED → CONSENT_PENDING → IDENTITY_AUTHENTICATION (CIC's own knowledge-based questions or OTP) → ACTIVE → {EXPIRED | REVOKED} → PURGED</w:t>
      </w:r>
      <w:r>
        <w:t xml:space="preserve">, with</w:t>
      </w:r>
      <w:r>
        <w:t xml:space="preserve"> </w:t>
      </w:r>
      <w:r>
        <w:rPr>
          <w:rStyle w:val="VerbatimChar"/>
        </w:rPr>
        <w:t xml:space="preserve">AUTH_FAILED</w:t>
      </w:r>
      <w:r>
        <w:t xml:space="preserve"> </w:t>
      </w:r>
      <w:r>
        <w:t xml:space="preserve">(retry limits per the CIC) and</w:t>
      </w:r>
      <w:r>
        <w:t xml:space="preserve"> </w:t>
      </w:r>
      <w:r>
        <w:rPr>
          <w:rStyle w:val="VerbatimChar"/>
        </w:rPr>
        <w:t xml:space="preserve">NO_HIT</w:t>
      </w:r>
      <w:r>
        <w:t xml:space="preserve"> </w:t>
      </w:r>
      <w:r>
        <w:t xml:space="preserve">(no credit file: plain explanation, free-report links, never</w:t>
      </w:r>
      <w:r>
        <w:t xml:space="preserve"> </w:t>
      </w:r>
      <w:r>
        <w:t xml:space="preserve">“</w:t>
      </w:r>
      <w:r>
        <w:t xml:space="preserve">bad credit</w:t>
      </w:r>
      <w:r>
        <w:t xml:space="preserve">”</w:t>
      </w:r>
      <w:r>
        <w:t xml:space="preserve">).</w:t>
      </w:r>
    </w:p>
    <w:bookmarkEnd w:id="208"/>
    <w:bookmarkStart w:id="209" w:name="X8fb607a2227954146bf4387a8ba67529eefa19d"/>
    <w:p>
      <w:pPr>
        <w:pStyle w:val="Heading3"/>
      </w:pPr>
      <w:r>
        <w:t xml:space="preserve">Consent artefact (separate from every loan consent)</w:t>
      </w:r>
    </w:p>
    <w:p>
      <w:pPr>
        <w:pStyle w:val="FirstParagraph"/>
      </w:pPr>
      <w:r>
        <w:rPr>
          <w:rStyle w:val="VerbatimChar"/>
        </w:rPr>
        <w:t xml:space="preserve">wellness_consent</w:t>
      </w:r>
      <w:r>
        <w:t xml:space="preserve"> </w:t>
      </w:r>
      <w:r>
        <w:t xml:space="preserve">with: consent ID; the named CIC; purposes, each a separate choice: display to me, monitoring and alerts, educational analysis;</w:t>
      </w:r>
      <w:r>
        <w:t xml:space="preserve"> </w:t>
      </w:r>
      <w:r>
        <w:rPr>
          <w:bCs/>
          <w:b/>
        </w:rPr>
        <w:t xml:space="preserve">marketing use of my credit data</w:t>
      </w:r>
      <w:r>
        <w:t xml:space="preserve"> </w:t>
      </w:r>
      <w:r>
        <w:t xml:space="preserve">as a separate tick, default No and never pre-selected; refresh frequency and term (no longer than the CIC partner term, commonly up to 6 months [MKT]); retention (the shortest of the term, the purpose or withdrawal); withdrawal channel (one tap in settings); DPDP notice version (stand-alone, itemised: DPDP Rules r.3); language; timestamp, device and IP. Renewal requires a fresh consent and fresh CIC authentication.</w:t>
      </w:r>
    </w:p>
    <w:bookmarkEnd w:id="209"/>
    <w:bookmarkStart w:id="210" w:name="capabilities"/>
    <w:p>
      <w:pPr>
        <w:pStyle w:val="Heading3"/>
      </w:pPr>
      <w:r>
        <w:t xml:space="preserve">Capabilities</w:t>
      </w:r>
    </w:p>
    <w:p>
      <w:pPr>
        <w:numPr>
          <w:ilvl w:val="0"/>
          <w:numId w:val="1118"/>
        </w:numPr>
        <w:pStyle w:val="Compact"/>
      </w:pPr>
      <w:r>
        <w:rPr>
          <w:bCs/>
          <w:b/>
        </w:rPr>
        <w:t xml:space="preserve">Pull:</w:t>
      </w:r>
      <w:r>
        <w:t xml:space="preserve"> </w:t>
      </w:r>
      <w:r>
        <w:t xml:space="preserve">on enrolment and at the refresh frequency the consent allows; each pull logs</w:t>
      </w:r>
      <w:r>
        <w:t xml:space="preserve"> </w:t>
      </w:r>
      <w:r>
        <w:rPr>
          <w:rStyle w:val="VerbatimChar"/>
        </w:rPr>
        <w:t xml:space="preserve">cic_request_id</w:t>
      </w:r>
      <w:r>
        <w:t xml:space="preserve">, CIC, purpose code, consent ID, cost and response hash; pulls above the plan’s frequency are refused.</w:t>
      </w:r>
    </w:p>
    <w:p>
      <w:pPr>
        <w:numPr>
          <w:ilvl w:val="0"/>
          <w:numId w:val="1118"/>
        </w:numPr>
        <w:pStyle w:val="Compact"/>
      </w:pPr>
      <w:r>
        <w:rPr>
          <w:bCs/>
          <w:b/>
        </w:rPr>
        <w:t xml:space="preserve">Display (per CIC, never combined):</w:t>
      </w:r>
      <w:r>
        <w:t xml:space="preserve"> </w:t>
      </w:r>
      <w:r>
        <w:t xml:space="preserve">the score with its date and range and the fixed line</w:t>
      </w:r>
      <w:r>
        <w:t xml:space="preserve"> </w:t>
      </w:r>
      <w:r>
        <w:t xml:space="preserve">“</w:t>
      </w:r>
      <w:r>
        <w:t xml:space="preserve">Score provided by [CIC name]. Udofin does not calculate or change it</w:t>
      </w:r>
      <w:r>
        <w:t xml:space="preserve">”</w:t>
      </w:r>
      <w:r>
        <w:t xml:space="preserve">; accounts, enquiries and the DPD grid as the CIC returns them; the CIC’s own factor descriptions. No</w:t>
      </w:r>
      <w:r>
        <w:t xml:space="preserve"> </w:t>
      </w:r>
      <w:r>
        <w:t xml:space="preserve">“</w:t>
      </w:r>
      <w:r>
        <w:t xml:space="preserve">Udofin score</w:t>
      </w:r>
      <w:r>
        <w:t xml:space="preserve">”</w:t>
      </w:r>
      <w:r>
        <w:t xml:space="preserve">, no average across CICs, no colour scale that implies approval.</w:t>
      </w:r>
    </w:p>
    <w:p>
      <w:pPr>
        <w:numPr>
          <w:ilvl w:val="0"/>
          <w:numId w:val="1118"/>
        </w:numPr>
        <w:pStyle w:val="Compact"/>
      </w:pPr>
      <w:r>
        <w:rPr>
          <w:bCs/>
          <w:b/>
        </w:rPr>
        <w:t xml:space="preserve">Free-report links:</w:t>
      </w:r>
      <w:r>
        <w:t xml:space="preserve"> </w:t>
      </w:r>
      <w:r>
        <w:t xml:space="preserve">links to each of the four CICs’ free annual report pages are always visible on every credit screen, including to paying users (FW-C03).</w:t>
      </w:r>
    </w:p>
    <w:p>
      <w:pPr>
        <w:numPr>
          <w:ilvl w:val="0"/>
          <w:numId w:val="1118"/>
        </w:numPr>
        <w:pStyle w:val="Compact"/>
      </w:pPr>
      <w:r>
        <w:rPr>
          <w:bCs/>
          <w:b/>
        </w:rPr>
        <w:t xml:space="preserve">Disputes:</w:t>
      </w:r>
      <w:r>
        <w:t xml:space="preserve"> </w:t>
      </w:r>
      <w:r>
        <w:t xml:space="preserve">a deep link to the CIC’s own dispute page and a plain explanation that the CIC and the lender have a combined 30 days, with ₹100 per day compensation after that (CIR para 35); for an error on an Udofin-sourced loan, a shortcut to a UB3</w:t>
      </w:r>
      <w:r>
        <w:t xml:space="preserve"> </w:t>
      </w:r>
      <w:r>
        <w:rPr>
          <w:rStyle w:val="VerbatimChar"/>
        </w:rPr>
        <w:t xml:space="preserve">credit_information</w:t>
      </w:r>
      <w:r>
        <w:t xml:space="preserve"> </w:t>
      </w:r>
      <w:r>
        <w:t xml:space="preserve">complaint routed to that RE. A dispute tracker records what the user filed and when (user-entered).</w:t>
      </w:r>
    </w:p>
    <w:p>
      <w:pPr>
        <w:numPr>
          <w:ilvl w:val="0"/>
          <w:numId w:val="1118"/>
        </w:numPr>
        <w:pStyle w:val="Compact"/>
      </w:pPr>
      <w:r>
        <w:rPr>
          <w:bCs/>
          <w:b/>
        </w:rPr>
        <w:t xml:space="preserve">Alerts</w:t>
      </w:r>
      <w:r>
        <w:t xml:space="preserve"> </w:t>
      </w:r>
      <w:r>
        <w:t xml:space="preserve">(only with the monitoring purpose): new account, new enquiry, DPD change, score band change; push and SMS carry no figures or lender names, only</w:t>
      </w:r>
      <w:r>
        <w:t xml:space="preserve"> </w:t>
      </w:r>
      <w:r>
        <w:t xml:space="preserve">“</w:t>
      </w:r>
      <w:r>
        <w:t xml:space="preserve">There is an update in your credit report</w:t>
      </w:r>
      <w:r>
        <w:t xml:space="preserve">”</w:t>
      </w:r>
      <w:r>
        <w:t xml:space="preserve">.</w:t>
      </w:r>
    </w:p>
    <w:p>
      <w:pPr>
        <w:numPr>
          <w:ilvl w:val="0"/>
          <w:numId w:val="1118"/>
        </w:numPr>
        <w:pStyle w:val="Compact"/>
      </w:pPr>
      <w:r>
        <w:rPr>
          <w:bCs/>
          <w:b/>
        </w:rPr>
        <w:t xml:space="preserve">Thin file and new to credit:</w:t>
      </w:r>
      <w:r>
        <w:t xml:space="preserve"> </w:t>
      </w:r>
      <w:r>
        <w:t xml:space="preserve">neutral education; never a suggestion to take a loan to</w:t>
      </w:r>
      <w:r>
        <w:t xml:space="preserve"> </w:t>
      </w:r>
      <w:r>
        <w:t xml:space="preserve">“</w:t>
      </w:r>
      <w:r>
        <w:t xml:space="preserve">build credit</w:t>
      </w:r>
      <w:r>
        <w:t xml:space="preserve">”</w:t>
      </w:r>
      <w:r>
        <w:t xml:space="preserve">.</w:t>
      </w:r>
    </w:p>
    <w:bookmarkEnd w:id="210"/>
    <w:bookmarkStart w:id="211" w:name="storage-and-access"/>
    <w:p>
      <w:pPr>
        <w:pStyle w:val="Heading3"/>
      </w:pPr>
      <w:r>
        <w:t xml:space="preserve">Storage and access</w:t>
      </w:r>
    </w:p>
    <w:p>
      <w:pPr>
        <w:numPr>
          <w:ilvl w:val="0"/>
          <w:numId w:val="1119"/>
        </w:numPr>
        <w:pStyle w:val="Compact"/>
      </w:pPr>
      <w:r>
        <w:t xml:space="preserve">Reports are stored only in</w:t>
      </w:r>
      <w:r>
        <w:t xml:space="preserve"> </w:t>
      </w:r>
      <w:r>
        <w:rPr>
          <w:rStyle w:val="VerbatimChar"/>
        </w:rPr>
        <w:t xml:space="preserve">consumer_credit_vault</w:t>
      </w:r>
      <w:r>
        <w:t xml:space="preserve"> </w:t>
      </w:r>
      <w:r>
        <w:t xml:space="preserve">inside the wellness store (FW4): separate KMS key, field-level encryption for identifiers, raw CIC response encrypted at rest, India-only (CF para 14(4) by policy).</w:t>
      </w:r>
    </w:p>
    <w:p>
      <w:pPr>
        <w:numPr>
          <w:ilvl w:val="0"/>
          <w:numId w:val="1119"/>
        </w:numPr>
        <w:pStyle w:val="Compact"/>
      </w:pPr>
      <w:r>
        <w:t xml:space="preserve">Retention follows the consent and the CIC partner terms; a purge job deletes on expiry or withdrawal and writes a purge certificate.</w:t>
      </w:r>
    </w:p>
    <w:p>
      <w:pPr>
        <w:numPr>
          <w:ilvl w:val="0"/>
          <w:numId w:val="1119"/>
        </w:numPr>
        <w:pStyle w:val="Compact"/>
      </w:pPr>
      <w:r>
        <w:rPr>
          <w:bCs/>
          <w:b/>
        </w:rPr>
        <w:t xml:space="preserve">No reader outside FW1 and FW2.</w:t>
      </w:r>
      <w:r>
        <w:t xml:space="preserve"> </w:t>
      </w:r>
      <w:r>
        <w:t xml:space="preserve">U6, U7, U8, U13, U16, U19 (except aggregate counts), U20, U21, Part 7A modules and every RE-facing API run under roles with no grant on the vault (FW4).</w:t>
      </w:r>
    </w:p>
    <w:p>
      <w:pPr>
        <w:numPr>
          <w:ilvl w:val="0"/>
          <w:numId w:val="1119"/>
        </w:numPr>
        <w:pStyle w:val="Compact"/>
      </w:pPr>
      <w:r>
        <w:t xml:space="preserve">No large-language-model processing of report content in v1.2 [REC]; explanations come from approved static content keyed to the CIC’s factor codes.</w:t>
      </w:r>
    </w:p>
    <w:bookmarkEnd w:id="211"/>
    <w:bookmarkStart w:id="212" w:name="X575324700a75c8ff3e2c51ea5eae5da43140f5c"/>
    <w:p>
      <w:pPr>
        <w:pStyle w:val="Heading3"/>
      </w:pPr>
      <w:r>
        <w:t xml:space="preserve">Billing hooks (only after FW4’s charging gate)</w:t>
      </w:r>
    </w:p>
    <w:p>
      <w:pPr>
        <w:pStyle w:val="FirstParagraph"/>
      </w:pPr>
      <w:r>
        <w:t xml:space="preserve">Free tier: one refresh per quarter and the free-report links [REC]. Paid tier: monthly refresh, alerts, simulator, dispute tracker. Plans and payments are Part 7G; the CIC cost per pull is captured for unit economics.</w:t>
      </w:r>
    </w:p>
    <w:bookmarkEnd w:id="212"/>
    <w:bookmarkStart w:id="213" w:name="settings-and-options-9"/>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06"/>
        <w:gridCol w:w="2174"/>
        <w:gridCol w:w="2635"/>
        <w:gridCol w:w="2523"/>
      </w:tblGrid>
      <w:tr>
        <w:trPr>
          <w:tblHeader w:val="true"/>
          <w:tblHeader w:val="true"/>
        </w:trPr>
        <w:tc>
          <w:tcPr>
            <w:tcW w:w="2306" w:type="dxa"/>
            <w:shd w:val="clear" w:color="auto" w:fill="1F3A5F"/>
          </w:tcPr>
          <w:p>
            <w:pPr>
              <w:pStyle w:val="Compact"/>
              <w:spacing w:after="40"/>
              <w:jc w:val="left"/>
            </w:pPr>
            <w:r>
              <w:rPr>
                <w:b/>
                <w:color w:val="FFFFFF"/>
                <w:sz w:val="18"/>
              </w:rPr>
              <w:t xml:space="preserve">Setting</w:t>
            </w:r>
          </w:p>
        </w:tc>
        <w:tc>
          <w:tcPr>
            <w:tcW w:w="2174" w:type="dxa"/>
            <w:shd w:val="clear" w:color="auto" w:fill="1F3A5F"/>
          </w:tcPr>
          <w:p>
            <w:pPr>
              <w:pStyle w:val="Compact"/>
              <w:spacing w:after="40"/>
              <w:jc w:val="left"/>
            </w:pPr>
            <w:r>
              <w:rPr>
                <w:b/>
                <w:color w:val="FFFFFF"/>
                <w:sz w:val="18"/>
              </w:rPr>
              <w:t xml:space="preserve">Level</w:t>
            </w:r>
          </w:p>
        </w:tc>
        <w:tc>
          <w:tcPr>
            <w:tcW w:w="2635" w:type="dxa"/>
            <w:shd w:val="clear" w:color="auto" w:fill="1F3A5F"/>
          </w:tcPr>
          <w:p>
            <w:pPr>
              <w:pStyle w:val="Compact"/>
              <w:spacing w:after="40"/>
              <w:jc w:val="left"/>
            </w:pPr>
            <w:r>
              <w:rPr>
                <w:b/>
                <w:color w:val="FFFFFF"/>
                <w:sz w:val="18"/>
              </w:rPr>
              <w:t xml:space="preserve">Default</w:t>
            </w:r>
          </w:p>
        </w:tc>
        <w:tc>
          <w:tcPr>
            <w:tcW w:w="2523" w:type="dxa"/>
            <w:shd w:val="clear" w:color="auto" w:fill="1F3A5F"/>
          </w:tcPr>
          <w:p>
            <w:pPr>
              <w:pStyle w:val="Compact"/>
              <w:spacing w:after="40"/>
              <w:jc w:val="left"/>
            </w:pPr>
            <w:r>
              <w:rPr>
                <w:b/>
                <w:color w:val="FFFFFF"/>
                <w:sz w:val="18"/>
              </w:rPr>
              <w:t xml:space="preserve">Nature</w:t>
            </w:r>
          </w:p>
        </w:tc>
      </w:tr>
      <w:tr>
        <w:tc>
          <w:tcPr>
            <w:tcW w:w="2306" w:type="dxa"/>
          </w:tcPr>
          <w:p>
            <w:pPr>
              <w:pStyle w:val="Compact"/>
              <w:spacing w:after="40"/>
              <w:jc w:val="left"/>
            </w:pPr>
            <w:r>
              <w:rPr>
                <w:sz w:val="18"/>
              </w:rPr>
              <w:t xml:space="preserve">Refresh frequency</w:t>
            </w:r>
          </w:p>
        </w:tc>
        <w:tc>
          <w:tcPr>
            <w:tcW w:w="2174" w:type="dxa"/>
          </w:tcPr>
          <w:p>
            <w:pPr>
              <w:pStyle w:val="Compact"/>
              <w:spacing w:after="40"/>
              <w:jc w:val="left"/>
            </w:pPr>
            <w:r>
              <w:rPr>
                <w:sz w:val="18"/>
              </w:rPr>
              <w:t xml:space="preserve">User (within plan and CIC terms)</w:t>
            </w:r>
          </w:p>
        </w:tc>
        <w:tc>
          <w:tcPr>
            <w:tcW w:w="2635" w:type="dxa"/>
          </w:tcPr>
          <w:p>
            <w:pPr>
              <w:pStyle w:val="Compact"/>
              <w:spacing w:after="40"/>
              <w:jc w:val="left"/>
            </w:pPr>
            <w:r>
              <w:rPr>
                <w:sz w:val="18"/>
              </w:rPr>
              <w:t xml:space="preserve">Free: one per quarter; paid: monthly</w:t>
            </w:r>
          </w:p>
        </w:tc>
        <w:tc>
          <w:tcPr>
            <w:tcW w:w="2523" w:type="dxa"/>
          </w:tcPr>
          <w:p>
            <w:pPr>
              <w:pStyle w:val="Compact"/>
              <w:spacing w:after="40"/>
              <w:jc w:val="left"/>
            </w:pPr>
            <w:r>
              <w:rPr>
                <w:sz w:val="18"/>
              </w:rPr>
              <w:t xml:space="preserve">Commercial within the CIC partner terms</w:t>
            </w:r>
          </w:p>
        </w:tc>
      </w:tr>
      <w:tr>
        <w:tc>
          <w:tcPr>
            <w:tcW w:w="2306" w:type="dxa"/>
          </w:tcPr>
          <w:p>
            <w:pPr>
              <w:pStyle w:val="Compact"/>
              <w:spacing w:after="40"/>
              <w:jc w:val="left"/>
            </w:pPr>
            <w:r>
              <w:rPr>
                <w:sz w:val="18"/>
              </w:rPr>
              <w:t xml:space="preserve">Monitoring alerts</w:t>
            </w:r>
          </w:p>
        </w:tc>
        <w:tc>
          <w:tcPr>
            <w:tcW w:w="2174" w:type="dxa"/>
          </w:tcPr>
          <w:p>
            <w:pPr>
              <w:pStyle w:val="Compact"/>
              <w:spacing w:after="40"/>
              <w:jc w:val="left"/>
            </w:pPr>
            <w:r>
              <w:rPr>
                <w:sz w:val="18"/>
              </w:rPr>
              <w:t xml:space="preserve">User</w:t>
            </w:r>
          </w:p>
        </w:tc>
        <w:tc>
          <w:tcPr>
            <w:tcW w:w="2635" w:type="dxa"/>
          </w:tcPr>
          <w:p>
            <w:pPr>
              <w:pStyle w:val="Compact"/>
              <w:spacing w:after="40"/>
              <w:jc w:val="left"/>
            </w:pPr>
            <w:r>
              <w:rPr>
                <w:sz w:val="18"/>
              </w:rPr>
              <w:t xml:space="preserve">Off</w:t>
            </w:r>
          </w:p>
        </w:tc>
        <w:tc>
          <w:tcPr>
            <w:tcW w:w="2523" w:type="dxa"/>
          </w:tcPr>
          <w:p>
            <w:pPr>
              <w:pStyle w:val="Compact"/>
              <w:spacing w:after="40"/>
              <w:jc w:val="left"/>
            </w:pPr>
            <w:r>
              <w:rPr>
                <w:sz w:val="18"/>
              </w:rPr>
              <w:t xml:space="preserve">Separate purpose; opt-in</w:t>
            </w:r>
          </w:p>
        </w:tc>
      </w:tr>
      <w:tr>
        <w:tc>
          <w:tcPr>
            <w:tcW w:w="2306" w:type="dxa"/>
          </w:tcPr>
          <w:p>
            <w:pPr>
              <w:pStyle w:val="Compact"/>
              <w:spacing w:after="40"/>
              <w:jc w:val="left"/>
            </w:pPr>
            <w:r>
              <w:rPr>
                <w:sz w:val="18"/>
              </w:rPr>
              <w:t xml:space="preserve">Marketing use of credit data</w:t>
            </w:r>
          </w:p>
        </w:tc>
        <w:tc>
          <w:tcPr>
            <w:tcW w:w="2174" w:type="dxa"/>
          </w:tcPr>
          <w:p>
            <w:pPr>
              <w:pStyle w:val="Compact"/>
              <w:spacing w:after="40"/>
              <w:jc w:val="left"/>
            </w:pPr>
            <w:r>
              <w:rPr>
                <w:sz w:val="18"/>
              </w:rPr>
              <w:t xml:space="preserve">User</w:t>
            </w:r>
          </w:p>
        </w:tc>
        <w:tc>
          <w:tcPr>
            <w:tcW w:w="2635" w:type="dxa"/>
          </w:tcPr>
          <w:p>
            <w:pPr>
              <w:pStyle w:val="Compact"/>
              <w:spacing w:after="40"/>
              <w:jc w:val="left"/>
            </w:pPr>
            <w:r>
              <w:rPr>
                <w:sz w:val="18"/>
              </w:rPr>
              <w:t xml:space="preserve">No</w:t>
            </w:r>
          </w:p>
        </w:tc>
        <w:tc>
          <w:tcPr>
            <w:tcW w:w="2523" w:type="dxa"/>
          </w:tcPr>
          <w:p>
            <w:pPr>
              <w:pStyle w:val="Compact"/>
              <w:spacing w:after="40"/>
              <w:jc w:val="left"/>
            </w:pPr>
            <w:r>
              <w:rPr>
                <w:sz w:val="18"/>
              </w:rPr>
              <w:t xml:space="preserve">Separate tick; never pre-selected</w:t>
            </w:r>
          </w:p>
        </w:tc>
      </w:tr>
      <w:tr>
        <w:tc>
          <w:tcPr>
            <w:tcW w:w="2306" w:type="dxa"/>
          </w:tcPr>
          <w:p>
            <w:pPr>
              <w:pStyle w:val="Compact"/>
              <w:spacing w:after="40"/>
              <w:jc w:val="left"/>
            </w:pPr>
            <w:r>
              <w:rPr>
                <w:sz w:val="18"/>
              </w:rPr>
              <w:t xml:space="preserve">Alert content</w:t>
            </w:r>
          </w:p>
        </w:tc>
        <w:tc>
          <w:tcPr>
            <w:tcW w:w="2174" w:type="dxa"/>
          </w:tcPr>
          <w:p>
            <w:pPr>
              <w:pStyle w:val="Compact"/>
              <w:spacing w:after="40"/>
              <w:jc w:val="left"/>
            </w:pPr>
            <w:r>
              <w:rPr>
                <w:sz w:val="18"/>
              </w:rPr>
              <w:t xml:space="preserve">Platform</w:t>
            </w:r>
          </w:p>
        </w:tc>
        <w:tc>
          <w:tcPr>
            <w:tcW w:w="2635" w:type="dxa"/>
          </w:tcPr>
          <w:p>
            <w:pPr>
              <w:pStyle w:val="Compact"/>
              <w:spacing w:after="40"/>
              <w:jc w:val="left"/>
            </w:pPr>
            <w:r>
              <w:rPr>
                <w:sz w:val="18"/>
              </w:rPr>
              <w:t xml:space="preserve">“</w:t>
            </w:r>
            <w:r>
              <w:rPr>
                <w:sz w:val="18"/>
              </w:rPr>
              <w:t xml:space="preserve">There is an update in your credit report</w:t>
            </w:r>
            <w:r>
              <w:rPr>
                <w:sz w:val="18"/>
              </w:rPr>
              <w:t xml:space="preserve">”</w:t>
            </w:r>
            <w:r>
              <w:rPr>
                <w:sz w:val="18"/>
              </w:rPr>
              <w:t xml:space="preserve"> </w:t>
            </w:r>
            <w:r>
              <w:rPr>
                <w:sz w:val="18"/>
              </w:rPr>
              <w:t xml:space="preserve">only</w:t>
            </w:r>
          </w:p>
        </w:tc>
        <w:tc>
          <w:tcPr>
            <w:tcW w:w="2523" w:type="dxa"/>
          </w:tcPr>
          <w:p>
            <w:pPr>
              <w:pStyle w:val="Compact"/>
              <w:spacing w:after="40"/>
              <w:jc w:val="left"/>
            </w:pPr>
            <w:r>
              <w:rPr>
                <w:sz w:val="18"/>
              </w:rPr>
              <w:t xml:space="preserve">Fixed; no figures or lender names</w:t>
            </w:r>
          </w:p>
        </w:tc>
      </w:tr>
      <w:tr>
        <w:tc>
          <w:tcPr>
            <w:tcW w:w="2306" w:type="dxa"/>
          </w:tcPr>
          <w:p>
            <w:pPr>
              <w:pStyle w:val="Compact"/>
              <w:spacing w:after="40"/>
              <w:jc w:val="left"/>
            </w:pPr>
            <w:r>
              <w:rPr>
                <w:sz w:val="18"/>
              </w:rPr>
              <w:t xml:space="preserve">Free-report links</w:t>
            </w:r>
          </w:p>
        </w:tc>
        <w:tc>
          <w:tcPr>
            <w:tcW w:w="2174" w:type="dxa"/>
          </w:tcPr>
          <w:p>
            <w:pPr>
              <w:pStyle w:val="Compact"/>
              <w:spacing w:after="40"/>
              <w:jc w:val="left"/>
            </w:pPr>
            <w:r>
              <w:rPr>
                <w:sz w:val="18"/>
              </w:rPr>
              <w:t xml:space="preserve">Platform</w:t>
            </w:r>
          </w:p>
        </w:tc>
        <w:tc>
          <w:tcPr>
            <w:tcW w:w="2635" w:type="dxa"/>
          </w:tcPr>
          <w:p>
            <w:pPr>
              <w:pStyle w:val="Compact"/>
              <w:spacing w:after="40"/>
              <w:jc w:val="left"/>
            </w:pPr>
            <w:r>
              <w:rPr>
                <w:sz w:val="18"/>
              </w:rPr>
              <w:t xml:space="preserve">Always shown</w:t>
            </w:r>
          </w:p>
        </w:tc>
        <w:tc>
          <w:tcPr>
            <w:tcW w:w="2523" w:type="dxa"/>
          </w:tcPr>
          <w:p>
            <w:pPr>
              <w:pStyle w:val="Compact"/>
              <w:spacing w:after="40"/>
              <w:jc w:val="left"/>
            </w:pPr>
            <w:r>
              <w:rPr>
                <w:sz w:val="18"/>
              </w:rPr>
              <w:t xml:space="preserve">Fixed (FW-C03)</w:t>
            </w:r>
          </w:p>
        </w:tc>
      </w:tr>
      <w:tr>
        <w:tc>
          <w:tcPr>
            <w:tcW w:w="2306" w:type="dxa"/>
          </w:tcPr>
          <w:p>
            <w:pPr>
              <w:pStyle w:val="Compact"/>
              <w:spacing w:after="40"/>
              <w:jc w:val="left"/>
            </w:pPr>
            <w:r>
              <w:rPr>
                <w:sz w:val="18"/>
              </w:rPr>
              <w:t xml:space="preserve">LLM processing of report content</w:t>
            </w:r>
          </w:p>
        </w:tc>
        <w:tc>
          <w:tcPr>
            <w:tcW w:w="2174" w:type="dxa"/>
          </w:tcPr>
          <w:p>
            <w:pPr>
              <w:pStyle w:val="Compact"/>
              <w:spacing w:after="40"/>
              <w:jc w:val="left"/>
            </w:pPr>
            <w:r>
              <w:rPr>
                <w:sz w:val="18"/>
              </w:rPr>
              <w:t xml:space="preserve">Platform</w:t>
            </w:r>
          </w:p>
        </w:tc>
        <w:tc>
          <w:tcPr>
            <w:tcW w:w="2635" w:type="dxa"/>
          </w:tcPr>
          <w:p>
            <w:pPr>
              <w:pStyle w:val="Compact"/>
              <w:spacing w:after="40"/>
              <w:jc w:val="left"/>
            </w:pPr>
            <w:r>
              <w:rPr>
                <w:sz w:val="18"/>
              </w:rPr>
              <w:t xml:space="preserve">Off</w:t>
            </w:r>
          </w:p>
        </w:tc>
        <w:tc>
          <w:tcPr>
            <w:tcW w:w="2523" w:type="dxa"/>
          </w:tcPr>
          <w:p>
            <w:pPr>
              <w:pStyle w:val="Compact"/>
              <w:spacing w:after="40"/>
              <w:jc w:val="left"/>
            </w:pPr>
            <w:r>
              <w:rPr>
                <w:sz w:val="18"/>
              </w:rPr>
              <w:t xml:space="preserve">Fixed in v1.2</w:t>
            </w:r>
          </w:p>
        </w:tc>
      </w:tr>
      <w:tr>
        <w:tc>
          <w:tcPr>
            <w:tcW w:w="2306" w:type="dxa"/>
          </w:tcPr>
          <w:p>
            <w:pPr>
              <w:pStyle w:val="Compact"/>
              <w:spacing w:after="40"/>
              <w:jc w:val="left"/>
            </w:pPr>
            <w:r>
              <w:rPr>
                <w:sz w:val="18"/>
              </w:rPr>
              <w:t xml:space="preserve">Break-glass access to report content</w:t>
            </w:r>
          </w:p>
        </w:tc>
        <w:tc>
          <w:tcPr>
            <w:tcW w:w="2174" w:type="dxa"/>
          </w:tcPr>
          <w:p>
            <w:pPr>
              <w:pStyle w:val="Compact"/>
              <w:spacing w:after="40"/>
              <w:jc w:val="left"/>
            </w:pPr>
            <w:r>
              <w:rPr>
                <w:sz w:val="18"/>
              </w:rPr>
              <w:t xml:space="preserve">Platform</w:t>
            </w:r>
          </w:p>
        </w:tc>
        <w:tc>
          <w:tcPr>
            <w:tcW w:w="2635" w:type="dxa"/>
          </w:tcPr>
          <w:p>
            <w:pPr>
              <w:pStyle w:val="Compact"/>
              <w:spacing w:after="40"/>
              <w:jc w:val="left"/>
            </w:pPr>
            <w:r>
              <w:rPr>
                <w:sz w:val="18"/>
              </w:rPr>
              <w:t xml:space="preserve">Off; DPO approval per case</w:t>
            </w:r>
          </w:p>
        </w:tc>
        <w:tc>
          <w:tcPr>
            <w:tcW w:w="2523" w:type="dxa"/>
          </w:tcPr>
          <w:p>
            <w:pPr>
              <w:pStyle w:val="Compact"/>
              <w:spacing w:after="40"/>
              <w:jc w:val="left"/>
            </w:pPr>
            <w:r>
              <w:rPr>
                <w:sz w:val="18"/>
              </w:rPr>
              <w:t xml:space="preserve">Logged and reported in the separation audit</w:t>
            </w:r>
          </w:p>
        </w:tc>
      </w:tr>
    </w:tbl>
    <w:bookmarkEnd w:id="213"/>
    <w:bookmarkStart w:id="214" w:name="menu-and-screens-9"/>
    <w:p>
      <w:pPr>
        <w:pStyle w:val="Heading3"/>
      </w:pPr>
      <w:r>
        <w:t xml:space="preserve">Menu and screens</w:t>
      </w:r>
    </w:p>
    <w:p>
      <w:pPr>
        <w:numPr>
          <w:ilvl w:val="0"/>
          <w:numId w:val="1120"/>
        </w:numPr>
        <w:pStyle w:val="Compact"/>
      </w:pPr>
      <w:r>
        <w:rPr>
          <w:bCs/>
          <w:b/>
        </w:rPr>
        <w:t xml:space="preserve">Account › Money tools › Credit health</w:t>
      </w:r>
      <w:r>
        <w:t xml:space="preserve"> </w:t>
      </w:r>
      <w:r>
        <w:t xml:space="preserve">(A, B): enrol wizard (FW4 opt-in) → choose CIC → CIC authentication → report; report screen per CIC (score card with date and range, accounts, enquiries, DPD grid, factor descriptions), free-report links,</w:t>
      </w:r>
      <w:r>
        <w:t xml:space="preserve"> </w:t>
      </w:r>
      <w:r>
        <w:rPr>
          <w:bCs/>
          <w:b/>
        </w:rPr>
        <w:t xml:space="preserve">Dispute with [CIC]</w:t>
      </w:r>
      <w:r>
        <w:t xml:space="preserve"> </w:t>
      </w:r>
      <w:r>
        <w:t xml:space="preserve">deep link, dispute tracker, alerts settings,</w:t>
      </w:r>
      <w:r>
        <w:t xml:space="preserve"> </w:t>
      </w:r>
      <w:r>
        <w:rPr>
          <w:bCs/>
          <w:b/>
        </w:rPr>
        <w:t xml:space="preserve">Stop tracking</w:t>
      </w:r>
      <w:r>
        <w:t xml:space="preserve"> </w:t>
      </w:r>
      <w:r>
        <w:t xml:space="preserve">(one tap). Empty state for</w:t>
      </w:r>
      <w:r>
        <w:t xml:space="preserve"> </w:t>
      </w:r>
      <w:r>
        <w:rPr>
          <w:rStyle w:val="VerbatimChar"/>
        </w:rPr>
        <w:t xml:space="preserve">NO_HIT</w:t>
      </w:r>
      <w:r>
        <w:t xml:space="preserve">: neutral education and free-report links. No loan call-to-action on any credit screen (FW-C05).</w:t>
      </w:r>
    </w:p>
    <w:p>
      <w:pPr>
        <w:numPr>
          <w:ilvl w:val="0"/>
          <w:numId w:val="1120"/>
        </w:numPr>
        <w:pStyle w:val="Compact"/>
      </w:pPr>
      <w:r>
        <w:rPr>
          <w:bCs/>
          <w:b/>
        </w:rPr>
        <w:t xml:space="preserve">Operations portal › Money tools</w:t>
      </w:r>
      <w:r>
        <w:t xml:space="preserve"> </w:t>
      </w:r>
      <w:r>
        <w:t xml:space="preserve">(C): enrolment counts, pull failures, CIC cost; no report content.</w:t>
      </w:r>
    </w:p>
    <w:bookmarkEnd w:id="214"/>
    <w:bookmarkStart w:id="215" w:name="controls-9"/>
    <w:p>
      <w:pPr>
        <w:pStyle w:val="Heading3"/>
      </w:pPr>
      <w:r>
        <w:t xml:space="preserve">Controls</w:t>
      </w:r>
    </w:p>
    <w:p>
      <w:pPr>
        <w:numPr>
          <w:ilvl w:val="0"/>
          <w:numId w:val="1121"/>
        </w:numPr>
        <w:pStyle w:val="Compact"/>
      </w:pPr>
      <w:r>
        <w:t xml:space="preserve">FW-C01: the bureau adapter used by FW1 uses Udofin’s consumer-partner credentials only and cannot be called with an RE’s credentials; U6’s adapter cannot be called from FW1 (separate service accounts; CI test).</w:t>
      </w:r>
    </w:p>
    <w:p>
      <w:pPr>
        <w:numPr>
          <w:ilvl w:val="0"/>
          <w:numId w:val="1121"/>
        </w:numPr>
        <w:pStyle w:val="Compact"/>
      </w:pPr>
      <w:r>
        <w:t xml:space="preserve">FW-C02: every pull has a live consent with the display purpose and a successful CIC authentication within the consent term.</w:t>
      </w:r>
    </w:p>
    <w:p>
      <w:pPr>
        <w:numPr>
          <w:ilvl w:val="0"/>
          <w:numId w:val="1121"/>
        </w:numPr>
        <w:pStyle w:val="Compact"/>
      </w:pPr>
      <w:r>
        <w:t xml:space="preserve">FW-C03: free-report links render on every credit screen for every plan.</w:t>
      </w:r>
    </w:p>
    <w:p>
      <w:pPr>
        <w:numPr>
          <w:ilvl w:val="0"/>
          <w:numId w:val="1121"/>
        </w:numPr>
        <w:pStyle w:val="Compact"/>
      </w:pPr>
      <w:r>
        <w:t xml:space="preserve">FW-C04: no screen, message or advertisement claims</w:t>
      </w:r>
      <w:r>
        <w:t xml:space="preserve"> </w:t>
      </w:r>
      <w:r>
        <w:t xml:space="preserve">“</w:t>
      </w:r>
      <w:r>
        <w:t xml:space="preserve">credit repair</w:t>
      </w:r>
      <w:r>
        <w:t xml:space="preserve">”</w:t>
      </w:r>
      <w:r>
        <w:t xml:space="preserve">,</w:t>
      </w:r>
      <w:r>
        <w:t xml:space="preserve"> </w:t>
      </w:r>
      <w:r>
        <w:t xml:space="preserve">“</w:t>
      </w:r>
      <w:r>
        <w:t xml:space="preserve">guaranteed improvement</w:t>
      </w:r>
      <w:r>
        <w:t xml:space="preserve">”</w:t>
      </w:r>
      <w:r>
        <w:t xml:space="preserve"> </w:t>
      </w:r>
      <w:r>
        <w:t xml:space="preserve">or a</w:t>
      </w:r>
      <w:r>
        <w:t xml:space="preserve"> </w:t>
      </w:r>
      <w:r>
        <w:t xml:space="preserve">“</w:t>
      </w:r>
      <w:r>
        <w:t xml:space="preserve">Udofin score</w:t>
      </w:r>
      <w:r>
        <w:t xml:space="preserve">”</w:t>
      </w:r>
      <w:r>
        <w:t xml:space="preserve"> </w:t>
      </w:r>
      <w:r>
        <w:t xml:space="preserve">(content linter; CCPA-MA).</w:t>
      </w:r>
    </w:p>
    <w:p>
      <w:pPr>
        <w:numPr>
          <w:ilvl w:val="0"/>
          <w:numId w:val="1121"/>
        </w:numPr>
        <w:pStyle w:val="Compact"/>
      </w:pPr>
      <w:r>
        <w:t xml:space="preserve">FW-C05: no loan offer, lender name or eligibility message appears on any FW1 or FW2 screen.</w:t>
      </w:r>
    </w:p>
    <w:bookmarkEnd w:id="215"/>
    <w:bookmarkStart w:id="216" w:name="acceptance-tests-9"/>
    <w:p>
      <w:pPr>
        <w:pStyle w:val="Heading3"/>
      </w:pPr>
      <w:r>
        <w:t xml:space="preserve">Acceptance tests</w:t>
      </w:r>
    </w:p>
    <w:p>
      <w:pPr>
        <w:numPr>
          <w:ilvl w:val="0"/>
          <w:numId w:val="1122"/>
        </w:numPr>
        <w:pStyle w:val="Compact"/>
      </w:pPr>
      <w:r>
        <w:t xml:space="preserve">A pull attempted after consent withdrawal is refused and the report is purged within the retention rule.</w:t>
      </w:r>
    </w:p>
    <w:p>
      <w:pPr>
        <w:numPr>
          <w:ilvl w:val="0"/>
          <w:numId w:val="1122"/>
        </w:numPr>
        <w:pStyle w:val="Compact"/>
      </w:pPr>
      <w:r>
        <w:t xml:space="preserve">An RE credential cannot be loaded into the FW1 adapter configuration (validation error).</w:t>
      </w:r>
    </w:p>
    <w:p>
      <w:pPr>
        <w:numPr>
          <w:ilvl w:val="0"/>
          <w:numId w:val="1122"/>
        </w:numPr>
        <w:pStyle w:val="Compact"/>
      </w:pPr>
      <w:r>
        <w:t xml:space="preserve">The U7 routing service receives</w:t>
      </w:r>
      <w:r>
        <w:t xml:space="preserve"> </w:t>
      </w:r>
      <w:r>
        <w:t xml:space="preserve">“</w:t>
      </w:r>
      <w:r>
        <w:t xml:space="preserve">permission denied</w:t>
      </w:r>
      <w:r>
        <w:t xml:space="preserve">”</w:t>
      </w:r>
      <w:r>
        <w:t xml:space="preserve"> </w:t>
      </w:r>
      <w:r>
        <w:t xml:space="preserve">when querying</w:t>
      </w:r>
      <w:r>
        <w:t xml:space="preserve"> </w:t>
      </w:r>
      <w:r>
        <w:rPr>
          <w:rStyle w:val="VerbatimChar"/>
        </w:rPr>
        <w:t xml:space="preserve">consumer_credit_vault</w:t>
      </w:r>
      <w:r>
        <w:t xml:space="preserve"> </w:t>
      </w:r>
      <w:r>
        <w:t xml:space="preserve">(CI test).</w:t>
      </w:r>
    </w:p>
    <w:p>
      <w:pPr>
        <w:numPr>
          <w:ilvl w:val="0"/>
          <w:numId w:val="1122"/>
        </w:numPr>
        <w:pStyle w:val="Compact"/>
      </w:pPr>
      <w:r>
        <w:t xml:space="preserve">The free-report links for all four CICs appear on the score screen for free and paid users.</w:t>
      </w:r>
    </w:p>
    <w:p>
      <w:pPr>
        <w:numPr>
          <w:ilvl w:val="0"/>
          <w:numId w:val="1122"/>
        </w:numPr>
        <w:pStyle w:val="Compact"/>
      </w:pPr>
      <w:r>
        <w:t xml:space="preserve">A</w:t>
      </w:r>
      <w:r>
        <w:t xml:space="preserve"> </w:t>
      </w:r>
      <w:r>
        <w:rPr>
          <w:rStyle w:val="VerbatimChar"/>
        </w:rPr>
        <w:t xml:space="preserve">NO_HIT</w:t>
      </w:r>
      <w:r>
        <w:t xml:space="preserve"> </w:t>
      </w:r>
      <w:r>
        <w:t xml:space="preserve">user sees neutral education and no loan prompt.</w:t>
      </w:r>
    </w:p>
    <w:p>
      <w:pPr>
        <w:numPr>
          <w:ilvl w:val="0"/>
          <w:numId w:val="1122"/>
        </w:numPr>
        <w:pStyle w:val="Compact"/>
      </w:pPr>
      <w:r>
        <w:t xml:space="preserve">Alert payloads contain no score, amount or lender name.</w:t>
      </w:r>
    </w:p>
    <w:p>
      <w:r>
        <w:pict>
          <v:rect style="width:0;height:1.5pt" o:hralign="center" o:hrstd="t" o:hr="t"/>
        </w:pict>
      </w:r>
    </w:p>
    <w:bookmarkEnd w:id="216"/>
    <w:bookmarkEnd w:id="217"/>
    <w:bookmarkStart w:id="224" w:name="fw2.-score-simulator-educational"/>
    <w:p>
      <w:pPr>
        <w:pStyle w:val="Heading2"/>
      </w:pPr>
      <w:r>
        <w:t xml:space="preserve">FW2. Score simulator (educational)</w:t>
      </w:r>
    </w:p>
    <w:bookmarkStart w:id="218" w:name="purpose-and-scope-9"/>
    <w:p>
      <w:pPr>
        <w:pStyle w:val="Heading3"/>
      </w:pPr>
      <w:r>
        <w:t xml:space="preserve">Purpose and scope</w:t>
      </w:r>
    </w:p>
    <w:p>
      <w:pPr>
        <w:pStyle w:val="FirstParagraph"/>
      </w:pPr>
      <w:r>
        <w:t xml:space="preserve">Help users understand how common actions tend to affect credit scores, in direction and rough size, without predicting a score, guaranteeing an outcome or suggesting any lender’s decision.</w:t>
      </w:r>
    </w:p>
    <w:bookmarkEnd w:id="218"/>
    <w:bookmarkStart w:id="219" w:name="engine"/>
    <w:p>
      <w:pPr>
        <w:pStyle w:val="Heading3"/>
      </w:pPr>
      <w:r>
        <w:t xml:space="preserve">Engine</w:t>
      </w:r>
    </w:p>
    <w:p>
      <w:pPr>
        <w:numPr>
          <w:ilvl w:val="0"/>
          <w:numId w:val="1123"/>
        </w:numPr>
        <w:pStyle w:val="Compact"/>
      </w:pPr>
      <w:r>
        <w:rPr>
          <w:bCs/>
          <w:b/>
        </w:rPr>
        <w:t xml:space="preserve">Inputs:</w:t>
      </w:r>
      <w:r>
        <w:t xml:space="preserve"> </w:t>
      </w:r>
      <w:r>
        <w:t xml:space="preserve">the user’s own FW1 report (if enrolled) or a hypothetical profile the user enters; what-if actions: pay down a card balance, reduce utilisation to a chosen percentage, avoid new enquiries for N months, keep old accounts open, miss a payment, settle instead of repaying in full, add a new loan.</w:t>
      </w:r>
    </w:p>
    <w:p>
      <w:pPr>
        <w:numPr>
          <w:ilvl w:val="0"/>
          <w:numId w:val="1123"/>
        </w:numPr>
        <w:pStyle w:val="Compact"/>
      </w:pPr>
      <w:r>
        <w:rPr>
          <w:bCs/>
          <w:b/>
        </w:rPr>
        <w:t xml:space="preserve">Method:</w:t>
      </w:r>
      <w:r>
        <w:t xml:space="preserve"> </w:t>
      </w:r>
      <w:r>
        <w:t xml:space="preserve">a transparent, versioned factor table (payment history, utilisation, length of credit history, credit mix, recent enquiries, adverse statuses such as</w:t>
      </w:r>
      <w:r>
        <w:t xml:space="preserve"> </w:t>
      </w:r>
      <w:r>
        <w:t xml:space="preserve">“</w:t>
      </w:r>
      <w:r>
        <w:t xml:space="preserve">settled</w:t>
      </w:r>
      <w:r>
        <w:t xml:space="preserve">”</w:t>
      </w:r>
      <w:r>
        <w:t xml:space="preserve">) drawn from the CICs’ own published consumer education material, with direction and band rules; or a licensed CIC simulator interface with the CIC’s own disclaimers [VERIFY availability].</w:t>
      </w:r>
    </w:p>
    <w:p>
      <w:pPr>
        <w:numPr>
          <w:ilvl w:val="0"/>
          <w:numId w:val="1123"/>
        </w:numPr>
        <w:pStyle w:val="Compact"/>
      </w:pPr>
      <w:r>
        <w:rPr>
          <w:bCs/>
          <w:b/>
        </w:rPr>
        <w:t xml:space="preserve">Output:</w:t>
      </w:r>
      <w:r>
        <w:t xml:space="preserve"> </w:t>
      </w:r>
      <w:r>
        <w:t xml:space="preserve">direction (likely to improve, likely to worsen, no material change expected) and a band (small, moderate, large), plus the factor that drives it and a time note (for example</w:t>
      </w:r>
      <w:r>
        <w:t xml:space="preserve"> </w:t>
      </w:r>
      <w:r>
        <w:t xml:space="preserve">“</w:t>
      </w:r>
      <w:r>
        <w:t xml:space="preserve">late payments generally weigh less as they age</w:t>
      </w:r>
      <w:r>
        <w:t xml:space="preserve">”</w:t>
      </w:r>
      <w:r>
        <w:t xml:space="preserve">).</w:t>
      </w:r>
      <w:r>
        <w:t xml:space="preserve"> </w:t>
      </w:r>
      <w:r>
        <w:rPr>
          <w:bCs/>
          <w:b/>
        </w:rPr>
        <w:t xml:space="preserve">Never a numeric score, never a range of scores, never a probability of loan approval.</w:t>
      </w:r>
    </w:p>
    <w:p>
      <w:pPr>
        <w:numPr>
          <w:ilvl w:val="0"/>
          <w:numId w:val="1123"/>
        </w:numPr>
        <w:pStyle w:val="Compact"/>
      </w:pPr>
      <w:r>
        <w:rPr>
          <w:bCs/>
          <w:b/>
        </w:rPr>
        <w:t xml:space="preserve">Fixed label on every result:</w:t>
      </w:r>
      <w:r>
        <w:t xml:space="preserve"> </w:t>
      </w:r>
      <w:r>
        <w:t xml:space="preserve">“</w:t>
      </w:r>
      <w:r>
        <w:t xml:space="preserve">Illustrative estimate for education. Not a credit score. Actual scores are calculated only by credit information companies, using their own methods, and may move differently.</w:t>
      </w:r>
      <w:r>
        <w:t xml:space="preserve">”</w:t>
      </w:r>
    </w:p>
    <w:p>
      <w:pPr>
        <w:numPr>
          <w:ilvl w:val="0"/>
          <w:numId w:val="1123"/>
        </w:numPr>
        <w:pStyle w:val="Compact"/>
      </w:pPr>
      <w:r>
        <w:rPr>
          <w:bCs/>
          <w:b/>
        </w:rPr>
        <w:t xml:space="preserve">No AI generation</w:t>
      </w:r>
      <w:r>
        <w:t xml:space="preserve"> </w:t>
      </w:r>
      <w:r>
        <w:t xml:space="preserve">of results; the factor table is the only engine.</w:t>
      </w:r>
    </w:p>
    <w:bookmarkEnd w:id="219"/>
    <w:bookmarkStart w:id="220" w:name="governance"/>
    <w:p>
      <w:pPr>
        <w:pStyle w:val="Heading3"/>
      </w:pPr>
      <w:r>
        <w:t xml:space="preserve">Governance</w:t>
      </w:r>
    </w:p>
    <w:p>
      <w:pPr>
        <w:numPr>
          <w:ilvl w:val="0"/>
          <w:numId w:val="1124"/>
        </w:numPr>
        <w:pStyle w:val="Compact"/>
      </w:pPr>
      <w:r>
        <w:t xml:space="preserve">Factor-table versions approved by Udofin product and legal; reviewed every 6 months and when a CIC changes its published guidance [REC]; version shown on the result screen.</w:t>
      </w:r>
    </w:p>
    <w:p>
      <w:pPr>
        <w:numPr>
          <w:ilvl w:val="0"/>
          <w:numId w:val="1124"/>
        </w:numPr>
        <w:pStyle w:val="Compact"/>
      </w:pPr>
      <w:r>
        <w:t xml:space="preserve">Settled-account education states the CIR position plainly: a settlement is reported as</w:t>
      </w:r>
      <w:r>
        <w:t xml:space="preserve"> </w:t>
      </w:r>
      <w:r>
        <w:t xml:space="preserve">“</w:t>
      </w:r>
      <w:r>
        <w:t xml:space="preserve">settled</w:t>
      </w:r>
      <w:r>
        <w:t xml:space="preserve">”</w:t>
      </w:r>
      <w:r>
        <w:t xml:space="preserve"> </w:t>
      </w:r>
      <w:r>
        <w:t xml:space="preserve">(CIR para 12(4)), which generally weighs against the borrower.</w:t>
      </w:r>
    </w:p>
    <w:p>
      <w:pPr>
        <w:numPr>
          <w:ilvl w:val="0"/>
          <w:numId w:val="1124"/>
        </w:numPr>
        <w:pStyle w:val="Compact"/>
      </w:pPr>
      <w:r>
        <w:t xml:space="preserve">Saved scenarios are stored only if the user saves them; otherwise runs are ephemeral and logged without inputs.</w:t>
      </w:r>
    </w:p>
    <w:bookmarkEnd w:id="220"/>
    <w:bookmarkStart w:id="221" w:name="menu-and-screens-10"/>
    <w:p>
      <w:pPr>
        <w:pStyle w:val="Heading3"/>
      </w:pPr>
      <w:r>
        <w:t xml:space="preserve">Menu and screens</w:t>
      </w:r>
    </w:p>
    <w:p>
      <w:pPr>
        <w:numPr>
          <w:ilvl w:val="0"/>
          <w:numId w:val="1125"/>
        </w:numPr>
        <w:pStyle w:val="Compact"/>
      </w:pPr>
      <w:r>
        <w:rPr>
          <w:bCs/>
          <w:b/>
        </w:rPr>
        <w:t xml:space="preserve">Account › Money tools › Score simulator</w:t>
      </w:r>
      <w:r>
        <w:t xml:space="preserve"> </w:t>
      </w:r>
      <w:r>
        <w:t xml:space="preserve">(A, B), also reachable from Credit health: choose</w:t>
      </w:r>
      <w:r>
        <w:t xml:space="preserve"> </w:t>
      </w:r>
      <w:r>
        <w:t xml:space="preserve">“</w:t>
      </w:r>
      <w:r>
        <w:t xml:space="preserve">my report</w:t>
      </w:r>
      <w:r>
        <w:t xml:space="preserve">”</w:t>
      </w:r>
      <w:r>
        <w:t xml:space="preserve"> </w:t>
      </w:r>
      <w:r>
        <w:t xml:space="preserve">(if enrolled) or</w:t>
      </w:r>
      <w:r>
        <w:t xml:space="preserve"> </w:t>
      </w:r>
      <w:r>
        <w:t xml:space="preserve">“</w:t>
      </w:r>
      <w:r>
        <w:t xml:space="preserve">a sample profile</w:t>
      </w:r>
      <w:r>
        <w:t xml:space="preserve">”</w:t>
      </w:r>
      <w:r>
        <w:t xml:space="preserve">; pick what-if actions as cards; result card (direction, band, driver, time note, locked label, factor-table version);</w:t>
      </w:r>
      <w:r>
        <w:t xml:space="preserve"> </w:t>
      </w:r>
      <w:r>
        <w:rPr>
          <w:bCs/>
          <w:b/>
        </w:rPr>
        <w:t xml:space="preserve">Save scenario</w:t>
      </w:r>
      <w:r>
        <w:t xml:space="preserve"> </w:t>
      </w:r>
      <w:r>
        <w:t xml:space="preserve">(only on request). Works for non-enrolled users. No link from the simulator to loan offers.</w:t>
      </w:r>
    </w:p>
    <w:p>
      <w:pPr>
        <w:numPr>
          <w:ilvl w:val="0"/>
          <w:numId w:val="1125"/>
        </w:numPr>
        <w:pStyle w:val="Compact"/>
      </w:pPr>
      <w:r>
        <w:t xml:space="preserve">Settings: none user-facing beyond saving scenarios; the factor table is a governed platform setting (version, approver, review date).</w:t>
      </w:r>
    </w:p>
    <w:bookmarkEnd w:id="221"/>
    <w:bookmarkStart w:id="222" w:name="controls-10"/>
    <w:p>
      <w:pPr>
        <w:pStyle w:val="Heading3"/>
      </w:pPr>
      <w:r>
        <w:t xml:space="preserve">Controls</w:t>
      </w:r>
    </w:p>
    <w:p>
      <w:pPr>
        <w:numPr>
          <w:ilvl w:val="0"/>
          <w:numId w:val="1126"/>
        </w:numPr>
        <w:pStyle w:val="Compact"/>
      </w:pPr>
      <w:r>
        <w:t xml:space="preserve">FW-C06: the result component cannot render a numeric score (unit and snapshot tests).</w:t>
      </w:r>
    </w:p>
    <w:p>
      <w:pPr>
        <w:numPr>
          <w:ilvl w:val="0"/>
          <w:numId w:val="1126"/>
        </w:numPr>
        <w:pStyle w:val="Compact"/>
      </w:pPr>
      <w:r>
        <w:t xml:space="preserve">FW-C07: the label text is a locked string; changes need legal approval.</w:t>
      </w:r>
    </w:p>
    <w:p>
      <w:pPr>
        <w:numPr>
          <w:ilvl w:val="0"/>
          <w:numId w:val="1126"/>
        </w:numPr>
        <w:pStyle w:val="Compact"/>
      </w:pPr>
      <w:r>
        <w:t xml:space="preserve">FW-C08: the simulator has no access to U6 bureau data, RE decisions or offers.</w:t>
      </w:r>
    </w:p>
    <w:bookmarkEnd w:id="222"/>
    <w:bookmarkStart w:id="223" w:name="acceptance-tests-10"/>
    <w:p>
      <w:pPr>
        <w:pStyle w:val="Heading3"/>
      </w:pPr>
      <w:r>
        <w:t xml:space="preserve">Acceptance tests</w:t>
      </w:r>
    </w:p>
    <w:p>
      <w:pPr>
        <w:numPr>
          <w:ilvl w:val="0"/>
          <w:numId w:val="1127"/>
        </w:numPr>
        <w:pStyle w:val="Compact"/>
      </w:pPr>
      <w:r>
        <w:t xml:space="preserve">Every result shows direction, band, driver and the fixed label, and no number.</w:t>
      </w:r>
    </w:p>
    <w:p>
      <w:pPr>
        <w:numPr>
          <w:ilvl w:val="0"/>
          <w:numId w:val="1127"/>
        </w:numPr>
        <w:pStyle w:val="Compact"/>
      </w:pPr>
      <w:r>
        <w:t xml:space="preserve">“</w:t>
      </w:r>
      <w:r>
        <w:t xml:space="preserve">Miss a payment</w:t>
      </w:r>
      <w:r>
        <w:t xml:space="preserve">”</w:t>
      </w:r>
      <w:r>
        <w:t xml:space="preserve"> </w:t>
      </w:r>
      <w:r>
        <w:t xml:space="preserve">never shows</w:t>
      </w:r>
      <w:r>
        <w:t xml:space="preserve"> </w:t>
      </w:r>
      <w:r>
        <w:t xml:space="preserve">“</w:t>
      </w:r>
      <w:r>
        <w:t xml:space="preserve">no material change</w:t>
      </w:r>
      <w:r>
        <w:t xml:space="preserve">”</w:t>
      </w:r>
      <w:r>
        <w:t xml:space="preserve">.</w:t>
      </w:r>
    </w:p>
    <w:p>
      <w:pPr>
        <w:numPr>
          <w:ilvl w:val="0"/>
          <w:numId w:val="1127"/>
        </w:numPr>
        <w:pStyle w:val="Compact"/>
      </w:pPr>
      <w:r>
        <w:t xml:space="preserve">A user with no FW1 report can run the simulator on a hypothetical profile.</w:t>
      </w:r>
    </w:p>
    <w:p>
      <w:pPr>
        <w:numPr>
          <w:ilvl w:val="0"/>
          <w:numId w:val="1127"/>
        </w:numPr>
        <w:pStyle w:val="Compact"/>
      </w:pPr>
      <w:r>
        <w:t xml:space="preserve">No result screen contains a lender name, an offer or the words</w:t>
      </w:r>
      <w:r>
        <w:t xml:space="preserve"> </w:t>
      </w:r>
      <w:r>
        <w:t xml:space="preserve">“</w:t>
      </w:r>
      <w:r>
        <w:t xml:space="preserve">approved</w:t>
      </w:r>
      <w:r>
        <w:t xml:space="preserve">”</w:t>
      </w:r>
      <w:r>
        <w:t xml:space="preserve"> </w:t>
      </w:r>
      <w:r>
        <w:t xml:space="preserve">or</w:t>
      </w:r>
      <w:r>
        <w:t xml:space="preserve"> </w:t>
      </w:r>
      <w:r>
        <w:t xml:space="preserve">“</w:t>
      </w:r>
      <w:r>
        <w:t xml:space="preserve">eligible</w:t>
      </w:r>
      <w:r>
        <w:t xml:space="preserve">”</w:t>
      </w:r>
      <w:r>
        <w:t xml:space="preserve">.</w:t>
      </w:r>
    </w:p>
    <w:p>
      <w:pPr>
        <w:numPr>
          <w:ilvl w:val="0"/>
          <w:numId w:val="1127"/>
        </w:numPr>
        <w:pStyle w:val="Compact"/>
      </w:pPr>
      <w:r>
        <w:t xml:space="preserve">Changing the factor table creates a new version shown on results; old saved scenarios keep their version.</w:t>
      </w:r>
    </w:p>
    <w:p>
      <w:r>
        <w:pict>
          <v:rect style="width:0;height:1.5pt" o:hralign="center" o:hrstd="t" o:hr="t"/>
        </w:pict>
      </w:r>
    </w:p>
    <w:bookmarkEnd w:id="223"/>
    <w:bookmarkEnd w:id="224"/>
    <w:bookmarkStart w:id="235" w:name="fw3.-expense-tracker-and-budget-planner"/>
    <w:p>
      <w:pPr>
        <w:pStyle w:val="Heading2"/>
      </w:pPr>
      <w:r>
        <w:t xml:space="preserve">FW3. Expense tracker and budget planner</w:t>
      </w:r>
    </w:p>
    <w:bookmarkStart w:id="225" w:name="purpose-and-scope-10"/>
    <w:p>
      <w:pPr>
        <w:pStyle w:val="Heading3"/>
      </w:pPr>
      <w:r>
        <w:t xml:space="preserve">Purpose and scope</w:t>
      </w:r>
    </w:p>
    <w:p>
      <w:pPr>
        <w:pStyle w:val="FirstParagraph"/>
      </w:pPr>
      <w:r>
        <w:t xml:space="preserve">Let users record and understand their own spending and set budgets, using only data they type, upload or choose to link from their own Udofin loan records, without device scraping, bank credentials or Account Aggregator access in Udofin’s name, and without investment or credit advice.</w:t>
      </w:r>
    </w:p>
    <w:bookmarkEnd w:id="225"/>
    <w:bookmarkStart w:id="226" w:name="data-sources"/>
    <w:p>
      <w:pPr>
        <w:pStyle w:val="Heading3"/>
      </w:pPr>
      <w:r>
        <w:t xml:space="preserve">Data sources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52"/>
        <w:gridCol w:w="1299"/>
        <w:gridCol w:w="5087"/>
      </w:tblGrid>
      <w:tr>
        <w:trPr>
          <w:tblHeader w:val="true"/>
          <w:tblHeader w:val="true"/>
        </w:trPr>
        <w:tc>
          <w:tcPr>
            <w:tcW w:w="3252" w:type="dxa"/>
            <w:shd w:val="clear" w:color="auto" w:fill="1F3A5F"/>
          </w:tcPr>
          <w:p>
            <w:pPr>
              <w:pStyle w:val="Compact"/>
              <w:spacing w:after="40"/>
              <w:jc w:val="left"/>
            </w:pPr>
            <w:r>
              <w:rPr>
                <w:b/>
                <w:color w:val="FFFFFF"/>
                <w:sz w:val="18"/>
              </w:rPr>
              <w:t xml:space="preserve">Source</w:t>
            </w:r>
          </w:p>
        </w:tc>
        <w:tc>
          <w:tcPr>
            <w:tcW w:w="1299" w:type="dxa"/>
            <w:shd w:val="clear" w:color="auto" w:fill="1F3A5F"/>
          </w:tcPr>
          <w:p>
            <w:pPr>
              <w:pStyle w:val="Compact"/>
              <w:spacing w:after="40"/>
              <w:jc w:val="left"/>
            </w:pPr>
            <w:r>
              <w:rPr>
                <w:b/>
                <w:color w:val="FFFFFF"/>
                <w:sz w:val="18"/>
              </w:rPr>
              <w:t xml:space="preserve">Status</w:t>
            </w:r>
          </w:p>
        </w:tc>
        <w:tc>
          <w:tcPr>
            <w:tcW w:w="5087" w:type="dxa"/>
            <w:shd w:val="clear" w:color="auto" w:fill="1F3A5F"/>
          </w:tcPr>
          <w:p>
            <w:pPr>
              <w:pStyle w:val="Compact"/>
              <w:spacing w:after="40"/>
              <w:jc w:val="left"/>
            </w:pPr>
            <w:r>
              <w:rPr>
                <w:b/>
                <w:color w:val="FFFFFF"/>
                <w:sz w:val="18"/>
              </w:rPr>
              <w:t xml:space="preserve">Conditions</w:t>
            </w:r>
          </w:p>
        </w:tc>
      </w:tr>
      <w:tr>
        <w:tc>
          <w:tcPr>
            <w:tcW w:w="3252" w:type="dxa"/>
          </w:tcPr>
          <w:p>
            <w:pPr>
              <w:pStyle w:val="Compact"/>
              <w:spacing w:after="40"/>
              <w:jc w:val="left"/>
            </w:pPr>
            <w:r>
              <w:rPr>
                <w:sz w:val="18"/>
              </w:rPr>
              <w:t xml:space="preserve">Manual entry</w:t>
            </w:r>
          </w:p>
        </w:tc>
        <w:tc>
          <w:tcPr>
            <w:tcW w:w="1299" w:type="dxa"/>
          </w:tcPr>
          <w:p>
            <w:pPr>
              <w:pStyle w:val="Compact"/>
              <w:spacing w:after="40"/>
              <w:jc w:val="left"/>
            </w:pPr>
            <w:r>
              <w:rPr>
                <w:sz w:val="18"/>
              </w:rPr>
              <w:t xml:space="preserve">Allowed</w:t>
            </w:r>
          </w:p>
        </w:tc>
        <w:tc>
          <w:tcPr>
            <w:tcW w:w="5087" w:type="dxa"/>
          </w:tcPr>
          <w:p>
            <w:pPr>
              <w:pStyle w:val="Compact"/>
              <w:spacing w:after="40"/>
              <w:jc w:val="left"/>
            </w:pPr>
            <w:r>
              <w:rPr>
                <w:sz w:val="18"/>
              </w:rPr>
              <w:t xml:space="preserve">Amount, date, category, note, payment mode</w:t>
            </w:r>
          </w:p>
        </w:tc>
      </w:tr>
      <w:tr>
        <w:tc>
          <w:tcPr>
            <w:tcW w:w="3252" w:type="dxa"/>
          </w:tcPr>
          <w:p>
            <w:pPr>
              <w:pStyle w:val="Compact"/>
              <w:spacing w:after="40"/>
              <w:jc w:val="left"/>
            </w:pPr>
            <w:r>
              <w:rPr>
                <w:sz w:val="18"/>
              </w:rPr>
              <w:t xml:space="preserve">Statement upload (PDF, CSV, XLS, XLSX)</w:t>
            </w:r>
          </w:p>
        </w:tc>
        <w:tc>
          <w:tcPr>
            <w:tcW w:w="1299" w:type="dxa"/>
          </w:tcPr>
          <w:p>
            <w:pPr>
              <w:pStyle w:val="Compact"/>
              <w:spacing w:after="40"/>
              <w:jc w:val="left"/>
            </w:pPr>
            <w:r>
              <w:rPr>
                <w:sz w:val="18"/>
              </w:rPr>
              <w:t xml:space="preserve">Allowed</w:t>
            </w:r>
          </w:p>
        </w:tc>
        <w:tc>
          <w:tcPr>
            <w:tcW w:w="5087" w:type="dxa"/>
          </w:tcPr>
          <w:p>
            <w:pPr>
              <w:pStyle w:val="Compact"/>
              <w:spacing w:after="40"/>
              <w:jc w:val="left"/>
            </w:pPr>
            <w:r>
              <w:rPr>
                <w:sz w:val="18"/>
              </w:rPr>
              <w:t xml:space="preserve">Chosen through the Android Storage Access Framework or photo picker and the iOS document picker, which need no storage permission (Part 4.5; CF para 13(1)); password for a protected PDF used in memory only, never stored or logged; parsed in India; raw file deleted after parsing (default immediately; the user may choose to keep it up to 30 days [REC])</w:t>
            </w:r>
          </w:p>
        </w:tc>
      </w:tr>
      <w:tr>
        <w:tc>
          <w:tcPr>
            <w:tcW w:w="3252" w:type="dxa"/>
          </w:tcPr>
          <w:p>
            <w:pPr>
              <w:pStyle w:val="Compact"/>
              <w:spacing w:after="40"/>
              <w:jc w:val="left"/>
            </w:pPr>
            <w:r>
              <w:rPr>
                <w:sz w:val="18"/>
              </w:rPr>
              <w:t xml:space="preserve">CSV import (Udofin template or bank export)</w:t>
            </w:r>
          </w:p>
        </w:tc>
        <w:tc>
          <w:tcPr>
            <w:tcW w:w="1299" w:type="dxa"/>
          </w:tcPr>
          <w:p>
            <w:pPr>
              <w:pStyle w:val="Compact"/>
              <w:spacing w:after="40"/>
              <w:jc w:val="left"/>
            </w:pPr>
            <w:r>
              <w:rPr>
                <w:sz w:val="18"/>
              </w:rPr>
              <w:t xml:space="preserve">Allowed</w:t>
            </w:r>
          </w:p>
        </w:tc>
        <w:tc>
          <w:tcPr>
            <w:tcW w:w="5087" w:type="dxa"/>
          </w:tcPr>
          <w:p>
            <w:pPr>
              <w:pStyle w:val="Compact"/>
              <w:spacing w:after="40"/>
              <w:jc w:val="left"/>
            </w:pPr>
            <w:r>
              <w:rPr>
                <w:sz w:val="18"/>
              </w:rPr>
              <w:t xml:space="preserve">Column mapping screen; preview before import</w:t>
            </w:r>
          </w:p>
        </w:tc>
      </w:tr>
      <w:tr>
        <w:tc>
          <w:tcPr>
            <w:tcW w:w="3252" w:type="dxa"/>
          </w:tcPr>
          <w:p>
            <w:pPr>
              <w:pStyle w:val="Compact"/>
              <w:spacing w:after="40"/>
              <w:jc w:val="left"/>
            </w:pPr>
            <w:r>
              <w:rPr>
                <w:sz w:val="18"/>
              </w:rPr>
              <w:t xml:space="preserve">The user’s own Udofin loan EMIs</w:t>
            </w:r>
          </w:p>
        </w:tc>
        <w:tc>
          <w:tcPr>
            <w:tcW w:w="1299" w:type="dxa"/>
          </w:tcPr>
          <w:p>
            <w:pPr>
              <w:pStyle w:val="Compact"/>
              <w:spacing w:after="40"/>
              <w:jc w:val="left"/>
            </w:pPr>
            <w:r>
              <w:rPr>
                <w:sz w:val="18"/>
              </w:rPr>
              <w:t xml:space="preserve">Allowed behind a toggle</w:t>
            </w:r>
          </w:p>
        </w:tc>
        <w:tc>
          <w:tcPr>
            <w:tcW w:w="5087" w:type="dxa"/>
          </w:tcPr>
          <w:p>
            <w:pPr>
              <w:pStyle w:val="Compact"/>
              <w:spacing w:after="40"/>
              <w:jc w:val="left"/>
            </w:pPr>
            <w:r>
              <w:rPr>
                <w:sz w:val="18"/>
              </w:rPr>
              <w:t xml:space="preserve">Read-only projection of EMI amount and due date from U25 into the wellness store; never the reverse direction [INTERP: showing the borrower their own loan data]</w:t>
            </w:r>
          </w:p>
        </w:tc>
      </w:tr>
      <w:tr>
        <w:tc>
          <w:tcPr>
            <w:tcW w:w="3252" w:type="dxa"/>
          </w:tcPr>
          <w:p>
            <w:pPr>
              <w:pStyle w:val="Compact"/>
              <w:spacing w:after="40"/>
              <w:jc w:val="left"/>
            </w:pPr>
            <w:r>
              <w:rPr>
                <w:sz w:val="18"/>
              </w:rPr>
              <w:t xml:space="preserve">SMS inbox reading, notification listener, accessibility-service scraping</w:t>
            </w:r>
          </w:p>
        </w:tc>
        <w:tc>
          <w:tcPr>
            <w:tcW w:w="1299" w:type="dxa"/>
          </w:tcPr>
          <w:p>
            <w:pPr>
              <w:pStyle w:val="Compact"/>
              <w:spacing w:after="40"/>
              <w:jc w:val="left"/>
            </w:pPr>
            <w:r>
              <w:rPr>
                <w:bCs/>
                <w:b/>
                <w:sz w:val="18"/>
              </w:rPr>
              <w:t xml:space="preserve">Blocked</w:t>
            </w:r>
          </w:p>
        </w:tc>
        <w:tc>
          <w:tcPr>
            <w:tcW w:w="5087" w:type="dxa"/>
          </w:tcPr>
          <w:p>
            <w:pPr>
              <w:pStyle w:val="Compact"/>
              <w:spacing w:after="40"/>
              <w:jc w:val="left"/>
            </w:pPr>
            <w:r>
              <w:rPr>
                <w:sz w:val="18"/>
              </w:rPr>
              <w:t xml:space="preserve">CF para 13(1)</w:t>
            </w:r>
            <w:r>
              <w:rPr>
                <w:sz w:val="18"/>
              </w:rPr>
              <w:t xml:space="preserve"> </w:t>
            </w:r>
            <w:r>
              <w:rPr>
                <w:sz w:val="18"/>
              </w:rPr>
              <w:t xml:space="preserve">“</w:t>
            </w:r>
            <w:r>
              <w:rPr>
                <w:sz w:val="18"/>
              </w:rPr>
              <w:t xml:space="preserve">telephony functions</w:t>
            </w:r>
            <w:r>
              <w:rPr>
                <w:sz w:val="18"/>
              </w:rPr>
              <w:t xml:space="preserve">”</w:t>
            </w:r>
            <w:r>
              <w:rPr>
                <w:sz w:val="18"/>
              </w:rPr>
              <w:t xml:space="preserve">; Google Play permissions policy; Part 4.5</w:t>
            </w:r>
          </w:p>
        </w:tc>
      </w:tr>
      <w:tr>
        <w:tc>
          <w:tcPr>
            <w:tcW w:w="3252" w:type="dxa"/>
          </w:tcPr>
          <w:p>
            <w:pPr>
              <w:pStyle w:val="Compact"/>
              <w:spacing w:after="40"/>
              <w:jc w:val="left"/>
            </w:pPr>
            <w:r>
              <w:rPr>
                <w:sz w:val="18"/>
              </w:rPr>
              <w:t xml:space="preserve">Contacts, call logs, media library</w:t>
            </w:r>
          </w:p>
        </w:tc>
        <w:tc>
          <w:tcPr>
            <w:tcW w:w="1299" w:type="dxa"/>
          </w:tcPr>
          <w:p>
            <w:pPr>
              <w:pStyle w:val="Compact"/>
              <w:spacing w:after="40"/>
              <w:jc w:val="left"/>
            </w:pPr>
            <w:r>
              <w:rPr>
                <w:bCs/>
                <w:b/>
                <w:sz w:val="18"/>
              </w:rPr>
              <w:t xml:space="preserve">Blocked</w:t>
            </w:r>
          </w:p>
        </w:tc>
        <w:tc>
          <w:tcPr>
            <w:tcW w:w="5087" w:type="dxa"/>
          </w:tcPr>
          <w:p>
            <w:pPr>
              <w:pStyle w:val="Compact"/>
              <w:spacing w:after="40"/>
              <w:jc w:val="left"/>
            </w:pPr>
            <w:r>
              <w:rPr>
                <w:sz w:val="18"/>
              </w:rPr>
              <w:t xml:space="preserve">CF para 13(1)</w:t>
            </w:r>
          </w:p>
        </w:tc>
      </w:tr>
      <w:tr>
        <w:tc>
          <w:tcPr>
            <w:tcW w:w="3252" w:type="dxa"/>
          </w:tcPr>
          <w:p>
            <w:pPr>
              <w:pStyle w:val="Compact"/>
              <w:spacing w:after="40"/>
              <w:jc w:val="left"/>
            </w:pPr>
            <w:r>
              <w:rPr>
                <w:sz w:val="18"/>
              </w:rPr>
              <w:t xml:space="preserve">Net-banking or card credentials, screen scraping, email-inbox scraping</w:t>
            </w:r>
          </w:p>
        </w:tc>
        <w:tc>
          <w:tcPr>
            <w:tcW w:w="1299" w:type="dxa"/>
          </w:tcPr>
          <w:p>
            <w:pPr>
              <w:pStyle w:val="Compact"/>
              <w:spacing w:after="40"/>
              <w:jc w:val="left"/>
            </w:pPr>
            <w:r>
              <w:rPr>
                <w:bCs/>
                <w:b/>
                <w:sz w:val="18"/>
              </w:rPr>
              <w:t xml:space="preserve">Blocked</w:t>
            </w:r>
          </w:p>
        </w:tc>
        <w:tc>
          <w:tcPr>
            <w:tcW w:w="5087" w:type="dxa"/>
          </w:tcPr>
          <w:p>
            <w:pPr>
              <w:pStyle w:val="Compact"/>
              <w:spacing w:after="40"/>
              <w:jc w:val="left"/>
            </w:pPr>
            <w:r>
              <w:rPr>
                <w:sz w:val="18"/>
              </w:rPr>
              <w:t xml:space="preserve">Security and DPDP minimisation [REC]</w:t>
            </w:r>
          </w:p>
        </w:tc>
      </w:tr>
      <w:tr>
        <w:tc>
          <w:tcPr>
            <w:tcW w:w="3252" w:type="dxa"/>
          </w:tcPr>
          <w:p>
            <w:pPr>
              <w:pStyle w:val="Compact"/>
              <w:spacing w:after="40"/>
              <w:jc w:val="left"/>
            </w:pPr>
            <w:r>
              <w:rPr>
                <w:sz w:val="18"/>
              </w:rPr>
              <w:t xml:space="preserve">UPI app transaction history</w:t>
            </w:r>
          </w:p>
        </w:tc>
        <w:tc>
          <w:tcPr>
            <w:tcW w:w="1299" w:type="dxa"/>
          </w:tcPr>
          <w:p>
            <w:pPr>
              <w:pStyle w:val="Compact"/>
              <w:spacing w:after="40"/>
              <w:jc w:val="left"/>
            </w:pPr>
            <w:r>
              <w:rPr>
                <w:bCs/>
                <w:b/>
                <w:sz w:val="18"/>
              </w:rPr>
              <w:t xml:space="preserve">Blocked</w:t>
            </w:r>
          </w:p>
        </w:tc>
        <w:tc>
          <w:tcPr>
            <w:tcW w:w="5087" w:type="dxa"/>
          </w:tcPr>
          <w:p>
            <w:pPr>
              <w:pStyle w:val="Compact"/>
              <w:spacing w:after="40"/>
              <w:jc w:val="left"/>
            </w:pPr>
            <w:r>
              <w:rPr>
                <w:sz w:val="18"/>
              </w:rPr>
              <w:t xml:space="preserve">Udofin is not a TPAP [REC]</w:t>
            </w:r>
          </w:p>
        </w:tc>
      </w:tr>
      <w:tr>
        <w:tc>
          <w:tcPr>
            <w:tcW w:w="3252" w:type="dxa"/>
          </w:tcPr>
          <w:p>
            <w:pPr>
              <w:pStyle w:val="Compact"/>
              <w:spacing w:after="40"/>
              <w:jc w:val="left"/>
            </w:pPr>
            <w:r>
              <w:rPr>
                <w:sz w:val="18"/>
              </w:rPr>
              <w:t xml:space="preserve">Account Aggregator with Udofin as FIU</w:t>
            </w:r>
          </w:p>
        </w:tc>
        <w:tc>
          <w:tcPr>
            <w:tcW w:w="1299" w:type="dxa"/>
          </w:tcPr>
          <w:p>
            <w:pPr>
              <w:pStyle w:val="Compact"/>
              <w:spacing w:after="40"/>
              <w:jc w:val="left"/>
            </w:pPr>
            <w:r>
              <w:rPr>
                <w:bCs/>
                <w:b/>
                <w:sz w:val="18"/>
              </w:rPr>
              <w:t xml:space="preserve">Blocked</w:t>
            </w:r>
          </w:p>
        </w:tc>
        <w:tc>
          <w:tcPr>
            <w:tcW w:w="5087" w:type="dxa"/>
          </w:tcPr>
          <w:p>
            <w:pPr>
              <w:pStyle w:val="Compact"/>
              <w:spacing w:after="40"/>
              <w:jc w:val="left"/>
            </w:pPr>
            <w:r>
              <w:rPr>
                <w:sz w:val="18"/>
              </w:rPr>
              <w:t xml:space="preserve">An FIU must be regulated by a financial-sector regulator (AA para 8(12)); data use only as the consent artefact allows (AA para 28)</w:t>
            </w:r>
          </w:p>
        </w:tc>
      </w:tr>
      <w:tr>
        <w:tc>
          <w:tcPr>
            <w:tcW w:w="3252" w:type="dxa"/>
          </w:tcPr>
          <w:p>
            <w:pPr>
              <w:pStyle w:val="Compact"/>
              <w:spacing w:after="40"/>
              <w:jc w:val="left"/>
            </w:pPr>
            <w:r>
              <w:rPr>
                <w:sz w:val="18"/>
              </w:rPr>
              <w:t xml:space="preserve">Account Aggregator through an RE or a regulated partner FIU running its own personal-finance service, with Udofin as technology service provider</w:t>
            </w:r>
          </w:p>
        </w:tc>
        <w:tc>
          <w:tcPr>
            <w:tcW w:w="1299" w:type="dxa"/>
          </w:tcPr>
          <w:p>
            <w:pPr>
              <w:pStyle w:val="Compact"/>
              <w:spacing w:after="40"/>
              <w:jc w:val="left"/>
            </w:pPr>
            <w:r>
              <w:rPr>
                <w:bCs/>
                <w:b/>
                <w:sz w:val="18"/>
              </w:rPr>
              <w:t xml:space="preserve">Not in v1.2; gated</w:t>
            </w:r>
          </w:p>
        </w:tc>
        <w:tc>
          <w:tcPr>
            <w:tcW w:w="5087" w:type="dxa"/>
          </w:tcPr>
          <w:p>
            <w:pPr>
              <w:pStyle w:val="Compact"/>
              <w:spacing w:after="40"/>
              <w:jc w:val="left"/>
            </w:pPr>
            <w:r>
              <w:rPr>
                <w:sz w:val="18"/>
              </w:rPr>
              <w:t xml:space="preserve">Needs a regulated FIU partner, a consent artefact naming that FIU and purpose, and a legal opinion; RE lending data is never reused for it [VERIFY: ReBIT purpose codes and RBI’s view]</w:t>
            </w:r>
          </w:p>
        </w:tc>
      </w:tr>
    </w:tbl>
    <w:bookmarkEnd w:id="226"/>
    <w:bookmarkStart w:id="227" w:name="pipeline"/>
    <w:p>
      <w:pPr>
        <w:pStyle w:val="Heading3"/>
      </w:pPr>
      <w:r>
        <w:t xml:space="preserve">Pipeline</w:t>
      </w:r>
    </w:p>
    <w:p>
      <w:pPr>
        <w:pStyle w:val="FirstParagraph"/>
      </w:pPr>
      <w:r>
        <w:rPr>
          <w:rStyle w:val="VerbatimChar"/>
        </w:rPr>
        <w:t xml:space="preserve">upload → malware scan → parse (bank template, then generic parser) → normalise (date, amount, debit or credit, narration) → categorise (rules, then model suggestion, always user-editable) → de-duplicate (hash of date, amount and normalised narration within the account) → budgets and alerts</w:t>
      </w:r>
      <w:r>
        <w:t xml:space="preserve">. Parse failures show what failed and offer CSV mapping; nothing is silently dropped.</w:t>
      </w:r>
    </w:p>
    <w:bookmarkEnd w:id="227"/>
    <w:bookmarkStart w:id="228" w:name="categories-budgets-and-alerts"/>
    <w:p>
      <w:pPr>
        <w:pStyle w:val="Heading3"/>
      </w:pPr>
      <w:r>
        <w:t xml:space="preserve">Categories, budgets and alerts</w:t>
      </w:r>
    </w:p>
    <w:p>
      <w:pPr>
        <w:numPr>
          <w:ilvl w:val="0"/>
          <w:numId w:val="1128"/>
        </w:numPr>
        <w:pStyle w:val="Compact"/>
      </w:pPr>
      <w:r>
        <w:rPr>
          <w:bCs/>
          <w:b/>
        </w:rPr>
        <w:t xml:space="preserve">Default categories:</w:t>
      </w:r>
      <w:r>
        <w:t xml:space="preserve"> </w:t>
      </w:r>
      <w:r>
        <w:t xml:space="preserve">income; housing and rent; utilities; groceries; transport and fuel; health; education; EMIs and loan repayments; insurance premiums; savings and investments (shown as transfers only); shopping; dining and entertainment; transfers between own accounts; cash withdrawals; fees and charges; other. Users may rename, merge, add, split transactions and create their own rules.</w:t>
      </w:r>
    </w:p>
    <w:p>
      <w:pPr>
        <w:numPr>
          <w:ilvl w:val="0"/>
          <w:numId w:val="1128"/>
        </w:numPr>
        <w:pStyle w:val="Compact"/>
      </w:pPr>
      <w:r>
        <w:rPr>
          <w:bCs/>
          <w:b/>
        </w:rPr>
        <w:t xml:space="preserve">Budgets:</w:t>
      </w:r>
      <w:r>
        <w:t xml:space="preserve"> </w:t>
      </w:r>
      <w:r>
        <w:t xml:space="preserve">monthly envelopes per category; optional roll-over; simple savings targets (a goal amount and date, with no product suggestion).</w:t>
      </w:r>
    </w:p>
    <w:p>
      <w:pPr>
        <w:numPr>
          <w:ilvl w:val="0"/>
          <w:numId w:val="1128"/>
        </w:numPr>
        <w:pStyle w:val="Compact"/>
      </w:pPr>
      <w:r>
        <w:rPr>
          <w:bCs/>
          <w:b/>
        </w:rPr>
        <w:t xml:space="preserve">Alerts:</w:t>
      </w:r>
      <w:r>
        <w:t xml:space="preserve"> </w:t>
      </w:r>
      <w:r>
        <w:t xml:space="preserve">at 80% and 100% of a budget [REC], large-transaction and recurring-charge detection; push carries no amounts unless the user turns that on.</w:t>
      </w:r>
    </w:p>
    <w:p>
      <w:pPr>
        <w:numPr>
          <w:ilvl w:val="0"/>
          <w:numId w:val="1128"/>
        </w:numPr>
        <w:pStyle w:val="Compact"/>
      </w:pPr>
      <w:r>
        <w:rPr>
          <w:bCs/>
          <w:b/>
        </w:rPr>
        <w:t xml:space="preserve">Insights:</w:t>
      </w:r>
      <w:r>
        <w:t xml:space="preserve"> </w:t>
      </w:r>
      <w:r>
        <w:t xml:space="preserve">descriptive only: month-on-month changes, top categories, recurring payments found. Obligations-to-income is shown as</w:t>
      </w:r>
      <w:r>
        <w:t xml:space="preserve"> </w:t>
      </w:r>
      <w:r>
        <w:t xml:space="preserve">“</w:t>
      </w:r>
      <w:r>
        <w:t xml:space="preserve">Your recorded EMIs are ₹X, which is Y% of the income you recorded. Lenders decide eligibility using their own assessment.</w:t>
      </w:r>
      <w:r>
        <w:t xml:space="preserve">”</w:t>
      </w:r>
      <w:r>
        <w:t xml:space="preserve"> </w:t>
      </w:r>
      <w:r>
        <w:rPr>
          <w:bCs/>
          <w:b/>
        </w:rPr>
        <w:t xml:space="preserve">Never</w:t>
      </w:r>
      <w:r>
        <w:t xml:space="preserve"> </w:t>
      </w:r>
      <w:r>
        <w:t xml:space="preserve">“</w:t>
      </w:r>
      <w:r>
        <w:t xml:space="preserve">you can afford a loan of ₹X</w:t>
      </w:r>
      <w:r>
        <w:t xml:space="preserve">”</w:t>
      </w:r>
      <w:r>
        <w:t xml:space="preserve">, never a loan, card or product suggestion, never a lender name.</w:t>
      </w:r>
    </w:p>
    <w:bookmarkEnd w:id="228"/>
    <w:bookmarkStart w:id="229" w:name="no-investment-insurance-or-credit-advice"/>
    <w:p>
      <w:pPr>
        <w:pStyle w:val="Heading3"/>
      </w:pPr>
      <w:r>
        <w:t xml:space="preserve">No investment, insurance or credit advice</w:t>
      </w:r>
    </w:p>
    <w:p>
      <w:pPr>
        <w:numPr>
          <w:ilvl w:val="0"/>
          <w:numId w:val="1129"/>
        </w:numPr>
        <w:pStyle w:val="Compact"/>
      </w:pPr>
      <w:r>
        <w:t xml:space="preserve">No recommendation of securities, mutual funds, insurance or any financial product, and no return or performance claims (SEBI-IA; SEBI PR 12/2024; IRDAI rules on solicitation through unregistered persons [VERIFY]).</w:t>
      </w:r>
    </w:p>
    <w:p>
      <w:pPr>
        <w:numPr>
          <w:ilvl w:val="0"/>
          <w:numId w:val="1129"/>
        </w:numPr>
        <w:pStyle w:val="Compact"/>
      </w:pPr>
      <w:r>
        <w:t xml:space="preserve">Educational articles are generic, labelled</w:t>
      </w:r>
      <w:r>
        <w:t xml:space="preserve"> </w:t>
      </w:r>
      <w:r>
        <w:t xml:space="preserve">“</w:t>
      </w:r>
      <w:r>
        <w:t xml:space="preserve">general information, not advice</w:t>
      </w:r>
      <w:r>
        <w:t xml:space="preserve">”</w:t>
      </w:r>
      <w:r>
        <w:t xml:space="preserve">, and approved through the UB4 content model.</w:t>
      </w:r>
    </w:p>
    <w:p>
      <w:pPr>
        <w:numPr>
          <w:ilvl w:val="0"/>
          <w:numId w:val="1129"/>
        </w:numPr>
        <w:pStyle w:val="Compact"/>
      </w:pPr>
      <w:r>
        <w:t xml:space="preserve">Spending data never triggers a loan offer, a marketing message for credit, or a nudge into a loan journey (FW4).</w:t>
      </w:r>
    </w:p>
    <w:bookmarkEnd w:id="229"/>
    <w:bookmarkStart w:id="230" w:name="retention-and-export"/>
    <w:p>
      <w:pPr>
        <w:pStyle w:val="Heading3"/>
      </w:pPr>
      <w:r>
        <w:t xml:space="preserve">Retention and export</w:t>
      </w:r>
    </w:p>
    <w:p>
      <w:pPr>
        <w:numPr>
          <w:ilvl w:val="0"/>
          <w:numId w:val="1130"/>
        </w:numPr>
        <w:pStyle w:val="Compact"/>
      </w:pPr>
      <w:r>
        <w:t xml:space="preserve">Transactions are kept until the user deletes them, or deleted 12 months after the last activity with a notice at least 30 days before [REC; DPDP s.8(7)].</w:t>
      </w:r>
    </w:p>
    <w:p>
      <w:pPr>
        <w:numPr>
          <w:ilvl w:val="0"/>
          <w:numId w:val="1130"/>
        </w:numPr>
        <w:pStyle w:val="Compact"/>
      </w:pPr>
      <w:r>
        <w:t xml:space="preserve">Export as CSV and JSON with a README and manifest (the UB1 package format, as a separate wellness package).</w:t>
      </w:r>
    </w:p>
    <w:p>
      <w:pPr>
        <w:numPr>
          <w:ilvl w:val="0"/>
          <w:numId w:val="1130"/>
        </w:numPr>
        <w:pStyle w:val="Compact"/>
      </w:pPr>
      <w:r>
        <w:t xml:space="preserve">One-tap</w:t>
      </w:r>
      <w:r>
        <w:t xml:space="preserve"> </w:t>
      </w:r>
      <w:r>
        <w:t xml:space="preserve">“</w:t>
      </w:r>
      <w:r>
        <w:t xml:space="preserve">delete all money-tools data</w:t>
      </w:r>
      <w:r>
        <w:t xml:space="preserve">”</w:t>
      </w:r>
      <w:r>
        <w:t xml:space="preserve"> </w:t>
      </w:r>
      <w:r>
        <w:t xml:space="preserve">(FW4).</w:t>
      </w:r>
    </w:p>
    <w:bookmarkEnd w:id="230"/>
    <w:bookmarkStart w:id="231" w:name="settings-and-options-10"/>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16"/>
        <w:gridCol w:w="1316"/>
        <w:gridCol w:w="2626"/>
        <w:gridCol w:w="2480"/>
      </w:tblGrid>
      <w:tr>
        <w:trPr>
          <w:tblHeader w:val="true"/>
          <w:tblHeader w:val="true"/>
        </w:trPr>
        <w:tc>
          <w:tcPr>
            <w:tcW w:w="3216" w:type="dxa"/>
            <w:shd w:val="clear" w:color="auto" w:fill="1F3A5F"/>
          </w:tcPr>
          <w:p>
            <w:pPr>
              <w:pStyle w:val="Compact"/>
              <w:spacing w:after="40"/>
              <w:jc w:val="left"/>
            </w:pPr>
            <w:r>
              <w:rPr>
                <w:b/>
                <w:color w:val="FFFFFF"/>
                <w:sz w:val="18"/>
              </w:rPr>
              <w:t xml:space="preserve">Setting</w:t>
            </w:r>
          </w:p>
        </w:tc>
        <w:tc>
          <w:tcPr>
            <w:tcW w:w="1316" w:type="dxa"/>
            <w:shd w:val="clear" w:color="auto" w:fill="1F3A5F"/>
          </w:tcPr>
          <w:p>
            <w:pPr>
              <w:pStyle w:val="Compact"/>
              <w:spacing w:after="40"/>
              <w:jc w:val="left"/>
            </w:pPr>
            <w:r>
              <w:rPr>
                <w:b/>
                <w:color w:val="FFFFFF"/>
                <w:sz w:val="18"/>
              </w:rPr>
              <w:t xml:space="preserve">Level</w:t>
            </w:r>
          </w:p>
        </w:tc>
        <w:tc>
          <w:tcPr>
            <w:tcW w:w="2626" w:type="dxa"/>
            <w:shd w:val="clear" w:color="auto" w:fill="1F3A5F"/>
          </w:tcPr>
          <w:p>
            <w:pPr>
              <w:pStyle w:val="Compact"/>
              <w:spacing w:after="40"/>
              <w:jc w:val="left"/>
            </w:pPr>
            <w:r>
              <w:rPr>
                <w:b/>
                <w:color w:val="FFFFFF"/>
                <w:sz w:val="18"/>
              </w:rPr>
              <w:t xml:space="preserve">Default</w:t>
            </w:r>
          </w:p>
        </w:tc>
        <w:tc>
          <w:tcPr>
            <w:tcW w:w="2480" w:type="dxa"/>
            <w:shd w:val="clear" w:color="auto" w:fill="1F3A5F"/>
          </w:tcPr>
          <w:p>
            <w:pPr>
              <w:pStyle w:val="Compact"/>
              <w:spacing w:after="40"/>
              <w:jc w:val="left"/>
            </w:pPr>
            <w:r>
              <w:rPr>
                <w:b/>
                <w:color w:val="FFFFFF"/>
                <w:sz w:val="18"/>
              </w:rPr>
              <w:t xml:space="preserve">Nature</w:t>
            </w:r>
          </w:p>
        </w:tc>
      </w:tr>
      <w:tr>
        <w:tc>
          <w:tcPr>
            <w:tcW w:w="3216" w:type="dxa"/>
          </w:tcPr>
          <w:p>
            <w:pPr>
              <w:pStyle w:val="Compact"/>
              <w:spacing w:after="40"/>
              <w:jc w:val="left"/>
            </w:pPr>
            <w:r>
              <w:rPr>
                <w:sz w:val="18"/>
              </w:rPr>
              <w:t xml:space="preserve">Keep raw uploaded file</w:t>
            </w:r>
          </w:p>
        </w:tc>
        <w:tc>
          <w:tcPr>
            <w:tcW w:w="1316" w:type="dxa"/>
          </w:tcPr>
          <w:p>
            <w:pPr>
              <w:pStyle w:val="Compact"/>
              <w:spacing w:after="40"/>
              <w:jc w:val="left"/>
            </w:pPr>
            <w:r>
              <w:rPr>
                <w:sz w:val="18"/>
              </w:rPr>
              <w:t xml:space="preserve">User</w:t>
            </w:r>
          </w:p>
        </w:tc>
        <w:tc>
          <w:tcPr>
            <w:tcW w:w="2626" w:type="dxa"/>
          </w:tcPr>
          <w:p>
            <w:pPr>
              <w:pStyle w:val="Compact"/>
              <w:spacing w:after="40"/>
              <w:jc w:val="left"/>
            </w:pPr>
            <w:r>
              <w:rPr>
                <w:sz w:val="18"/>
              </w:rPr>
              <w:t xml:space="preserve">Delete immediately after parsing</w:t>
            </w:r>
          </w:p>
        </w:tc>
        <w:tc>
          <w:tcPr>
            <w:tcW w:w="2480" w:type="dxa"/>
          </w:tcPr>
          <w:p>
            <w:pPr>
              <w:pStyle w:val="Compact"/>
              <w:spacing w:after="40"/>
              <w:jc w:val="left"/>
            </w:pPr>
            <w:r>
              <w:rPr>
                <w:sz w:val="18"/>
              </w:rPr>
              <w:t xml:space="preserve">User may choose up to 30 days [REC]</w:t>
            </w:r>
          </w:p>
        </w:tc>
      </w:tr>
      <w:tr>
        <w:tc>
          <w:tcPr>
            <w:tcW w:w="3216" w:type="dxa"/>
          </w:tcPr>
          <w:p>
            <w:pPr>
              <w:pStyle w:val="Compact"/>
              <w:spacing w:after="40"/>
              <w:jc w:val="left"/>
            </w:pPr>
            <w:r>
              <w:rPr>
                <w:sz w:val="18"/>
              </w:rPr>
              <w:t xml:space="preserve">EMI projection from own Udofin loans</w:t>
            </w:r>
          </w:p>
        </w:tc>
        <w:tc>
          <w:tcPr>
            <w:tcW w:w="1316" w:type="dxa"/>
          </w:tcPr>
          <w:p>
            <w:pPr>
              <w:pStyle w:val="Compact"/>
              <w:spacing w:after="40"/>
              <w:jc w:val="left"/>
            </w:pPr>
            <w:r>
              <w:rPr>
                <w:sz w:val="18"/>
              </w:rPr>
              <w:t xml:space="preserve">User</w:t>
            </w:r>
          </w:p>
        </w:tc>
        <w:tc>
          <w:tcPr>
            <w:tcW w:w="2626" w:type="dxa"/>
          </w:tcPr>
          <w:p>
            <w:pPr>
              <w:pStyle w:val="Compact"/>
              <w:spacing w:after="40"/>
              <w:jc w:val="left"/>
            </w:pPr>
            <w:r>
              <w:rPr>
                <w:sz w:val="18"/>
              </w:rPr>
              <w:t xml:space="preserve">Off</w:t>
            </w:r>
          </w:p>
        </w:tc>
        <w:tc>
          <w:tcPr>
            <w:tcW w:w="2480" w:type="dxa"/>
          </w:tcPr>
          <w:p>
            <w:pPr>
              <w:pStyle w:val="Compact"/>
              <w:spacing w:after="40"/>
              <w:jc w:val="left"/>
            </w:pPr>
            <w:r>
              <w:rPr>
                <w:sz w:val="18"/>
              </w:rPr>
              <w:t xml:space="preserve">Opt-in toggle; one direction only</w:t>
            </w:r>
          </w:p>
        </w:tc>
      </w:tr>
      <w:tr>
        <w:tc>
          <w:tcPr>
            <w:tcW w:w="3216" w:type="dxa"/>
          </w:tcPr>
          <w:p>
            <w:pPr>
              <w:pStyle w:val="Compact"/>
              <w:spacing w:after="40"/>
              <w:jc w:val="left"/>
            </w:pPr>
            <w:r>
              <w:rPr>
                <w:sz w:val="18"/>
              </w:rPr>
              <w:t xml:space="preserve">Budget alert thresholds</w:t>
            </w:r>
          </w:p>
        </w:tc>
        <w:tc>
          <w:tcPr>
            <w:tcW w:w="1316" w:type="dxa"/>
          </w:tcPr>
          <w:p>
            <w:pPr>
              <w:pStyle w:val="Compact"/>
              <w:spacing w:after="40"/>
              <w:jc w:val="left"/>
            </w:pPr>
            <w:r>
              <w:rPr>
                <w:sz w:val="18"/>
              </w:rPr>
              <w:t xml:space="preserve">User</w:t>
            </w:r>
          </w:p>
        </w:tc>
        <w:tc>
          <w:tcPr>
            <w:tcW w:w="2626" w:type="dxa"/>
          </w:tcPr>
          <w:p>
            <w:pPr>
              <w:pStyle w:val="Compact"/>
              <w:spacing w:after="40"/>
              <w:jc w:val="left"/>
            </w:pPr>
            <w:r>
              <w:rPr>
                <w:sz w:val="18"/>
              </w:rPr>
              <w:t xml:space="preserve">80% and 100%</w:t>
            </w:r>
          </w:p>
        </w:tc>
        <w:tc>
          <w:tcPr>
            <w:tcW w:w="2480" w:type="dxa"/>
          </w:tcPr>
          <w:p>
            <w:pPr>
              <w:pStyle w:val="Compact"/>
              <w:spacing w:after="40"/>
              <w:jc w:val="left"/>
            </w:pPr>
            <w:r>
              <w:rPr>
                <w:sz w:val="18"/>
              </w:rPr>
              <w:t xml:space="preserve">User may change</w:t>
            </w:r>
          </w:p>
        </w:tc>
      </w:tr>
      <w:tr>
        <w:tc>
          <w:tcPr>
            <w:tcW w:w="3216" w:type="dxa"/>
          </w:tcPr>
          <w:p>
            <w:pPr>
              <w:pStyle w:val="Compact"/>
              <w:spacing w:after="40"/>
              <w:jc w:val="left"/>
            </w:pPr>
            <w:r>
              <w:rPr>
                <w:sz w:val="18"/>
              </w:rPr>
              <w:t xml:space="preserve">Amounts in push notifications</w:t>
            </w:r>
          </w:p>
        </w:tc>
        <w:tc>
          <w:tcPr>
            <w:tcW w:w="1316" w:type="dxa"/>
          </w:tcPr>
          <w:p>
            <w:pPr>
              <w:pStyle w:val="Compact"/>
              <w:spacing w:after="40"/>
              <w:jc w:val="left"/>
            </w:pPr>
            <w:r>
              <w:rPr>
                <w:sz w:val="18"/>
              </w:rPr>
              <w:t xml:space="preserve">User</w:t>
            </w:r>
          </w:p>
        </w:tc>
        <w:tc>
          <w:tcPr>
            <w:tcW w:w="2626" w:type="dxa"/>
          </w:tcPr>
          <w:p>
            <w:pPr>
              <w:pStyle w:val="Compact"/>
              <w:spacing w:after="40"/>
              <w:jc w:val="left"/>
            </w:pPr>
            <w:r>
              <w:rPr>
                <w:sz w:val="18"/>
              </w:rPr>
              <w:t xml:space="preserve">Off</w:t>
            </w:r>
          </w:p>
        </w:tc>
        <w:tc>
          <w:tcPr>
            <w:tcW w:w="2480" w:type="dxa"/>
          </w:tcPr>
          <w:p>
            <w:pPr>
              <w:pStyle w:val="Compact"/>
              <w:spacing w:after="40"/>
              <w:jc w:val="left"/>
            </w:pPr>
            <w:r>
              <w:rPr>
                <w:sz w:val="18"/>
              </w:rPr>
              <w:t xml:space="preserve">Opt-in</w:t>
            </w:r>
          </w:p>
        </w:tc>
      </w:tr>
      <w:tr>
        <w:tc>
          <w:tcPr>
            <w:tcW w:w="3216" w:type="dxa"/>
          </w:tcPr>
          <w:p>
            <w:pPr>
              <w:pStyle w:val="Compact"/>
              <w:spacing w:after="40"/>
              <w:jc w:val="left"/>
            </w:pPr>
            <w:r>
              <w:rPr>
                <w:sz w:val="18"/>
              </w:rPr>
              <w:t xml:space="preserve">Inactivity deletion</w:t>
            </w:r>
          </w:p>
        </w:tc>
        <w:tc>
          <w:tcPr>
            <w:tcW w:w="1316" w:type="dxa"/>
          </w:tcPr>
          <w:p>
            <w:pPr>
              <w:pStyle w:val="Compact"/>
              <w:spacing w:after="40"/>
              <w:jc w:val="left"/>
            </w:pPr>
            <w:r>
              <w:rPr>
                <w:sz w:val="18"/>
              </w:rPr>
              <w:t xml:space="preserve">Platform</w:t>
            </w:r>
          </w:p>
        </w:tc>
        <w:tc>
          <w:tcPr>
            <w:tcW w:w="2626" w:type="dxa"/>
          </w:tcPr>
          <w:p>
            <w:pPr>
              <w:pStyle w:val="Compact"/>
              <w:spacing w:after="40"/>
              <w:jc w:val="left"/>
            </w:pPr>
            <w:r>
              <w:rPr>
                <w:sz w:val="18"/>
              </w:rPr>
              <w:t xml:space="preserve">12 months after last activity, 30 days’ notice</w:t>
            </w:r>
          </w:p>
        </w:tc>
        <w:tc>
          <w:tcPr>
            <w:tcW w:w="2480" w:type="dxa"/>
          </w:tcPr>
          <w:p>
            <w:pPr>
              <w:pStyle w:val="Compact"/>
              <w:spacing w:after="40"/>
              <w:jc w:val="left"/>
            </w:pPr>
            <w:r>
              <w:rPr>
                <w:sz w:val="18"/>
              </w:rPr>
              <w:t xml:space="preserve">Floor [REC]</w:t>
            </w:r>
          </w:p>
        </w:tc>
      </w:tr>
      <w:tr>
        <w:tc>
          <w:tcPr>
            <w:tcW w:w="3216" w:type="dxa"/>
          </w:tcPr>
          <w:p>
            <w:pPr>
              <w:pStyle w:val="Compact"/>
              <w:spacing w:after="40"/>
              <w:jc w:val="left"/>
            </w:pPr>
            <w:r>
              <w:rPr>
                <w:sz w:val="18"/>
              </w:rPr>
              <w:t xml:space="preserve">SMS reading, notification listener, accessibility scraping, AA as FIU</w:t>
            </w:r>
          </w:p>
        </w:tc>
        <w:tc>
          <w:tcPr>
            <w:tcW w:w="1316" w:type="dxa"/>
          </w:tcPr>
          <w:p>
            <w:pPr>
              <w:pStyle w:val="Compact"/>
              <w:spacing w:after="40"/>
              <w:jc w:val="left"/>
            </w:pPr>
            <w:r>
              <w:rPr>
                <w:sz w:val="18"/>
              </w:rPr>
              <w:t xml:space="preserve">Platform</w:t>
            </w:r>
          </w:p>
        </w:tc>
        <w:tc>
          <w:tcPr>
            <w:tcW w:w="2626" w:type="dxa"/>
          </w:tcPr>
          <w:p>
            <w:pPr>
              <w:pStyle w:val="Compact"/>
              <w:spacing w:after="40"/>
              <w:jc w:val="left"/>
            </w:pPr>
            <w:r>
              <w:rPr>
                <w:sz w:val="18"/>
              </w:rPr>
              <w:t xml:space="preserve">None exist</w:t>
            </w:r>
          </w:p>
        </w:tc>
        <w:tc>
          <w:tcPr>
            <w:tcW w:w="2480" w:type="dxa"/>
          </w:tcPr>
          <w:p>
            <w:pPr>
              <w:pStyle w:val="Compact"/>
              <w:spacing w:after="40"/>
              <w:jc w:val="left"/>
            </w:pPr>
            <w:r>
              <w:rPr>
                <w:sz w:val="18"/>
              </w:rPr>
              <w:t xml:space="preserve">Hard block (CF para 13(1); AA para 8(12))</w:t>
            </w:r>
          </w:p>
        </w:tc>
      </w:tr>
    </w:tbl>
    <w:bookmarkEnd w:id="231"/>
    <w:bookmarkStart w:id="232" w:name="menu-and-screens-11"/>
    <w:p>
      <w:pPr>
        <w:pStyle w:val="Heading3"/>
      </w:pPr>
      <w:r>
        <w:t xml:space="preserve">Menu and screens</w:t>
      </w:r>
    </w:p>
    <w:p>
      <w:pPr>
        <w:numPr>
          <w:ilvl w:val="0"/>
          <w:numId w:val="1131"/>
        </w:numPr>
        <w:pStyle w:val="Compact"/>
      </w:pPr>
      <w:r>
        <w:rPr>
          <w:bCs/>
          <w:b/>
        </w:rPr>
        <w:t xml:space="preserve">Account › Money tools › Expenses and budgets</w:t>
      </w:r>
      <w:r>
        <w:t xml:space="preserve"> </w:t>
      </w:r>
      <w:r>
        <w:t xml:space="preserve">(A, B): tabs</w:t>
      </w:r>
      <w:r>
        <w:t xml:space="preserve"> </w:t>
      </w:r>
      <w:r>
        <w:rPr>
          <w:bCs/>
          <w:b/>
        </w:rPr>
        <w:t xml:space="preserve">Transactions</w:t>
      </w:r>
      <w:r>
        <w:t xml:space="preserve"> </w:t>
      </w:r>
      <w:r>
        <w:t xml:space="preserve">(list with filters by month, category and account; bulk</w:t>
      </w:r>
      <w:r>
        <w:t xml:space="preserve"> </w:t>
      </w:r>
      <w:r>
        <w:rPr>
          <w:bCs/>
          <w:b/>
        </w:rPr>
        <w:t xml:space="preserve">Re-categorise</w:t>
      </w:r>
      <w:r>
        <w:t xml:space="preserve">,</w:t>
      </w:r>
      <w:r>
        <w:t xml:space="preserve"> </w:t>
      </w:r>
      <w:r>
        <w:rPr>
          <w:bCs/>
          <w:b/>
        </w:rPr>
        <w:t xml:space="preserve">Split</w:t>
      </w:r>
      <w:r>
        <w:t xml:space="preserve">,</w:t>
      </w:r>
      <w:r>
        <w:t xml:space="preserve"> </w:t>
      </w:r>
      <w:r>
        <w:rPr>
          <w:bCs/>
          <w:b/>
        </w:rPr>
        <w:t xml:space="preserve">Delete</w:t>
      </w:r>
      <w:r>
        <w:t xml:space="preserve">),</w:t>
      </w:r>
      <w:r>
        <w:t xml:space="preserve"> </w:t>
      </w:r>
      <w:r>
        <w:rPr>
          <w:bCs/>
          <w:b/>
        </w:rPr>
        <w:t xml:space="preserve">Budgets</w:t>
      </w:r>
      <w:r>
        <w:t xml:space="preserve"> </w:t>
      </w:r>
      <w:r>
        <w:t xml:space="preserve">(envelopes with progress bars and roll-over),</w:t>
      </w:r>
      <w:r>
        <w:t xml:space="preserve"> </w:t>
      </w:r>
      <w:r>
        <w:rPr>
          <w:bCs/>
          <w:b/>
        </w:rPr>
        <w:t xml:space="preserve">Insights</w:t>
      </w:r>
      <w:r>
        <w:t xml:space="preserve"> </w:t>
      </w:r>
      <w:r>
        <w:t xml:space="preserve">(descriptive only),</w:t>
      </w:r>
      <w:r>
        <w:t xml:space="preserve"> </w:t>
      </w:r>
      <w:r>
        <w:rPr>
          <w:bCs/>
          <w:b/>
        </w:rPr>
        <w:t xml:space="preserve">Import</w:t>
      </w:r>
      <w:r>
        <w:t xml:space="preserve"> </w:t>
      </w:r>
      <w:r>
        <w:t xml:space="preserve">(statement upload through the system picker or the web file input → password prompt if needed → parse → preview → confirm; CSV column mapping). Parse errors name the failing rows and offer CSV mapping; nothing is silently dropped. No background processing on the device beyond the upload itself.</w:t>
      </w:r>
    </w:p>
    <w:p>
      <w:pPr>
        <w:numPr>
          <w:ilvl w:val="0"/>
          <w:numId w:val="1131"/>
        </w:numPr>
        <w:pStyle w:val="Compact"/>
      </w:pPr>
      <w:r>
        <w:rPr>
          <w:bCs/>
          <w:b/>
        </w:rPr>
        <w:t xml:space="preserve">Operations portal</w:t>
      </w:r>
      <w:r>
        <w:t xml:space="preserve"> </w:t>
      </w:r>
      <w:r>
        <w:t xml:space="preserve">(C): parser success rates; failure samples only after the user consents to share a failed file for support [REC].</w:t>
      </w:r>
    </w:p>
    <w:bookmarkEnd w:id="232"/>
    <w:bookmarkStart w:id="233" w:name="controls-11"/>
    <w:p>
      <w:pPr>
        <w:pStyle w:val="Heading3"/>
      </w:pPr>
      <w:r>
        <w:t xml:space="preserve">Controls</w:t>
      </w:r>
    </w:p>
    <w:p>
      <w:pPr>
        <w:numPr>
          <w:ilvl w:val="0"/>
          <w:numId w:val="1132"/>
        </w:numPr>
        <w:pStyle w:val="Compact"/>
      </w:pPr>
      <w:r>
        <w:t xml:space="preserve">FW-C09: the CI manifest gate (Part 8A, REQ-CF-13(1)) rejects any SMS, notification-listener, accessibility-service or storage permission added for FW3.</w:t>
      </w:r>
    </w:p>
    <w:p>
      <w:pPr>
        <w:numPr>
          <w:ilvl w:val="0"/>
          <w:numId w:val="1132"/>
        </w:numPr>
        <w:pStyle w:val="Compact"/>
      </w:pPr>
      <w:r>
        <w:t xml:space="preserve">FW-C10: statement passwords never reach logs, crash reports or persistent storage (log-scrubbing test).</w:t>
      </w:r>
    </w:p>
    <w:p>
      <w:pPr>
        <w:numPr>
          <w:ilvl w:val="0"/>
          <w:numId w:val="1132"/>
        </w:numPr>
        <w:pStyle w:val="Compact"/>
      </w:pPr>
      <w:r>
        <w:t xml:space="preserve">FW-C11: raw uploaded files are deleted within the chosen period; a daily job verifies and reports exceptions.</w:t>
      </w:r>
    </w:p>
    <w:p>
      <w:pPr>
        <w:numPr>
          <w:ilvl w:val="0"/>
          <w:numId w:val="1132"/>
        </w:numPr>
        <w:pStyle w:val="Compact"/>
      </w:pPr>
      <w:r>
        <w:t xml:space="preserve">FW-C12: the insight generator’s output passes a content linter that rejects product names, lender names,</w:t>
      </w:r>
      <w:r>
        <w:t xml:space="preserve"> </w:t>
      </w:r>
      <w:r>
        <w:t xml:space="preserve">“</w:t>
      </w:r>
      <w:r>
        <w:t xml:space="preserve">afford a loan</w:t>
      </w:r>
      <w:r>
        <w:t xml:space="preserve">”</w:t>
      </w:r>
      <w:r>
        <w:t xml:space="preserve"> </w:t>
      </w:r>
      <w:r>
        <w:t xml:space="preserve">phrasing and return claims.</w:t>
      </w:r>
    </w:p>
    <w:bookmarkEnd w:id="233"/>
    <w:bookmarkStart w:id="234" w:name="acceptance-tests-11"/>
    <w:p>
      <w:pPr>
        <w:pStyle w:val="Heading3"/>
      </w:pPr>
      <w:r>
        <w:t xml:space="preserve">Acceptance tests</w:t>
      </w:r>
    </w:p>
    <w:p>
      <w:pPr>
        <w:numPr>
          <w:ilvl w:val="0"/>
          <w:numId w:val="1133"/>
        </w:numPr>
        <w:pStyle w:val="Compact"/>
      </w:pPr>
      <w:r>
        <w:t xml:space="preserve">A password-protected PDF statement parses correctly and the password appears nowhere in logs or the database.</w:t>
      </w:r>
    </w:p>
    <w:p>
      <w:pPr>
        <w:numPr>
          <w:ilvl w:val="0"/>
          <w:numId w:val="1133"/>
        </w:numPr>
        <w:pStyle w:val="Compact"/>
      </w:pPr>
      <w:r>
        <w:t xml:space="preserve">Uploading the same statement twice creates no duplicate transactions.</w:t>
      </w:r>
    </w:p>
    <w:p>
      <w:pPr>
        <w:numPr>
          <w:ilvl w:val="0"/>
          <w:numId w:val="1133"/>
        </w:numPr>
        <w:pStyle w:val="Compact"/>
      </w:pPr>
      <w:r>
        <w:t xml:space="preserve">The Android build contains no</w:t>
      </w:r>
      <w:r>
        <w:t xml:space="preserve"> </w:t>
      </w:r>
      <w:r>
        <w:rPr>
          <w:rStyle w:val="VerbatimChar"/>
        </w:rPr>
        <w:t xml:space="preserve">READ_SMS</w:t>
      </w:r>
      <w:r>
        <w:t xml:space="preserve">,</w:t>
      </w:r>
      <w:r>
        <w:t xml:space="preserve"> </w:t>
      </w:r>
      <w:r>
        <w:rPr>
          <w:rStyle w:val="VerbatimChar"/>
        </w:rPr>
        <w:t xml:space="preserve">RECEIVE_SMS</w:t>
      </w:r>
      <w:r>
        <w:t xml:space="preserve">,</w:t>
      </w:r>
      <w:r>
        <w:t xml:space="preserve"> </w:t>
      </w:r>
      <w:r>
        <w:rPr>
          <w:rStyle w:val="VerbatimChar"/>
        </w:rPr>
        <w:t xml:space="preserve">BIND_NOTIFICATION_LISTENER_SERVICE</w:t>
      </w:r>
      <w:r>
        <w:t xml:space="preserve">,</w:t>
      </w:r>
      <w:r>
        <w:t xml:space="preserve"> </w:t>
      </w:r>
      <w:r>
        <w:rPr>
          <w:rStyle w:val="VerbatimChar"/>
        </w:rPr>
        <w:t xml:space="preserve">BIND_ACCESSIBILITY_SERVICE</w:t>
      </w:r>
      <w:r>
        <w:t xml:space="preserve">,</w:t>
      </w:r>
      <w:r>
        <w:t xml:space="preserve"> </w:t>
      </w:r>
      <w:r>
        <w:rPr>
          <w:rStyle w:val="VerbatimChar"/>
        </w:rPr>
        <w:t xml:space="preserve">READ_EXTERNAL_STORAGE</w:t>
      </w:r>
      <w:r>
        <w:t xml:space="preserve"> </w:t>
      </w:r>
      <w:r>
        <w:t xml:space="preserve">or</w:t>
      </w:r>
      <w:r>
        <w:t xml:space="preserve"> </w:t>
      </w:r>
      <w:r>
        <w:rPr>
          <w:rStyle w:val="VerbatimChar"/>
        </w:rPr>
        <w:t xml:space="preserve">READ_MEDIA_*</w:t>
      </w:r>
      <w:r>
        <w:t xml:space="preserve"> </w:t>
      </w:r>
      <w:r>
        <w:t xml:space="preserve">permission.</w:t>
      </w:r>
    </w:p>
    <w:p>
      <w:pPr>
        <w:numPr>
          <w:ilvl w:val="0"/>
          <w:numId w:val="1133"/>
        </w:numPr>
        <w:pStyle w:val="Compact"/>
      </w:pPr>
      <w:r>
        <w:t xml:space="preserve">Turning off the EMI toggle removes the EMI projection from the wellness store within 24 hours.</w:t>
      </w:r>
    </w:p>
    <w:p>
      <w:pPr>
        <w:numPr>
          <w:ilvl w:val="0"/>
          <w:numId w:val="1133"/>
        </w:numPr>
        <w:pStyle w:val="Compact"/>
      </w:pPr>
      <w:r>
        <w:t xml:space="preserve">An 80% budget alert fires once per category per month.</w:t>
      </w:r>
    </w:p>
    <w:p>
      <w:pPr>
        <w:numPr>
          <w:ilvl w:val="0"/>
          <w:numId w:val="1133"/>
        </w:numPr>
        <w:pStyle w:val="Compact"/>
      </w:pPr>
      <w:r>
        <w:t xml:space="preserve">No insight or alert text contains a lender name, a loan offer or an investment suggestion (linter test over the template set).</w:t>
      </w:r>
    </w:p>
    <w:p>
      <w:r>
        <w:pict>
          <v:rect style="width:0;height:1.5pt" o:hralign="center" o:hrstd="t" o:hr="t"/>
        </w:pict>
      </w:r>
    </w:p>
    <w:bookmarkEnd w:id="234"/>
    <w:bookmarkEnd w:id="235"/>
    <w:bookmarkStart w:id="248" w:name="X066667ac104e92b0a60815e78d247688d5cd899"/>
    <w:p>
      <w:pPr>
        <w:pStyle w:val="Heading2"/>
      </w:pPr>
      <w:r>
        <w:t xml:space="preserve">FW4. Separation, consent and data controls for add-ons</w:t>
      </w:r>
    </w:p>
    <w:bookmarkStart w:id="236" w:name="purpose-and-scope-11"/>
    <w:p>
      <w:pPr>
        <w:pStyle w:val="Heading3"/>
      </w:pPr>
      <w:r>
        <w:t xml:space="preserve">Purpose and scope</w:t>
      </w:r>
    </w:p>
    <w:p>
      <w:pPr>
        <w:pStyle w:val="FirstParagraph"/>
      </w:pPr>
      <w:r>
        <w:t xml:space="preserve">Make the separation between the money tools and Udofin’s LSP business structural, provable and permanent; set the legality gate for launching and for charging; and ban the sales-practice patterns that would turn a wellness tool into a lending funnel.</w:t>
      </w:r>
    </w:p>
    <w:bookmarkEnd w:id="236"/>
    <w:bookmarkStart w:id="237" w:name="legality-gate"/>
    <w:p>
      <w:pPr>
        <w:pStyle w:val="Heading3"/>
      </w:pPr>
      <w:r>
        <w:t xml:space="preserve">Legality gate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80"/>
        <w:gridCol w:w="2518"/>
        <w:gridCol w:w="4940"/>
      </w:tblGrid>
      <w:tr>
        <w:trPr>
          <w:tblHeader w:val="true"/>
          <w:tblHeader w:val="true"/>
        </w:trPr>
        <w:tc>
          <w:tcPr>
            <w:tcW w:w="2180" w:type="dxa"/>
            <w:shd w:val="clear" w:color="auto" w:fill="1F3A5F"/>
          </w:tcPr>
          <w:p>
            <w:pPr>
              <w:pStyle w:val="Compact"/>
              <w:spacing w:after="40"/>
              <w:jc w:val="left"/>
            </w:pPr>
            <w:r>
              <w:rPr>
                <w:b/>
                <w:color w:val="FFFFFF"/>
                <w:sz w:val="18"/>
              </w:rPr>
              <w:t xml:space="preserve">Gate</w:t>
            </w:r>
          </w:p>
        </w:tc>
        <w:tc>
          <w:tcPr>
            <w:tcW w:w="2518" w:type="dxa"/>
            <w:shd w:val="clear" w:color="auto" w:fill="1F3A5F"/>
          </w:tcPr>
          <w:p>
            <w:pPr>
              <w:pStyle w:val="Compact"/>
              <w:spacing w:after="40"/>
              <w:jc w:val="left"/>
            </w:pPr>
            <w:r>
              <w:rPr>
                <w:b/>
                <w:color w:val="FFFFFF"/>
                <w:sz w:val="18"/>
              </w:rPr>
              <w:t xml:space="preserve">Needed for</w:t>
            </w:r>
          </w:p>
        </w:tc>
        <w:tc>
          <w:tcPr>
            <w:tcW w:w="4940" w:type="dxa"/>
            <w:shd w:val="clear" w:color="auto" w:fill="1F3A5F"/>
          </w:tcPr>
          <w:p>
            <w:pPr>
              <w:pStyle w:val="Compact"/>
              <w:spacing w:after="40"/>
              <w:jc w:val="left"/>
            </w:pPr>
            <w:r>
              <w:rPr>
                <w:b/>
                <w:color w:val="FFFFFF"/>
                <w:sz w:val="18"/>
              </w:rPr>
              <w:t xml:space="preserve">Evidence (</w:t>
            </w:r>
            <w:r>
              <w:rPr>
                <w:rStyle w:val="VerbatimChar"/>
                <w:b/>
                <w:color w:val="FFFFFF"/>
                <w:sz w:val="18"/>
              </w:rPr>
              <w:t xml:space="preserve">addon_legality_decision</w:t>
            </w:r>
            <w:r>
              <w:rPr>
                <w:b/>
                <w:color w:val="FFFFFF"/>
                <w:sz w:val="18"/>
              </w:rPr>
              <w:t xml:space="preserve">)</w:t>
            </w:r>
          </w:p>
        </w:tc>
      </w:tr>
      <w:tr>
        <w:tc>
          <w:tcPr>
            <w:tcW w:w="2180" w:type="dxa"/>
          </w:tcPr>
          <w:p>
            <w:pPr>
              <w:pStyle w:val="Compact"/>
              <w:spacing w:after="40"/>
              <w:jc w:val="left"/>
            </w:pPr>
            <w:r>
              <w:rPr>
                <w:sz w:val="18"/>
              </w:rPr>
              <w:t xml:space="preserve">G1 Owner decision to offer the tools at all, and through which entity or brand</w:t>
            </w:r>
          </w:p>
        </w:tc>
        <w:tc>
          <w:tcPr>
            <w:tcW w:w="2518" w:type="dxa"/>
          </w:tcPr>
          <w:p>
            <w:pPr>
              <w:pStyle w:val="Compact"/>
              <w:spacing w:after="40"/>
              <w:jc w:val="left"/>
            </w:pPr>
            <w:r>
              <w:rPr>
                <w:sz w:val="18"/>
              </w:rPr>
              <w:t xml:space="preserve">Any production use, free or paid</w:t>
            </w:r>
          </w:p>
        </w:tc>
        <w:tc>
          <w:tcPr>
            <w:tcW w:w="4940" w:type="dxa"/>
          </w:tcPr>
          <w:p>
            <w:pPr>
              <w:pStyle w:val="Compact"/>
              <w:spacing w:after="40"/>
              <w:jc w:val="left"/>
            </w:pPr>
            <w:r>
              <w:rPr>
                <w:sz w:val="18"/>
              </w:rPr>
              <w:t xml:space="preserve">Owner decision record (Appendix B) with date and approver</w:t>
            </w:r>
          </w:p>
        </w:tc>
      </w:tr>
      <w:tr>
        <w:tc>
          <w:tcPr>
            <w:tcW w:w="2180" w:type="dxa"/>
          </w:tcPr>
          <w:p>
            <w:pPr>
              <w:pStyle w:val="Compact"/>
              <w:spacing w:after="40"/>
              <w:jc w:val="left"/>
            </w:pPr>
            <w:r>
              <w:rPr>
                <w:sz w:val="18"/>
              </w:rPr>
              <w:t xml:space="preserve">G2 Legal opinion</w:t>
            </w:r>
          </w:p>
        </w:tc>
        <w:tc>
          <w:tcPr>
            <w:tcW w:w="2518" w:type="dxa"/>
          </w:tcPr>
          <w:p>
            <w:pPr>
              <w:pStyle w:val="Compact"/>
              <w:spacing w:after="40"/>
              <w:jc w:val="left"/>
            </w:pPr>
            <w:r>
              <w:rPr>
                <w:sz w:val="18"/>
              </w:rPr>
              <w:t xml:space="preserve">Any production use</w:t>
            </w:r>
          </w:p>
        </w:tc>
        <w:tc>
          <w:tcPr>
            <w:tcW w:w="4940" w:type="dxa"/>
          </w:tcPr>
          <w:p>
            <w:pPr>
              <w:pStyle w:val="Compact"/>
              <w:spacing w:after="40"/>
              <w:jc w:val="left"/>
            </w:pPr>
            <w:r>
              <w:rPr>
                <w:sz w:val="18"/>
              </w:rPr>
              <w:t xml:space="preserve">Written opinion covering: whether CF para 10(4) (</w:t>
            </w:r>
            <w:r>
              <w:rPr>
                <w:sz w:val="18"/>
              </w:rPr>
              <w:t xml:space="preserve">“</w:t>
            </w:r>
            <w:r>
              <w:rPr>
                <w:sz w:val="18"/>
              </w:rPr>
              <w:t xml:space="preserve">fees, charges … payable to LSP … are not charged to or collected from the borrowers separately by LSP</w:t>
            </w:r>
            <w:r>
              <w:rPr>
                <w:sz w:val="18"/>
              </w:rPr>
              <w:t xml:space="preserve">”</w:t>
            </w:r>
            <w:r>
              <w:rPr>
                <w:sz w:val="18"/>
              </w:rPr>
              <w:t xml:space="preserve">) reaches a non-loan subscription sold by an LSP to borrowers and non-borrowers alike [INTERP: the paragraph addresses fees for lending services; RBI may read it widely]; whether wellness data is</w:t>
            </w:r>
            <w:r>
              <w:rPr>
                <w:sz w:val="18"/>
              </w:rPr>
              <w:t xml:space="preserve"> </w:t>
            </w:r>
            <w:r>
              <w:rPr>
                <w:sz w:val="18"/>
              </w:rPr>
              <w:t xml:space="preserve">“</w:t>
            </w:r>
            <w:r>
              <w:rPr>
                <w:sz w:val="18"/>
              </w:rPr>
              <w:t xml:space="preserve">data … within the scope of the NBFC-LSP agreement</w:t>
            </w:r>
            <w:r>
              <w:rPr>
                <w:sz w:val="18"/>
              </w:rPr>
              <w:t xml:space="preserve">”</w:t>
            </w:r>
            <w:r>
              <w:rPr>
                <w:sz w:val="18"/>
              </w:rPr>
              <w:t xml:space="preserve"> </w:t>
            </w:r>
            <w:r>
              <w:rPr>
                <w:sz w:val="18"/>
              </w:rPr>
              <w:t xml:space="preserve">under CF para 14(1); CIC partner terms; DPDP; consumer-protection and e-commerce rules [VERIFY applicability of the Consumer Protection (E-Commerce) Rules, 2020]; insurance and investment solicitation limits</w:t>
            </w:r>
          </w:p>
        </w:tc>
      </w:tr>
      <w:tr>
        <w:tc>
          <w:tcPr>
            <w:tcW w:w="2180" w:type="dxa"/>
          </w:tcPr>
          <w:p>
            <w:pPr>
              <w:pStyle w:val="Compact"/>
              <w:spacing w:after="40"/>
              <w:jc w:val="left"/>
            </w:pPr>
            <w:r>
              <w:rPr>
                <w:sz w:val="18"/>
              </w:rPr>
              <w:t xml:space="preserve">G3 CIC consumer-partner agreement</w:t>
            </w:r>
          </w:p>
        </w:tc>
        <w:tc>
          <w:tcPr>
            <w:tcW w:w="2518" w:type="dxa"/>
          </w:tcPr>
          <w:p>
            <w:pPr>
              <w:pStyle w:val="Compact"/>
              <w:spacing w:after="40"/>
              <w:jc w:val="left"/>
            </w:pPr>
            <w:r>
              <w:rPr>
                <w:sz w:val="18"/>
              </w:rPr>
              <w:t xml:space="preserve">FW1 and FW2 on real reports</w:t>
            </w:r>
          </w:p>
        </w:tc>
        <w:tc>
          <w:tcPr>
            <w:tcW w:w="4940" w:type="dxa"/>
          </w:tcPr>
          <w:p>
            <w:pPr>
              <w:pStyle w:val="Compact"/>
              <w:spacing w:after="40"/>
              <w:jc w:val="left"/>
            </w:pPr>
            <w:r>
              <w:rPr>
                <w:sz w:val="18"/>
              </w:rPr>
              <w:t xml:space="preserve">Signed agreement, partner audit obligations, refresh and storage terms</w:t>
            </w:r>
          </w:p>
        </w:tc>
      </w:tr>
      <w:tr>
        <w:tc>
          <w:tcPr>
            <w:tcW w:w="2180" w:type="dxa"/>
          </w:tcPr>
          <w:p>
            <w:pPr>
              <w:pStyle w:val="Compact"/>
              <w:spacing w:after="40"/>
              <w:jc w:val="left"/>
            </w:pPr>
            <w:r>
              <w:rPr>
                <w:sz w:val="18"/>
              </w:rPr>
              <w:t xml:space="preserve">G4 Separate owner decision to charge</w:t>
            </w:r>
          </w:p>
        </w:tc>
        <w:tc>
          <w:tcPr>
            <w:tcW w:w="2518" w:type="dxa"/>
          </w:tcPr>
          <w:p>
            <w:pPr>
              <w:pStyle w:val="Compact"/>
              <w:spacing w:after="40"/>
              <w:jc w:val="left"/>
            </w:pPr>
            <w:r>
              <w:rPr>
                <w:sz w:val="18"/>
              </w:rPr>
              <w:t xml:space="preserve">Any paid plan</w:t>
            </w:r>
          </w:p>
        </w:tc>
        <w:tc>
          <w:tcPr>
            <w:tcW w:w="4940" w:type="dxa"/>
          </w:tcPr>
          <w:p>
            <w:pPr>
              <w:pStyle w:val="Compact"/>
              <w:spacing w:after="40"/>
              <w:jc w:val="left"/>
            </w:pPr>
            <w:r>
              <w:rPr>
                <w:sz w:val="18"/>
              </w:rPr>
              <w:t xml:space="preserve">Owner decision plus G2 opinion addendum on pricing; plans published through Part 7G with the RV1 legality gate</w:t>
            </w:r>
          </w:p>
        </w:tc>
      </w:tr>
      <w:tr>
        <w:tc>
          <w:tcPr>
            <w:tcW w:w="2180" w:type="dxa"/>
          </w:tcPr>
          <w:p>
            <w:pPr>
              <w:pStyle w:val="Compact"/>
              <w:spacing w:after="40"/>
              <w:jc w:val="left"/>
            </w:pPr>
            <w:r>
              <w:rPr>
                <w:sz w:val="18"/>
              </w:rPr>
              <w:t xml:space="preserve">G5 Re-review</w:t>
            </w:r>
          </w:p>
        </w:tc>
        <w:tc>
          <w:tcPr>
            <w:tcW w:w="2518" w:type="dxa"/>
          </w:tcPr>
          <w:p>
            <w:pPr>
              <w:pStyle w:val="Compact"/>
              <w:spacing w:after="40"/>
              <w:jc w:val="left"/>
            </w:pPr>
            <w:r>
              <w:rPr>
                <w:sz w:val="18"/>
              </w:rPr>
              <w:t xml:space="preserve">Every 12 months and on any change to CF, the RBC sales-practice paragraphs, CIC Directions or DPDP Rules</w:t>
            </w:r>
          </w:p>
        </w:tc>
        <w:tc>
          <w:tcPr>
            <w:tcW w:w="4940" w:type="dxa"/>
          </w:tcPr>
          <w:p>
            <w:pPr>
              <w:pStyle w:val="Compact"/>
              <w:spacing w:after="40"/>
              <w:jc w:val="left"/>
            </w:pPr>
            <w:r>
              <w:rPr>
                <w:sz w:val="18"/>
              </w:rPr>
              <w:t xml:space="preserve">Updated record; the flag turns off automatically if the review lapses</w:t>
            </w:r>
          </w:p>
        </w:tc>
      </w:tr>
    </w:tbl>
    <w:bookmarkEnd w:id="237"/>
    <w:bookmarkStart w:id="238" w:name="structural-separation"/>
    <w:p>
      <w:pPr>
        <w:pStyle w:val="Heading3"/>
      </w:pPr>
      <w:r>
        <w:t xml:space="preserve">Structural separation</w:t>
      </w:r>
    </w:p>
    <w:p>
      <w:pPr>
        <w:numPr>
          <w:ilvl w:val="0"/>
          <w:numId w:val="1134"/>
        </w:numPr>
        <w:pStyle w:val="Compact"/>
      </w:pPr>
      <w:r>
        <w:rPr>
          <w:bCs/>
          <w:b/>
        </w:rPr>
        <w:t xml:space="preserve">Separate store:</w:t>
      </w:r>
      <w:r>
        <w:t xml:space="preserve"> </w:t>
      </w:r>
      <w:r>
        <w:t xml:space="preserve">the</w:t>
      </w:r>
      <w:r>
        <w:t xml:space="preserve"> </w:t>
      </w:r>
      <w:r>
        <w:rPr>
          <w:rStyle w:val="VerbatimChar"/>
        </w:rPr>
        <w:t xml:space="preserve">wellness</w:t>
      </w:r>
      <w:r>
        <w:t xml:space="preserve"> </w:t>
      </w:r>
      <w:r>
        <w:t xml:space="preserve">database (or a separate schema in its own cluster) with its own KMS key, its own service accounts, its own backups and its own retention jobs; no foreign keys into loan tables, only the borrower account ID.</w:t>
      </w:r>
    </w:p>
    <w:p>
      <w:pPr>
        <w:numPr>
          <w:ilvl w:val="0"/>
          <w:numId w:val="1134"/>
        </w:numPr>
        <w:pStyle w:val="Compact"/>
      </w:pPr>
      <w:r>
        <w:rPr>
          <w:bCs/>
          <w:b/>
        </w:rPr>
        <w:t xml:space="preserve">Separate consents and notices:</w:t>
      </w:r>
      <w:r>
        <w:t xml:space="preserve"> </w:t>
      </w:r>
      <w:r>
        <w:t xml:space="preserve">each tool has its own stand-alone DPDP notice and consent artefacts (DPDP s.5–6; Rules r.3), never bundled with platform, loan, bureau, AA or marketing consents; every choice defaults to No; withdrawal is one tap and as easy as giving consent (RBC Second Amendment sales-practice paragraphs on default-No consent and easy unsubscribing, applied by analogy [REC; VERIFY final NBFC paragraph numbers]).</w:t>
      </w:r>
    </w:p>
    <w:p>
      <w:pPr>
        <w:numPr>
          <w:ilvl w:val="0"/>
          <w:numId w:val="1134"/>
        </w:numPr>
        <w:pStyle w:val="Compact"/>
      </w:pPr>
      <w:r>
        <w:rPr>
          <w:bCs/>
          <w:b/>
        </w:rPr>
        <w:t xml:space="preserve">Separate navigation:</w:t>
      </w:r>
      <w:r>
        <w:t xml:space="preserve"> </w:t>
      </w:r>
      <w:r>
        <w:t xml:space="preserve">“</w:t>
      </w:r>
      <w:r>
        <w:t xml:space="preserve">Money tools</w:t>
      </w:r>
      <w:r>
        <w:t xml:space="preserve">”</w:t>
      </w:r>
      <w:r>
        <w:t xml:space="preserve"> </w:t>
      </w:r>
      <w:r>
        <w:t xml:space="preserve">is its own area; no money-tools card, banner or prompt appears inside any loan application, offer view, KFS, execution, disbursal, repayment, overdue, settlement or grievance screen.</w:t>
      </w:r>
    </w:p>
    <w:p>
      <w:pPr>
        <w:numPr>
          <w:ilvl w:val="0"/>
          <w:numId w:val="1134"/>
        </w:numPr>
        <w:pStyle w:val="Compact"/>
      </w:pPr>
      <w:r>
        <w:rPr>
          <w:bCs/>
          <w:b/>
        </w:rPr>
        <w:t xml:space="preserve">Separate support and complaints:</w:t>
      </w:r>
      <w:r>
        <w:t xml:space="preserve"> </w:t>
      </w:r>
      <w:r>
        <w:t xml:space="preserve">UB3 subscription route (Udofin GRO → National Consumer Helpline → consumer commission); never routed to any RE.</w:t>
      </w:r>
    </w:p>
    <w:p>
      <w:pPr>
        <w:numPr>
          <w:ilvl w:val="0"/>
          <w:numId w:val="1134"/>
        </w:numPr>
        <w:pStyle w:val="Compact"/>
      </w:pPr>
      <w:r>
        <w:rPr>
          <w:bCs/>
          <w:b/>
        </w:rPr>
        <w:t xml:space="preserve">Separate export and deletion:</w:t>
      </w:r>
      <w:r>
        <w:t xml:space="preserve"> </w:t>
      </w:r>
      <w:r>
        <w:t xml:space="preserve">UB1 wellness package; one-tap delete-all with purge within 30 days [REC] and a confirmation receipt.</w:t>
      </w:r>
    </w:p>
    <w:bookmarkEnd w:id="238"/>
    <w:bookmarkStart w:id="239" w:name="opt-in-and-withdrawal-workflow"/>
    <w:p>
      <w:pPr>
        <w:pStyle w:val="Heading3"/>
      </w:pPr>
      <w:r>
        <w:t xml:space="preserve">Opt-in and withdrawal workflow</w:t>
      </w:r>
    </w:p>
    <w:p>
      <w:pPr>
        <w:pStyle w:val="FirstParagraph"/>
      </w:pPr>
      <w:r>
        <w:rPr>
          <w:rStyle w:val="VerbatimChar"/>
        </w:rPr>
        <w:t xml:space="preserve">wellness_optin</w:t>
      </w:r>
      <w:r>
        <w:t xml:space="preserve"> </w:t>
      </w:r>
      <w:r>
        <w:t xml:space="preserve">per tool:</w:t>
      </w:r>
      <w:r>
        <w:t xml:space="preserve"> </w:t>
      </w:r>
      <w:r>
        <w:rPr>
          <w:rStyle w:val="VerbatimChar"/>
        </w:rPr>
        <w:t xml:space="preserve">NOT_OFFERED → INTRO_SHOWN → NOTICE_SHOWN → CONSENTED → ACTIVE → {PAUSED | WITHDRAWN} → PURGED</w:t>
      </w:r>
      <w:r>
        <w:t xml:space="preserve">, with</w:t>
      </w:r>
      <w:r>
        <w:t xml:space="preserve"> </w:t>
      </w:r>
      <w:r>
        <w:rPr>
          <w:rStyle w:val="VerbatimChar"/>
        </w:rPr>
        <w:t xml:space="preserve">DECLINED</w:t>
      </w:r>
      <w:r>
        <w:t xml:space="preserve"> </w:t>
      </w:r>
      <w:r>
        <w:t xml:space="preserve">(no re-prompt for 90 days [REC]).</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58"/>
        <w:gridCol w:w="7880"/>
      </w:tblGrid>
      <w:tr>
        <w:trPr>
          <w:tblHeader w:val="true"/>
          <w:tblHeader w:val="true"/>
        </w:trPr>
        <w:tc>
          <w:tcPr>
            <w:tcW w:w="1758" w:type="dxa"/>
            <w:shd w:val="clear" w:color="auto" w:fill="1F3A5F"/>
          </w:tcPr>
          <w:p>
            <w:pPr>
              <w:pStyle w:val="Compact"/>
              <w:spacing w:after="40"/>
              <w:jc w:val="left"/>
            </w:pPr>
            <w:r>
              <w:rPr>
                <w:b/>
                <w:color w:val="FFFFFF"/>
                <w:sz w:val="18"/>
              </w:rPr>
              <w:t xml:space="preserve">Step</w:t>
            </w:r>
          </w:p>
        </w:tc>
        <w:tc>
          <w:tcPr>
            <w:tcW w:w="7880" w:type="dxa"/>
            <w:shd w:val="clear" w:color="auto" w:fill="1F3A5F"/>
          </w:tcPr>
          <w:p>
            <w:pPr>
              <w:pStyle w:val="Compact"/>
              <w:spacing w:after="40"/>
              <w:jc w:val="left"/>
            </w:pPr>
            <w:r>
              <w:rPr>
                <w:b/>
                <w:color w:val="FFFFFF"/>
                <w:sz w:val="18"/>
              </w:rPr>
              <w:t xml:space="preserve">Screen and rule</w:t>
            </w:r>
          </w:p>
        </w:tc>
      </w:tr>
      <w:tr>
        <w:tc>
          <w:tcPr>
            <w:tcW w:w="1758" w:type="dxa"/>
          </w:tcPr>
          <w:p>
            <w:pPr>
              <w:pStyle w:val="Compact"/>
              <w:spacing w:after="40"/>
              <w:jc w:val="left"/>
            </w:pPr>
            <w:r>
              <w:rPr>
                <w:sz w:val="18"/>
              </w:rPr>
              <w:t xml:space="preserve">Intro</w:t>
            </w:r>
          </w:p>
        </w:tc>
        <w:tc>
          <w:tcPr>
            <w:tcW w:w="7880" w:type="dxa"/>
          </w:tcPr>
          <w:p>
            <w:pPr>
              <w:pStyle w:val="Compact"/>
              <w:spacing w:after="40"/>
              <w:jc w:val="left"/>
            </w:pPr>
            <w:r>
              <w:rPr>
                <w:sz w:val="18"/>
              </w:rPr>
              <w:t xml:space="preserve">Who runs the tool (Udofin or the separate entity chosen under G1), what it does and does not do,</w:t>
            </w:r>
            <w:r>
              <w:rPr>
                <w:sz w:val="18"/>
              </w:rPr>
              <w:t xml:space="preserve"> </w:t>
            </w:r>
            <w:r>
              <w:rPr>
                <w:sz w:val="18"/>
              </w:rPr>
              <w:t xml:space="preserve">“</w:t>
            </w:r>
            <w:r>
              <w:rPr>
                <w:sz w:val="18"/>
              </w:rPr>
              <w:t xml:space="preserve">this is not part of any loan and no lender will see it</w:t>
            </w:r>
            <w:r>
              <w:rPr>
                <w:sz w:val="18"/>
              </w:rPr>
              <w:t xml:space="preserve">”</w:t>
            </w:r>
            <w:r>
              <w:rPr>
                <w:sz w:val="18"/>
              </w:rPr>
              <w:t xml:space="preserve">;</w:t>
            </w:r>
            <w:r>
              <w:rPr>
                <w:sz w:val="18"/>
              </w:rPr>
              <w:t xml:space="preserve"> </w:t>
            </w:r>
            <w:r>
              <w:rPr>
                <w:bCs/>
                <w:b/>
                <w:sz w:val="18"/>
              </w:rPr>
              <w:t xml:space="preserve">Not now</w:t>
            </w:r>
            <w:r>
              <w:rPr>
                <w:sz w:val="18"/>
              </w:rPr>
              <w:t xml:space="preserve"> </w:t>
            </w:r>
            <w:r>
              <w:rPr>
                <w:sz w:val="18"/>
              </w:rPr>
              <w:t xml:space="preserve">and</w:t>
            </w:r>
            <w:r>
              <w:rPr>
                <w:sz w:val="18"/>
              </w:rPr>
              <w:t xml:space="preserve"> </w:t>
            </w:r>
            <w:r>
              <w:rPr>
                <w:bCs/>
                <w:b/>
                <w:sz w:val="18"/>
              </w:rPr>
              <w:t xml:space="preserve">Continue</w:t>
            </w:r>
            <w:r>
              <w:rPr>
                <w:sz w:val="18"/>
              </w:rPr>
              <w:t xml:space="preserve"> </w:t>
            </w:r>
            <w:r>
              <w:rPr>
                <w:sz w:val="18"/>
              </w:rPr>
              <w:t xml:space="preserve">with equal weight</w:t>
            </w:r>
          </w:p>
        </w:tc>
      </w:tr>
      <w:tr>
        <w:tc>
          <w:tcPr>
            <w:tcW w:w="1758" w:type="dxa"/>
          </w:tcPr>
          <w:p>
            <w:pPr>
              <w:pStyle w:val="Compact"/>
              <w:spacing w:after="40"/>
              <w:jc w:val="left"/>
            </w:pPr>
            <w:r>
              <w:rPr>
                <w:sz w:val="18"/>
              </w:rPr>
              <w:t xml:space="preserve">Notice</w:t>
            </w:r>
          </w:p>
        </w:tc>
        <w:tc>
          <w:tcPr>
            <w:tcW w:w="7880" w:type="dxa"/>
          </w:tcPr>
          <w:p>
            <w:pPr>
              <w:pStyle w:val="Compact"/>
              <w:spacing w:after="40"/>
              <w:jc w:val="left"/>
            </w:pPr>
            <w:r>
              <w:rPr>
                <w:sz w:val="18"/>
              </w:rPr>
              <w:t xml:space="preserve">Stand-alone DPDP notice for that tool (Rules r.3), itemised, in the chosen language, with the withdrawal route</w:t>
            </w:r>
          </w:p>
        </w:tc>
      </w:tr>
      <w:tr>
        <w:tc>
          <w:tcPr>
            <w:tcW w:w="1758" w:type="dxa"/>
          </w:tcPr>
          <w:p>
            <w:pPr>
              <w:pStyle w:val="Compact"/>
              <w:spacing w:after="40"/>
              <w:jc w:val="left"/>
            </w:pPr>
            <w:r>
              <w:rPr>
                <w:sz w:val="18"/>
              </w:rPr>
              <w:t xml:space="preserve">Consent</w:t>
            </w:r>
          </w:p>
        </w:tc>
        <w:tc>
          <w:tcPr>
            <w:tcW w:w="7880" w:type="dxa"/>
          </w:tcPr>
          <w:p>
            <w:pPr>
              <w:pStyle w:val="Compact"/>
              <w:spacing w:after="40"/>
              <w:jc w:val="left"/>
            </w:pPr>
            <w:r>
              <w:rPr>
                <w:sz w:val="18"/>
              </w:rPr>
              <w:t xml:space="preserve">One screen per tool; each purpose a separate switch, all off by default; marketing use a separate tick; consent is recorded only on an explicit</w:t>
            </w:r>
            <w:r>
              <w:rPr>
                <w:sz w:val="18"/>
              </w:rPr>
              <w:t xml:space="preserve"> </w:t>
            </w:r>
            <w:r>
              <w:rPr>
                <w:bCs/>
                <w:b/>
                <w:sz w:val="18"/>
              </w:rPr>
              <w:t xml:space="preserve">Agree</w:t>
            </w:r>
            <w:r>
              <w:rPr>
                <w:sz w:val="18"/>
              </w:rPr>
              <w:t xml:space="preserve"> </w:t>
            </w:r>
            <w:r>
              <w:rPr>
                <w:sz w:val="18"/>
              </w:rPr>
              <w:t xml:space="preserve">(no scroll-to-accept, no pre-ticks); a loan consent can never be reused or bundled</w:t>
            </w:r>
          </w:p>
        </w:tc>
      </w:tr>
      <w:tr>
        <w:tc>
          <w:tcPr>
            <w:tcW w:w="1758" w:type="dxa"/>
          </w:tcPr>
          <w:p>
            <w:pPr>
              <w:pStyle w:val="Compact"/>
              <w:spacing w:after="40"/>
              <w:jc w:val="left"/>
            </w:pPr>
            <w:r>
              <w:rPr>
                <w:sz w:val="18"/>
              </w:rPr>
              <w:t xml:space="preserve">Activation</w:t>
            </w:r>
          </w:p>
        </w:tc>
        <w:tc>
          <w:tcPr>
            <w:tcW w:w="7880" w:type="dxa"/>
          </w:tcPr>
          <w:p>
            <w:pPr>
              <w:pStyle w:val="Compact"/>
              <w:spacing w:after="40"/>
              <w:jc w:val="left"/>
            </w:pPr>
            <w:r>
              <w:rPr>
                <w:sz w:val="18"/>
              </w:rPr>
              <w:t xml:space="preserve">FW1 needs CIC authentication; FW3 needs a first entry or upload; FW2 needs nothing</w:t>
            </w:r>
          </w:p>
        </w:tc>
      </w:tr>
      <w:tr>
        <w:tc>
          <w:tcPr>
            <w:tcW w:w="1758" w:type="dxa"/>
          </w:tcPr>
          <w:p>
            <w:pPr>
              <w:pStyle w:val="Compact"/>
              <w:spacing w:after="40"/>
              <w:jc w:val="left"/>
            </w:pPr>
            <w:r>
              <w:rPr>
                <w:sz w:val="18"/>
              </w:rPr>
              <w:t xml:space="preserve">Pause</w:t>
            </w:r>
          </w:p>
        </w:tc>
        <w:tc>
          <w:tcPr>
            <w:tcW w:w="7880" w:type="dxa"/>
          </w:tcPr>
          <w:p>
            <w:pPr>
              <w:pStyle w:val="Compact"/>
              <w:spacing w:after="40"/>
              <w:jc w:val="left"/>
            </w:pPr>
            <w:r>
              <w:rPr>
                <w:sz w:val="18"/>
              </w:rPr>
              <w:t xml:space="preserve">Stops pulls, alerts and imports; data kept; resume is one tap</w:t>
            </w:r>
          </w:p>
        </w:tc>
      </w:tr>
      <w:tr>
        <w:tc>
          <w:tcPr>
            <w:tcW w:w="1758" w:type="dxa"/>
          </w:tcPr>
          <w:p>
            <w:pPr>
              <w:pStyle w:val="Compact"/>
              <w:spacing w:after="40"/>
              <w:jc w:val="left"/>
            </w:pPr>
            <w:r>
              <w:rPr>
                <w:sz w:val="18"/>
              </w:rPr>
              <w:t xml:space="preserve">Withdrawal</w:t>
            </w:r>
          </w:p>
        </w:tc>
        <w:tc>
          <w:tcPr>
            <w:tcW w:w="7880" w:type="dxa"/>
          </w:tcPr>
          <w:p>
            <w:pPr>
              <w:pStyle w:val="Compact"/>
              <w:spacing w:after="40"/>
              <w:jc w:val="left"/>
            </w:pPr>
            <w:r>
              <w:rPr>
                <w:sz w:val="18"/>
              </w:rPr>
              <w:t xml:space="preserve">One tap in</w:t>
            </w:r>
            <w:r>
              <w:rPr>
                <w:sz w:val="18"/>
              </w:rPr>
              <w:t xml:space="preserve"> </w:t>
            </w:r>
            <w:r>
              <w:rPr>
                <w:bCs/>
                <w:b/>
                <w:sz w:val="18"/>
              </w:rPr>
              <w:t xml:space="preserve">Account › Money tools › Privacy and data</w:t>
            </w:r>
            <w:r>
              <w:rPr>
                <w:sz w:val="18"/>
              </w:rPr>
              <w:t xml:space="preserve">; processing stops at once, purge per the retention rule (within 30 days for delete-all) and a receipt is sent; the loan account is untouched</w:t>
            </w:r>
          </w:p>
        </w:tc>
      </w:tr>
      <w:tr>
        <w:tc>
          <w:tcPr>
            <w:tcW w:w="1758" w:type="dxa"/>
          </w:tcPr>
          <w:p>
            <w:pPr>
              <w:pStyle w:val="Compact"/>
              <w:spacing w:after="40"/>
              <w:jc w:val="left"/>
            </w:pPr>
            <w:r>
              <w:rPr>
                <w:sz w:val="18"/>
              </w:rPr>
              <w:t xml:space="preserve">Renewal</w:t>
            </w:r>
          </w:p>
        </w:tc>
        <w:tc>
          <w:tcPr>
            <w:tcW w:w="7880" w:type="dxa"/>
          </w:tcPr>
          <w:p>
            <w:pPr>
              <w:pStyle w:val="Compact"/>
              <w:spacing w:after="40"/>
              <w:jc w:val="left"/>
            </w:pPr>
            <w:r>
              <w:rPr>
                <w:sz w:val="18"/>
              </w:rPr>
              <w:t xml:space="preserve">At term end a fresh consent and, for FW1, fresh CIC authentication; no silent extension</w:t>
            </w:r>
          </w:p>
        </w:tc>
      </w:tr>
    </w:tbl>
    <w:bookmarkEnd w:id="239"/>
    <w:bookmarkStart w:id="240" w:name="usage-bans-hard-coded-not-configurable"/>
    <w:p>
      <w:pPr>
        <w:pStyle w:val="Heading3"/>
      </w:pPr>
      <w:r>
        <w:t xml:space="preserve">Usage bans (hard-coded, not configurable)</w:t>
      </w:r>
    </w:p>
    <w:p>
      <w:pPr>
        <w:pStyle w:val="FirstParagraph"/>
      </w:pPr>
      <w:r>
        <w:t xml:space="preserve">Wellness data is never:</w:t>
      </w:r>
    </w:p>
    <w:p>
      <w:pPr>
        <w:numPr>
          <w:ilvl w:val="0"/>
          <w:numId w:val="1135"/>
        </w:numPr>
        <w:pStyle w:val="Compact"/>
      </w:pPr>
      <w:r>
        <w:t xml:space="preserve">an input to matching, ranking, pre-qualification, eligibility, pricing, underwriting or limit decisions (CF para 7(4) neutrality; CF para 8; Part 4.6);</w:t>
      </w:r>
    </w:p>
    <w:p>
      <w:pPr>
        <w:numPr>
          <w:ilvl w:val="0"/>
          <w:numId w:val="1135"/>
        </w:numPr>
        <w:pStyle w:val="Compact"/>
      </w:pPr>
      <w:r>
        <w:t xml:space="preserve">sent to any RE or lender, or used in any RE-facing report, event, export pack (UP3) or dashboard, except on the user’s fresh, explicit, item-level consent naming the RE, for a stated purpose, recorded as a separate artefact (CF para 13(4)) — and in v1.2 the only such flow is the user downloading their own report or statement and choosing to attach it to an application as a supporting document;</w:t>
      </w:r>
    </w:p>
    <w:p>
      <w:pPr>
        <w:numPr>
          <w:ilvl w:val="0"/>
          <w:numId w:val="1135"/>
        </w:numPr>
        <w:pStyle w:val="Compact"/>
      </w:pPr>
      <w:r>
        <w:t xml:space="preserve">used for collections, recovery, contact policy, hardship assessment or risk signals to REs (Part 7A; U24 sends no wellness-derived signal);</w:t>
      </w:r>
    </w:p>
    <w:p>
      <w:pPr>
        <w:numPr>
          <w:ilvl w:val="0"/>
          <w:numId w:val="1135"/>
        </w:numPr>
        <w:pStyle w:val="Compact"/>
      </w:pPr>
      <w:r>
        <w:t xml:space="preserve">used to target advertising or promotions for credit products; any non-credit promotion using wellness data needs a separate, specific marketing consent, default No [REC];</w:t>
      </w:r>
    </w:p>
    <w:p>
      <w:pPr>
        <w:numPr>
          <w:ilvl w:val="0"/>
          <w:numId w:val="1135"/>
        </w:numPr>
        <w:pStyle w:val="Compact"/>
      </w:pPr>
      <w:r>
        <w:t xml:space="preserve">used to train models outside the wellness tools without separate consent [REC];</w:t>
      </w:r>
    </w:p>
    <w:p>
      <w:pPr>
        <w:numPr>
          <w:ilvl w:val="0"/>
          <w:numId w:val="1135"/>
        </w:numPr>
        <w:pStyle w:val="Compact"/>
      </w:pPr>
      <w:r>
        <w:t xml:space="preserve">read by AI services other than the wellness tools’ own approved components (U20 inventory entry required).</w:t>
      </w:r>
    </w:p>
    <w:bookmarkEnd w:id="240"/>
    <w:bookmarkStart w:id="241" w:name="subscription-rules-if-g4-is-passed"/>
    <w:p>
      <w:pPr>
        <w:pStyle w:val="Heading3"/>
      </w:pPr>
      <w:r>
        <w:t xml:space="preserve">Subscription rules (if G4 is passed)</w:t>
      </w:r>
    </w:p>
    <w:p>
      <w:pPr>
        <w:numPr>
          <w:ilvl w:val="0"/>
          <w:numId w:val="1136"/>
        </w:numPr>
        <w:pStyle w:val="Compact"/>
      </w:pPr>
      <w:r>
        <w:t xml:space="preserve">Open to borrowers and non-borrowers at the</w:t>
      </w:r>
      <w:r>
        <w:t xml:space="preserve"> </w:t>
      </w:r>
      <w:r>
        <w:rPr>
          <w:bCs/>
          <w:b/>
        </w:rPr>
        <w:t xml:space="preserve">same price</w:t>
      </w:r>
      <w:r>
        <w:t xml:space="preserve">; never a condition of, discount on, or benefit tied to any loan; never mentioned in any KFS, offer or loan communication.</w:t>
      </w:r>
    </w:p>
    <w:p>
      <w:pPr>
        <w:numPr>
          <w:ilvl w:val="0"/>
          <w:numId w:val="1136"/>
        </w:numPr>
        <w:pStyle w:val="Compact"/>
      </w:pPr>
      <w:r>
        <w:t xml:space="preserve">Never funded from a loan, added to a loan amount, deducted from a disbursal or collected through a loan mandate or an RE’s merchant account (CF para 10; RBC Second Amendment rule against loan-funding add-ons without explicit consent, applied as an absolute ban [REC]).</w:t>
      </w:r>
    </w:p>
    <w:p>
      <w:pPr>
        <w:numPr>
          <w:ilvl w:val="0"/>
          <w:numId w:val="1136"/>
        </w:numPr>
        <w:pStyle w:val="Compact"/>
      </w:pPr>
      <w:r>
        <w:t xml:space="preserve">Paid only to Udofin’s own merchant account with a descriptor distinct from any RE (Part 7G RV3); e-mandate or UPI AutoPay renewals follow the RBI E-mandate Directions, 2026 (RBI/DPSS/2026-27/396): pre-debit notice at least 24 hours before each debit, no additional factor of authentication up to ₹15,000 per debit, opt-out at any time, and no charge to the customer for the mandate.</w:t>
      </w:r>
    </w:p>
    <w:p>
      <w:pPr>
        <w:numPr>
          <w:ilvl w:val="0"/>
          <w:numId w:val="1136"/>
        </w:numPr>
        <w:pStyle w:val="Compact"/>
      </w:pPr>
      <w:r>
        <w:t xml:space="preserve">No RE earns, pays or sees anything about the subscription.</w:t>
      </w:r>
    </w:p>
    <w:p>
      <w:pPr>
        <w:numPr>
          <w:ilvl w:val="0"/>
          <w:numId w:val="1136"/>
        </w:numPr>
        <w:pStyle w:val="Compact"/>
      </w:pPr>
      <w:r>
        <w:t xml:space="preserve">GST invoice for every charge and credit note for every refund (UB1 lists them).</w:t>
      </w:r>
    </w:p>
    <w:bookmarkEnd w:id="241"/>
    <w:bookmarkStart w:id="242" w:name="dark-pattern-ban-and-ui-audit"/>
    <w:p>
      <w:pPr>
        <w:pStyle w:val="Heading3"/>
      </w:pPr>
      <w:r>
        <w:t xml:space="preserve">Dark-pattern ban and UI audit</w:t>
      </w:r>
    </w:p>
    <w:p>
      <w:pPr>
        <w:pStyle w:val="FirstParagraph"/>
      </w:pPr>
      <w:r>
        <w:t xml:space="preserve">Every money-tools screen and every billing screen is audited before each release against the CCPA-DP specified patterns: false urgency, basket sneaking, confirm shaming, forced action, subscription trap, interface interference, bait and switch, drip pricing, disguised advertisement, nagging, trick question, SaaS billing and rogue malware [VERIFY: current Annexure 1 list]. Specific rules:</w:t>
      </w:r>
    </w:p>
    <w:p>
      <w:pPr>
        <w:numPr>
          <w:ilvl w:val="0"/>
          <w:numId w:val="1137"/>
        </w:numPr>
        <w:pStyle w:val="Compact"/>
      </w:pPr>
      <w:r>
        <w:t xml:space="preserve">price including GST shown before any commitment; no hidden renewals; no pre-ticked boxes;</w:t>
      </w:r>
    </w:p>
    <w:p>
      <w:pPr>
        <w:numPr>
          <w:ilvl w:val="0"/>
          <w:numId w:val="1137"/>
        </w:numPr>
        <w:pStyle w:val="Compact"/>
      </w:pPr>
      <w:r>
        <w:t xml:space="preserve">cancellation from Settings in at most two taps, with no retention offer blocking the confirm button;</w:t>
      </w:r>
    </w:p>
    <w:p>
      <w:pPr>
        <w:numPr>
          <w:ilvl w:val="0"/>
          <w:numId w:val="1137"/>
        </w:numPr>
        <w:pStyle w:val="Compact"/>
      </w:pPr>
      <w:r>
        <w:t xml:space="preserve">a free trial converts to paid only on an explicit confirmation at the end of the trial [REC]; renewal reminder at least 7 days before each annual renewal [REC];</w:t>
      </w:r>
    </w:p>
    <w:p>
      <w:pPr>
        <w:numPr>
          <w:ilvl w:val="0"/>
          <w:numId w:val="1137"/>
        </w:numPr>
        <w:pStyle w:val="Compact"/>
      </w:pPr>
      <w:r>
        <w:t xml:space="preserve">no countdown timers, scarcity claims or</w:t>
      </w:r>
      <w:r>
        <w:t xml:space="preserve"> </w:t>
      </w:r>
      <w:r>
        <w:t xml:space="preserve">“</w:t>
      </w:r>
      <w:r>
        <w:t xml:space="preserve">most users choose</w:t>
      </w:r>
      <w:r>
        <w:t xml:space="preserve">”</w:t>
      </w:r>
      <w:r>
        <w:t xml:space="preserve"> </w:t>
      </w:r>
      <w:r>
        <w:t xml:space="preserve">nudges;</w:t>
      </w:r>
    </w:p>
    <w:p>
      <w:pPr>
        <w:numPr>
          <w:ilvl w:val="0"/>
          <w:numId w:val="1137"/>
        </w:numPr>
        <w:pStyle w:val="Compact"/>
      </w:pPr>
      <w:r>
        <w:t xml:space="preserve">declining a tool never degrades the loan journey or the free tier;</w:t>
      </w:r>
    </w:p>
    <w:p>
      <w:pPr>
        <w:numPr>
          <w:ilvl w:val="0"/>
          <w:numId w:val="1137"/>
        </w:numPr>
        <w:pStyle w:val="Compact"/>
      </w:pPr>
      <w:r>
        <w:t xml:space="preserve">advertisements, if any (Part 7G RV4), are labelled and never placed in credit or loan flows (CF para 7(4)).</w:t>
      </w:r>
    </w:p>
    <w:bookmarkEnd w:id="242"/>
    <w:bookmarkStart w:id="243" w:name="separation-audit-and-evidence"/>
    <w:p>
      <w:pPr>
        <w:pStyle w:val="Heading3"/>
      </w:pPr>
      <w:r>
        <w:t xml:space="preserve">Separation audit and evidence</w:t>
      </w:r>
    </w:p>
    <w:p>
      <w:pPr>
        <w:numPr>
          <w:ilvl w:val="0"/>
          <w:numId w:val="1138"/>
        </w:numPr>
        <w:pStyle w:val="Compact"/>
      </w:pPr>
      <w:r>
        <w:rPr>
          <w:bCs/>
          <w:b/>
        </w:rPr>
        <w:t xml:space="preserve">Quarterly separation audit:</w:t>
      </w:r>
      <w:r>
        <w:t xml:space="preserve"> </w:t>
      </w:r>
      <w:r>
        <w:t xml:space="preserve">database access logs prove that no service outside the wellness tools read the wellness store; any finding is a severity-2 incident [REC].</w:t>
      </w:r>
    </w:p>
    <w:p>
      <w:pPr>
        <w:numPr>
          <w:ilvl w:val="0"/>
          <w:numId w:val="1138"/>
        </w:numPr>
        <w:pStyle w:val="Compact"/>
      </w:pPr>
      <w:r>
        <w:rPr>
          <w:bCs/>
          <w:b/>
        </w:rPr>
        <w:t xml:space="preserve">Results</w:t>
      </w:r>
      <w:r>
        <w:t xml:space="preserve"> </w:t>
      </w:r>
      <w:r>
        <w:t xml:space="preserve">go to Udofin’s compliance committee and into the UP1 due-diligence pack as a declaration that add-ons are separate and that no RE data feeds them.</w:t>
      </w:r>
    </w:p>
    <w:p>
      <w:pPr>
        <w:numPr>
          <w:ilvl w:val="0"/>
          <w:numId w:val="1138"/>
        </w:numPr>
        <w:pStyle w:val="Compact"/>
      </w:pPr>
      <w:r>
        <w:rPr>
          <w:bCs/>
          <w:b/>
        </w:rPr>
        <w:t xml:space="preserve">Breach handling</w:t>
      </w:r>
      <w:r>
        <w:t xml:space="preserve"> </w:t>
      </w:r>
      <w:r>
        <w:t xml:space="preserve">for the wellness store follows DPDP Rules r.7 with Udofin as fiduciary (U24).</w:t>
      </w:r>
    </w:p>
    <w:bookmarkEnd w:id="243"/>
    <w:bookmarkStart w:id="244" w:name="settings-and-options-11"/>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75"/>
        <w:gridCol w:w="1816"/>
        <w:gridCol w:w="1483"/>
        <w:gridCol w:w="3864"/>
      </w:tblGrid>
      <w:tr>
        <w:trPr>
          <w:tblHeader w:val="true"/>
          <w:tblHeader w:val="true"/>
        </w:trPr>
        <w:tc>
          <w:tcPr>
            <w:tcW w:w="2475" w:type="dxa"/>
            <w:shd w:val="clear" w:color="auto" w:fill="1F3A5F"/>
          </w:tcPr>
          <w:p>
            <w:pPr>
              <w:pStyle w:val="Compact"/>
              <w:spacing w:after="40"/>
              <w:jc w:val="left"/>
            </w:pPr>
            <w:r>
              <w:rPr>
                <w:b/>
                <w:color w:val="FFFFFF"/>
                <w:sz w:val="18"/>
              </w:rPr>
              <w:t xml:space="preserve">Setting</w:t>
            </w:r>
          </w:p>
        </w:tc>
        <w:tc>
          <w:tcPr>
            <w:tcW w:w="1816" w:type="dxa"/>
            <w:shd w:val="clear" w:color="auto" w:fill="1F3A5F"/>
          </w:tcPr>
          <w:p>
            <w:pPr>
              <w:pStyle w:val="Compact"/>
              <w:spacing w:after="40"/>
              <w:jc w:val="left"/>
            </w:pPr>
            <w:r>
              <w:rPr>
                <w:b/>
                <w:color w:val="FFFFFF"/>
                <w:sz w:val="18"/>
              </w:rPr>
              <w:t xml:space="preserve">Level</w:t>
            </w:r>
          </w:p>
        </w:tc>
        <w:tc>
          <w:tcPr>
            <w:tcW w:w="1483" w:type="dxa"/>
            <w:shd w:val="clear" w:color="auto" w:fill="1F3A5F"/>
          </w:tcPr>
          <w:p>
            <w:pPr>
              <w:pStyle w:val="Compact"/>
              <w:spacing w:after="40"/>
              <w:jc w:val="left"/>
            </w:pPr>
            <w:r>
              <w:rPr>
                <w:b/>
                <w:color w:val="FFFFFF"/>
                <w:sz w:val="18"/>
              </w:rPr>
              <w:t xml:space="preserve">Default</w:t>
            </w:r>
          </w:p>
        </w:tc>
        <w:tc>
          <w:tcPr>
            <w:tcW w:w="3864" w:type="dxa"/>
            <w:shd w:val="clear" w:color="auto" w:fill="1F3A5F"/>
          </w:tcPr>
          <w:p>
            <w:pPr>
              <w:pStyle w:val="Compact"/>
              <w:spacing w:after="40"/>
              <w:jc w:val="left"/>
            </w:pPr>
            <w:r>
              <w:rPr>
                <w:b/>
                <w:color w:val="FFFFFF"/>
                <w:sz w:val="18"/>
              </w:rPr>
              <w:t xml:space="preserve">Nature</w:t>
            </w:r>
          </w:p>
        </w:tc>
      </w:tr>
      <w:tr>
        <w:tc>
          <w:tcPr>
            <w:tcW w:w="2475" w:type="dxa"/>
          </w:tcPr>
          <w:p>
            <w:pPr>
              <w:pStyle w:val="Compact"/>
              <w:spacing w:after="40"/>
              <w:jc w:val="left"/>
            </w:pPr>
            <w:r>
              <w:rPr>
                <w:rStyle w:val="VerbatimChar"/>
                <w:sz w:val="18"/>
              </w:rPr>
              <w:t xml:space="preserve">addons.wellness</w:t>
            </w:r>
          </w:p>
        </w:tc>
        <w:tc>
          <w:tcPr>
            <w:tcW w:w="1816" w:type="dxa"/>
          </w:tcPr>
          <w:p>
            <w:pPr>
              <w:pStyle w:val="Compact"/>
              <w:spacing w:after="40"/>
              <w:jc w:val="left"/>
            </w:pPr>
            <w:r>
              <w:rPr>
                <w:sz w:val="18"/>
              </w:rPr>
              <w:t xml:space="preserve">Platform (production)</w:t>
            </w:r>
          </w:p>
        </w:tc>
        <w:tc>
          <w:tcPr>
            <w:tcW w:w="1483" w:type="dxa"/>
          </w:tcPr>
          <w:p>
            <w:pPr>
              <w:pStyle w:val="Compact"/>
              <w:spacing w:after="40"/>
              <w:jc w:val="left"/>
            </w:pPr>
            <w:r>
              <w:rPr>
                <w:sz w:val="18"/>
              </w:rPr>
              <w:t xml:space="preserve">Off</w:t>
            </w:r>
          </w:p>
        </w:tc>
        <w:tc>
          <w:tcPr>
            <w:tcW w:w="3864" w:type="dxa"/>
          </w:tcPr>
          <w:p>
            <w:pPr>
              <w:pStyle w:val="Compact"/>
              <w:spacing w:after="40"/>
              <w:jc w:val="left"/>
            </w:pPr>
            <w:r>
              <w:rPr>
                <w:sz w:val="18"/>
              </w:rPr>
              <w:t xml:space="preserve">Cannot be enabled while G1 or G2 is missing or G5 has lapsed; FW1 and FW2 also need G3 (FW-C13)</w:t>
            </w:r>
          </w:p>
        </w:tc>
      </w:tr>
      <w:tr>
        <w:tc>
          <w:tcPr>
            <w:tcW w:w="2475" w:type="dxa"/>
          </w:tcPr>
          <w:p>
            <w:pPr>
              <w:pStyle w:val="Compact"/>
              <w:spacing w:after="40"/>
              <w:jc w:val="left"/>
            </w:pPr>
            <w:r>
              <w:rPr>
                <w:sz w:val="18"/>
              </w:rPr>
              <w:t xml:space="preserve">Paid plans</w:t>
            </w:r>
          </w:p>
        </w:tc>
        <w:tc>
          <w:tcPr>
            <w:tcW w:w="1816" w:type="dxa"/>
          </w:tcPr>
          <w:p>
            <w:pPr>
              <w:pStyle w:val="Compact"/>
              <w:spacing w:after="40"/>
              <w:jc w:val="left"/>
            </w:pPr>
            <w:r>
              <w:rPr>
                <w:sz w:val="18"/>
              </w:rPr>
              <w:t xml:space="preserve">Platform</w:t>
            </w:r>
          </w:p>
        </w:tc>
        <w:tc>
          <w:tcPr>
            <w:tcW w:w="1483" w:type="dxa"/>
          </w:tcPr>
          <w:p>
            <w:pPr>
              <w:pStyle w:val="Compact"/>
              <w:spacing w:after="40"/>
              <w:jc w:val="left"/>
            </w:pPr>
            <w:r>
              <w:rPr>
                <w:sz w:val="18"/>
              </w:rPr>
              <w:t xml:space="preserve">Off</w:t>
            </w:r>
          </w:p>
        </w:tc>
        <w:tc>
          <w:tcPr>
            <w:tcW w:w="3864" w:type="dxa"/>
          </w:tcPr>
          <w:p>
            <w:pPr>
              <w:pStyle w:val="Compact"/>
              <w:spacing w:after="40"/>
              <w:jc w:val="left"/>
            </w:pPr>
            <w:r>
              <w:rPr>
                <w:sz w:val="18"/>
              </w:rPr>
              <w:t xml:space="preserve">Need G4 and an ACTIVE S09 stream (RV1)</w:t>
            </w:r>
          </w:p>
        </w:tc>
      </w:tr>
      <w:tr>
        <w:tc>
          <w:tcPr>
            <w:tcW w:w="2475" w:type="dxa"/>
          </w:tcPr>
          <w:p>
            <w:pPr>
              <w:pStyle w:val="Compact"/>
              <w:spacing w:after="40"/>
              <w:jc w:val="left"/>
            </w:pPr>
            <w:r>
              <w:rPr>
                <w:sz w:val="18"/>
              </w:rPr>
              <w:t xml:space="preserve">Each consent purpose</w:t>
            </w:r>
          </w:p>
        </w:tc>
        <w:tc>
          <w:tcPr>
            <w:tcW w:w="1816" w:type="dxa"/>
          </w:tcPr>
          <w:p>
            <w:pPr>
              <w:pStyle w:val="Compact"/>
              <w:spacing w:after="40"/>
              <w:jc w:val="left"/>
            </w:pPr>
            <w:r>
              <w:rPr>
                <w:sz w:val="18"/>
              </w:rPr>
              <w:t xml:space="preserve">User</w:t>
            </w:r>
          </w:p>
        </w:tc>
        <w:tc>
          <w:tcPr>
            <w:tcW w:w="1483" w:type="dxa"/>
          </w:tcPr>
          <w:p>
            <w:pPr>
              <w:pStyle w:val="Compact"/>
              <w:spacing w:after="40"/>
              <w:jc w:val="left"/>
            </w:pPr>
            <w:r>
              <w:rPr>
                <w:sz w:val="18"/>
              </w:rPr>
              <w:t xml:space="preserve">No</w:t>
            </w:r>
          </w:p>
        </w:tc>
        <w:tc>
          <w:tcPr>
            <w:tcW w:w="3864" w:type="dxa"/>
          </w:tcPr>
          <w:p>
            <w:pPr>
              <w:pStyle w:val="Compact"/>
              <w:spacing w:after="40"/>
              <w:jc w:val="left"/>
            </w:pPr>
            <w:r>
              <w:rPr>
                <w:sz w:val="18"/>
              </w:rPr>
              <w:t xml:space="preserve">Regulatory floor (default No; DPDP; RBC Second Amendment applied by analogy)</w:t>
            </w:r>
          </w:p>
        </w:tc>
      </w:tr>
      <w:tr>
        <w:tc>
          <w:tcPr>
            <w:tcW w:w="2475" w:type="dxa"/>
          </w:tcPr>
          <w:p>
            <w:pPr>
              <w:pStyle w:val="Compact"/>
              <w:spacing w:after="40"/>
              <w:jc w:val="left"/>
            </w:pPr>
            <w:r>
              <w:rPr>
                <w:sz w:val="18"/>
              </w:rPr>
              <w:t xml:space="preserve">Re-prompt after decline</w:t>
            </w:r>
          </w:p>
        </w:tc>
        <w:tc>
          <w:tcPr>
            <w:tcW w:w="1816" w:type="dxa"/>
          </w:tcPr>
          <w:p>
            <w:pPr>
              <w:pStyle w:val="Compact"/>
              <w:spacing w:after="40"/>
              <w:jc w:val="left"/>
            </w:pPr>
            <w:r>
              <w:rPr>
                <w:sz w:val="18"/>
              </w:rPr>
              <w:t xml:space="preserve">Platform</w:t>
            </w:r>
          </w:p>
        </w:tc>
        <w:tc>
          <w:tcPr>
            <w:tcW w:w="1483" w:type="dxa"/>
          </w:tcPr>
          <w:p>
            <w:pPr>
              <w:pStyle w:val="Compact"/>
              <w:spacing w:after="40"/>
              <w:jc w:val="left"/>
            </w:pPr>
            <w:r>
              <w:rPr>
                <w:sz w:val="18"/>
              </w:rPr>
              <w:t xml:space="preserve">90 days</w:t>
            </w:r>
          </w:p>
        </w:tc>
        <w:tc>
          <w:tcPr>
            <w:tcW w:w="3864" w:type="dxa"/>
          </w:tcPr>
          <w:p>
            <w:pPr>
              <w:pStyle w:val="Compact"/>
              <w:spacing w:after="40"/>
              <w:jc w:val="left"/>
            </w:pPr>
            <w:r>
              <w:rPr>
                <w:sz w:val="18"/>
              </w:rPr>
              <w:t xml:space="preserve">Commercial [REC]; never inside a loan screen</w:t>
            </w:r>
          </w:p>
        </w:tc>
      </w:tr>
      <w:tr>
        <w:tc>
          <w:tcPr>
            <w:tcW w:w="2475" w:type="dxa"/>
          </w:tcPr>
          <w:p>
            <w:pPr>
              <w:pStyle w:val="Compact"/>
              <w:spacing w:after="40"/>
              <w:jc w:val="left"/>
            </w:pPr>
            <w:r>
              <w:rPr>
                <w:sz w:val="18"/>
              </w:rPr>
              <w:t xml:space="preserve">Delete-all purge</w:t>
            </w:r>
          </w:p>
        </w:tc>
        <w:tc>
          <w:tcPr>
            <w:tcW w:w="1816" w:type="dxa"/>
          </w:tcPr>
          <w:p>
            <w:pPr>
              <w:pStyle w:val="Compact"/>
              <w:spacing w:after="40"/>
              <w:jc w:val="left"/>
            </w:pPr>
            <w:r>
              <w:rPr>
                <w:sz w:val="18"/>
              </w:rPr>
              <w:t xml:space="preserve">Platform</w:t>
            </w:r>
          </w:p>
        </w:tc>
        <w:tc>
          <w:tcPr>
            <w:tcW w:w="1483" w:type="dxa"/>
          </w:tcPr>
          <w:p>
            <w:pPr>
              <w:pStyle w:val="Compact"/>
              <w:spacing w:after="40"/>
              <w:jc w:val="left"/>
            </w:pPr>
            <w:r>
              <w:rPr>
                <w:sz w:val="18"/>
              </w:rPr>
              <w:t xml:space="preserve">Within 30 days</w:t>
            </w:r>
          </w:p>
        </w:tc>
        <w:tc>
          <w:tcPr>
            <w:tcW w:w="3864" w:type="dxa"/>
          </w:tcPr>
          <w:p>
            <w:pPr>
              <w:pStyle w:val="Compact"/>
              <w:spacing w:after="40"/>
              <w:jc w:val="left"/>
            </w:pPr>
            <w:r>
              <w:rPr>
                <w:sz w:val="18"/>
              </w:rPr>
              <w:t xml:space="preserve">Floor [REC]</w:t>
            </w:r>
          </w:p>
        </w:tc>
      </w:tr>
      <w:tr>
        <w:tc>
          <w:tcPr>
            <w:tcW w:w="2475" w:type="dxa"/>
          </w:tcPr>
          <w:p>
            <w:pPr>
              <w:pStyle w:val="Compact"/>
              <w:spacing w:after="40"/>
              <w:jc w:val="left"/>
            </w:pPr>
            <w:r>
              <w:rPr>
                <w:sz w:val="18"/>
              </w:rPr>
              <w:t xml:space="preserve">Separation audit</w:t>
            </w:r>
          </w:p>
        </w:tc>
        <w:tc>
          <w:tcPr>
            <w:tcW w:w="1816" w:type="dxa"/>
          </w:tcPr>
          <w:p>
            <w:pPr>
              <w:pStyle w:val="Compact"/>
              <w:spacing w:after="40"/>
              <w:jc w:val="left"/>
            </w:pPr>
            <w:r>
              <w:rPr>
                <w:sz w:val="18"/>
              </w:rPr>
              <w:t xml:space="preserve">Platform</w:t>
            </w:r>
          </w:p>
        </w:tc>
        <w:tc>
          <w:tcPr>
            <w:tcW w:w="1483" w:type="dxa"/>
          </w:tcPr>
          <w:p>
            <w:pPr>
              <w:pStyle w:val="Compact"/>
              <w:spacing w:after="40"/>
              <w:jc w:val="left"/>
            </w:pPr>
            <w:r>
              <w:rPr>
                <w:sz w:val="18"/>
              </w:rPr>
              <w:t xml:space="preserve">Quarterly</w:t>
            </w:r>
          </w:p>
        </w:tc>
        <w:tc>
          <w:tcPr>
            <w:tcW w:w="3864" w:type="dxa"/>
          </w:tcPr>
          <w:p>
            <w:pPr>
              <w:pStyle w:val="Compact"/>
              <w:spacing w:after="40"/>
              <w:jc w:val="left"/>
            </w:pPr>
            <w:r>
              <w:rPr>
                <w:sz w:val="18"/>
              </w:rPr>
              <w:t xml:space="preserve">Tighten only</w:t>
            </w:r>
          </w:p>
        </w:tc>
      </w:tr>
      <w:tr>
        <w:tc>
          <w:tcPr>
            <w:tcW w:w="2475" w:type="dxa"/>
          </w:tcPr>
          <w:p>
            <w:pPr>
              <w:pStyle w:val="Compact"/>
              <w:spacing w:after="40"/>
              <w:jc w:val="left"/>
            </w:pPr>
            <w:r>
              <w:rPr>
                <w:sz w:val="18"/>
              </w:rPr>
              <w:t xml:space="preserve">RE access, sponsorship or configuration</w:t>
            </w:r>
          </w:p>
        </w:tc>
        <w:tc>
          <w:tcPr>
            <w:tcW w:w="1816" w:type="dxa"/>
          </w:tcPr>
          <w:p>
            <w:pPr>
              <w:pStyle w:val="Compact"/>
              <w:spacing w:after="40"/>
              <w:jc w:val="left"/>
            </w:pPr>
            <w:r>
              <w:rPr>
                <w:sz w:val="18"/>
              </w:rPr>
              <w:t xml:space="preserve">Deal</w:t>
            </w:r>
          </w:p>
        </w:tc>
        <w:tc>
          <w:tcPr>
            <w:tcW w:w="1483" w:type="dxa"/>
          </w:tcPr>
          <w:p>
            <w:pPr>
              <w:pStyle w:val="Compact"/>
              <w:spacing w:after="40"/>
              <w:jc w:val="left"/>
            </w:pPr>
            <w:r>
              <w:rPr>
                <w:sz w:val="18"/>
              </w:rPr>
              <w:t xml:space="preserve">None exists</w:t>
            </w:r>
          </w:p>
        </w:tc>
        <w:tc>
          <w:tcPr>
            <w:tcW w:w="3864" w:type="dxa"/>
          </w:tcPr>
          <w:p>
            <w:pPr>
              <w:pStyle w:val="Compact"/>
              <w:spacing w:after="40"/>
              <w:jc w:val="left"/>
            </w:pPr>
            <w:r>
              <w:rPr>
                <w:sz w:val="18"/>
              </w:rPr>
              <w:t xml:space="preserve">Hard block (UP2 section 12)</w:t>
            </w:r>
          </w:p>
        </w:tc>
      </w:tr>
    </w:tbl>
    <w:bookmarkEnd w:id="244"/>
    <w:bookmarkStart w:id="245" w:name="menu-and-screens-12"/>
    <w:p>
      <w:pPr>
        <w:pStyle w:val="Heading3"/>
      </w:pPr>
      <w:r>
        <w:t xml:space="preserve">Menu and screens</w:t>
      </w:r>
    </w:p>
    <w:p>
      <w:pPr>
        <w:numPr>
          <w:ilvl w:val="0"/>
          <w:numId w:val="1139"/>
        </w:numPr>
        <w:pStyle w:val="Compact"/>
      </w:pPr>
      <w:r>
        <w:rPr>
          <w:bCs/>
          <w:b/>
        </w:rPr>
        <w:t xml:space="preserve">Account › Money tools</w:t>
      </w:r>
      <w:r>
        <w:t xml:space="preserve"> </w:t>
      </w:r>
      <w:r>
        <w:t xml:space="preserve">(A, B): landing with the three tools, each showing status (not started, active, paused) and</w:t>
      </w:r>
      <w:r>
        <w:t xml:space="preserve"> </w:t>
      </w:r>
      <w:r>
        <w:rPr>
          <w:bCs/>
          <w:b/>
        </w:rPr>
        <w:t xml:space="preserve">Start</w:t>
      </w:r>
      <w:r>
        <w:t xml:space="preserve"> </w:t>
      </w:r>
      <w:r>
        <w:t xml:space="preserve">or</w:t>
      </w:r>
      <w:r>
        <w:t xml:space="preserve"> </w:t>
      </w:r>
      <w:r>
        <w:rPr>
          <w:bCs/>
          <w:b/>
        </w:rPr>
        <w:t xml:space="preserve">Open</w:t>
      </w:r>
      <w:r>
        <w:t xml:space="preserve">; the opt-in wizard above.</w:t>
      </w:r>
    </w:p>
    <w:p>
      <w:pPr>
        <w:numPr>
          <w:ilvl w:val="0"/>
          <w:numId w:val="1139"/>
        </w:numPr>
        <w:pStyle w:val="Compact"/>
      </w:pPr>
      <w:r>
        <w:rPr>
          <w:bCs/>
          <w:b/>
        </w:rPr>
        <w:t xml:space="preserve">Account › Money tools › Privacy and data</w:t>
      </w:r>
      <w:r>
        <w:t xml:space="preserve">: consents per tool with</w:t>
      </w:r>
      <w:r>
        <w:t xml:space="preserve"> </w:t>
      </w:r>
      <w:r>
        <w:rPr>
          <w:bCs/>
          <w:b/>
        </w:rPr>
        <w:t xml:space="preserve">Withdraw</w:t>
      </w:r>
      <w:r>
        <w:t xml:space="preserve">, data held,</w:t>
      </w:r>
      <w:r>
        <w:t xml:space="preserve"> </w:t>
      </w:r>
      <w:r>
        <w:rPr>
          <w:bCs/>
          <w:b/>
        </w:rPr>
        <w:t xml:space="preserve">Export</w:t>
      </w:r>
      <w:r>
        <w:t xml:space="preserve"> </w:t>
      </w:r>
      <w:r>
        <w:t xml:space="preserve">(separate wellness package),</w:t>
      </w:r>
      <w:r>
        <w:t xml:space="preserve"> </w:t>
      </w:r>
      <w:r>
        <w:rPr>
          <w:bCs/>
          <w:b/>
        </w:rPr>
        <w:t xml:space="preserve">Delete all</w:t>
      </w:r>
      <w:r>
        <w:t xml:space="preserve">, purge receipts. Billing pages are</w:t>
      </w:r>
      <w:r>
        <w:t xml:space="preserve"> </w:t>
      </w:r>
      <w:r>
        <w:rPr>
          <w:bCs/>
          <w:b/>
        </w:rPr>
        <w:t xml:space="preserve">Account › Plans and billing</w:t>
      </w:r>
      <w:r>
        <w:t xml:space="preserve"> </w:t>
      </w:r>
      <w:r>
        <w:t xml:space="preserve">(Part 7G RV2.3).</w:t>
      </w:r>
    </w:p>
    <w:p>
      <w:pPr>
        <w:numPr>
          <w:ilvl w:val="0"/>
          <w:numId w:val="1139"/>
        </w:numPr>
        <w:pStyle w:val="Compact"/>
      </w:pPr>
      <w:r>
        <w:rPr>
          <w:bCs/>
          <w:b/>
        </w:rPr>
        <w:t xml:space="preserve">Operations portal › Money tools governance</w:t>
      </w:r>
      <w:r>
        <w:t xml:space="preserve"> </w:t>
      </w:r>
      <w:r>
        <w:t xml:space="preserve">(C; compliance and DPO): legality-gate status G1–G5 with evidence and review dates, separation-audit results, dark-pattern audit status per release, purge certificates; no content.</w:t>
      </w:r>
    </w:p>
    <w:bookmarkEnd w:id="245"/>
    <w:bookmarkStart w:id="246" w:name="controls-12"/>
    <w:p>
      <w:pPr>
        <w:pStyle w:val="Heading3"/>
      </w:pPr>
      <w:r>
        <w:t xml:space="preserve">Controls</w:t>
      </w:r>
    </w:p>
    <w:p>
      <w:pPr>
        <w:numPr>
          <w:ilvl w:val="0"/>
          <w:numId w:val="1140"/>
        </w:numPr>
        <w:pStyle w:val="Compact"/>
      </w:pPr>
      <w:r>
        <w:t xml:space="preserve">FW-C13:</w:t>
      </w:r>
      <w:r>
        <w:t xml:space="preserve"> </w:t>
      </w:r>
      <w:r>
        <w:rPr>
          <w:rStyle w:val="VerbatimChar"/>
        </w:rPr>
        <w:t xml:space="preserve">addons.wellness</w:t>
      </w:r>
      <w:r>
        <w:t xml:space="preserve"> </w:t>
      </w:r>
      <w:r>
        <w:t xml:space="preserve">cannot be enabled in production while G1 or G2 is missing or G5 has lapsed; FW1 and FW2 on real reports also need G3 (otherwise they run only against a CIC sandbox); paid plans cannot be published while G4 is missing.</w:t>
      </w:r>
    </w:p>
    <w:p>
      <w:pPr>
        <w:numPr>
          <w:ilvl w:val="0"/>
          <w:numId w:val="1140"/>
        </w:numPr>
        <w:pStyle w:val="Compact"/>
      </w:pPr>
      <w:r>
        <w:t xml:space="preserve">FW-C14: database roles for U6, U7, U8, U13, U16, U19, U20, U21, U24 and every RE-facing API have no grant on the wellness store (CI test enumerates roles).</w:t>
      </w:r>
    </w:p>
    <w:p>
      <w:pPr>
        <w:numPr>
          <w:ilvl w:val="0"/>
          <w:numId w:val="1140"/>
        </w:numPr>
        <w:pStyle w:val="Compact"/>
      </w:pPr>
      <w:r>
        <w:t xml:space="preserve">FW-C15: the event catalogue contains no event with a wellness data class; schema registry rejects one.</w:t>
      </w:r>
    </w:p>
    <w:p>
      <w:pPr>
        <w:numPr>
          <w:ilvl w:val="0"/>
          <w:numId w:val="1140"/>
        </w:numPr>
        <w:pStyle w:val="Compact"/>
      </w:pPr>
      <w:r>
        <w:t xml:space="preserve">FW-C16: a release is blocked if the dark-pattern UI audit has open critical findings.</w:t>
      </w:r>
    </w:p>
    <w:p>
      <w:pPr>
        <w:numPr>
          <w:ilvl w:val="0"/>
          <w:numId w:val="1140"/>
        </w:numPr>
        <w:pStyle w:val="Compact"/>
      </w:pPr>
      <w:r>
        <w:t xml:space="preserve">FW-C17: a money-tools component placed in a loan-journey UI slot fails the build (slot allow-list).</w:t>
      </w:r>
    </w:p>
    <w:bookmarkEnd w:id="246"/>
    <w:bookmarkStart w:id="247" w:name="acceptance-tests-12"/>
    <w:p>
      <w:pPr>
        <w:pStyle w:val="Heading3"/>
      </w:pPr>
      <w:r>
        <w:t xml:space="preserve">Acceptance tests</w:t>
      </w:r>
    </w:p>
    <w:p>
      <w:pPr>
        <w:numPr>
          <w:ilvl w:val="0"/>
          <w:numId w:val="1141"/>
        </w:numPr>
        <w:pStyle w:val="Compact"/>
      </w:pPr>
      <w:r>
        <w:t xml:space="preserve">With G2 missing, enabling</w:t>
      </w:r>
      <w:r>
        <w:t xml:space="preserve"> </w:t>
      </w:r>
      <w:r>
        <w:rPr>
          <w:rStyle w:val="VerbatimChar"/>
        </w:rPr>
        <w:t xml:space="preserve">addons.wellness</w:t>
      </w:r>
      <w:r>
        <w:t xml:space="preserve"> </w:t>
      </w:r>
      <w:r>
        <w:t xml:space="preserve">in production fails and logs the reason.</w:t>
      </w:r>
    </w:p>
    <w:p>
      <w:pPr>
        <w:numPr>
          <w:ilvl w:val="0"/>
          <w:numId w:val="1141"/>
        </w:numPr>
        <w:pStyle w:val="Compact"/>
      </w:pPr>
      <w:r>
        <w:t xml:space="preserve">Enumerating database grants shows no non-wellness role with access to the wellness store.</w:t>
      </w:r>
    </w:p>
    <w:p>
      <w:pPr>
        <w:numPr>
          <w:ilvl w:val="0"/>
          <w:numId w:val="1141"/>
        </w:numPr>
        <w:pStyle w:val="Compact"/>
      </w:pPr>
      <w:r>
        <w:t xml:space="preserve">A synthetic attempt by the routing service to read wellness data is denied and raises a severity-2 alert.</w:t>
      </w:r>
    </w:p>
    <w:p>
      <w:pPr>
        <w:numPr>
          <w:ilvl w:val="0"/>
          <w:numId w:val="1141"/>
        </w:numPr>
        <w:pStyle w:val="Compact"/>
      </w:pPr>
      <w:r>
        <w:t xml:space="preserve">A subscriber and a non-subscriber with identical loan requests receive identical offer sets and order.</w:t>
      </w:r>
    </w:p>
    <w:p>
      <w:pPr>
        <w:numPr>
          <w:ilvl w:val="0"/>
          <w:numId w:val="1141"/>
        </w:numPr>
        <w:pStyle w:val="Compact"/>
      </w:pPr>
      <w:r>
        <w:t xml:space="preserve">Cancelling a subscription takes at most two taps from Settings and sends a confirmation; no further charge occurs.</w:t>
      </w:r>
    </w:p>
    <w:p>
      <w:pPr>
        <w:numPr>
          <w:ilvl w:val="0"/>
          <w:numId w:val="1141"/>
        </w:numPr>
        <w:pStyle w:val="Compact"/>
      </w:pPr>
      <w:r>
        <w:t xml:space="preserve">No loan screen (application, offer, KFS, repayment, overdue) renders any money-tools element.</w:t>
      </w:r>
    </w:p>
    <w:p>
      <w:pPr>
        <w:numPr>
          <w:ilvl w:val="0"/>
          <w:numId w:val="1141"/>
        </w:numPr>
        <w:pStyle w:val="Compact"/>
      </w:pPr>
      <w:r>
        <w:t xml:space="preserve">Delete-all removes credit reports, transactions, budgets and scenarios within 30 days and issues a receipt; the loan export and loan records are unaffected.</w:t>
      </w:r>
    </w:p>
    <w:p>
      <w:pPr>
        <w:numPr>
          <w:ilvl w:val="0"/>
          <w:numId w:val="1141"/>
        </w:numPr>
        <w:pStyle w:val="Compact"/>
      </w:pPr>
      <w:r>
        <w:t xml:space="preserve">A subscription payment can never be routed to an RE merchant account or a loan mandate (configuration-validator test).</w:t>
      </w:r>
    </w:p>
    <w:p>
      <w:pPr>
        <w:numPr>
          <w:ilvl w:val="0"/>
          <w:numId w:val="1141"/>
        </w:numPr>
        <w:pStyle w:val="Compact"/>
      </w:pPr>
      <w:r>
        <w:t xml:space="preserve">Opting into the expense tracker creates no FW1 consent; withdrawing the FW1 consent stops pulls immediately and leaves FW3 data untouched; the consent screen has every switch off on first render.</w:t>
      </w:r>
    </w:p>
    <w:p>
      <w:pPr>
        <w:numPr>
          <w:ilvl w:val="0"/>
          <w:numId w:val="1141"/>
        </w:numPr>
        <w:pStyle w:val="Compact"/>
      </w:pPr>
      <w:r>
        <w:t xml:space="preserve">No event or</w:t>
      </w:r>
      <w:r>
        <w:t xml:space="preserve"> </w:t>
      </w:r>
      <w:r>
        <w:rPr>
          <w:rStyle w:val="VerbatimChar"/>
        </w:rPr>
        <w:t xml:space="preserve">UsageRecorded</w:t>
      </w:r>
      <w:r>
        <w:t xml:space="preserve"> </w:t>
      </w:r>
      <w:r>
        <w:t xml:space="preserve">statement sent to the Operations Hub contains a subscriber key or wellness data (schema test).</w:t>
      </w:r>
    </w:p>
    <w:p>
      <w:r>
        <w:pict>
          <v:rect style="width:0;height:1.5pt" o:hralign="center" o:hrstd="t" o:hr="t"/>
        </w:pict>
      </w:r>
    </w:p>
    <w:bookmarkEnd w:id="247"/>
    <w:bookmarkEnd w:id="248"/>
    <w:bookmarkEnd w:id="249"/>
    <w:bookmarkStart w:id="298" w:name="Xdd3957e76c7b6e4df5243b8672c24f07b47df4a"/>
    <w:p>
      <w:pPr>
        <w:pStyle w:val="Heading1"/>
      </w:pPr>
      <w:r>
        <w:t xml:space="preserve">PART 7E — MEMBER AND GROUP LENDING: CO-OPERATIVE SOCIETIES AND MICROFINANCE</w:t>
      </w:r>
    </w:p>
    <w:p>
      <w:pPr>
        <w:pStyle w:val="FirstParagraph"/>
      </w:pPr>
      <w:r>
        <w:rPr>
          <w:bCs/>
          <w:b/>
        </w:rPr>
        <w:t xml:space="preserve">Purpose.</w:t>
      </w:r>
      <w:r>
        <w:t xml:space="preserve"> </w:t>
      </w:r>
      <w:r>
        <w:t xml:space="preserve">This Part specifies the borrower-side and assisted-channel journeys for two lending models that do not fit the individual, app-first journey of Parts 3 and 6: (1)</w:t>
      </w:r>
      <w:r>
        <w:t xml:space="preserve"> </w:t>
      </w:r>
      <w:r>
        <w:rPr>
          <w:bCs/>
          <w:b/>
        </w:rPr>
        <w:t xml:space="preserve">credit co-operative societies</w:t>
      </w:r>
      <w:r>
        <w:t xml:space="preserve"> </w:t>
      </w:r>
      <w:r>
        <w:t xml:space="preserve">lending to their own members, where the society is a non-RE lender onboarded under the non-RE lender track (Part 7B UP4); and (2)</w:t>
      </w:r>
      <w:r>
        <w:t xml:space="preserve"> </w:t>
      </w:r>
      <w:r>
        <w:rPr>
          <w:bCs/>
          <w:b/>
        </w:rPr>
        <w:t xml:space="preserve">microfinance group lending</w:t>
      </w:r>
      <w:r>
        <w:t xml:space="preserve"> </w:t>
      </w:r>
      <w:r>
        <w:t xml:space="preserve">(joint liability groups and self-help groups) by partner REs. Udofin supplies the member and group experience, the assisted and offline-capable field tooling, and evidence. The lender decides membership, share linkage, sureties, group recognition, credit, pricing and collections posting, and keeps the ledger. The lender-side counterparts are Finbyx Part 7G (IP2 credit co-operative societies; IP4 microfinance JLG and SHG lifecycle); where the lender is on another system, the same contract applies through the connector framework (Part 5.3).</w:t>
      </w:r>
    </w:p>
    <w:p>
      <w:pPr>
        <w:pStyle w:val="BodyText"/>
      </w:pPr>
      <w:r>
        <w:rPr>
          <w:bCs/>
          <w:b/>
        </w:rPr>
        <w:t xml:space="preserve">Applicability.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20"/>
        <w:gridCol w:w="1890"/>
        <w:gridCol w:w="1761"/>
        <w:gridCol w:w="1685"/>
        <w:gridCol w:w="779"/>
        <w:gridCol w:w="1703"/>
      </w:tblGrid>
      <w:tr>
        <w:trPr>
          <w:tblHeader w:val="true"/>
          <w:tblHeader w:val="true"/>
        </w:trPr>
        <w:tc>
          <w:tcPr>
            <w:tcW w:w="1820" w:type="dxa"/>
            <w:shd w:val="clear" w:color="auto" w:fill="1F3A5F"/>
          </w:tcPr>
          <w:p>
            <w:pPr>
              <w:pStyle w:val="Compact"/>
              <w:spacing w:after="40"/>
              <w:jc w:val="left"/>
            </w:pPr>
            <w:r>
              <w:rPr>
                <w:b/>
                <w:color w:val="FFFFFF"/>
                <w:sz w:val="18"/>
              </w:rPr>
              <w:t xml:space="preserve">Lender type</w:t>
            </w:r>
          </w:p>
        </w:tc>
        <w:tc>
          <w:tcPr>
            <w:tcW w:w="1890" w:type="dxa"/>
            <w:shd w:val="clear" w:color="auto" w:fill="1F3A5F"/>
          </w:tcPr>
          <w:p>
            <w:pPr>
              <w:pStyle w:val="Compact"/>
              <w:spacing w:after="40"/>
              <w:jc w:val="left"/>
            </w:pPr>
            <w:r>
              <w:rPr>
                <w:b/>
                <w:color w:val="FFFFFF"/>
                <w:sz w:val="18"/>
              </w:rPr>
              <w:t xml:space="preserve">MG1</w:t>
            </w:r>
          </w:p>
        </w:tc>
        <w:tc>
          <w:tcPr>
            <w:tcW w:w="1761" w:type="dxa"/>
            <w:shd w:val="clear" w:color="auto" w:fill="1F3A5F"/>
          </w:tcPr>
          <w:p>
            <w:pPr>
              <w:pStyle w:val="Compact"/>
              <w:spacing w:after="40"/>
              <w:jc w:val="left"/>
            </w:pPr>
            <w:r>
              <w:rPr>
                <w:b/>
                <w:color w:val="FFFFFF"/>
                <w:sz w:val="18"/>
              </w:rPr>
              <w:t xml:space="preserve">MG2</w:t>
            </w:r>
          </w:p>
        </w:tc>
        <w:tc>
          <w:tcPr>
            <w:tcW w:w="1685" w:type="dxa"/>
            <w:shd w:val="clear" w:color="auto" w:fill="1F3A5F"/>
          </w:tcPr>
          <w:p>
            <w:pPr>
              <w:pStyle w:val="Compact"/>
              <w:spacing w:after="40"/>
              <w:jc w:val="left"/>
            </w:pPr>
            <w:r>
              <w:rPr>
                <w:b/>
                <w:color w:val="FFFFFF"/>
                <w:sz w:val="18"/>
              </w:rPr>
              <w:t xml:space="preserve">MG3</w:t>
            </w:r>
          </w:p>
        </w:tc>
        <w:tc>
          <w:tcPr>
            <w:tcW w:w="779" w:type="dxa"/>
            <w:shd w:val="clear" w:color="auto" w:fill="1F3A5F"/>
          </w:tcPr>
          <w:p>
            <w:pPr>
              <w:pStyle w:val="Compact"/>
              <w:spacing w:after="40"/>
              <w:jc w:val="left"/>
            </w:pPr>
            <w:r>
              <w:rPr>
                <w:b/>
                <w:color w:val="FFFFFF"/>
                <w:sz w:val="18"/>
              </w:rPr>
              <w:t xml:space="preserve">MG4</w:t>
            </w:r>
          </w:p>
        </w:tc>
        <w:tc>
          <w:tcPr>
            <w:tcW w:w="1703" w:type="dxa"/>
            <w:shd w:val="clear" w:color="auto" w:fill="1F3A5F"/>
          </w:tcPr>
          <w:p>
            <w:pPr>
              <w:pStyle w:val="Compact"/>
              <w:spacing w:after="40"/>
              <w:jc w:val="left"/>
            </w:pPr>
            <w:r>
              <w:rPr>
                <w:b/>
                <w:color w:val="FFFFFF"/>
                <w:sz w:val="18"/>
              </w:rPr>
              <w:t xml:space="preserve">Basis</w:t>
            </w:r>
          </w:p>
        </w:tc>
      </w:tr>
      <w:tr>
        <w:tc>
          <w:tcPr>
            <w:tcW w:w="1820" w:type="dxa"/>
          </w:tcPr>
          <w:p>
            <w:pPr>
              <w:pStyle w:val="Compact"/>
              <w:spacing w:after="40"/>
              <w:jc w:val="left"/>
            </w:pPr>
            <w:r>
              <w:rPr>
                <w:sz w:val="18"/>
              </w:rPr>
              <w:t xml:space="preserve">Credit co-operative society, State Act (non-RE)</w:t>
            </w:r>
          </w:p>
        </w:tc>
        <w:tc>
          <w:tcPr>
            <w:tcW w:w="1890" w:type="dxa"/>
          </w:tcPr>
          <w:p>
            <w:pPr>
              <w:pStyle w:val="Compact"/>
              <w:spacing w:after="40"/>
              <w:jc w:val="left"/>
            </w:pPr>
            <w:r>
              <w:rPr>
                <w:sz w:val="18"/>
              </w:rPr>
              <w:t xml:space="preserve">Yes</w:t>
            </w:r>
          </w:p>
        </w:tc>
        <w:tc>
          <w:tcPr>
            <w:tcW w:w="1761" w:type="dxa"/>
          </w:tcPr>
          <w:p>
            <w:pPr>
              <w:pStyle w:val="Compact"/>
              <w:spacing w:after="40"/>
              <w:jc w:val="left"/>
            </w:pPr>
            <w:r>
              <w:rPr>
                <w:sz w:val="18"/>
              </w:rPr>
              <w:t xml:space="preserve">Only if its by-laws permit group lending [VERIFY per Act]</w:t>
            </w:r>
          </w:p>
        </w:tc>
        <w:tc>
          <w:tcPr>
            <w:tcW w:w="1685" w:type="dxa"/>
          </w:tcPr>
          <w:p>
            <w:pPr>
              <w:pStyle w:val="Compact"/>
              <w:spacing w:after="40"/>
              <w:jc w:val="left"/>
            </w:pPr>
            <w:r>
              <w:rPr>
                <w:sz w:val="18"/>
              </w:rPr>
              <w:t xml:space="preserve">Only as an SHG-linkage lender where its by-laws permit</w:t>
            </w:r>
          </w:p>
        </w:tc>
        <w:tc>
          <w:tcPr>
            <w:tcW w:w="779" w:type="dxa"/>
          </w:tcPr>
          <w:p>
            <w:pPr>
              <w:pStyle w:val="Compact"/>
              <w:spacing w:after="40"/>
              <w:jc w:val="left"/>
            </w:pPr>
            <w:r>
              <w:rPr>
                <w:sz w:val="18"/>
              </w:rPr>
              <w:t xml:space="preserve">Yes</w:t>
            </w:r>
          </w:p>
        </w:tc>
        <w:tc>
          <w:tcPr>
            <w:tcW w:w="1703" w:type="dxa"/>
          </w:tcPr>
          <w:p>
            <w:pPr>
              <w:pStyle w:val="Compact"/>
              <w:spacing w:after="40"/>
              <w:jc w:val="left"/>
            </w:pPr>
            <w:r>
              <w:rPr>
                <w:sz w:val="18"/>
              </w:rPr>
              <w:t xml:space="preserve">Part 7B UP4 contract; SCS rule pack</w:t>
            </w:r>
          </w:p>
        </w:tc>
      </w:tr>
      <w:tr>
        <w:tc>
          <w:tcPr>
            <w:tcW w:w="1820" w:type="dxa"/>
          </w:tcPr>
          <w:p>
            <w:pPr>
              <w:pStyle w:val="Compact"/>
              <w:spacing w:after="40"/>
              <w:jc w:val="left"/>
            </w:pPr>
            <w:r>
              <w:rPr>
                <w:sz w:val="18"/>
              </w:rPr>
              <w:t xml:space="preserve">Multi-State credit co-operative society (MSCS Act 2002, non-RE)</w:t>
            </w:r>
          </w:p>
        </w:tc>
        <w:tc>
          <w:tcPr>
            <w:tcW w:w="1890" w:type="dxa"/>
          </w:tcPr>
          <w:p>
            <w:pPr>
              <w:pStyle w:val="Compact"/>
              <w:spacing w:after="40"/>
              <w:jc w:val="left"/>
            </w:pPr>
            <w:r>
              <w:rPr>
                <w:sz w:val="18"/>
              </w:rPr>
              <w:t xml:space="preserve">Yes</w:t>
            </w:r>
          </w:p>
        </w:tc>
        <w:tc>
          <w:tcPr>
            <w:tcW w:w="1761" w:type="dxa"/>
          </w:tcPr>
          <w:p>
            <w:pPr>
              <w:pStyle w:val="Compact"/>
              <w:spacing w:after="40"/>
              <w:jc w:val="left"/>
            </w:pPr>
            <w:r>
              <w:rPr>
                <w:sz w:val="18"/>
              </w:rPr>
              <w:t xml:space="preserve">As above</w:t>
            </w:r>
          </w:p>
        </w:tc>
        <w:tc>
          <w:tcPr>
            <w:tcW w:w="1685" w:type="dxa"/>
          </w:tcPr>
          <w:p>
            <w:pPr>
              <w:pStyle w:val="Compact"/>
              <w:spacing w:after="40"/>
              <w:jc w:val="left"/>
            </w:pPr>
            <w:r>
              <w:rPr>
                <w:sz w:val="18"/>
              </w:rPr>
              <w:t xml:space="preserve">As above</w:t>
            </w:r>
          </w:p>
        </w:tc>
        <w:tc>
          <w:tcPr>
            <w:tcW w:w="779" w:type="dxa"/>
          </w:tcPr>
          <w:p>
            <w:pPr>
              <w:pStyle w:val="Compact"/>
              <w:spacing w:after="40"/>
              <w:jc w:val="left"/>
            </w:pPr>
            <w:r>
              <w:rPr>
                <w:sz w:val="18"/>
              </w:rPr>
              <w:t xml:space="preserve">Yes</w:t>
            </w:r>
          </w:p>
        </w:tc>
        <w:tc>
          <w:tcPr>
            <w:tcW w:w="1703" w:type="dxa"/>
          </w:tcPr>
          <w:p>
            <w:pPr>
              <w:pStyle w:val="Compact"/>
              <w:spacing w:after="40"/>
              <w:jc w:val="left"/>
            </w:pPr>
            <w:r>
              <w:rPr>
                <w:sz w:val="18"/>
              </w:rPr>
              <w:t xml:space="preserve">Part 7B UP4 contract; MSCS rule pack</w:t>
            </w:r>
          </w:p>
        </w:tc>
      </w:tr>
      <w:tr>
        <w:tc>
          <w:tcPr>
            <w:tcW w:w="1820" w:type="dxa"/>
          </w:tcPr>
          <w:p>
            <w:pPr>
              <w:pStyle w:val="Compact"/>
              <w:spacing w:after="40"/>
              <w:jc w:val="left"/>
            </w:pPr>
            <w:r>
              <w:rPr>
                <w:sz w:val="18"/>
              </w:rPr>
              <w:t xml:space="preserve">NBFC-MFI</w:t>
            </w:r>
          </w:p>
        </w:tc>
        <w:tc>
          <w:tcPr>
            <w:tcW w:w="1890" w:type="dxa"/>
          </w:tcPr>
          <w:p>
            <w:pPr>
              <w:pStyle w:val="Compact"/>
              <w:spacing w:after="40"/>
              <w:jc w:val="left"/>
            </w:pPr>
            <w:r>
              <w:rPr>
                <w:sz w:val="18"/>
              </w:rPr>
              <w:t xml:space="preserve">No</w:t>
            </w:r>
          </w:p>
        </w:tc>
        <w:tc>
          <w:tcPr>
            <w:tcW w:w="1761" w:type="dxa"/>
          </w:tcPr>
          <w:p>
            <w:pPr>
              <w:pStyle w:val="Compact"/>
              <w:spacing w:after="40"/>
              <w:jc w:val="left"/>
            </w:pPr>
            <w:r>
              <w:rPr>
                <w:sz w:val="18"/>
              </w:rPr>
              <w:t xml:space="preserve">Yes</w:t>
            </w:r>
          </w:p>
        </w:tc>
        <w:tc>
          <w:tcPr>
            <w:tcW w:w="1685" w:type="dxa"/>
          </w:tcPr>
          <w:p>
            <w:pPr>
              <w:pStyle w:val="Compact"/>
              <w:spacing w:after="40"/>
              <w:jc w:val="left"/>
            </w:pPr>
            <w:r>
              <w:rPr>
                <w:sz w:val="18"/>
              </w:rPr>
              <w:t xml:space="preserve">Yes</w:t>
            </w:r>
          </w:p>
        </w:tc>
        <w:tc>
          <w:tcPr>
            <w:tcW w:w="779" w:type="dxa"/>
          </w:tcPr>
          <w:p>
            <w:pPr>
              <w:pStyle w:val="Compact"/>
              <w:spacing w:after="40"/>
              <w:jc w:val="left"/>
            </w:pPr>
            <w:r>
              <w:rPr>
                <w:sz w:val="18"/>
              </w:rPr>
              <w:t xml:space="preserve">Yes</w:t>
            </w:r>
          </w:p>
        </w:tc>
        <w:tc>
          <w:tcPr>
            <w:tcW w:w="1703" w:type="dxa"/>
          </w:tcPr>
          <w:p>
            <w:pPr>
              <w:pStyle w:val="Compact"/>
              <w:spacing w:after="40"/>
              <w:jc w:val="left"/>
            </w:pPr>
            <w:r>
              <w:rPr>
                <w:sz w:val="18"/>
              </w:rPr>
              <w:t xml:space="preserve">CF Ch V; RBC Section H; MFI; SRO code</w:t>
            </w:r>
          </w:p>
        </w:tc>
      </w:tr>
      <w:tr>
        <w:tc>
          <w:tcPr>
            <w:tcW w:w="1820" w:type="dxa"/>
          </w:tcPr>
          <w:p>
            <w:pPr>
              <w:pStyle w:val="Compact"/>
              <w:spacing w:after="40"/>
              <w:jc w:val="left"/>
            </w:pPr>
            <w:r>
              <w:rPr>
                <w:sz w:val="18"/>
              </w:rPr>
              <w:t xml:space="preserve">NBFC (BL, ML, UL) lending microfinance loans</w:t>
            </w:r>
          </w:p>
        </w:tc>
        <w:tc>
          <w:tcPr>
            <w:tcW w:w="1890" w:type="dxa"/>
          </w:tcPr>
          <w:p>
            <w:pPr>
              <w:pStyle w:val="Compact"/>
              <w:spacing w:after="40"/>
              <w:jc w:val="left"/>
            </w:pPr>
            <w:r>
              <w:rPr>
                <w:sz w:val="18"/>
              </w:rPr>
              <w:t xml:space="preserve">No</w:t>
            </w:r>
          </w:p>
        </w:tc>
        <w:tc>
          <w:tcPr>
            <w:tcW w:w="1761" w:type="dxa"/>
          </w:tcPr>
          <w:p>
            <w:pPr>
              <w:pStyle w:val="Compact"/>
              <w:spacing w:after="40"/>
              <w:jc w:val="left"/>
            </w:pPr>
            <w:r>
              <w:rPr>
                <w:sz w:val="18"/>
              </w:rPr>
              <w:t xml:space="preserve">Yes, within the 25% cap (MFI para 49)</w:t>
            </w:r>
          </w:p>
        </w:tc>
        <w:tc>
          <w:tcPr>
            <w:tcW w:w="1685" w:type="dxa"/>
          </w:tcPr>
          <w:p>
            <w:pPr>
              <w:pStyle w:val="Compact"/>
              <w:spacing w:after="40"/>
              <w:jc w:val="left"/>
            </w:pPr>
            <w:r>
              <w:rPr>
                <w:sz w:val="18"/>
              </w:rPr>
              <w:t xml:space="preserve">Yes</w:t>
            </w:r>
          </w:p>
        </w:tc>
        <w:tc>
          <w:tcPr>
            <w:tcW w:w="779" w:type="dxa"/>
          </w:tcPr>
          <w:p>
            <w:pPr>
              <w:pStyle w:val="Compact"/>
              <w:spacing w:after="40"/>
              <w:jc w:val="left"/>
            </w:pPr>
            <w:r>
              <w:rPr>
                <w:sz w:val="18"/>
              </w:rPr>
              <w:t xml:space="preserve">Yes</w:t>
            </w:r>
          </w:p>
        </w:tc>
        <w:tc>
          <w:tcPr>
            <w:tcW w:w="1703" w:type="dxa"/>
          </w:tcPr>
          <w:p>
            <w:pPr>
              <w:pStyle w:val="Compact"/>
              <w:spacing w:after="40"/>
              <w:jc w:val="left"/>
            </w:pPr>
            <w:r>
              <w:rPr>
                <w:sz w:val="18"/>
              </w:rPr>
              <w:t xml:space="preserve">CF Ch V; RBC Section H</w:t>
            </w:r>
          </w:p>
        </w:tc>
      </w:tr>
      <w:tr>
        <w:tc>
          <w:tcPr>
            <w:tcW w:w="1820" w:type="dxa"/>
          </w:tcPr>
          <w:p>
            <w:pPr>
              <w:pStyle w:val="Compact"/>
              <w:spacing w:after="40"/>
              <w:jc w:val="left"/>
            </w:pPr>
            <w:r>
              <w:rPr>
                <w:sz w:val="18"/>
              </w:rPr>
              <w:t xml:space="preserve">Bank or SFB (SHG-Bank Linkage, JLG)</w:t>
            </w:r>
          </w:p>
        </w:tc>
        <w:tc>
          <w:tcPr>
            <w:tcW w:w="1890" w:type="dxa"/>
          </w:tcPr>
          <w:p>
            <w:pPr>
              <w:pStyle w:val="Compact"/>
              <w:spacing w:after="40"/>
              <w:jc w:val="left"/>
            </w:pPr>
            <w:r>
              <w:rPr>
                <w:sz w:val="18"/>
              </w:rPr>
              <w:t xml:space="preserve">No</w:t>
            </w:r>
          </w:p>
        </w:tc>
        <w:tc>
          <w:tcPr>
            <w:tcW w:w="1761" w:type="dxa"/>
          </w:tcPr>
          <w:p>
            <w:pPr>
              <w:pStyle w:val="Compact"/>
              <w:spacing w:after="40"/>
              <w:jc w:val="left"/>
            </w:pPr>
            <w:r>
              <w:rPr>
                <w:sz w:val="18"/>
              </w:rPr>
              <w:t xml:space="preserve">Yes [VERIFY: bank CF and RBC equivalents before onboarding]</w:t>
            </w:r>
          </w:p>
        </w:tc>
        <w:tc>
          <w:tcPr>
            <w:tcW w:w="1685" w:type="dxa"/>
          </w:tcPr>
          <w:p>
            <w:pPr>
              <w:pStyle w:val="Compact"/>
              <w:spacing w:after="40"/>
              <w:jc w:val="left"/>
            </w:pPr>
            <w:r>
              <w:rPr>
                <w:sz w:val="18"/>
              </w:rPr>
              <w:t xml:space="preserve">Yes</w:t>
            </w:r>
          </w:p>
        </w:tc>
        <w:tc>
          <w:tcPr>
            <w:tcW w:w="779" w:type="dxa"/>
          </w:tcPr>
          <w:p>
            <w:pPr>
              <w:pStyle w:val="Compact"/>
              <w:spacing w:after="40"/>
              <w:jc w:val="left"/>
            </w:pPr>
            <w:r>
              <w:rPr>
                <w:sz w:val="18"/>
              </w:rPr>
              <w:t xml:space="preserve">Yes</w:t>
            </w:r>
          </w:p>
        </w:tc>
        <w:tc>
          <w:tcPr>
            <w:tcW w:w="1703" w:type="dxa"/>
          </w:tcPr>
          <w:p>
            <w:pPr>
              <w:pStyle w:val="Compact"/>
              <w:spacing w:after="40"/>
              <w:jc w:val="left"/>
            </w:pPr>
            <w:r>
              <w:rPr>
                <w:sz w:val="18"/>
              </w:rPr>
              <w:t xml:space="preserve">Bank Directions not in docs/regulations/rbi/ (Part 4.1)</w:t>
            </w:r>
          </w:p>
        </w:tc>
      </w:tr>
      <w:tr>
        <w:tc>
          <w:tcPr>
            <w:tcW w:w="1820" w:type="dxa"/>
          </w:tcPr>
          <w:p>
            <w:pPr>
              <w:pStyle w:val="Compact"/>
              <w:spacing w:after="40"/>
              <w:jc w:val="left"/>
            </w:pPr>
            <w:r>
              <w:rPr>
                <w:sz w:val="18"/>
              </w:rPr>
              <w:t xml:space="preserve">UCB, StCB, DCCB</w:t>
            </w:r>
          </w:p>
        </w:tc>
        <w:tc>
          <w:tcPr>
            <w:tcW w:w="1890" w:type="dxa"/>
          </w:tcPr>
          <w:p>
            <w:pPr>
              <w:pStyle w:val="Compact"/>
              <w:spacing w:after="40"/>
              <w:jc w:val="left"/>
            </w:pPr>
            <w:r>
              <w:rPr>
                <w:sz w:val="18"/>
              </w:rPr>
              <w:t xml:space="preserve">No (they are banks, not societies; onboard as REs under Part 7B UP1)</w:t>
            </w:r>
          </w:p>
        </w:tc>
        <w:tc>
          <w:tcPr>
            <w:tcW w:w="1761" w:type="dxa"/>
          </w:tcPr>
          <w:p>
            <w:pPr>
              <w:pStyle w:val="Compact"/>
              <w:spacing w:after="40"/>
              <w:jc w:val="left"/>
            </w:pPr>
            <w:r>
              <w:rPr>
                <w:sz w:val="18"/>
              </w:rPr>
              <w:t xml:space="preserve">[VERIFY: co-operative bank microfinance rules]</w:t>
            </w:r>
          </w:p>
        </w:tc>
        <w:tc>
          <w:tcPr>
            <w:tcW w:w="1685" w:type="dxa"/>
          </w:tcPr>
          <w:p>
            <w:pPr>
              <w:pStyle w:val="Compact"/>
              <w:spacing w:after="40"/>
              <w:jc w:val="left"/>
            </w:pPr>
            <w:r>
              <w:rPr>
                <w:sz w:val="18"/>
              </w:rPr>
              <w:t xml:space="preserve">[VERIFY]</w:t>
            </w:r>
          </w:p>
        </w:tc>
        <w:tc>
          <w:tcPr>
            <w:tcW w:w="779" w:type="dxa"/>
          </w:tcPr>
          <w:p>
            <w:pPr>
              <w:pStyle w:val="Compact"/>
              <w:spacing w:after="40"/>
              <w:jc w:val="left"/>
            </w:pPr>
            <w:r>
              <w:rPr>
                <w:sz w:val="18"/>
              </w:rPr>
              <w:t xml:space="preserve">Yes</w:t>
            </w:r>
          </w:p>
        </w:tc>
        <w:tc>
          <w:tcPr>
            <w:tcW w:w="1703" w:type="dxa"/>
          </w:tcPr>
          <w:p>
            <w:pPr>
              <w:pStyle w:val="Compact"/>
              <w:spacing w:after="40"/>
              <w:jc w:val="left"/>
            </w:pPr>
            <w:r>
              <w:rPr>
                <w:sz w:val="18"/>
              </w:rPr>
              <w:t xml:space="preserve">Part 4.1</w:t>
            </w:r>
          </w:p>
        </w:tc>
      </w:tr>
    </w:tbl>
    <w:p>
      <w:pPr>
        <w:pStyle w:val="BodyText"/>
      </w:pPr>
      <w:r>
        <w:rPr>
          <w:bCs/>
          <w:b/>
        </w:rPr>
        <w:t xml:space="preserve">Codes used.</w:t>
      </w:r>
      <w:r>
        <w:t xml:space="preserve"> </w:t>
      </w:r>
      <w:r>
        <w:t xml:space="preserve">RBI: CF, RBC, MFI, CIR, KYC, OUT, TDCR. Non-RBI (codes as Finbyx Part 8A.37):</w:t>
      </w:r>
      <w:r>
        <w:t xml:space="preserve"> </w:t>
      </w:r>
      <w:r>
        <w:rPr>
          <w:rStyle w:val="VerbatimChar"/>
        </w:rPr>
        <w:t xml:space="preserve">MSCS</w:t>
      </w:r>
      <w:r>
        <w:t xml:space="preserve"> </w:t>
      </w:r>
      <w:r>
        <w:t xml:space="preserve">(Multi-State Co-operative Societies Act 2002 and Rules 2023),</w:t>
      </w:r>
      <w:r>
        <w:t xml:space="preserve"> </w:t>
      </w:r>
      <w:r>
        <w:rPr>
          <w:rStyle w:val="VerbatimChar"/>
        </w:rPr>
        <w:t xml:space="preserve">SCS</w:t>
      </w:r>
      <w:r>
        <w:t xml:space="preserve"> </w:t>
      </w:r>
      <w:r>
        <w:t xml:space="preserve">(State co-operative societies Acts and rules, one rule pack per State),</w:t>
      </w:r>
      <w:r>
        <w:t xml:space="preserve"> </w:t>
      </w:r>
      <w:r>
        <w:rPr>
          <w:rStyle w:val="VerbatimChar"/>
        </w:rPr>
        <w:t xml:space="preserve">CICRA</w:t>
      </w:r>
      <w:r>
        <w:t xml:space="preserve">,</w:t>
      </w:r>
      <w:r>
        <w:t xml:space="preserve"> </w:t>
      </w:r>
      <w:r>
        <w:rPr>
          <w:rStyle w:val="VerbatimChar"/>
        </w:rPr>
        <w:t xml:space="preserve">DPDP</w:t>
      </w:r>
      <w:r>
        <w:t xml:space="preserve">,</w:t>
      </w:r>
      <w:r>
        <w:t xml:space="preserve"> </w:t>
      </w:r>
      <w:r>
        <w:rPr>
          <w:rStyle w:val="VerbatimChar"/>
        </w:rPr>
        <w:t xml:space="preserve">TRAI</w:t>
      </w:r>
      <w:r>
        <w:t xml:space="preserve">. Self-regulatory:</w:t>
      </w:r>
      <w:r>
        <w:t xml:space="preserve"> </w:t>
      </w:r>
      <w:r>
        <w:rPr>
          <w:rStyle w:val="VerbatimChar"/>
        </w:rPr>
        <w:t xml:space="preserve">MFIN</w:t>
      </w:r>
      <w:r>
        <w:t xml:space="preserve"> </w:t>
      </w:r>
      <w:r>
        <w:t xml:space="preserve">(MFIN Guardrails 2.0, Directive 14 of 25 Nov 2024; still current per CARE Ratings, Aug 2026). New requirement IDs follow the existing pattern, for example</w:t>
      </w:r>
      <w:r>
        <w:t xml:space="preserve"> </w:t>
      </w:r>
      <w:r>
        <w:rPr>
          <w:rStyle w:val="VerbatimChar"/>
        </w:rPr>
        <w:t xml:space="preserve">REQ-MSCS-67</w:t>
      </w:r>
      <w:r>
        <w:t xml:space="preserve">,</w:t>
      </w:r>
      <w:r>
        <w:t xml:space="preserve"> </w:t>
      </w:r>
      <w:r>
        <w:rPr>
          <w:rStyle w:val="VerbatimChar"/>
        </w:rPr>
        <w:t xml:space="preserve">REQ-SCS-MH-144-5A</w:t>
      </w:r>
      <w:r>
        <w:t xml:space="preserve">,</w:t>
      </w:r>
      <w:r>
        <w:t xml:space="preserve"> </w:t>
      </w:r>
      <w:r>
        <w:rPr>
          <w:rStyle w:val="VerbatimChar"/>
        </w:rPr>
        <w:t xml:space="preserve">REQ-MFIN-GR2-1</w:t>
      </w:r>
      <w:r>
        <w:t xml:space="preserve">.</w:t>
      </w:r>
    </w:p>
    <w:p>
      <w:pPr>
        <w:pStyle w:val="BodyText"/>
      </w:pPr>
      <w:r>
        <w:rPr>
          <w:bCs/>
          <w:b/>
        </w:rPr>
        <w:t xml:space="preserve">Data owned.</w:t>
      </w:r>
      <w:r>
        <w:t xml:space="preserve"> </w:t>
      </w:r>
      <w:r>
        <w:t xml:space="preserve">Udofin is the system of record for: membership-application and group-journey state in its channels; consent artefacts (borrower, surety, group member); assisted-session evidence; meeting attendance and training-attendance captures made in Udofin channels; collection receipts as issued through Udofin tooling (evidence copy); low-literacy consent evidence; and its own grievance tickets. The lender (society or RE) is the system of record for: the member register and class, admission decisions, share ledger, surety acceptance, group and centre recognition, household-income assessment and the 50% decision, credit decision, loan card, loan ledger, collection posting and the cash-in-transit ledger. Udofin holds labelled projections of the lender’s data only within the agreement’s minimal data set (CF para 14(1)).</w:t>
      </w:r>
    </w:p>
    <w:p>
      <w:pPr>
        <w:pStyle w:val="BodyText"/>
      </w:pPr>
      <w:r>
        <w:rPr>
          <w:bCs/>
          <w:b/>
        </w:rPr>
        <w:t xml:space="preserve">Non-negotiables for this Part (fail closed).</w:t>
      </w:r>
    </w:p>
    <w:p>
      <w:pPr>
        <w:numPr>
          <w:ilvl w:val="0"/>
          <w:numId w:val="1142"/>
        </w:numPr>
        <w:pStyle w:val="Compact"/>
      </w:pPr>
      <w:r>
        <w:rPr>
          <w:bCs/>
          <w:b/>
        </w:rPr>
        <w:t xml:space="preserve">Udofin never takes, lists, markets, quotes rates for or displays the opening of deposits</w:t>
      </w:r>
      <w:r>
        <w:t xml:space="preserve"> </w:t>
      </w:r>
      <w:r>
        <w:t xml:space="preserve">for any lender, member class or product. There is no deposit journey in Udofin in any version (</w:t>
      </w:r>
      <w:r>
        <w:rPr>
          <w:rStyle w:val="VerbatimChar"/>
        </w:rPr>
        <w:t xml:space="preserve">REQ-MSCS-67</w:t>
      </w:r>
      <w:r>
        <w:t xml:space="preserve">;</w:t>
      </w:r>
      <w:r>
        <w:t xml:space="preserve"> </w:t>
      </w:r>
      <w:r>
        <w:rPr>
          <w:rStyle w:val="VerbatimChar"/>
        </w:rPr>
        <w:t xml:space="preserve">REQ-SCS-MH-144-5A</w:t>
      </w:r>
      <w:r>
        <w:t xml:space="preserve">; BUDS Act First Schedule items 4(i) and 8; RBI press release 2021-22/1230, 22 Nov 2021).</w:t>
      </w:r>
    </w:p>
    <w:p>
      <w:pPr>
        <w:numPr>
          <w:ilvl w:val="0"/>
          <w:numId w:val="1142"/>
        </w:numPr>
        <w:pStyle w:val="Compact"/>
      </w:pPr>
      <w:r>
        <w:rPr>
          <w:bCs/>
          <w:b/>
        </w:rPr>
        <w:t xml:space="preserve">Udofin never holds cash or funds.</w:t>
      </w:r>
      <w:r>
        <w:t xml:space="preserve"> </w:t>
      </w:r>
      <w:r>
        <w:t xml:space="preserve">Repayments, share money and any member payment go to the lender’s own bank account (CF para 10(1)–(4); mirrored by contract for societies, Part 7B UP4).</w:t>
      </w:r>
    </w:p>
    <w:p>
      <w:pPr>
        <w:numPr>
          <w:ilvl w:val="0"/>
          <w:numId w:val="1142"/>
        </w:numPr>
        <w:pStyle w:val="Compact"/>
      </w:pPr>
      <w:r>
        <w:rPr>
          <w:bCs/>
          <w:b/>
        </w:rPr>
        <w:t xml:space="preserve">No borrower-paid Udofin fee</w:t>
      </w:r>
      <w:r>
        <w:t xml:space="preserve"> </w:t>
      </w:r>
      <w:r>
        <w:t xml:space="preserve">on any member or group loan (CF para 10(4); mirrored by contract for societies).</w:t>
      </w:r>
    </w:p>
    <w:p>
      <w:pPr>
        <w:numPr>
          <w:ilvl w:val="0"/>
          <w:numId w:val="1142"/>
        </w:numPr>
        <w:pStyle w:val="Compact"/>
      </w:pPr>
      <w:r>
        <w:rPr>
          <w:bCs/>
          <w:b/>
        </w:rPr>
        <w:t xml:space="preserve">Joint liability is voluntary peer support only.</w:t>
      </w:r>
      <w:r>
        <w:t xml:space="preserve"> </w:t>
      </w:r>
      <w:r>
        <w:t xml:space="preserve">Udofin never debits, nets, cross-posts or demands one member’s money for another member’s dues.</w:t>
      </w:r>
    </w:p>
    <w:p>
      <w:pPr>
        <w:numPr>
          <w:ilvl w:val="0"/>
          <w:numId w:val="1142"/>
        </w:numPr>
        <w:pStyle w:val="Compact"/>
      </w:pPr>
      <w:r>
        <w:rPr>
          <w:bCs/>
          <w:b/>
        </w:rPr>
        <w:t xml:space="preserve">No co-lending, split routing or loan sale between a society or co-operative bank and an NBFC</w:t>
      </w:r>
      <w:r>
        <w:t xml:space="preserve"> </w:t>
      </w:r>
      <w:r>
        <w:t xml:space="preserve">(TDCR paras 12(4) proviso and 97). Parallel independent loans with aggregated affordability are not co-lending and are shown as separate loans.</w:t>
      </w:r>
    </w:p>
    <w:p>
      <w:pPr>
        <w:numPr>
          <w:ilvl w:val="0"/>
          <w:numId w:val="1142"/>
        </w:numPr>
        <w:pStyle w:val="Compact"/>
      </w:pPr>
      <w:r>
        <w:rPr>
          <w:bCs/>
          <w:b/>
        </w:rPr>
        <w:t xml:space="preserve">Regulated decisions are the lender’s</w:t>
      </w:r>
      <w:r>
        <w:t xml:space="preserve"> </w:t>
      </w:r>
      <w:r>
        <w:t xml:space="preserve">(OUT para 15; KYC para 13): admission, share linkage, surety acceptance, group recognition, GRT outcome, sanction, pricing, collection posting.</w:t>
      </w:r>
    </w:p>
    <w:p>
      <w:r>
        <w:pict>
          <v:rect style="width:0;height:1.5pt" o:hralign="center" o:hrstd="t" o:hr="t"/>
        </w:pict>
      </w:r>
    </w:p>
    <w:bookmarkStart w:id="263" w:name="X60080c6c6b86536273621bd67417a9ca2be9e70"/>
    <w:p>
      <w:pPr>
        <w:pStyle w:val="Heading2"/>
      </w:pPr>
      <w:r>
        <w:t xml:space="preserve">MG1. Co-operative society member journeys</w:t>
      </w:r>
    </w:p>
    <w:bookmarkStart w:id="250" w:name="mg1.1-what-binds-udofin"/>
    <w:p>
      <w:pPr>
        <w:pStyle w:val="Heading3"/>
      </w:pPr>
      <w:r>
        <w:t xml:space="preserve">MG1.1 What binds Udofin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836"/>
        <w:gridCol w:w="3476"/>
        <w:gridCol w:w="2326"/>
      </w:tblGrid>
      <w:tr>
        <w:trPr>
          <w:tblHeader w:val="true"/>
          <w:tblHeader w:val="true"/>
        </w:trPr>
        <w:tc>
          <w:tcPr>
            <w:tcW w:w="3836" w:type="dxa"/>
            <w:shd w:val="clear" w:color="auto" w:fill="1F3A5F"/>
          </w:tcPr>
          <w:p>
            <w:pPr>
              <w:pStyle w:val="Compact"/>
              <w:spacing w:after="40"/>
              <w:jc w:val="left"/>
            </w:pPr>
            <w:r>
              <w:rPr>
                <w:b/>
                <w:color w:val="FFFFFF"/>
                <w:sz w:val="18"/>
              </w:rPr>
              <w:t xml:space="preserve">Rule</w:t>
            </w:r>
          </w:p>
        </w:tc>
        <w:tc>
          <w:tcPr>
            <w:tcW w:w="3476" w:type="dxa"/>
            <w:shd w:val="clear" w:color="auto" w:fill="1F3A5F"/>
          </w:tcPr>
          <w:p>
            <w:pPr>
              <w:pStyle w:val="Compact"/>
              <w:spacing w:after="40"/>
              <w:jc w:val="left"/>
            </w:pPr>
            <w:r>
              <w:rPr>
                <w:b/>
                <w:color w:val="FFFFFF"/>
                <w:sz w:val="18"/>
              </w:rPr>
              <w:t xml:space="preserve">Source</w:t>
            </w:r>
          </w:p>
        </w:tc>
        <w:tc>
          <w:tcPr>
            <w:tcW w:w="2326" w:type="dxa"/>
            <w:shd w:val="clear" w:color="auto" w:fill="1F3A5F"/>
          </w:tcPr>
          <w:p>
            <w:pPr>
              <w:pStyle w:val="Compact"/>
              <w:spacing w:after="40"/>
              <w:jc w:val="left"/>
            </w:pPr>
            <w:r>
              <w:rPr>
                <w:b/>
                <w:color w:val="FFFFFF"/>
                <w:sz w:val="18"/>
              </w:rPr>
              <w:t xml:space="preserve">Effect on Udofin</w:t>
            </w:r>
          </w:p>
        </w:tc>
      </w:tr>
      <w:tr>
        <w:tc>
          <w:tcPr>
            <w:tcW w:w="3836" w:type="dxa"/>
          </w:tcPr>
          <w:p>
            <w:pPr>
              <w:pStyle w:val="Compact"/>
              <w:spacing w:after="40"/>
              <w:jc w:val="left"/>
            </w:pPr>
            <w:r>
              <w:rPr>
                <w:sz w:val="18"/>
              </w:rPr>
              <w:t xml:space="preserve">A credit co-operative society is not an RBI RE; RBI digital-lending Directions do not bind it; Udofin applies RE-equivalent conduct by contract</w:t>
            </w:r>
          </w:p>
        </w:tc>
        <w:tc>
          <w:tcPr>
            <w:tcW w:w="3476" w:type="dxa"/>
          </w:tcPr>
          <w:p>
            <w:pPr>
              <w:pStyle w:val="Compact"/>
              <w:spacing w:after="40"/>
              <w:jc w:val="left"/>
            </w:pPr>
            <w:r>
              <w:rPr>
                <w:sz w:val="18"/>
              </w:rPr>
              <w:t xml:space="preserve">[INTERP] RBI press release 22 Nov 2021; TDCR para 97</w:t>
            </w:r>
          </w:p>
        </w:tc>
        <w:tc>
          <w:tcPr>
            <w:tcW w:w="2326" w:type="dxa"/>
          </w:tcPr>
          <w:p>
            <w:pPr>
              <w:pStyle w:val="Compact"/>
              <w:spacing w:after="40"/>
              <w:jc w:val="left"/>
            </w:pPr>
            <w:r>
              <w:rPr>
                <w:sz w:val="18"/>
              </w:rPr>
              <w:t xml:space="preserve">UP4 deal clauses; enforced in MG1 journeys</w:t>
            </w:r>
          </w:p>
        </w:tc>
      </w:tr>
      <w:tr>
        <w:tc>
          <w:tcPr>
            <w:tcW w:w="3836" w:type="dxa"/>
          </w:tcPr>
          <w:p>
            <w:pPr>
              <w:pStyle w:val="Compact"/>
              <w:spacing w:after="40"/>
              <w:jc w:val="left"/>
            </w:pPr>
            <w:r>
              <w:rPr>
                <w:sz w:val="18"/>
              </w:rPr>
              <w:t xml:space="preserve">No</w:t>
            </w:r>
            <w:r>
              <w:rPr>
                <w:sz w:val="18"/>
              </w:rPr>
              <w:t xml:space="preserve"> </w:t>
            </w:r>
            <w:r>
              <w:rPr>
                <w:sz w:val="18"/>
              </w:rPr>
              <w:t xml:space="preserve">“</w:t>
            </w:r>
            <w:r>
              <w:rPr>
                <w:sz w:val="18"/>
              </w:rPr>
              <w:t xml:space="preserve">bank</w:t>
            </w:r>
            <w:r>
              <w:rPr>
                <w:sz w:val="18"/>
              </w:rPr>
              <w:t xml:space="preserve">”</w:t>
            </w:r>
            <w:r>
              <w:rPr>
                <w:sz w:val="18"/>
              </w:rPr>
              <w:t xml:space="preserve">,</w:t>
            </w:r>
            <w:r>
              <w:rPr>
                <w:sz w:val="18"/>
              </w:rPr>
              <w:t xml:space="preserve"> </w:t>
            </w:r>
            <w:r>
              <w:rPr>
                <w:sz w:val="18"/>
              </w:rPr>
              <w:t xml:space="preserve">“</w:t>
            </w:r>
            <w:r>
              <w:rPr>
                <w:sz w:val="18"/>
              </w:rPr>
              <w:t xml:space="preserve">banker</w:t>
            </w:r>
            <w:r>
              <w:rPr>
                <w:sz w:val="18"/>
              </w:rPr>
              <w:t xml:space="preserve">”</w:t>
            </w:r>
            <w:r>
              <w:rPr>
                <w:sz w:val="18"/>
              </w:rPr>
              <w:t xml:space="preserve"> </w:t>
            </w:r>
            <w:r>
              <w:rPr>
                <w:sz w:val="18"/>
              </w:rPr>
              <w:t xml:space="preserve">or</w:t>
            </w:r>
            <w:r>
              <w:rPr>
                <w:sz w:val="18"/>
              </w:rPr>
              <w:t xml:space="preserve"> </w:t>
            </w:r>
            <w:r>
              <w:rPr>
                <w:sz w:val="18"/>
              </w:rPr>
              <w:t xml:space="preserve">“</w:t>
            </w:r>
            <w:r>
              <w:rPr>
                <w:sz w:val="18"/>
              </w:rPr>
              <w:t xml:space="preserve">banking</w:t>
            </w:r>
            <w:r>
              <w:rPr>
                <w:sz w:val="18"/>
              </w:rPr>
              <w:t xml:space="preserve">”</w:t>
            </w:r>
            <w:r>
              <w:rPr>
                <w:sz w:val="18"/>
              </w:rPr>
              <w:t xml:space="preserve"> </w:t>
            </w:r>
            <w:r>
              <w:rPr>
                <w:sz w:val="18"/>
              </w:rPr>
              <w:t xml:space="preserve">in a society’s name (from 29 Sep 2020)</w:t>
            </w:r>
          </w:p>
        </w:tc>
        <w:tc>
          <w:tcPr>
            <w:tcW w:w="3476" w:type="dxa"/>
          </w:tcPr>
          <w:p>
            <w:pPr>
              <w:pStyle w:val="Compact"/>
              <w:spacing w:after="40"/>
              <w:jc w:val="left"/>
            </w:pPr>
            <w:r>
              <w:rPr>
                <w:sz w:val="18"/>
              </w:rPr>
              <w:t xml:space="preserve">[LAW] BR Act s.7 read with s.56</w:t>
            </w:r>
          </w:p>
        </w:tc>
        <w:tc>
          <w:tcPr>
            <w:tcW w:w="2326" w:type="dxa"/>
          </w:tcPr>
          <w:p>
            <w:pPr>
              <w:pStyle w:val="Compact"/>
              <w:spacing w:after="40"/>
              <w:jc w:val="left"/>
            </w:pPr>
            <w:r>
              <w:rPr>
                <w:sz w:val="18"/>
              </w:rPr>
              <w:t xml:space="preserve">Onboarding blocked in UP4; no</w:t>
            </w:r>
            <w:r>
              <w:rPr>
                <w:sz w:val="18"/>
              </w:rPr>
              <w:t xml:space="preserve"> </w:t>
            </w:r>
            <w:r>
              <w:rPr>
                <w:sz w:val="18"/>
              </w:rPr>
              <w:t xml:space="preserve">“</w:t>
            </w:r>
            <w:r>
              <w:rPr>
                <w:sz w:val="18"/>
              </w:rPr>
              <w:t xml:space="preserve">bank</w:t>
            </w:r>
            <w:r>
              <w:rPr>
                <w:sz w:val="18"/>
              </w:rPr>
              <w:t xml:space="preserve">”</w:t>
            </w:r>
            <w:r>
              <w:rPr>
                <w:sz w:val="18"/>
              </w:rPr>
              <w:t xml:space="preserve"> </w:t>
            </w:r>
            <w:r>
              <w:rPr>
                <w:sz w:val="18"/>
              </w:rPr>
              <w:t xml:space="preserve">label anywhere</w:t>
            </w:r>
          </w:p>
        </w:tc>
      </w:tr>
      <w:tr>
        <w:tc>
          <w:tcPr>
            <w:tcW w:w="3836" w:type="dxa"/>
          </w:tcPr>
          <w:p>
            <w:pPr>
              <w:pStyle w:val="Compact"/>
              <w:spacing w:after="40"/>
              <w:jc w:val="left"/>
            </w:pPr>
            <w:r>
              <w:rPr>
                <w:sz w:val="18"/>
              </w:rPr>
              <w:t xml:space="preserve">MSCS deposits only from voting members; deposits from non-voting, nominal or associate members are unlicensed banking and not DICGC-covered; Maharashtra societies take no deposits from non-members</w:t>
            </w:r>
          </w:p>
        </w:tc>
        <w:tc>
          <w:tcPr>
            <w:tcW w:w="3476" w:type="dxa"/>
          </w:tcPr>
          <w:p>
            <w:pPr>
              <w:pStyle w:val="Compact"/>
              <w:spacing w:after="40"/>
              <w:jc w:val="left"/>
            </w:pPr>
            <w:r>
              <w:rPr>
                <w:sz w:val="18"/>
              </w:rPr>
              <w:t xml:space="preserve">[LAW] MSCS s.67; MH MCS Act s.144-5A [VERIFY: Ch XI-1A text]; [REG] RBI press release 22 Nov 2021</w:t>
            </w:r>
          </w:p>
        </w:tc>
        <w:tc>
          <w:tcPr>
            <w:tcW w:w="2326" w:type="dxa"/>
          </w:tcPr>
          <w:p>
            <w:pPr>
              <w:pStyle w:val="Compact"/>
              <w:spacing w:after="40"/>
              <w:jc w:val="left"/>
            </w:pPr>
            <w:r>
              <w:rPr>
                <w:sz w:val="18"/>
              </w:rPr>
              <w:t xml:space="preserve">No deposit feature at all (non-negotiable 1)</w:t>
            </w:r>
          </w:p>
        </w:tc>
      </w:tr>
      <w:tr>
        <w:tc>
          <w:tcPr>
            <w:tcW w:w="3836" w:type="dxa"/>
          </w:tcPr>
          <w:p>
            <w:pPr>
              <w:pStyle w:val="Compact"/>
              <w:spacing w:after="40"/>
              <w:jc w:val="left"/>
            </w:pPr>
            <w:r>
              <w:rPr>
                <w:sz w:val="18"/>
              </w:rPr>
              <w:t xml:space="preserve">No loan on the security of the member’s own shares or of a non-member</w:t>
            </w:r>
          </w:p>
        </w:tc>
        <w:tc>
          <w:tcPr>
            <w:tcW w:w="3476" w:type="dxa"/>
          </w:tcPr>
          <w:p>
            <w:pPr>
              <w:pStyle w:val="Compact"/>
              <w:spacing w:after="40"/>
              <w:jc w:val="left"/>
            </w:pPr>
            <w:r>
              <w:rPr>
                <w:sz w:val="18"/>
              </w:rPr>
              <w:t xml:space="preserve">[LAW] MSCS s.66(1)</w:t>
            </w:r>
          </w:p>
        </w:tc>
        <w:tc>
          <w:tcPr>
            <w:tcW w:w="2326" w:type="dxa"/>
          </w:tcPr>
          <w:p>
            <w:pPr>
              <w:pStyle w:val="Compact"/>
              <w:spacing w:after="40"/>
              <w:jc w:val="left"/>
            </w:pPr>
            <w:r>
              <w:rPr>
                <w:sz w:val="18"/>
              </w:rPr>
              <w:t xml:space="preserve">Shares never described as security; non-member sureties shown as refused</w:t>
            </w:r>
          </w:p>
        </w:tc>
      </w:tr>
      <w:tr>
        <w:tc>
          <w:tcPr>
            <w:tcW w:w="3836" w:type="dxa"/>
          </w:tcPr>
          <w:p>
            <w:pPr>
              <w:pStyle w:val="Compact"/>
              <w:spacing w:after="40"/>
              <w:jc w:val="left"/>
            </w:pPr>
            <w:r>
              <w:rPr>
                <w:sz w:val="18"/>
              </w:rPr>
              <w:t xml:space="preserve">Admission decided within 4 months and communicated within 15 days, else deemed refused; nominal and associate members have no vote and borrow only as by-laws allow</w:t>
            </w:r>
          </w:p>
        </w:tc>
        <w:tc>
          <w:tcPr>
            <w:tcW w:w="3476" w:type="dxa"/>
          </w:tcPr>
          <w:p>
            <w:pPr>
              <w:pStyle w:val="Compact"/>
              <w:spacing w:after="40"/>
              <w:jc w:val="left"/>
            </w:pPr>
            <w:r>
              <w:rPr>
                <w:sz w:val="18"/>
              </w:rPr>
              <w:t xml:space="preserve">[LAW] MSCS ss.25(4), 26; MH MCS Act ss.2(19), 24(2)</w:t>
            </w:r>
          </w:p>
        </w:tc>
        <w:tc>
          <w:tcPr>
            <w:tcW w:w="2326" w:type="dxa"/>
          </w:tcPr>
          <w:p>
            <w:pPr>
              <w:pStyle w:val="Compact"/>
              <w:spacing w:after="40"/>
              <w:jc w:val="left"/>
            </w:pPr>
            <w:r>
              <w:rPr>
                <w:sz w:val="18"/>
              </w:rPr>
              <w:t xml:space="preserve">Admission timer; class flags drive the journey (MG1.3)</w:t>
            </w:r>
          </w:p>
        </w:tc>
      </w:tr>
      <w:tr>
        <w:tc>
          <w:tcPr>
            <w:tcW w:w="3836" w:type="dxa"/>
          </w:tcPr>
          <w:p>
            <w:pPr>
              <w:pStyle w:val="Compact"/>
              <w:spacing w:after="40"/>
              <w:jc w:val="left"/>
            </w:pPr>
            <w:r>
              <w:rPr>
                <w:sz w:val="18"/>
              </w:rPr>
              <w:t xml:space="preserve">Member disputes go to statutory forums (MSCS arbitrator appointed by the Central Registrar; Maharashtra Co-operative Court); Co-operative Ombudsman for MSCS members</w:t>
            </w:r>
          </w:p>
        </w:tc>
        <w:tc>
          <w:tcPr>
            <w:tcW w:w="3476" w:type="dxa"/>
          </w:tcPr>
          <w:p>
            <w:pPr>
              <w:pStyle w:val="Compact"/>
              <w:spacing w:after="40"/>
              <w:jc w:val="left"/>
            </w:pPr>
            <w:r>
              <w:rPr>
                <w:sz w:val="18"/>
              </w:rPr>
              <w:t xml:space="preserve">[LAW] MSCS ss.84, 85A [VERIFY: text]; MH MCS Act s.91(3)</w:t>
            </w:r>
          </w:p>
        </w:tc>
        <w:tc>
          <w:tcPr>
            <w:tcW w:w="2326" w:type="dxa"/>
          </w:tcPr>
          <w:p>
            <w:pPr>
              <w:pStyle w:val="Compact"/>
              <w:spacing w:after="40"/>
              <w:jc w:val="left"/>
            </w:pPr>
            <w:r>
              <w:rPr>
                <w:sz w:val="18"/>
              </w:rPr>
              <w:t xml:space="preserve">Equator gate and grievance tiers (MG1.9)</w:t>
            </w:r>
          </w:p>
        </w:tc>
      </w:tr>
      <w:tr>
        <w:tc>
          <w:tcPr>
            <w:tcW w:w="3836" w:type="dxa"/>
          </w:tcPr>
          <w:p>
            <w:pPr>
              <w:pStyle w:val="Compact"/>
              <w:spacing w:after="40"/>
              <w:jc w:val="left"/>
            </w:pPr>
            <w:r>
              <w:rPr>
                <w:sz w:val="18"/>
              </w:rPr>
              <w:t xml:space="preserve">Coercive-action provisions apply to societies operating in Tamil Nadu; money-lending Acts exclude society loans in Maharashtra and Karnataka</w:t>
            </w:r>
          </w:p>
        </w:tc>
        <w:tc>
          <w:tcPr>
            <w:tcW w:w="3476" w:type="dxa"/>
          </w:tcPr>
          <w:p>
            <w:pPr>
              <w:pStyle w:val="Compact"/>
              <w:spacing w:after="40"/>
              <w:jc w:val="left"/>
            </w:pPr>
            <w:r>
              <w:rPr>
                <w:sz w:val="18"/>
              </w:rPr>
              <w:t xml:space="preserve">[LAW] TN Act 40 of 2025 ss.2, 20; MH Money-Lending Act 2014 s.2(13)(e); KA Act 15 of 2025 s.1(3) [VERIFY: other States; KA platform-registration limb for Udofin]</w:t>
            </w:r>
          </w:p>
        </w:tc>
        <w:tc>
          <w:tcPr>
            <w:tcW w:w="2326" w:type="dxa"/>
          </w:tcPr>
          <w:p>
            <w:pPr>
              <w:pStyle w:val="Compact"/>
              <w:spacing w:after="40"/>
              <w:jc w:val="left"/>
            </w:pPr>
            <w:r>
              <w:rPr>
                <w:sz w:val="18"/>
              </w:rPr>
              <w:t xml:space="preserve">State overlays (MG1.8)</w:t>
            </w:r>
          </w:p>
        </w:tc>
      </w:tr>
    </w:tbl>
    <w:bookmarkEnd w:id="250"/>
    <w:bookmarkStart w:id="251" w:name="Xbba1ecab49d7bad9fe2bec66fcf4a7e9e466efb"/>
    <w:p>
      <w:pPr>
        <w:pStyle w:val="Heading3"/>
      </w:pPr>
      <w:r>
        <w:t xml:space="preserve">MG1.2 Entry, lender card and the separate member space</w:t>
      </w:r>
    </w:p>
    <w:p>
      <w:pPr>
        <w:numPr>
          <w:ilvl w:val="0"/>
          <w:numId w:val="1143"/>
        </w:numPr>
        <w:pStyle w:val="Compact"/>
      </w:pPr>
      <w:r>
        <w:rPr>
          <w:bCs/>
          <w:b/>
        </w:rPr>
        <w:t xml:space="preserve">Separate space, not the RE offer view.</w:t>
      </w:r>
      <w:r>
        <w:t xml:space="preserve"> </w:t>
      </w:r>
      <w:r>
        <w:t xml:space="preserve">A society’s products appear only in a</w:t>
      </w:r>
      <w:r>
        <w:t xml:space="preserve"> </w:t>
      </w:r>
      <w:r>
        <w:t xml:space="preserve">“</w:t>
      </w:r>
      <w:r>
        <w:t xml:space="preserve">Your co-operative society</w:t>
      </w:r>
      <w:r>
        <w:t xml:space="preserve">”</w:t>
      </w:r>
      <w:r>
        <w:t xml:space="preserve"> </w:t>
      </w:r>
      <w:r>
        <w:t xml:space="preserve">space for its verified members, never inside the CF para 7 multi-lender offer view: the society is a different regime and member-only, and mixing it in would imply RBI regulation [REC; legal opinion in the regulatory register].</w:t>
      </w:r>
    </w:p>
    <w:p>
      <w:pPr>
        <w:numPr>
          <w:ilvl w:val="0"/>
          <w:numId w:val="1143"/>
        </w:numPr>
        <w:pStyle w:val="Compact"/>
      </w:pPr>
      <w:r>
        <w:rPr>
          <w:bCs/>
          <w:b/>
        </w:rPr>
        <w:t xml:space="preserve">Lender card</w:t>
      </w:r>
      <w:r>
        <w:t xml:space="preserve"> </w:t>
      </w:r>
      <w:r>
        <w:t xml:space="preserve">(fixed component; legal-review configuration; cannot be themed away): society name; Act and State; Registrar; registration number; area of operation; audit class and year where the pack publishes one; and the fixed lines</w:t>
      </w:r>
      <w:r>
        <w:t xml:space="preserve"> </w:t>
      </w:r>
      <w:r>
        <w:t xml:space="preserve">“</w:t>
      </w:r>
      <w:r>
        <w:t xml:space="preserve">This society is a co-operative society. It is not regulated by the Reserve Bank of India. Udofin is a technology platform used by the society and is not a lender.</w:t>
      </w:r>
      <w:r>
        <w:t xml:space="preserve">”</w:t>
      </w:r>
    </w:p>
    <w:p>
      <w:pPr>
        <w:numPr>
          <w:ilvl w:val="0"/>
          <w:numId w:val="1143"/>
        </w:numPr>
        <w:pStyle w:val="Compact"/>
      </w:pPr>
      <w:r>
        <w:rPr>
          <w:bCs/>
          <w:b/>
        </w:rPr>
        <w:t xml:space="preserve">Never</w:t>
      </w:r>
      <w:r>
        <w:t xml:space="preserve"> </w:t>
      </w:r>
      <w:r>
        <w:t xml:space="preserve">show RBI logos, CIMS references,</w:t>
      </w:r>
      <w:r>
        <w:t xml:space="preserve"> </w:t>
      </w:r>
      <w:r>
        <w:t xml:space="preserve">“</w:t>
      </w:r>
      <w:r>
        <w:t xml:space="preserve">RBI-registered</w:t>
      </w:r>
      <w:r>
        <w:t xml:space="preserve">”</w:t>
      </w:r>
      <w:r>
        <w:t xml:space="preserve">,</w:t>
      </w:r>
      <w:r>
        <w:t xml:space="preserve"> </w:t>
      </w:r>
      <w:r>
        <w:t xml:space="preserve">“</w:t>
      </w:r>
      <w:r>
        <w:t xml:space="preserve">bank</w:t>
      </w:r>
      <w:r>
        <w:t xml:space="preserve">”</w:t>
      </w:r>
      <w:r>
        <w:t xml:space="preserve"> </w:t>
      </w:r>
      <w:r>
        <w:t xml:space="preserve">or</w:t>
      </w:r>
      <w:r>
        <w:t xml:space="preserve"> </w:t>
      </w:r>
      <w:r>
        <w:t xml:space="preserve">“</w:t>
      </w:r>
      <w:r>
        <w:t xml:space="preserve">banking</w:t>
      </w:r>
      <w:r>
        <w:t xml:space="preserve">”</w:t>
      </w:r>
      <w:r>
        <w:t xml:space="preserve"> </w:t>
      </w:r>
      <w:r>
        <w:t xml:space="preserve">for a society.</w:t>
      </w:r>
    </w:p>
    <w:p>
      <w:pPr>
        <w:numPr>
          <w:ilvl w:val="0"/>
          <w:numId w:val="1143"/>
        </w:numPr>
        <w:pStyle w:val="Compact"/>
      </w:pPr>
      <w:r>
        <w:rPr>
          <w:bCs/>
          <w:b/>
        </w:rPr>
        <w:t xml:space="preserve">Entry routes:</w:t>
      </w:r>
      <w:r>
        <w:t xml:space="preserve"> </w:t>
      </w:r>
      <w:r>
        <w:t xml:space="preserve">society deep link or QR; the society’s branch in assisted mode (MG4); search inside Udofin, shown only to declared residents of the area of operation, unranked [REC].</w:t>
      </w:r>
    </w:p>
    <w:bookmarkEnd w:id="251"/>
    <w:bookmarkStart w:id="252" w:name="X1b2204b0de2dcdaa60c581b2b7cb2ee3ad877c8"/>
    <w:p>
      <w:pPr>
        <w:pStyle w:val="Heading3"/>
      </w:pPr>
      <w:r>
        <w:t xml:space="preserve">MG1.3 Membership verification and admission</w:t>
      </w:r>
    </w:p>
    <w:p>
      <w:pPr>
        <w:pStyle w:val="FirstParagraph"/>
      </w:pPr>
      <w:r>
        <w:rPr>
          <w:bCs/>
          <w:b/>
        </w:rPr>
        <w:t xml:space="preserve">Verification against the register (before any loan journey opens).</w:t>
      </w:r>
    </w:p>
    <w:p>
      <w:pPr>
        <w:numPr>
          <w:ilvl w:val="0"/>
          <w:numId w:val="1144"/>
        </w:numPr>
        <w:pStyle w:val="Compact"/>
      </w:pPr>
      <w:r>
        <w:t xml:space="preserve">Borrower selects the society and gives a consent artefact naming the society and the purpose</w:t>
      </w:r>
      <w:r>
        <w:t xml:space="preserve"> </w:t>
      </w:r>
      <w:r>
        <w:t xml:space="preserve">“</w:t>
      </w:r>
      <w:r>
        <w:t xml:space="preserve">membership verification</w:t>
      </w:r>
      <w:r>
        <w:t xml:space="preserve">”</w:t>
      </w:r>
      <w:r>
        <w:t xml:space="preserve">.</w:t>
      </w:r>
    </w:p>
    <w:p>
      <w:pPr>
        <w:numPr>
          <w:ilvl w:val="0"/>
          <w:numId w:val="1144"/>
        </w:numPr>
        <w:pStyle w:val="Compact"/>
      </w:pPr>
      <w:r>
        <w:t xml:space="preserve">Udofin calls</w:t>
      </w:r>
      <w:r>
        <w:t xml:space="preserve"> </w:t>
      </w:r>
      <w:r>
        <w:rPr>
          <w:rStyle w:val="VerbatimChar"/>
        </w:rPr>
        <w:t xml:space="preserve">GET /v1/societies/{id}/members/{ref}</w:t>
      </w:r>
      <w:r>
        <w:t xml:space="preserve"> </w:t>
      </w:r>
      <w:r>
        <w:t xml:space="preserve">(Integration Spec 6.24; served by Finbyx IP2 or the society’s certified system, or answered by society staff in the lender-portal verification queue) with the membership number plus a matching factor (mobile on record or date of birth) and the</w:t>
      </w:r>
      <w:r>
        <w:t xml:space="preserve"> </w:t>
      </w:r>
      <w:r>
        <w:rPr>
          <w:rStyle w:val="VerbatimChar"/>
        </w:rPr>
        <w:t xml:space="preserve">consentref</w:t>
      </w:r>
      <w:r>
        <w:t xml:space="preserve">. Udofin never bulk-downloads the register.</w:t>
      </w:r>
    </w:p>
    <w:p>
      <w:pPr>
        <w:numPr>
          <w:ilvl w:val="0"/>
          <w:numId w:val="1144"/>
        </w:numPr>
        <w:pStyle w:val="Compact"/>
      </w:pPr>
      <w:r>
        <w:t xml:space="preserve">Response:</w:t>
      </w:r>
      <w:r>
        <w:t xml:space="preserve"> </w:t>
      </w:r>
      <w:r>
        <w:rPr>
          <w:rStyle w:val="VerbatimChar"/>
        </w:rPr>
        <w:t xml:space="preserve">member_status</w:t>
      </w:r>
      <w:r>
        <w:t xml:space="preserve"> </w:t>
      </w:r>
      <w:r>
        <w:t xml:space="preserve">(ACTIVE, DEFAULTER, RESIGNED, EXPELLED, DECEASED; HTTP 404 is shown as</w:t>
      </w:r>
      <w:r>
        <w:t xml:space="preserve"> </w:t>
      </w:r>
      <w:r>
        <w:t xml:space="preserve">“</w:t>
      </w:r>
      <w:r>
        <w:t xml:space="preserve">not found</w:t>
      </w:r>
      <w:r>
        <w:t xml:space="preserve">”</w:t>
      </w:r>
      <w:r>
        <w:t xml:space="preserve">),</w:t>
      </w:r>
      <w:r>
        <w:t xml:space="preserve"> </w:t>
      </w:r>
      <w:r>
        <w:rPr>
          <w:rStyle w:val="VerbatimChar"/>
        </w:rPr>
        <w:t xml:space="preserve">member_class</w:t>
      </w:r>
      <w:r>
        <w:t xml:space="preserve"> </w:t>
      </w:r>
      <w:r>
        <w:t xml:space="preserve">(ORDINARY_VOTING, NOMINAL, ASSOCIATE, NON_VOTING_SHAREHOLDER, INSTITUTIONAL),</w:t>
      </w:r>
      <w:r>
        <w:t xml:space="preserve"> </w:t>
      </w:r>
      <w:r>
        <w:rPr>
          <w:rStyle w:val="VerbatimChar"/>
        </w:rPr>
        <w:t xml:space="preserve">can_borrow</w:t>
      </w:r>
      <w:r>
        <w:t xml:space="preserve">,</w:t>
      </w:r>
      <w:r>
        <w:t xml:space="preserve"> </w:t>
      </w:r>
      <w:r>
        <w:rPr>
          <w:rStyle w:val="VerbatimChar"/>
        </w:rPr>
        <w:t xml:space="preserve">can_stand_surety</w:t>
      </w:r>
      <w:r>
        <w:t xml:space="preserve"> </w:t>
      </w:r>
      <w:r>
        <w:t xml:space="preserve">and KYC status. Udofin stores the response hash, reference and time only.</w:t>
      </w:r>
    </w:p>
    <w:p>
      <w:pPr>
        <w:numPr>
          <w:ilvl w:val="0"/>
          <w:numId w:val="1144"/>
        </w:numPr>
        <w:pStyle w:val="Compact"/>
      </w:pPr>
      <w:r>
        <w:t xml:space="preserve">Only</w:t>
      </w:r>
      <w:r>
        <w:t xml:space="preserve"> </w:t>
      </w:r>
      <w:r>
        <w:rPr>
          <w:rStyle w:val="VerbatimChar"/>
        </w:rPr>
        <w:t xml:space="preserve">ACTIVE</w:t>
      </w:r>
      <w:r>
        <w:t xml:space="preserve"> </w:t>
      </w:r>
      <w:r>
        <w:t xml:space="preserve">members with</w:t>
      </w:r>
      <w:r>
        <w:t xml:space="preserve"> </w:t>
      </w:r>
      <w:r>
        <w:rPr>
          <w:rStyle w:val="VerbatimChar"/>
        </w:rPr>
        <w:t xml:space="preserve">can_borrow = true</w:t>
      </w:r>
      <w:r>
        <w:t xml:space="preserve"> </w:t>
      </w:r>
      <w:r>
        <w:t xml:space="preserve">reach the loan journey; a</w:t>
      </w:r>
      <w:r>
        <w:t xml:space="preserve"> </w:t>
      </w:r>
      <w:r>
        <w:rPr>
          <w:rStyle w:val="VerbatimChar"/>
        </w:rPr>
        <w:t xml:space="preserve">DEFAULTER</w:t>
      </w:r>
      <w:r>
        <w:t xml:space="preserve"> </w:t>
      </w:r>
      <w:r>
        <w:t xml:space="preserve">sees</w:t>
      </w:r>
      <w:r>
        <w:t xml:space="preserve"> </w:t>
      </w:r>
      <w:r>
        <w:t xml:space="preserve">“</w:t>
      </w:r>
      <w:r>
        <w:t xml:space="preserve">Please contact your society</w:t>
      </w:r>
      <w:r>
        <w:t xml:space="preserve">”</w:t>
      </w:r>
      <w:r>
        <w:t xml:space="preserve"> </w:t>
      </w:r>
      <w:r>
        <w:t xml:space="preserve">with the society’s contact and grievance block.</w:t>
      </w:r>
    </w:p>
    <w:p>
      <w:pPr>
        <w:pStyle w:val="FirstParagraph"/>
      </w:pPr>
      <w:r>
        <w:rPr>
          <w:bCs/>
          <w:b/>
        </w:rPr>
        <w:t xml:space="preserve">Admission journey (non-members).</w:t>
      </w:r>
    </w:p>
    <w:p>
      <w:pPr>
        <w:numPr>
          <w:ilvl w:val="0"/>
          <w:numId w:val="1145"/>
        </w:numPr>
        <w:pStyle w:val="Compact"/>
      </w:pPr>
      <w:r>
        <w:t xml:space="preserve">States:</w:t>
      </w:r>
      <w:r>
        <w:t xml:space="preserve"> </w:t>
      </w:r>
      <w:r>
        <w:rPr>
          <w:rStyle w:val="VerbatimChar"/>
        </w:rPr>
        <w:t xml:space="preserve">INTEREST → APPLICATION_DRAFT → SUBMITTED_TO_SOCIETY → UNDER_SCRUTINY → {ADMITTED, REJECTED, DEEMED_REFUSED} → SHARE_MONEY_PENDING → MEMBER_ACTIVE</w:t>
      </w:r>
      <w:r>
        <w:t xml:space="preserve">. Submission is</w:t>
      </w:r>
      <w:r>
        <w:t xml:space="preserve"> </w:t>
      </w:r>
      <w:r>
        <w:rPr>
          <w:rStyle w:val="VerbatimChar"/>
        </w:rPr>
        <w:t xml:space="preserve">POST /v1/societies/{id}/membership-applications</w:t>
      </w:r>
      <w:r>
        <w:t xml:space="preserve"> </w:t>
      </w:r>
      <w:r>
        <w:t xml:space="preserve">with an Idempotency-Key (acknowledgement within 5 minutes; Integration Spec 6.24); a resubmission with the same key returns the original application; an unacknowledged submission retries with back-off for 24 hours, then shows</w:t>
      </w:r>
      <w:r>
        <w:t xml:space="preserve"> </w:t>
      </w:r>
      <w:r>
        <w:t xml:space="preserve">“</w:t>
      </w:r>
      <w:r>
        <w:t xml:space="preserve">the society has not confirmed receipt</w:t>
      </w:r>
      <w:r>
        <w:t xml:space="preserve">”</w:t>
      </w:r>
      <w:r>
        <w:t xml:space="preserve"> </w:t>
      </w:r>
      <w:r>
        <w:t xml:space="preserve">with the society’s contact, and the statutory timer runs from the society’s acknowledgement.</w:t>
      </w:r>
    </w:p>
    <w:p>
      <w:pPr>
        <w:numPr>
          <w:ilvl w:val="0"/>
          <w:numId w:val="1145"/>
        </w:numPr>
        <w:pStyle w:val="Compact"/>
      </w:pPr>
      <w:r>
        <w:t xml:space="preserve">Capture only what the society’s admission form requires (U2): identity and address through Aadhaar offline XML or DigiLocker (never the full number; societies are not notified under PML Act s.11A [VERIFY]), residence in the area of operation, occupation, nominee, the Maharashtra Rule 45 one-credit-society declaration where that pack applies, and the by-law acknowledgement. The society’s board or delegated officer decides; Udofin shows status only.</w:t>
      </w:r>
    </w:p>
    <w:p>
      <w:pPr>
        <w:numPr>
          <w:ilvl w:val="0"/>
          <w:numId w:val="1145"/>
        </w:numPr>
        <w:pStyle w:val="Compact"/>
      </w:pPr>
      <w:r>
        <w:rPr>
          <w:bCs/>
          <w:b/>
        </w:rPr>
        <w:t xml:space="preserve">Timer:</w:t>
      </w:r>
      <w:r>
        <w:t xml:space="preserve"> </w:t>
      </w:r>
      <w:r>
        <w:t xml:space="preserve">MSCS 4 months to decide plus 15 days to communicate (</w:t>
      </w:r>
      <w:r>
        <w:rPr>
          <w:rStyle w:val="VerbatimChar"/>
        </w:rPr>
        <w:t xml:space="preserve">REQ-MSCS-25-4</w:t>
      </w:r>
      <w:r>
        <w:t xml:space="preserve">); State timers from the SCS pack. At expiry Udofin shows</w:t>
      </w:r>
      <w:r>
        <w:t xml:space="preserve"> </w:t>
      </w:r>
      <w:r>
        <w:t xml:space="preserve">“</w:t>
      </w:r>
      <w:r>
        <w:t xml:space="preserve">deemed refused under [section]</w:t>
      </w:r>
      <w:r>
        <w:t xml:space="preserve">”</w:t>
      </w:r>
      <w:r>
        <w:t xml:space="preserve"> </w:t>
      </w:r>
      <w:r>
        <w:t xml:space="preserve">with the grievance route and flags the society.</w:t>
      </w:r>
    </w:p>
    <w:p>
      <w:pPr>
        <w:numPr>
          <w:ilvl w:val="0"/>
          <w:numId w:val="1145"/>
        </w:numPr>
        <w:pStyle w:val="Compact"/>
      </w:pPr>
      <w:r>
        <w:rPr>
          <w:bCs/>
          <w:b/>
        </w:rPr>
        <w:t xml:space="preserve">Admission fee and share money</w:t>
      </w:r>
      <w:r>
        <w:t xml:space="preserve"> </w:t>
      </w:r>
      <w:r>
        <w:t xml:space="preserve">go only to the society’s own account (merchant account or VPA; validator as Part 4.3);</w:t>
      </w:r>
      <w:r>
        <w:t xml:space="preserve"> </w:t>
      </w:r>
      <w:r>
        <w:t xml:space="preserve">“</w:t>
      </w:r>
      <w:r>
        <w:t xml:space="preserve">payment initiated</w:t>
      </w:r>
      <w:r>
        <w:t xml:space="preserve">”</w:t>
      </w:r>
      <w:r>
        <w:t xml:space="preserve"> </w:t>
      </w:r>
      <w:r>
        <w:t xml:space="preserve">until</w:t>
      </w:r>
      <w:r>
        <w:t xml:space="preserve"> </w:t>
      </w:r>
      <w:r>
        <w:rPr>
          <w:rStyle w:val="VerbatimChar"/>
        </w:rPr>
        <w:t xml:space="preserve">ShareCapitalPosted</w:t>
      </w:r>
      <w:r>
        <w:t xml:space="preserve">; the receipt is the society’s.</w:t>
      </w:r>
      <w:r>
        <w:t xml:space="preserve"> </w:t>
      </w:r>
      <w:r>
        <w:rPr>
          <w:rStyle w:val="VerbatimChar"/>
        </w:rPr>
        <w:t xml:space="preserve">MemberAdmitted</w:t>
      </w:r>
      <w:r>
        <w:t xml:space="preserve"> </w:t>
      </w:r>
      <w:r>
        <w:t xml:space="preserve">opens the member card and, if the class can borrow, the loan space.</w:t>
      </w:r>
    </w:p>
    <w:bookmarkEnd w:id="252"/>
    <w:bookmarkStart w:id="253" w:name="Xfa8d1de980ea464dd117e383ed6edc21a4101d4"/>
    <w:p>
      <w:pPr>
        <w:pStyle w:val="Heading3"/>
      </w:pPr>
      <w:r>
        <w:t xml:space="preserve">MG1.4 Share-capital linkage and sureties (society decisions)</w:t>
      </w:r>
    </w:p>
    <w:p>
      <w:pPr>
        <w:numPr>
          <w:ilvl w:val="0"/>
          <w:numId w:val="1146"/>
        </w:numPr>
        <w:pStyle w:val="Compact"/>
      </w:pPr>
      <w:r>
        <w:rPr>
          <w:bCs/>
          <w:b/>
        </w:rPr>
        <w:t xml:space="preserve">Share linkage.</w:t>
      </w:r>
      <w:r>
        <w:t xml:space="preserve"> </w:t>
      </w:r>
      <w:r>
        <w:t xml:space="preserve">The society’s system computes any top-up required by its by-laws (for example</w:t>
      </w:r>
      <w:r>
        <w:t xml:space="preserve"> </w:t>
      </w:r>
      <w:r>
        <w:rPr>
          <w:rStyle w:val="VerbatimChar"/>
        </w:rPr>
        <w:t xml:space="preserve">ceil(loan × link% ÷ face value) − shares held</w:t>
      </w:r>
      <w:r>
        <w:t xml:space="preserve">, Finbyx IP2) and returns it with the eligibility response. Udofin displays the figure, the by-law reference and two options the society permits: pay the top-up to the society’s account before disbursal, or have it deducted from the disbursal</w:t>
      </w:r>
      <w:r>
        <w:t xml:space="preserve"> </w:t>
      </w:r>
      <w:r>
        <w:rPr>
          <w:bCs/>
          <w:b/>
        </w:rPr>
        <w:t xml:space="preserve">only</w:t>
      </w:r>
      <w:r>
        <w:t xml:space="preserve"> </w:t>
      </w:r>
      <w:r>
        <w:t xml:space="preserve">where the society allows it and the deduction is shown in the society’s loan fact sheet and accepted by the member [REC]. Udofin never finances share purchase (CRCS model bye-laws cl.58(b)) and never describes shares as security (MSCS s.66(1)).</w:t>
      </w:r>
    </w:p>
    <w:p>
      <w:pPr>
        <w:numPr>
          <w:ilvl w:val="0"/>
          <w:numId w:val="1146"/>
        </w:numPr>
        <w:pStyle w:val="Compact"/>
      </w:pPr>
      <w:r>
        <w:rPr>
          <w:bCs/>
          <w:b/>
        </w:rPr>
        <w:t xml:space="preserve">Sureties.</w:t>
      </w:r>
      <w:r>
        <w:t xml:space="preserve"> </w:t>
      </w:r>
      <w:r>
        <w:t xml:space="preserve">The member nominates sureties by membership number. Each surety receives an invitation on</w:t>
      </w:r>
      <w:r>
        <w:t xml:space="preserve"> </w:t>
      </w:r>
      <w:r>
        <w:rPr>
          <w:bCs/>
          <w:b/>
        </w:rPr>
        <w:t xml:space="preserve">their own</w:t>
      </w:r>
      <w:r>
        <w:t xml:space="preserve"> </w:t>
      </w:r>
      <w:r>
        <w:t xml:space="preserve">device (SMS on the society’s DLT header with a one-time link) and gives a separate consent artefact: the loan, amount, tenor, the surety’s liability as stated in the society’s surety bond, and the right to decline. The society validates each surety (active, non-defaulter, within its per-surety limit) and accepts or rejects; Udofin shows the outcome only. A surety’s acceptance evidence (OTP, timestamp, document hash of the bond as shown) is passed to the society.</w:t>
      </w:r>
    </w:p>
    <w:p>
      <w:pPr>
        <w:numPr>
          <w:ilvl w:val="0"/>
          <w:numId w:val="1146"/>
        </w:numPr>
        <w:pStyle w:val="Compact"/>
      </w:pPr>
      <w:r>
        <w:rPr>
          <w:bCs/>
          <w:b/>
        </w:rPr>
        <w:t xml:space="preserve">Director and relative borrowers.</w:t>
      </w:r>
      <w:r>
        <w:t xml:space="preserve"> </w:t>
      </w:r>
      <w:r>
        <w:t xml:space="preserve">Where the society flags the borrower as a director or relative, the journey shows that the loan needs the society’s recusal and disclosure process (MSCS s.39(3); CRCS model bye-laws cl.44) and waits for the society’s decision.</w:t>
      </w:r>
    </w:p>
    <w:bookmarkEnd w:id="253"/>
    <w:bookmarkStart w:id="254" w:name="mg1.5-member-loan-journey"/>
    <w:p>
      <w:pPr>
        <w:pStyle w:val="Heading3"/>
      </w:pPr>
      <w:r>
        <w:t xml:space="preserve">MG1.5 Member loan journey</w:t>
      </w:r>
    </w:p>
    <w:p>
      <w:pPr>
        <w:numPr>
          <w:ilvl w:val="0"/>
          <w:numId w:val="1147"/>
        </w:numPr>
        <w:pStyle w:val="Compact"/>
      </w:pPr>
      <w:r>
        <w:t xml:space="preserve">Product choice from the society’s published member products (U2 product-offer versions from the society; the configuration validator rejects deposit products, products named</w:t>
      </w:r>
      <w:r>
        <w:t xml:space="preserve"> </w:t>
      </w:r>
      <w:r>
        <w:t xml:space="preserve">“</w:t>
      </w:r>
      <w:r>
        <w:t xml:space="preserve">bank</w:t>
      </w:r>
      <w:r>
        <w:t xml:space="preserve">”</w:t>
      </w:r>
      <w:r>
        <w:t xml:space="preserve">, borrower-paid Udofin fees and any payment beneficiary other than the society or the member).</w:t>
      </w:r>
    </w:p>
    <w:p>
      <w:pPr>
        <w:numPr>
          <w:ilvl w:val="0"/>
          <w:numId w:val="1147"/>
        </w:numPr>
        <w:pStyle w:val="Compact"/>
      </w:pPr>
      <w:r>
        <w:t xml:space="preserve">Data capture as the product template requires; household composition and income for every collateral-free loan, so the society can apply the CF para 51 test and the 50% cap as policy [REC; CF does not bind societies].</w:t>
      </w:r>
    </w:p>
    <w:p>
      <w:pPr>
        <w:numPr>
          <w:ilvl w:val="0"/>
          <w:numId w:val="1147"/>
        </w:numPr>
        <w:pStyle w:val="Compact"/>
      </w:pPr>
      <w:r>
        <w:t xml:space="preserve">Eligibility response from the society (including share-linkage and surety requirements).</w:t>
      </w:r>
    </w:p>
    <w:p>
      <w:pPr>
        <w:numPr>
          <w:ilvl w:val="0"/>
          <w:numId w:val="1147"/>
        </w:numPr>
        <w:pStyle w:val="Compact"/>
      </w:pPr>
      <w:r>
        <w:rPr>
          <w:bCs/>
          <w:b/>
        </w:rPr>
        <w:t xml:space="preserve">Loan fact sheet</w:t>
      </w:r>
      <w:r>
        <w:t xml:space="preserve"> </w:t>
      </w:r>
      <w:r>
        <w:t xml:space="preserve">issued by the society (RE-equivalent of the KFS by contract): amount, tenor, rate type, all charges, APR computed the RBC Annex I way, repayment schedule, share-linkage and surety requirements, recovery forum, grievance route and the lender card lines. Udofin’s independent APR check (U8) applies. Acknowledgement and acceptance recorded as for a KFS.</w:t>
      </w:r>
    </w:p>
    <w:p>
      <w:pPr>
        <w:numPr>
          <w:ilvl w:val="0"/>
          <w:numId w:val="1147"/>
        </w:numPr>
        <w:pStyle w:val="Compact"/>
      </w:pPr>
      <w:r>
        <w:t xml:space="preserve">Execution: agreement with eSign where the society accepts electronic execution; a physical-execution hand-off where the State Act or the society requires wet signatures or a charge on land (for example MH MCS Act s.48) [VERIFY per State].</w:t>
      </w:r>
    </w:p>
    <w:p>
      <w:pPr>
        <w:numPr>
          <w:ilvl w:val="0"/>
          <w:numId w:val="1147"/>
        </w:numPr>
        <w:pStyle w:val="Compact"/>
      </w:pPr>
      <w:r>
        <w:rPr>
          <w:bCs/>
          <w:b/>
        </w:rPr>
        <w:t xml:space="preserve">Cooling-off</w:t>
      </w:r>
      <w:r>
        <w:t xml:space="preserve"> </w:t>
      </w:r>
      <w:r>
        <w:t xml:space="preserve">of at least one day adopted by contract (mirrors CF para 11) [REC].</w:t>
      </w:r>
    </w:p>
    <w:p>
      <w:pPr>
        <w:numPr>
          <w:ilvl w:val="0"/>
          <w:numId w:val="1147"/>
        </w:numPr>
        <w:pStyle w:val="Compact"/>
      </w:pPr>
      <w:r>
        <w:t xml:space="preserve">Disbursal from the society’s account to the member’s own bank account only; status from the society’s event.</w:t>
      </w:r>
    </w:p>
    <w:p>
      <w:pPr>
        <w:numPr>
          <w:ilvl w:val="0"/>
          <w:numId w:val="1147"/>
        </w:numPr>
        <w:pStyle w:val="Compact"/>
      </w:pPr>
      <w:r>
        <w:t xml:space="preserve">Servicing in U12 and U25 from the society’s events; the society’s statements and certificates appear in My documents (Part 7C UB1).</w:t>
      </w:r>
    </w:p>
    <w:bookmarkEnd w:id="254"/>
    <w:bookmarkStart w:id="255" w:name="X333e1e81043f50611f25656873c75f039f1c0f6"/>
    <w:p>
      <w:pPr>
        <w:pStyle w:val="Heading3"/>
      </w:pPr>
      <w:r>
        <w:t xml:space="preserve">MG1.6 What Udofin never offers for a society</w:t>
      </w:r>
    </w:p>
    <w:p>
      <w:pPr>
        <w:numPr>
          <w:ilvl w:val="0"/>
          <w:numId w:val="1148"/>
        </w:numPr>
        <w:pStyle w:val="Compact"/>
      </w:pPr>
      <w:r>
        <w:t xml:space="preserve">No deposit opening, top-up, renewal, rate card, interest calculator, maturity reminder,</w:t>
      </w:r>
      <w:r>
        <w:t xml:space="preserve"> </w:t>
      </w:r>
      <w:r>
        <w:t xml:space="preserve">“</w:t>
      </w:r>
      <w:r>
        <w:t xml:space="preserve">invest with your society</w:t>
      </w:r>
      <w:r>
        <w:t xml:space="preserve">”</w:t>
      </w:r>
      <w:r>
        <w:t xml:space="preserve"> </w:t>
      </w:r>
      <w:r>
        <w:t xml:space="preserve">message or referral reward for deposits.</w:t>
      </w:r>
    </w:p>
    <w:p>
      <w:pPr>
        <w:numPr>
          <w:ilvl w:val="0"/>
          <w:numId w:val="1148"/>
        </w:numPr>
        <w:pStyle w:val="Compact"/>
      </w:pPr>
      <w:r>
        <w:t xml:space="preserve">No display of deposit balances, including deposits held as security; a loan against a deposit shows only the society’s security reference in its loan fact sheet [REC].</w:t>
      </w:r>
    </w:p>
    <w:p>
      <w:pPr>
        <w:numPr>
          <w:ilvl w:val="0"/>
          <w:numId w:val="1148"/>
        </w:numPr>
        <w:pStyle w:val="Compact"/>
      </w:pPr>
      <w:r>
        <w:t xml:space="preserve">No marketing of membership to non-residents of the area of operation; no agent incentives for admissions.</w:t>
      </w:r>
    </w:p>
    <w:p>
      <w:pPr>
        <w:numPr>
          <w:ilvl w:val="0"/>
          <w:numId w:val="1148"/>
        </w:numPr>
        <w:pStyle w:val="Compact"/>
      </w:pPr>
      <w:r>
        <w:t xml:space="preserve">Templates containing deposit vocabulary (</w:t>
      </w:r>
      <w:r>
        <w:t xml:space="preserve">“</w:t>
      </w:r>
      <w:r>
        <w:t xml:space="preserve">FD</w:t>
      </w:r>
      <w:r>
        <w:t xml:space="preserve">”</w:t>
      </w:r>
      <w:r>
        <w:t xml:space="preserve">,</w:t>
      </w:r>
      <w:r>
        <w:t xml:space="preserve"> </w:t>
      </w:r>
      <w:r>
        <w:t xml:space="preserve">“</w:t>
      </w:r>
      <w:r>
        <w:t xml:space="preserve">RD</w:t>
      </w:r>
      <w:r>
        <w:t xml:space="preserve">”</w:t>
      </w:r>
      <w:r>
        <w:t xml:space="preserve">,</w:t>
      </w:r>
      <w:r>
        <w:t xml:space="preserve"> </w:t>
      </w:r>
      <w:r>
        <w:t xml:space="preserve">“</w:t>
      </w:r>
      <w:r>
        <w:t xml:space="preserve">deposit</w:t>
      </w:r>
      <w:r>
        <w:t xml:space="preserve">”</w:t>
      </w:r>
      <w:r>
        <w:t xml:space="preserve">,</w:t>
      </w:r>
      <w:r>
        <w:t xml:space="preserve"> </w:t>
      </w:r>
      <w:r>
        <w:t xml:space="preserve">“</w:t>
      </w:r>
      <w:r>
        <w:t xml:space="preserve">interest on savings</w:t>
      </w:r>
      <w:r>
        <w:t xml:space="preserve">”</w:t>
      </w:r>
      <w:r>
        <w:t xml:space="preserve">) are rejected by the template linter for society tenants.</w:t>
      </w:r>
    </w:p>
    <w:bookmarkEnd w:id="255"/>
    <w:bookmarkStart w:id="256" w:name="mg1.7-repayments-consent-and-data"/>
    <w:p>
      <w:pPr>
        <w:pStyle w:val="Heading3"/>
      </w:pPr>
      <w:r>
        <w:t xml:space="preserve">MG1.7 Repayments, consent and data</w:t>
      </w:r>
    </w:p>
    <w:p>
      <w:pPr>
        <w:numPr>
          <w:ilvl w:val="0"/>
          <w:numId w:val="1149"/>
        </w:numPr>
        <w:pStyle w:val="Compact"/>
      </w:pPr>
      <w:r>
        <w:t xml:space="preserve">Repayments only to the society’s account: eNACH or UPI AutoPay in the society’s favour on its sponsor bank, UPI intent or QR on the society’s merchant account, or a salary-deduction mandate where the society is a salary-earners’ society and the employer pays the society directly [VERIFY: MH MCS Act s.49]. No Udofin collection account, no netting, no pass-through.</w:t>
      </w:r>
    </w:p>
    <w:p>
      <w:pPr>
        <w:numPr>
          <w:ilvl w:val="0"/>
          <w:numId w:val="1149"/>
        </w:numPr>
        <w:pStyle w:val="Compact"/>
      </w:pPr>
      <w:r>
        <w:t xml:space="preserve">Cash at the society’s branch or by the society’s staff is the society’s process; Udofin records receipts only through MG4 tooling.</w:t>
      </w:r>
    </w:p>
    <w:p>
      <w:pPr>
        <w:numPr>
          <w:ilvl w:val="0"/>
          <w:numId w:val="1149"/>
        </w:numPr>
        <w:pStyle w:val="Compact"/>
      </w:pPr>
      <w:r>
        <w:t xml:space="preserve">Consent artefacts per purpose: membership verification, admission, KYC, bureau (only if the society is a CIC member; otherwise declarations, [VERIFY: CICRA status of credit societies]), loan application, surety, contact, Equator conciliation. Vernacular DPDP notices; withdrawal as easy as consent.</w:t>
      </w:r>
    </w:p>
    <w:p>
      <w:pPr>
        <w:numPr>
          <w:ilvl w:val="0"/>
          <w:numId w:val="1149"/>
        </w:numPr>
        <w:pStyle w:val="Compact"/>
      </w:pPr>
      <w:r>
        <w:t xml:space="preserve">The society’s contact for data-principal requests is shown; Udofin forwards loan-data requests to the society (</w:t>
      </w:r>
      <w:r>
        <w:rPr>
          <w:rStyle w:val="VerbatimChar"/>
        </w:rPr>
        <w:t xml:space="preserve">DataPrincipalRequest</w:t>
      </w:r>
      <w:r>
        <w:t xml:space="preserve">).</w:t>
      </w:r>
    </w:p>
    <w:bookmarkEnd w:id="256"/>
    <w:bookmarkStart w:id="257" w:name="mg1.8-state-law-conduct-rule-packs"/>
    <w:p>
      <w:pPr>
        <w:pStyle w:val="Heading3"/>
      </w:pPr>
      <w:r>
        <w:t xml:space="preserve">MG1.8 State-law conduct (rule packs)</w:t>
      </w:r>
    </w:p>
    <w:p>
      <w:pPr>
        <w:numPr>
          <w:ilvl w:val="0"/>
          <w:numId w:val="1150"/>
        </w:numPr>
        <w:pStyle w:val="Compact"/>
      </w:pPr>
      <w:r>
        <w:rPr>
          <w:bCs/>
          <w:b/>
        </w:rPr>
        <w:t xml:space="preserve">Rule pack key:</w:t>
      </w:r>
      <w:r>
        <w:t xml:space="preserve"> </w:t>
      </w:r>
      <w:r>
        <w:t xml:space="preserve">(Act, State, effective date). Packs ship for MSCS and Maharashtra; Rajasthan and Karnataka (KCS Act 1959 and Souharda Act 1997) next; other States as stubs completed at onboarding with counsel’s review (Finbyx IP2 owns the full lender-side pack; Udofin consumes the conduct and disclosure fields).</w:t>
      </w:r>
    </w:p>
    <w:p>
      <w:pPr>
        <w:numPr>
          <w:ilvl w:val="0"/>
          <w:numId w:val="1150"/>
        </w:numPr>
        <w:pStyle w:val="Compact"/>
      </w:pPr>
      <w:r>
        <w:rPr>
          <w:bCs/>
          <w:b/>
        </w:rPr>
        <w:t xml:space="preserve">Fields Udofin uses:</w:t>
      </w:r>
      <w:r>
        <w:t xml:space="preserve"> </w:t>
      </w:r>
      <w:r>
        <w:t xml:space="preserve">member classes and rights; admission timer; deposit-solicitation ban (always true); disclosure strings; contact windows; coercion overlay; dispute forum; recovery route label; grievance tiers; language requirements.</w:t>
      </w:r>
    </w:p>
    <w:p>
      <w:pPr>
        <w:numPr>
          <w:ilvl w:val="0"/>
          <w:numId w:val="1150"/>
        </w:numPr>
        <w:pStyle w:val="Compact"/>
      </w:pPr>
      <w:r>
        <w:rPr>
          <w:bCs/>
          <w:b/>
        </w:rPr>
        <w:t xml:space="preserve">Contact windows</w:t>
      </w:r>
      <w:r>
        <w:t xml:space="preserve"> </w:t>
      </w:r>
      <w:r>
        <w:t xml:space="preserve">(enforced by</w:t>
      </w:r>
      <w:r>
        <w:t xml:space="preserve"> </w:t>
      </w:r>
      <w:r>
        <w:rPr>
          <w:rStyle w:val="VerbatimChar"/>
        </w:rPr>
        <w:t xml:space="preserve">canContact</w:t>
      </w:r>
      <w:r>
        <w:t xml:space="preserve">, Part 7A UR4): 09:00–18:00 for collateral-free loans to households with income up to ₹3,00,000; 08:00–19:00 for other loans; the borrower’s preference narrows the window [REC; mirrors RBC paras 91(2) and 100 by contract, the same windows as Finbyx IP2.12]; from 1 Jan 2027 the contract adopts the RBC Third Amendment rule pack (pack B, Part 7A.0.4) and the society may only tighten it.</w:t>
      </w:r>
    </w:p>
    <w:p>
      <w:pPr>
        <w:numPr>
          <w:ilvl w:val="0"/>
          <w:numId w:val="1150"/>
        </w:numPr>
        <w:pStyle w:val="Compact"/>
      </w:pPr>
      <w:r>
        <w:rPr>
          <w:bCs/>
          <w:b/>
        </w:rPr>
        <w:t xml:space="preserve">Coercion overlays:</w:t>
      </w:r>
      <w:r>
        <w:t xml:space="preserve"> </w:t>
      </w:r>
      <w:r>
        <w:t xml:space="preserve">Tamil Nadu Act 40 of 2025 s.20 for societies operating in Tamil Nadu (no following, frequenting home or work, seizing documents or belongings, or undue influence through agencies); every field event carries the checklist (MG4). Karnataka Act 15 of 2025 exempts KCS and Souharda societies; whether it binds an MSCS operating in Karnataka is open [VERIFY].</w:t>
      </w:r>
    </w:p>
    <w:p>
      <w:pPr>
        <w:numPr>
          <w:ilvl w:val="0"/>
          <w:numId w:val="1150"/>
        </w:numPr>
        <w:pStyle w:val="Compact"/>
      </w:pPr>
      <w:r>
        <w:rPr>
          <w:bCs/>
          <w:b/>
        </w:rPr>
        <w:t xml:space="preserve">Never in any society communication:</w:t>
      </w:r>
      <w:r>
        <w:t xml:space="preserve"> </w:t>
      </w:r>
      <w:r>
        <w:t xml:space="preserve">threats of police action, public naming, contact with family or employer, statements that the society is a bank or RBI-regulated.</w:t>
      </w:r>
    </w:p>
    <w:bookmarkEnd w:id="257"/>
    <w:bookmarkStart w:id="258" w:name="mg1.9-disputes-grievances-and-equator"/>
    <w:p>
      <w:pPr>
        <w:pStyle w:val="Heading3"/>
      </w:pPr>
      <w:r>
        <w:t xml:space="preserve">MG1.9 Disputes, grievances and Equator</w:t>
      </w:r>
    </w:p>
    <w:p>
      <w:pPr>
        <w:numPr>
          <w:ilvl w:val="0"/>
          <w:numId w:val="1151"/>
        </w:numPr>
        <w:pStyle w:val="Compact"/>
      </w:pPr>
      <w:r>
        <w:rPr>
          <w:bCs/>
          <w:b/>
        </w:rPr>
        <w:t xml:space="preserve">Grievance tiers for society members</w:t>
      </w:r>
      <w:r>
        <w:t xml:space="preserve"> </w:t>
      </w:r>
      <w:r>
        <w:t xml:space="preserve">(displayed in UB3, Part 7C): Udofin nodal grievance officer for platform matters → the society’s grievance officer → the society’s board → Registrar (State RCS or Central Registrar for MSCS) or the Co-operative Ombudsman for MSCS members (MSCS s.85A) → consumer commission or statutory forum. The RBI Ombudsman route is</w:t>
      </w:r>
      <w:r>
        <w:t xml:space="preserve"> </w:t>
      </w:r>
      <w:r>
        <w:rPr>
          <w:bCs/>
          <w:b/>
        </w:rPr>
        <w:t xml:space="preserve">not</w:t>
      </w:r>
      <w:r>
        <w:t xml:space="preserve"> </w:t>
      </w:r>
      <w:r>
        <w:t xml:space="preserve">shown for a society, because the society is outside RB-IOS 2026; showing it would mislead.</w:t>
      </w:r>
    </w:p>
    <w:p>
      <w:pPr>
        <w:numPr>
          <w:ilvl w:val="0"/>
          <w:numId w:val="1151"/>
        </w:numPr>
        <w:pStyle w:val="Compact"/>
      </w:pPr>
      <w:r>
        <w:rPr>
          <w:bCs/>
          <w:b/>
        </w:rPr>
        <w:t xml:space="preserve">Equator gate.</w:t>
      </w:r>
      <w:r>
        <w:t xml:space="preserve"> </w:t>
      </w:r>
      <w:r>
        <w:t xml:space="preserve">Private arbitration under the Arbitration and Conciliation Act 1996 is</w:t>
      </w:r>
      <w:r>
        <w:t xml:space="preserve"> </w:t>
      </w:r>
      <w:r>
        <w:rPr>
          <w:bCs/>
          <w:b/>
        </w:rPr>
        <w:t xml:space="preserve">blocked</w:t>
      </w:r>
      <w:r>
        <w:t xml:space="preserve"> </w:t>
      </w:r>
      <w:r>
        <w:t xml:space="preserve">for disputes that the society’s Act sends to a statutory forum (MSCS s.84; MH MCS Act s.91). Udofin shows Equator</w:t>
      </w:r>
      <w:r>
        <w:t xml:space="preserve"> </w:t>
      </w:r>
      <w:r>
        <w:rPr>
          <w:bCs/>
          <w:b/>
        </w:rPr>
        <w:t xml:space="preserve">conciliation only</w:t>
      </w:r>
      <w:r>
        <w:t xml:space="preserve">, only where (a) the society refers the case, (b) the member gives written post-dispute consent, and (c) the society’s rule pack records counsel’s confirmation that conciliation is not barred by the State Act. Any settlement is filed before the statutory forum where the pack requires it. The borrower is told that Equator and Udofin are both Infrabyx group products (Integration Specification Part 8.6).</w:t>
      </w:r>
    </w:p>
    <w:p>
      <w:pPr>
        <w:numPr>
          <w:ilvl w:val="0"/>
          <w:numId w:val="1151"/>
        </w:numPr>
        <w:pStyle w:val="Compact"/>
      </w:pPr>
      <w:r>
        <w:rPr>
          <w:bCs/>
          <w:b/>
        </w:rPr>
        <w:t xml:space="preserve">Recovery certificates and awards</w:t>
      </w:r>
      <w:r>
        <w:t xml:space="preserve"> </w:t>
      </w:r>
      <w:r>
        <w:t xml:space="preserve">(MH MCS Act s.101 certificate; Co-operative Court awards; MSCS arbitral awards) are the society’s instruments. Udofin shows them only under the society’s visibility policy (Part 7A UR3) and never issues or relays a demand in its own name.</w:t>
      </w:r>
    </w:p>
    <w:bookmarkEnd w:id="258"/>
    <w:bookmarkStart w:id="259" w:name="mg1.10-events-and-apis"/>
    <w:p>
      <w:pPr>
        <w:pStyle w:val="Heading3"/>
      </w:pPr>
      <w:r>
        <w:t xml:space="preserve">MG1.10 Events and APIs</w:t>
      </w:r>
    </w:p>
    <w:p>
      <w:pPr>
        <w:numPr>
          <w:ilvl w:val="0"/>
          <w:numId w:val="1152"/>
        </w:numPr>
        <w:pStyle w:val="Compact"/>
      </w:pPr>
      <w:r>
        <w:rPr>
          <w:bCs/>
          <w:b/>
        </w:rPr>
        <w:t xml:space="preserve">Consumed:</w:t>
      </w:r>
      <w:r>
        <w:t xml:space="preserve"> </w:t>
      </w:r>
      <w:r>
        <w:rPr>
          <w:rStyle w:val="VerbatimChar"/>
        </w:rPr>
        <w:t xml:space="preserve">MemberAdmitted</w:t>
      </w:r>
      <w:r>
        <w:t xml:space="preserve">,</w:t>
      </w:r>
      <w:r>
        <w:t xml:space="preserve"> </w:t>
      </w:r>
      <w:r>
        <w:rPr>
          <w:rStyle w:val="VerbatimChar"/>
        </w:rPr>
        <w:t xml:space="preserve">ShareCapitalPosted</w:t>
      </w:r>
      <w:r>
        <w:t xml:space="preserve"> </w:t>
      </w:r>
      <w:r>
        <w:t xml:space="preserve">(society system → Udofin),</w:t>
      </w:r>
      <w:r>
        <w:t xml:space="preserve"> </w:t>
      </w:r>
      <w:r>
        <w:rPr>
          <w:rStyle w:val="VerbatimChar"/>
        </w:rPr>
        <w:t xml:space="preserve">ProductCatalogPublished</w:t>
      </w:r>
      <w:r>
        <w:t xml:space="preserve">,</w:t>
      </w:r>
      <w:r>
        <w:t xml:space="preserve"> </w:t>
      </w:r>
      <w:r>
        <w:rPr>
          <w:rStyle w:val="VerbatimChar"/>
        </w:rPr>
        <w:t xml:space="preserve">LoanDisbursed</w:t>
      </w:r>
      <w:r>
        <w:t xml:space="preserve">,</w:t>
      </w:r>
      <w:r>
        <w:t xml:space="preserve"> </w:t>
      </w:r>
      <w:r>
        <w:rPr>
          <w:rStyle w:val="VerbatimChar"/>
        </w:rPr>
        <w:t xml:space="preserve">PaymentReceived</w:t>
      </w:r>
      <w:r>
        <w:t xml:space="preserve">,</w:t>
      </w:r>
      <w:r>
        <w:t xml:space="preserve"> </w:t>
      </w:r>
      <w:r>
        <w:rPr>
          <w:rStyle w:val="VerbatimChar"/>
        </w:rPr>
        <w:t xml:space="preserve">GrievanceUpdated</w:t>
      </w:r>
      <w:r>
        <w:t xml:space="preserve">.</w:t>
      </w:r>
    </w:p>
    <w:p>
      <w:pPr>
        <w:numPr>
          <w:ilvl w:val="0"/>
          <w:numId w:val="1152"/>
        </w:numPr>
        <w:pStyle w:val="Compact"/>
      </w:pPr>
      <w:r>
        <w:rPr>
          <w:bCs/>
          <w:b/>
        </w:rPr>
        <w:t xml:space="preserve">Produced:</w:t>
      </w:r>
      <w:r>
        <w:t xml:space="preserve"> </w:t>
      </w:r>
      <w:r>
        <w:rPr>
          <w:rStyle w:val="VerbatimChar"/>
        </w:rPr>
        <w:t xml:space="preserve">ConsentRecorded</w:t>
      </w:r>
      <w:r>
        <w:t xml:space="preserve">,</w:t>
      </w:r>
      <w:r>
        <w:t xml:space="preserve"> </w:t>
      </w:r>
      <w:r>
        <w:rPr>
          <w:rStyle w:val="VerbatimChar"/>
        </w:rPr>
        <w:t xml:space="preserve">ApplicationSubmitted</w:t>
      </w:r>
      <w:r>
        <w:t xml:space="preserve"> </w:t>
      </w:r>
      <w:r>
        <w:t xml:space="preserve">(with</w:t>
      </w:r>
      <w:r>
        <w:t xml:space="preserve"> </w:t>
      </w:r>
      <w:r>
        <w:rPr>
          <w:rStyle w:val="VerbatimChar"/>
        </w:rPr>
        <w:t xml:space="preserve">lender_type = NON_RE_SOCIETY</w:t>
      </w:r>
      <w:r>
        <w:t xml:space="preserve">; Integration Spec 6.24),</w:t>
      </w:r>
      <w:r>
        <w:t xml:space="preserve"> </w:t>
      </w:r>
      <w:r>
        <w:rPr>
          <w:rStyle w:val="VerbatimChar"/>
        </w:rPr>
        <w:t xml:space="preserve">GrievanceRaised</w:t>
      </w:r>
      <w:r>
        <w:t xml:space="preserve">.</w:t>
      </w:r>
    </w:p>
    <w:p>
      <w:pPr>
        <w:numPr>
          <w:ilvl w:val="0"/>
          <w:numId w:val="1152"/>
        </w:numPr>
        <w:pStyle w:val="Compact"/>
      </w:pPr>
      <w:r>
        <w:rPr>
          <w:bCs/>
          <w:b/>
        </w:rPr>
        <w:t xml:space="preserve">APIs (synchronous; Integration Spec 6.24):</w:t>
      </w:r>
      <w:r>
        <w:t xml:space="preserve"> </w:t>
      </w:r>
      <w:r>
        <w:rPr>
          <w:rStyle w:val="VerbatimChar"/>
        </w:rPr>
        <w:t xml:space="preserve">GET /v1/societies/{id}/members/{ref}</w:t>
      </w:r>
      <w:r>
        <w:t xml:space="preserve"> </w:t>
      </w:r>
      <w:r>
        <w:t xml:space="preserve">(membership verification before any loan screen; p95 ≤ 800 ms) and</w:t>
      </w:r>
      <w:r>
        <w:t xml:space="preserve"> </w:t>
      </w:r>
      <w:r>
        <w:rPr>
          <w:rStyle w:val="VerbatimChar"/>
        </w:rPr>
        <w:t xml:space="preserve">POST /v1/societies/{id}/membership-applications</w:t>
      </w:r>
      <w:r>
        <w:t xml:space="preserve"> </w:t>
      </w:r>
      <w:r>
        <w:t xml:space="preserve">(KYC evidence references without the Aadhaar number, area-of-operation proof, nominee, declared other-society borrowings,</w:t>
      </w:r>
      <w:r>
        <w:t xml:space="preserve"> </w:t>
      </w:r>
      <w:r>
        <w:rPr>
          <w:rStyle w:val="VerbatimChar"/>
        </w:rPr>
        <w:t xml:space="preserve">consentref</w:t>
      </w:r>
      <w:r>
        <w:t xml:space="preserve">), both served by the society’s system of record. Status changes after admission reach Udofin only through the verification API, which Udofin calls again before each new loan application.</w:t>
      </w:r>
    </w:p>
    <w:bookmarkEnd w:id="259"/>
    <w:bookmarkStart w:id="260" w:name="settings-and-options-mg1"/>
    <w:p>
      <w:pPr>
        <w:pStyle w:val="Heading3"/>
      </w:pPr>
      <w:r>
        <w:t xml:space="preserve">Settings and options (MG1)</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84"/>
        <w:gridCol w:w="1454"/>
        <w:gridCol w:w="2013"/>
        <w:gridCol w:w="3687"/>
      </w:tblGrid>
      <w:tr>
        <w:trPr>
          <w:tblHeader w:val="true"/>
          <w:tblHeader w:val="true"/>
        </w:trPr>
        <w:tc>
          <w:tcPr>
            <w:tcW w:w="2484" w:type="dxa"/>
            <w:shd w:val="clear" w:color="auto" w:fill="1F3A5F"/>
          </w:tcPr>
          <w:p>
            <w:pPr>
              <w:pStyle w:val="Compact"/>
              <w:spacing w:after="40"/>
              <w:jc w:val="left"/>
            </w:pPr>
            <w:r>
              <w:rPr>
                <w:b/>
                <w:color w:val="FFFFFF"/>
                <w:sz w:val="18"/>
              </w:rPr>
              <w:t xml:space="preserve">Setting</w:t>
            </w:r>
          </w:p>
        </w:tc>
        <w:tc>
          <w:tcPr>
            <w:tcW w:w="1454" w:type="dxa"/>
            <w:shd w:val="clear" w:color="auto" w:fill="1F3A5F"/>
          </w:tcPr>
          <w:p>
            <w:pPr>
              <w:pStyle w:val="Compact"/>
              <w:spacing w:after="40"/>
              <w:jc w:val="left"/>
            </w:pPr>
            <w:r>
              <w:rPr>
                <w:b/>
                <w:color w:val="FFFFFF"/>
                <w:sz w:val="18"/>
              </w:rPr>
              <w:t xml:space="preserve">Level</w:t>
            </w:r>
          </w:p>
        </w:tc>
        <w:tc>
          <w:tcPr>
            <w:tcW w:w="2013" w:type="dxa"/>
            <w:shd w:val="clear" w:color="auto" w:fill="1F3A5F"/>
          </w:tcPr>
          <w:p>
            <w:pPr>
              <w:pStyle w:val="Compact"/>
              <w:spacing w:after="40"/>
              <w:jc w:val="left"/>
            </w:pPr>
            <w:r>
              <w:rPr>
                <w:b/>
                <w:color w:val="FFFFFF"/>
                <w:sz w:val="18"/>
              </w:rPr>
              <w:t xml:space="preserve">Default</w:t>
            </w:r>
          </w:p>
        </w:tc>
        <w:tc>
          <w:tcPr>
            <w:tcW w:w="3687" w:type="dxa"/>
            <w:shd w:val="clear" w:color="auto" w:fill="1F3A5F"/>
          </w:tcPr>
          <w:p>
            <w:pPr>
              <w:pStyle w:val="Compact"/>
              <w:spacing w:after="40"/>
              <w:jc w:val="left"/>
            </w:pPr>
            <w:r>
              <w:rPr>
                <w:b/>
                <w:color w:val="FFFFFF"/>
                <w:sz w:val="18"/>
              </w:rPr>
              <w:t xml:space="preserve">Nature</w:t>
            </w:r>
          </w:p>
        </w:tc>
      </w:tr>
      <w:tr>
        <w:tc>
          <w:tcPr>
            <w:tcW w:w="2484" w:type="dxa"/>
          </w:tcPr>
          <w:p>
            <w:pPr>
              <w:pStyle w:val="Compact"/>
              <w:spacing w:after="40"/>
              <w:jc w:val="left"/>
            </w:pPr>
            <w:r>
              <w:rPr>
                <w:sz w:val="18"/>
              </w:rPr>
              <w:t xml:space="preserve">Rule pack</w:t>
            </w:r>
          </w:p>
        </w:tc>
        <w:tc>
          <w:tcPr>
            <w:tcW w:w="1454" w:type="dxa"/>
          </w:tcPr>
          <w:p>
            <w:pPr>
              <w:pStyle w:val="Compact"/>
              <w:spacing w:after="40"/>
              <w:jc w:val="left"/>
            </w:pPr>
            <w:r>
              <w:rPr>
                <w:sz w:val="18"/>
              </w:rPr>
              <w:t xml:space="preserve">Society</w:t>
            </w:r>
          </w:p>
        </w:tc>
        <w:tc>
          <w:tcPr>
            <w:tcW w:w="2013" w:type="dxa"/>
          </w:tcPr>
          <w:p>
            <w:pPr>
              <w:pStyle w:val="Compact"/>
              <w:spacing w:after="40"/>
              <w:jc w:val="left"/>
            </w:pPr>
            <w:r>
              <w:rPr>
                <w:sz w:val="18"/>
              </w:rPr>
              <w:t xml:space="preserve">MSCS or the State pack</w:t>
            </w:r>
          </w:p>
        </w:tc>
        <w:tc>
          <w:tcPr>
            <w:tcW w:w="3687" w:type="dxa"/>
          </w:tcPr>
          <w:p>
            <w:pPr>
              <w:pStyle w:val="Compact"/>
              <w:spacing w:after="40"/>
              <w:jc w:val="left"/>
            </w:pPr>
            <w:r>
              <w:rPr>
                <w:sz w:val="18"/>
              </w:rPr>
              <w:t xml:space="preserve">Per (Act, State, effective date)</w:t>
            </w:r>
          </w:p>
        </w:tc>
      </w:tr>
      <w:tr>
        <w:tc>
          <w:tcPr>
            <w:tcW w:w="2484" w:type="dxa"/>
          </w:tcPr>
          <w:p>
            <w:pPr>
              <w:pStyle w:val="Compact"/>
              <w:spacing w:after="40"/>
              <w:jc w:val="left"/>
            </w:pPr>
            <w:r>
              <w:rPr>
                <w:sz w:val="18"/>
              </w:rPr>
              <w:t xml:space="preserve">Admission timer</w:t>
            </w:r>
          </w:p>
        </w:tc>
        <w:tc>
          <w:tcPr>
            <w:tcW w:w="1454" w:type="dxa"/>
          </w:tcPr>
          <w:p>
            <w:pPr>
              <w:pStyle w:val="Compact"/>
              <w:spacing w:after="40"/>
              <w:jc w:val="left"/>
            </w:pPr>
            <w:r>
              <w:rPr>
                <w:sz w:val="18"/>
              </w:rPr>
              <w:t xml:space="preserve">Pack</w:t>
            </w:r>
          </w:p>
        </w:tc>
        <w:tc>
          <w:tcPr>
            <w:tcW w:w="2013" w:type="dxa"/>
          </w:tcPr>
          <w:p>
            <w:pPr>
              <w:pStyle w:val="Compact"/>
              <w:spacing w:after="40"/>
              <w:jc w:val="left"/>
            </w:pPr>
            <w:r>
              <w:rPr>
                <w:sz w:val="18"/>
              </w:rPr>
              <w:t xml:space="preserve">MSCS 4 months + 15 days</w:t>
            </w:r>
          </w:p>
        </w:tc>
        <w:tc>
          <w:tcPr>
            <w:tcW w:w="3687" w:type="dxa"/>
          </w:tcPr>
          <w:p>
            <w:pPr>
              <w:pStyle w:val="Compact"/>
              <w:spacing w:after="40"/>
              <w:jc w:val="left"/>
            </w:pPr>
            <w:r>
              <w:rPr>
                <w:sz w:val="18"/>
              </w:rPr>
              <w:t xml:space="preserve">Statutory; per State pack</w:t>
            </w:r>
          </w:p>
        </w:tc>
      </w:tr>
      <w:tr>
        <w:tc>
          <w:tcPr>
            <w:tcW w:w="2484" w:type="dxa"/>
          </w:tcPr>
          <w:p>
            <w:pPr>
              <w:pStyle w:val="Compact"/>
              <w:spacing w:after="40"/>
              <w:jc w:val="left"/>
            </w:pPr>
            <w:r>
              <w:rPr>
                <w:sz w:val="18"/>
              </w:rPr>
              <w:t xml:space="preserve">Share top-up mode</w:t>
            </w:r>
          </w:p>
        </w:tc>
        <w:tc>
          <w:tcPr>
            <w:tcW w:w="1454" w:type="dxa"/>
          </w:tcPr>
          <w:p>
            <w:pPr>
              <w:pStyle w:val="Compact"/>
              <w:spacing w:after="40"/>
              <w:jc w:val="left"/>
            </w:pPr>
            <w:r>
              <w:rPr>
                <w:sz w:val="18"/>
              </w:rPr>
              <w:t xml:space="preserve">Product</w:t>
            </w:r>
          </w:p>
        </w:tc>
        <w:tc>
          <w:tcPr>
            <w:tcW w:w="2013" w:type="dxa"/>
          </w:tcPr>
          <w:p>
            <w:pPr>
              <w:pStyle w:val="Compact"/>
              <w:spacing w:after="40"/>
              <w:jc w:val="left"/>
            </w:pPr>
            <w:r>
              <w:rPr>
                <w:sz w:val="18"/>
              </w:rPr>
              <w:t xml:space="preserve">Pay before disbursal</w:t>
            </w:r>
          </w:p>
        </w:tc>
        <w:tc>
          <w:tcPr>
            <w:tcW w:w="3687" w:type="dxa"/>
          </w:tcPr>
          <w:p>
            <w:pPr>
              <w:pStyle w:val="Compact"/>
              <w:spacing w:after="40"/>
              <w:jc w:val="left"/>
            </w:pPr>
            <w:r>
              <w:rPr>
                <w:sz w:val="18"/>
              </w:rPr>
              <w:t xml:space="preserve">Deduction from disbursal only where the society allows and the member accepts</w:t>
            </w:r>
          </w:p>
        </w:tc>
      </w:tr>
      <w:tr>
        <w:tc>
          <w:tcPr>
            <w:tcW w:w="2484" w:type="dxa"/>
          </w:tcPr>
          <w:p>
            <w:pPr>
              <w:pStyle w:val="Compact"/>
              <w:spacing w:after="40"/>
              <w:jc w:val="left"/>
            </w:pPr>
            <w:r>
              <w:rPr>
                <w:sz w:val="18"/>
              </w:rPr>
              <w:t xml:space="preserve">Surety invitation expiry</w:t>
            </w:r>
          </w:p>
        </w:tc>
        <w:tc>
          <w:tcPr>
            <w:tcW w:w="1454" w:type="dxa"/>
          </w:tcPr>
          <w:p>
            <w:pPr>
              <w:pStyle w:val="Compact"/>
              <w:spacing w:after="40"/>
              <w:jc w:val="left"/>
            </w:pPr>
            <w:r>
              <w:rPr>
                <w:sz w:val="18"/>
              </w:rPr>
              <w:t xml:space="preserve">Society</w:t>
            </w:r>
          </w:p>
        </w:tc>
        <w:tc>
          <w:tcPr>
            <w:tcW w:w="2013" w:type="dxa"/>
          </w:tcPr>
          <w:p>
            <w:pPr>
              <w:pStyle w:val="Compact"/>
              <w:spacing w:after="40"/>
              <w:jc w:val="left"/>
            </w:pPr>
            <w:r>
              <w:rPr>
                <w:sz w:val="18"/>
              </w:rPr>
              <w:t xml:space="preserve">7 days [REC]</w:t>
            </w:r>
          </w:p>
        </w:tc>
        <w:tc>
          <w:tcPr>
            <w:tcW w:w="3687" w:type="dxa"/>
          </w:tcPr>
          <w:p>
            <w:pPr>
              <w:pStyle w:val="Compact"/>
              <w:spacing w:after="40"/>
              <w:jc w:val="left"/>
            </w:pPr>
            <w:r>
              <w:rPr>
                <w:sz w:val="18"/>
              </w:rPr>
              <w:t xml:space="preserve">Commercial</w:t>
            </w:r>
          </w:p>
        </w:tc>
      </w:tr>
      <w:tr>
        <w:tc>
          <w:tcPr>
            <w:tcW w:w="2484" w:type="dxa"/>
          </w:tcPr>
          <w:p>
            <w:pPr>
              <w:pStyle w:val="Compact"/>
              <w:spacing w:after="40"/>
              <w:jc w:val="left"/>
            </w:pPr>
            <w:r>
              <w:rPr>
                <w:sz w:val="18"/>
              </w:rPr>
              <w:t xml:space="preserve">Contact windows</w:t>
            </w:r>
          </w:p>
        </w:tc>
        <w:tc>
          <w:tcPr>
            <w:tcW w:w="1454" w:type="dxa"/>
          </w:tcPr>
          <w:p>
            <w:pPr>
              <w:pStyle w:val="Compact"/>
              <w:spacing w:after="40"/>
              <w:jc w:val="left"/>
            </w:pPr>
            <w:r>
              <w:rPr>
                <w:sz w:val="18"/>
              </w:rPr>
              <w:t xml:space="preserve">Product</w:t>
            </w:r>
          </w:p>
        </w:tc>
        <w:tc>
          <w:tcPr>
            <w:tcW w:w="2013" w:type="dxa"/>
          </w:tcPr>
          <w:p>
            <w:pPr>
              <w:pStyle w:val="Compact"/>
              <w:spacing w:after="40"/>
              <w:jc w:val="left"/>
            </w:pPr>
            <w:r>
              <w:rPr>
                <w:sz w:val="18"/>
              </w:rPr>
              <w:t xml:space="preserve">MG1.8 windows</w:t>
            </w:r>
          </w:p>
        </w:tc>
        <w:tc>
          <w:tcPr>
            <w:tcW w:w="3687" w:type="dxa"/>
          </w:tcPr>
          <w:p>
            <w:pPr>
              <w:pStyle w:val="Compact"/>
              <w:spacing w:after="40"/>
              <w:jc w:val="left"/>
            </w:pPr>
            <w:r>
              <w:rPr>
                <w:sz w:val="18"/>
              </w:rPr>
              <w:t xml:space="preserve">Tighten only</w:t>
            </w:r>
          </w:p>
        </w:tc>
      </w:tr>
      <w:tr>
        <w:tc>
          <w:tcPr>
            <w:tcW w:w="2484" w:type="dxa"/>
          </w:tcPr>
          <w:p>
            <w:pPr>
              <w:pStyle w:val="Compact"/>
              <w:spacing w:after="40"/>
              <w:jc w:val="left"/>
            </w:pPr>
            <w:r>
              <w:rPr>
                <w:sz w:val="18"/>
              </w:rPr>
              <w:t xml:space="preserve">Deposit features,</w:t>
            </w:r>
            <w:r>
              <w:rPr>
                <w:sz w:val="18"/>
              </w:rPr>
              <w:t xml:space="preserve"> </w:t>
            </w:r>
            <w:r>
              <w:rPr>
                <w:sz w:val="18"/>
              </w:rPr>
              <w:t xml:space="preserve">“</w:t>
            </w:r>
            <w:r>
              <w:rPr>
                <w:sz w:val="18"/>
              </w:rPr>
              <w:t xml:space="preserve">bank</w:t>
            </w:r>
            <w:r>
              <w:rPr>
                <w:sz w:val="18"/>
              </w:rPr>
              <w:t xml:space="preserve">”</w:t>
            </w:r>
            <w:r>
              <w:rPr>
                <w:sz w:val="18"/>
              </w:rPr>
              <w:t xml:space="preserve"> </w:t>
            </w:r>
            <w:r>
              <w:rPr>
                <w:sz w:val="18"/>
              </w:rPr>
              <w:t xml:space="preserve">vocabulary</w:t>
            </w:r>
          </w:p>
        </w:tc>
        <w:tc>
          <w:tcPr>
            <w:tcW w:w="1454" w:type="dxa"/>
          </w:tcPr>
          <w:p>
            <w:pPr>
              <w:pStyle w:val="Compact"/>
              <w:spacing w:after="40"/>
              <w:jc w:val="left"/>
            </w:pPr>
            <w:r>
              <w:rPr>
                <w:sz w:val="18"/>
              </w:rPr>
              <w:t xml:space="preserve">Tenant class</w:t>
            </w:r>
          </w:p>
        </w:tc>
        <w:tc>
          <w:tcPr>
            <w:tcW w:w="2013" w:type="dxa"/>
          </w:tcPr>
          <w:p>
            <w:pPr>
              <w:pStyle w:val="Compact"/>
              <w:spacing w:after="40"/>
              <w:jc w:val="left"/>
            </w:pPr>
            <w:r>
              <w:rPr>
                <w:sz w:val="18"/>
              </w:rPr>
              <w:t xml:space="preserve">None exist</w:t>
            </w:r>
          </w:p>
        </w:tc>
        <w:tc>
          <w:tcPr>
            <w:tcW w:w="3687" w:type="dxa"/>
          </w:tcPr>
          <w:p>
            <w:pPr>
              <w:pStyle w:val="Compact"/>
              <w:spacing w:after="40"/>
              <w:jc w:val="left"/>
            </w:pPr>
            <w:r>
              <w:rPr>
                <w:sz w:val="18"/>
              </w:rPr>
              <w:t xml:space="preserve">Hard block</w:t>
            </w:r>
          </w:p>
        </w:tc>
      </w:tr>
      <w:tr>
        <w:tc>
          <w:tcPr>
            <w:tcW w:w="2484" w:type="dxa"/>
          </w:tcPr>
          <w:p>
            <w:pPr>
              <w:pStyle w:val="Compact"/>
              <w:spacing w:after="40"/>
              <w:jc w:val="left"/>
            </w:pPr>
            <w:r>
              <w:rPr>
                <w:sz w:val="18"/>
              </w:rPr>
              <w:t xml:space="preserve">Channels</w:t>
            </w:r>
          </w:p>
        </w:tc>
        <w:tc>
          <w:tcPr>
            <w:tcW w:w="1454" w:type="dxa"/>
          </w:tcPr>
          <w:p>
            <w:pPr>
              <w:pStyle w:val="Compact"/>
              <w:spacing w:after="40"/>
              <w:jc w:val="left"/>
            </w:pPr>
            <w:r>
              <w:rPr>
                <w:sz w:val="18"/>
              </w:rPr>
              <w:t xml:space="preserve">Society</w:t>
            </w:r>
          </w:p>
        </w:tc>
        <w:tc>
          <w:tcPr>
            <w:tcW w:w="2013" w:type="dxa"/>
          </w:tcPr>
          <w:p>
            <w:pPr>
              <w:pStyle w:val="Compact"/>
              <w:spacing w:after="40"/>
              <w:jc w:val="left"/>
            </w:pPr>
            <w:r>
              <w:rPr>
                <w:sz w:val="18"/>
              </w:rPr>
              <w:t xml:space="preserve">Web/PWA and assisted</w:t>
            </w:r>
          </w:p>
        </w:tc>
        <w:tc>
          <w:tcPr>
            <w:tcW w:w="3687" w:type="dxa"/>
          </w:tcPr>
          <w:p>
            <w:pPr>
              <w:pStyle w:val="Compact"/>
              <w:spacing w:after="40"/>
              <w:jc w:val="left"/>
            </w:pPr>
            <w:r>
              <w:rPr>
                <w:sz w:val="18"/>
              </w:rPr>
              <w:t xml:space="preserve">Fixed until app-store policy is confirmed</w:t>
            </w:r>
          </w:p>
        </w:tc>
      </w:tr>
    </w:tbl>
    <w:bookmarkEnd w:id="260"/>
    <w:bookmarkStart w:id="261" w:name="menu-and-screens-mg1"/>
    <w:p>
      <w:pPr>
        <w:pStyle w:val="Heading3"/>
      </w:pPr>
      <w:r>
        <w:t xml:space="preserve">Menu and screens (MG1)</w:t>
      </w:r>
    </w:p>
    <w:p>
      <w:pPr>
        <w:numPr>
          <w:ilvl w:val="0"/>
          <w:numId w:val="1153"/>
        </w:numPr>
        <w:pStyle w:val="Compact"/>
      </w:pPr>
      <w:r>
        <w:rPr>
          <w:bCs/>
          <w:b/>
        </w:rPr>
        <w:t xml:space="preserve">Loans › Your society</w:t>
      </w:r>
      <w:r>
        <w:t xml:space="preserve"> </w:t>
      </w:r>
      <w:r>
        <w:t xml:space="preserve">(B, and assisted on E): society picker (deep link, QR or area search) →</w:t>
      </w:r>
      <w:r>
        <w:t xml:space="preserve"> </w:t>
      </w:r>
      <w:r>
        <w:rPr>
          <w:bCs/>
          <w:b/>
        </w:rPr>
        <w:t xml:space="preserve">Verify membership</w:t>
      </w:r>
      <w:r>
        <w:t xml:space="preserve"> </w:t>
      </w:r>
      <w:r>
        <w:t xml:space="preserve">→ member card (class, status, share holding as the society reports) → products → application → loan fact sheet → execution; for non-members</w:t>
      </w:r>
      <w:r>
        <w:t xml:space="preserve"> </w:t>
      </w:r>
      <w:r>
        <w:rPr>
          <w:bCs/>
          <w:b/>
        </w:rPr>
        <w:t xml:space="preserve">Apply for membership</w:t>
      </w:r>
      <w:r>
        <w:t xml:space="preserve"> </w:t>
      </w:r>
      <w:r>
        <w:t xml:space="preserve">wizard (consent → KYC by offline XML or DigiLocker → area proof → nominee → declarations → submit) with a status page and deemed-refusal countdown;</w:t>
      </w:r>
      <w:r>
        <w:t xml:space="preserve"> </w:t>
      </w:r>
      <w:r>
        <w:rPr>
          <w:bCs/>
          <w:b/>
        </w:rPr>
        <w:t xml:space="preserve">Sureties</w:t>
      </w:r>
      <w:r>
        <w:t xml:space="preserve"> </w:t>
      </w:r>
      <w:r>
        <w:t xml:space="preserve">screen with invitation status per surety.</w:t>
      </w:r>
    </w:p>
    <w:p>
      <w:pPr>
        <w:numPr>
          <w:ilvl w:val="0"/>
          <w:numId w:val="1153"/>
        </w:numPr>
        <w:pStyle w:val="Compact"/>
      </w:pPr>
      <w:r>
        <w:rPr>
          <w:bCs/>
          <w:b/>
        </w:rPr>
        <w:t xml:space="preserve">Lender portal › Partners › Members</w:t>
      </w:r>
      <w:r>
        <w:t xml:space="preserve"> </w:t>
      </w:r>
      <w:r>
        <w:t xml:space="preserve">(D, society staff): see UP4.</w:t>
      </w:r>
    </w:p>
    <w:bookmarkEnd w:id="261"/>
    <w:bookmarkStart w:id="262" w:name="acceptance-tests-13"/>
    <w:p>
      <w:pPr>
        <w:pStyle w:val="Heading3"/>
      </w:pPr>
      <w:r>
        <w:t xml:space="preserve">Acceptance tests</w:t>
      </w:r>
    </w:p>
    <w:p>
      <w:pPr>
        <w:numPr>
          <w:ilvl w:val="0"/>
          <w:numId w:val="1154"/>
        </w:numPr>
        <w:pStyle w:val="Compact"/>
      </w:pPr>
      <w:r>
        <w:t xml:space="preserve">A non-member, a</w:t>
      </w:r>
      <w:r>
        <w:t xml:space="preserve"> </w:t>
      </w:r>
      <w:r>
        <w:rPr>
          <w:rStyle w:val="VerbatimChar"/>
        </w:rPr>
        <w:t xml:space="preserve">NOMINAL</w:t>
      </w:r>
      <w:r>
        <w:t xml:space="preserve"> </w:t>
      </w:r>
      <w:r>
        <w:t xml:space="preserve">member whose class cannot borrow and a</w:t>
      </w:r>
      <w:r>
        <w:t xml:space="preserve"> </w:t>
      </w:r>
      <w:r>
        <w:rPr>
          <w:rStyle w:val="VerbatimChar"/>
        </w:rPr>
        <w:t xml:space="preserve">DEFAULTER</w:t>
      </w:r>
      <w:r>
        <w:t xml:space="preserve"> </w:t>
      </w:r>
      <w:r>
        <w:t xml:space="preserve">cannot reach any loan screen; each sees the correct message and the society’s contact.</w:t>
      </w:r>
    </w:p>
    <w:p>
      <w:pPr>
        <w:numPr>
          <w:ilvl w:val="0"/>
          <w:numId w:val="1154"/>
        </w:numPr>
        <w:pStyle w:val="Compact"/>
      </w:pPr>
      <w:r>
        <w:t xml:space="preserve">The membership timer for an MSCS society shows</w:t>
      </w:r>
      <w:r>
        <w:t xml:space="preserve"> </w:t>
      </w:r>
      <w:r>
        <w:t xml:space="preserve">“</w:t>
      </w:r>
      <w:r>
        <w:t xml:space="preserve">deemed refused</w:t>
      </w:r>
      <w:r>
        <w:t xml:space="preserve">”</w:t>
      </w:r>
      <w:r>
        <w:t xml:space="preserve"> </w:t>
      </w:r>
      <w:r>
        <w:t xml:space="preserve">4 months and 15 days after submission without a society decision and raises a compliance flag.</w:t>
      </w:r>
    </w:p>
    <w:p>
      <w:pPr>
        <w:numPr>
          <w:ilvl w:val="0"/>
          <w:numId w:val="1154"/>
        </w:numPr>
        <w:pStyle w:val="Compact"/>
      </w:pPr>
      <w:r>
        <w:t xml:space="preserve">Share money and a repayment can only be initiated to the society’s own account; configuring a Udofin or third-party beneficiary fails validation.</w:t>
      </w:r>
    </w:p>
    <w:p>
      <w:pPr>
        <w:numPr>
          <w:ilvl w:val="0"/>
          <w:numId w:val="1154"/>
        </w:numPr>
        <w:pStyle w:val="Compact"/>
      </w:pPr>
      <w:r>
        <w:t xml:space="preserve">No screen, template, push or SMS for a society tenant contains deposit vocabulary; the template linter rejects</w:t>
      </w:r>
      <w:r>
        <w:t xml:space="preserve"> </w:t>
      </w:r>
      <w:r>
        <w:t xml:space="preserve">“</w:t>
      </w:r>
      <w:r>
        <w:t xml:space="preserve">FD</w:t>
      </w:r>
      <w:r>
        <w:t xml:space="preserve">”</w:t>
      </w:r>
      <w:r>
        <w:t xml:space="preserve">,</w:t>
      </w:r>
      <w:r>
        <w:t xml:space="preserve"> </w:t>
      </w:r>
      <w:r>
        <w:t xml:space="preserve">“</w:t>
      </w:r>
      <w:r>
        <w:t xml:space="preserve">RD</w:t>
      </w:r>
      <w:r>
        <w:t xml:space="preserve">”</w:t>
      </w:r>
      <w:r>
        <w:t xml:space="preserve"> </w:t>
      </w:r>
      <w:r>
        <w:t xml:space="preserve">and</w:t>
      </w:r>
      <w:r>
        <w:t xml:space="preserve"> </w:t>
      </w:r>
      <w:r>
        <w:t xml:space="preserve">“</w:t>
      </w:r>
      <w:r>
        <w:t xml:space="preserve">deposit</w:t>
      </w:r>
      <w:r>
        <w:t xml:space="preserve">”</w:t>
      </w:r>
      <w:r>
        <w:t xml:space="preserve"> </w:t>
      </w:r>
      <w:r>
        <w:t xml:space="preserve">for society tenants; there is no deposit API route.</w:t>
      </w:r>
    </w:p>
    <w:p>
      <w:pPr>
        <w:numPr>
          <w:ilvl w:val="0"/>
          <w:numId w:val="1154"/>
        </w:numPr>
        <w:pStyle w:val="Compact"/>
      </w:pPr>
      <w:r>
        <w:t xml:space="preserve">A society product never appears in the RE multi-lender offer view; the lender card text cannot be removed by theming.</w:t>
      </w:r>
    </w:p>
    <w:p>
      <w:pPr>
        <w:numPr>
          <w:ilvl w:val="0"/>
          <w:numId w:val="1154"/>
        </w:numPr>
        <w:pStyle w:val="Compact"/>
      </w:pPr>
      <w:r>
        <w:t xml:space="preserve">A surety’s consent can only be given on the surety’s own device; an agent session cannot submit it.</w:t>
      </w:r>
    </w:p>
    <w:p>
      <w:pPr>
        <w:numPr>
          <w:ilvl w:val="0"/>
          <w:numId w:val="1154"/>
        </w:numPr>
        <w:pStyle w:val="Compact"/>
      </w:pPr>
      <w:r>
        <w:t xml:space="preserve">The RBI Ombudsman route is never shown on a society grievance; the Co-operative Ombudsman appears only for MSCS members.</w:t>
      </w:r>
    </w:p>
    <w:p>
      <w:pPr>
        <w:numPr>
          <w:ilvl w:val="0"/>
          <w:numId w:val="1154"/>
        </w:numPr>
        <w:pStyle w:val="Compact"/>
      </w:pPr>
      <w:r>
        <w:t xml:space="preserve">An Equator arbitration request on a society dispute is refused; conciliation is offered only when all three conditions in MG1.9 are recorded.</w:t>
      </w:r>
    </w:p>
    <w:p>
      <w:pPr>
        <w:numPr>
          <w:ilvl w:val="0"/>
          <w:numId w:val="1154"/>
        </w:numPr>
        <w:pStyle w:val="Compact"/>
      </w:pPr>
      <w:r>
        <w:t xml:space="preserve">A co-lending or split-loan route between a society and an NBFC cannot be configured; a parallel NBFC loan to the same member is shown as a separate loan with its own KFS.</w:t>
      </w:r>
    </w:p>
    <w:p>
      <w:pPr>
        <w:numPr>
          <w:ilvl w:val="0"/>
          <w:numId w:val="1154"/>
        </w:numPr>
        <w:pStyle w:val="Compact"/>
      </w:pPr>
      <w:r>
        <w:t xml:space="preserve">Contact attempts at 08:59 and 18:01 on a collateral-free low-income member loan are denied; a Tamil Nadu field visit without the s.20 checklist cannot be saved.</w:t>
      </w:r>
    </w:p>
    <w:p>
      <w:r>
        <w:pict>
          <v:rect style="width:0;height:1.5pt" o:hralign="center" o:hrstd="t" o:hr="t"/>
        </w:pict>
      </w:r>
    </w:p>
    <w:bookmarkEnd w:id="262"/>
    <w:bookmarkEnd w:id="263"/>
    <w:bookmarkStart w:id="277" w:name="mg2.-microfinance-jlg-journeys"/>
    <w:p>
      <w:pPr>
        <w:pStyle w:val="Heading2"/>
      </w:pPr>
      <w:r>
        <w:t xml:space="preserve">MG2. Microfinance JLG journeys</w:t>
      </w:r>
    </w:p>
    <w:bookmarkStart w:id="264" w:name="mg2.1-division-of-work"/>
    <w:p>
      <w:pPr>
        <w:pStyle w:val="Heading3"/>
      </w:pPr>
      <w:r>
        <w:t xml:space="preserve">MG2.1 Division of work</w:t>
      </w:r>
    </w:p>
    <w:p>
      <w:pPr>
        <w:pStyle w:val="FirstParagraph"/>
      </w:pPr>
      <w:r>
        <w:t xml:space="preserve">The RE decides area selection, group approval, household-income assessment, the 50% test, guardrails, GRT outcome, sanction, pricing and posting (CF paras 52–58; OUT para 15). The RE’s own staff conduct CGT (free of charge, RBC para 88) and GRT (by an officer independent of the CGT trainer); Udofin staff never conduct GRT, because its outcome is part of the credit process [REC]. Udofin supplies scheduling, capture, evidence, per-member KFS and loan-card delivery, digital repayment instructions on the RE’s accounts, the contact-policy engine, the recovery-grievance channel (RBC para 92) and</w:t>
      </w:r>
      <w:r>
        <w:t xml:space="preserve"> </w:t>
      </w:r>
      <w:r>
        <w:t xml:space="preserve">“</w:t>
      </w:r>
      <w:r>
        <w:t xml:space="preserve">verify this agent</w:t>
      </w:r>
      <w:r>
        <w:t xml:space="preserve">”</w:t>
      </w:r>
      <w:r>
        <w:t xml:space="preserve">. The RE pulls the CIR under its own CIC membership (CIR para 6); Udofin never pulls.</w:t>
      </w:r>
    </w:p>
    <w:bookmarkEnd w:id="264"/>
    <w:bookmarkStart w:id="265" w:name="mg2.2-group-formation"/>
    <w:p>
      <w:pPr>
        <w:pStyle w:val="Heading3"/>
      </w:pPr>
      <w:r>
        <w:t xml:space="preserve">MG2.2 Group formation</w:t>
      </w:r>
    </w:p>
    <w:p>
      <w:pPr>
        <w:numPr>
          <w:ilvl w:val="0"/>
          <w:numId w:val="1155"/>
        </w:numPr>
        <w:pStyle w:val="Compact"/>
      </w:pPr>
      <w:r>
        <w:rPr>
          <w:bCs/>
          <w:b/>
        </w:rPr>
        <w:t xml:space="preserve">Group record</w:t>
      </w:r>
      <w:r>
        <w:t xml:space="preserve"> </w:t>
      </w:r>
      <w:r>
        <w:t xml:space="preserve">(projection of the RE’s group): group ID, RE, centre, village or ward, members, leader and deputy, formation date, status.</w:t>
      </w:r>
    </w:p>
    <w:p>
      <w:pPr>
        <w:numPr>
          <w:ilvl w:val="0"/>
          <w:numId w:val="1155"/>
        </w:numPr>
        <w:pStyle w:val="Compact"/>
      </w:pPr>
      <w:r>
        <w:rPr>
          <w:bCs/>
          <w:b/>
        </w:rPr>
        <w:t xml:space="preserve">Group states:</w:t>
      </w:r>
      <w:r>
        <w:t xml:space="preserve"> </w:t>
      </w:r>
      <w:r>
        <w:rPr>
          <w:rStyle w:val="VerbatimChar"/>
        </w:rPr>
        <w:t xml:space="preserve">FORMING → MEMBERS_CAPTURED → CGT_SCHEDULED → CGT_COMPLETED → GRT_SCHEDULED → {GRT_PASSED, GRT_FAILED} → RECOGNISED → ACTIVE → {DORMANT, DISSOLVED}</w:t>
      </w:r>
      <w:r>
        <w:t xml:space="preserve">.</w:t>
      </w:r>
      <w:r>
        <w:t xml:space="preserve"> </w:t>
      </w:r>
      <w:r>
        <w:rPr>
          <w:rStyle w:val="VerbatimChar"/>
        </w:rPr>
        <w:t xml:space="preserve">RECOGNISED</w:t>
      </w:r>
      <w:r>
        <w:t xml:space="preserve"> </w:t>
      </w:r>
      <w:r>
        <w:t xml:space="preserve">happens only on the RE’s</w:t>
      </w:r>
      <w:r>
        <w:t xml:space="preserve"> </w:t>
      </w:r>
      <w:r>
        <w:rPr>
          <w:rStyle w:val="VerbatimChar"/>
        </w:rPr>
        <w:t xml:space="preserve">GroupFormed</w:t>
      </w:r>
      <w:r>
        <w:t xml:space="preserve"> </w:t>
      </w:r>
      <w:r>
        <w:t xml:space="preserve">event.</w:t>
      </w:r>
    </w:p>
    <w:p>
      <w:pPr>
        <w:numPr>
          <w:ilvl w:val="0"/>
          <w:numId w:val="1155"/>
        </w:numPr>
        <w:pStyle w:val="Compact"/>
      </w:pPr>
      <w:r>
        <w:rPr>
          <w:bCs/>
          <w:b/>
        </w:rPr>
        <w:t xml:space="preserve">Composition checks</w:t>
      </w:r>
      <w:r>
        <w:t xml:space="preserve"> </w:t>
      </w:r>
      <w:r>
        <w:t xml:space="preserve">(warnings to the RE, configured from the RE’s policy): group size within the RE’s range (commonly 4–10; 5 typical) [VERIFY: NABARD and RE norms]; one member per household (address and household-roster match); declared close-relative links; members within the RE’s area. Udofin never blocks a group the RE approves; it records that the warning was shown and who overrode it.</w:t>
      </w:r>
    </w:p>
    <w:p>
      <w:pPr>
        <w:numPr>
          <w:ilvl w:val="0"/>
          <w:numId w:val="1155"/>
        </w:numPr>
        <w:pStyle w:val="Compact"/>
      </w:pPr>
      <w:r>
        <w:rPr>
          <w:bCs/>
          <w:b/>
        </w:rPr>
        <w:t xml:space="preserve">Per-member capture:</w:t>
      </w:r>
      <w:r>
        <w:t xml:space="preserve"> </w:t>
      </w:r>
      <w:r>
        <w:t xml:space="preserve">identity through Aadhaar offline XML or DigiLocker (masked; never stored in full); Voter ID with e-validation through the RE’s provider, where</w:t>
      </w:r>
      <w:r>
        <w:t xml:space="preserve"> </w:t>
      </w:r>
      <w:r>
        <w:t xml:space="preserve">“</w:t>
      </w:r>
      <w:r>
        <w:t xml:space="preserve">no hit</w:t>
      </w:r>
      <w:r>
        <w:t xml:space="preserve">”</w:t>
      </w:r>
      <w:r>
        <w:t xml:space="preserve"> </w:t>
      </w:r>
      <w:r>
        <w:t xml:space="preserve">is shown to the RE as a guardrail failure (</w:t>
      </w:r>
      <w:r>
        <w:rPr>
          <w:rStyle w:val="VerbatimChar"/>
        </w:rPr>
        <w:t xml:space="preserve">REQ-MFIN-GR2-7</w:t>
      </w:r>
      <w:r>
        <w:t xml:space="preserve">); PAN where held; nominee; bank account with penny-drop name match; household roster (spouse and unmarried children under CF para 51).</w:t>
      </w:r>
    </w:p>
    <w:p>
      <w:pPr>
        <w:numPr>
          <w:ilvl w:val="0"/>
          <w:numId w:val="1155"/>
        </w:numPr>
        <w:pStyle w:val="Compact"/>
      </w:pPr>
      <w:r>
        <w:rPr>
          <w:bCs/>
          <w:b/>
        </w:rPr>
        <w:t xml:space="preserve">Consent per member,</w:t>
      </w:r>
      <w:r>
        <w:t xml:space="preserve"> </w:t>
      </w:r>
      <w:r>
        <w:t xml:space="preserve">on the member’s own device by OTP, or by the low-literacy route in MG4.4. A group leader cannot consent for a member.</w:t>
      </w:r>
    </w:p>
    <w:bookmarkEnd w:id="265"/>
    <w:bookmarkStart w:id="266" w:name="Xbb6f195c67e79d32568c865bad882d9de10cd92"/>
    <w:p>
      <w:pPr>
        <w:pStyle w:val="Heading3"/>
      </w:pPr>
      <w:r>
        <w:t xml:space="preserve">MG2.3 Household income and the 50% test (capture for the RE’s assessment)</w:t>
      </w:r>
    </w:p>
    <w:p>
      <w:pPr>
        <w:numPr>
          <w:ilvl w:val="0"/>
          <w:numId w:val="1156"/>
        </w:numPr>
        <w:pStyle w:val="Compact"/>
      </w:pPr>
      <w:r>
        <w:rPr>
          <w:bCs/>
          <w:b/>
        </w:rPr>
        <w:t xml:space="preserve">Questionnaire</w:t>
      </w:r>
      <w:r>
        <w:t xml:space="preserve"> </w:t>
      </w:r>
      <w:r>
        <w:t xml:space="preserve">follows CF para 52(1): household profile; income by earning member and source over at least one year, with a double-counting prompt (para 52(1)(ii)(c)); regular and irregular expenses (para 52(1)(iii)). Fields configured per RE in U2 (Part 8A.1</w:t>
      </w:r>
      <w:r>
        <w:t xml:space="preserve"> </w:t>
      </w:r>
      <w:r>
        <w:rPr>
          <w:rStyle w:val="VerbatimChar"/>
        </w:rPr>
        <w:t xml:space="preserve">REQ-CF-52</w:t>
      </w:r>
      <w:r>
        <w:t xml:space="preserve">).</w:t>
      </w:r>
    </w:p>
    <w:p>
      <w:pPr>
        <w:numPr>
          <w:ilvl w:val="0"/>
          <w:numId w:val="1156"/>
        </w:numPr>
        <w:pStyle w:val="Compact"/>
      </w:pPr>
      <w:r>
        <w:rPr>
          <w:bCs/>
          <w:b/>
        </w:rPr>
        <w:t xml:space="preserve">Thresholds shown to the RE:</w:t>
      </w:r>
      <w:r>
        <w:t xml:space="preserve"> </w:t>
      </w:r>
      <w:r>
        <w:t xml:space="preserve">annual household income ≤ ₹3,00,000 (CF para 51); above it the application is routed to the RE’s non-microfinance product, not rejected by Udofin.</w:t>
      </w:r>
    </w:p>
    <w:p>
      <w:pPr>
        <w:numPr>
          <w:ilvl w:val="0"/>
          <w:numId w:val="1156"/>
        </w:numPr>
        <w:pStyle w:val="Compact"/>
      </w:pPr>
      <w:r>
        <w:rPr>
          <w:bCs/>
          <w:b/>
        </w:rPr>
        <w:t xml:space="preserve">Indicative obligation ratio</w:t>
      </w:r>
      <w:r>
        <w:t xml:space="preserve"> </w:t>
      </w:r>
      <w:r>
        <w:t xml:space="preserve">= (sum of monthly repayment obligations of all household loans from the RE’s bureau result and declarations, including bullet loans converted under the RE’s method and loans with missing EMI tradelines, plus the proposed EMI) ÷ monthly household income, excluding expected income from the financed activity (CF paras 55–56 and Explanation). Shown against 50% or the RE’s lower Board cap. Udofin labels it</w:t>
      </w:r>
      <w:r>
        <w:t xml:space="preserve"> </w:t>
      </w:r>
      <w:r>
        <w:t xml:space="preserve">“</w:t>
      </w:r>
      <w:r>
        <w:t xml:space="preserve">indicative; [RE name] decides</w:t>
      </w:r>
      <w:r>
        <w:t xml:space="preserve">”</w:t>
      </w:r>
      <w:r>
        <w:t xml:space="preserve">. Above the cap, Udofin shows the RE’s message and, where existing loans exceed the cap,</w:t>
      </w:r>
      <w:r>
        <w:t xml:space="preserve"> </w:t>
      </w:r>
      <w:r>
        <w:t xml:space="preserve">“</w:t>
      </w:r>
      <w:r>
        <w:t xml:space="preserve">existing loans continue; no new loan until within the limit</w:t>
      </w:r>
      <w:r>
        <w:t xml:space="preserve">”</w:t>
      </w:r>
      <w:r>
        <w:t xml:space="preserve"> </w:t>
      </w:r>
      <w:r>
        <w:t xml:space="preserve">(CF para 57).</w:t>
      </w:r>
    </w:p>
    <w:p>
      <w:pPr>
        <w:numPr>
          <w:ilvl w:val="0"/>
          <w:numId w:val="1156"/>
        </w:numPr>
        <w:pStyle w:val="Compact"/>
      </w:pPr>
      <w:r>
        <w:rPr>
          <w:bCs/>
          <w:b/>
        </w:rPr>
        <w:t xml:space="preserve">Divergence capture</w:t>
      </w:r>
      <w:r>
        <w:t xml:space="preserve"> </w:t>
      </w:r>
      <w:r>
        <w:t xml:space="preserve">when the assessed income differs from income previously reported to CICs: reason text from the member (CF para 54), passed to the RE.</w:t>
      </w:r>
    </w:p>
    <w:bookmarkEnd w:id="266"/>
    <w:bookmarkStart w:id="267" w:name="mg2.4-mfin-guardrails-2.0-surfaced"/>
    <w:p>
      <w:pPr>
        <w:pStyle w:val="Heading3"/>
      </w:pPr>
      <w:r>
        <w:t xml:space="preserve">MG2.4 MFIN Guardrails 2.0 surfaced</w:t>
      </w:r>
    </w:p>
    <w:p>
      <w:pPr>
        <w:pStyle w:val="FirstParagraph"/>
      </w:pPr>
      <w:r>
        <w:t xml:space="preserve">The RE applies the guardrails from its own bureau pull (CIR not older than 15 days). Udofin surfaces each result on the member’s application in the RE’s portal and the field app, never as Udofin’s decision: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054"/>
        <w:gridCol w:w="3593"/>
        <w:gridCol w:w="1991"/>
      </w:tblGrid>
      <w:tr>
        <w:trPr>
          <w:tblHeader w:val="true"/>
          <w:tblHeader w:val="true"/>
        </w:trPr>
        <w:tc>
          <w:tcPr>
            <w:tcW w:w="4054" w:type="dxa"/>
            <w:shd w:val="clear" w:color="auto" w:fill="1F3A5F"/>
          </w:tcPr>
          <w:p>
            <w:pPr>
              <w:pStyle w:val="Compact"/>
              <w:spacing w:after="40"/>
              <w:jc w:val="left"/>
            </w:pPr>
            <w:r>
              <w:rPr>
                <w:b/>
                <w:color w:val="FFFFFF"/>
                <w:sz w:val="18"/>
              </w:rPr>
              <w:t xml:space="preserve">Guardrail</w:t>
            </w:r>
          </w:p>
        </w:tc>
        <w:tc>
          <w:tcPr>
            <w:tcW w:w="3593" w:type="dxa"/>
            <w:shd w:val="clear" w:color="auto" w:fill="1F3A5F"/>
          </w:tcPr>
          <w:p>
            <w:pPr>
              <w:pStyle w:val="Compact"/>
              <w:spacing w:after="40"/>
              <w:jc w:val="left"/>
            </w:pPr>
            <w:r>
              <w:rPr>
                <w:b/>
                <w:color w:val="FFFFFF"/>
                <w:sz w:val="18"/>
              </w:rPr>
              <w:t xml:space="preserve">Display rule</w:t>
            </w:r>
          </w:p>
        </w:tc>
        <w:tc>
          <w:tcPr>
            <w:tcW w:w="1991" w:type="dxa"/>
            <w:shd w:val="clear" w:color="auto" w:fill="1F3A5F"/>
          </w:tcPr>
          <w:p>
            <w:pPr>
              <w:pStyle w:val="Compact"/>
              <w:spacing w:after="40"/>
              <w:jc w:val="left"/>
            </w:pPr>
            <w:r>
              <w:rPr>
                <w:b/>
                <w:color w:val="FFFFFF"/>
                <w:sz w:val="18"/>
              </w:rPr>
              <w:t xml:space="preserve">Ref</w:t>
            </w:r>
          </w:p>
        </w:tc>
      </w:tr>
      <w:tr>
        <w:tc>
          <w:tcPr>
            <w:tcW w:w="4054" w:type="dxa"/>
          </w:tcPr>
          <w:p>
            <w:pPr>
              <w:pStyle w:val="Compact"/>
              <w:spacing w:after="40"/>
              <w:jc w:val="left"/>
            </w:pPr>
            <w:r>
              <w:rPr>
                <w:sz w:val="18"/>
              </w:rPr>
              <w:t xml:space="preserve">Number of microfinance lenders ≤ 3, counting this RE (from 1 Apr 2025)</w:t>
            </w:r>
          </w:p>
        </w:tc>
        <w:tc>
          <w:tcPr>
            <w:tcW w:w="3593" w:type="dxa"/>
          </w:tcPr>
          <w:p>
            <w:pPr>
              <w:pStyle w:val="Compact"/>
              <w:spacing w:after="40"/>
              <w:jc w:val="left"/>
            </w:pPr>
            <w:r>
              <w:rPr>
                <w:sz w:val="18"/>
              </w:rPr>
              <w:t xml:space="preserve">Count and lender names as permitted by the RE</w:t>
            </w:r>
          </w:p>
        </w:tc>
        <w:tc>
          <w:tcPr>
            <w:tcW w:w="1991" w:type="dxa"/>
          </w:tcPr>
          <w:p>
            <w:pPr>
              <w:pStyle w:val="Compact"/>
              <w:spacing w:after="40"/>
              <w:jc w:val="left"/>
            </w:pPr>
            <w:r>
              <w:rPr>
                <w:rStyle w:val="VerbatimChar"/>
                <w:sz w:val="18"/>
              </w:rPr>
              <w:t xml:space="preserve">REQ-MFIN-GR2-1</w:t>
            </w:r>
          </w:p>
        </w:tc>
      </w:tr>
      <w:tr>
        <w:tc>
          <w:tcPr>
            <w:tcW w:w="4054" w:type="dxa"/>
          </w:tcPr>
          <w:p>
            <w:pPr>
              <w:pStyle w:val="Compact"/>
              <w:spacing w:after="40"/>
              <w:jc w:val="left"/>
            </w:pPr>
            <w:r>
              <w:rPr>
                <w:sz w:val="18"/>
              </w:rPr>
              <w:t xml:space="preserve">Total unsecured indebtedness ≤ ₹2,00,000 including the proposed loan, excluding secured retail (from 1 Jan 2025)</w:t>
            </w:r>
          </w:p>
        </w:tc>
        <w:tc>
          <w:tcPr>
            <w:tcW w:w="3593" w:type="dxa"/>
          </w:tcPr>
          <w:p>
            <w:pPr>
              <w:pStyle w:val="Compact"/>
              <w:spacing w:after="40"/>
              <w:jc w:val="left"/>
            </w:pPr>
            <w:r>
              <w:rPr>
                <w:sz w:val="18"/>
              </w:rPr>
              <w:t xml:space="preserve">Amount and headroom</w:t>
            </w:r>
          </w:p>
        </w:tc>
        <w:tc>
          <w:tcPr>
            <w:tcW w:w="1991" w:type="dxa"/>
          </w:tcPr>
          <w:p>
            <w:pPr>
              <w:pStyle w:val="Compact"/>
              <w:spacing w:after="40"/>
              <w:jc w:val="left"/>
            </w:pPr>
            <w:r>
              <w:rPr>
                <w:rStyle w:val="VerbatimChar"/>
                <w:sz w:val="18"/>
              </w:rPr>
              <w:t xml:space="preserve">REQ-MFIN-GR2-2</w:t>
            </w:r>
          </w:p>
        </w:tc>
      </w:tr>
      <w:tr>
        <w:tc>
          <w:tcPr>
            <w:tcW w:w="4054" w:type="dxa"/>
          </w:tcPr>
          <w:p>
            <w:pPr>
              <w:pStyle w:val="Compact"/>
              <w:spacing w:after="40"/>
              <w:jc w:val="left"/>
            </w:pPr>
            <w:r>
              <w:rPr>
                <w:sz w:val="18"/>
              </w:rPr>
              <w:t xml:space="preserve">No new loan if any loan with more than ₹3,000 outstanding is more than 60 days past due</w:t>
            </w:r>
          </w:p>
        </w:tc>
        <w:tc>
          <w:tcPr>
            <w:tcW w:w="3593" w:type="dxa"/>
          </w:tcPr>
          <w:p>
            <w:pPr>
              <w:pStyle w:val="Compact"/>
              <w:spacing w:after="40"/>
              <w:jc w:val="left"/>
            </w:pPr>
            <w:r>
              <w:rPr>
                <w:sz w:val="18"/>
              </w:rPr>
              <w:t xml:space="preserve">Flag with tradeline reference</w:t>
            </w:r>
          </w:p>
        </w:tc>
        <w:tc>
          <w:tcPr>
            <w:tcW w:w="1991" w:type="dxa"/>
          </w:tcPr>
          <w:p>
            <w:pPr>
              <w:pStyle w:val="Compact"/>
              <w:spacing w:after="40"/>
              <w:jc w:val="left"/>
            </w:pPr>
            <w:r>
              <w:rPr>
                <w:rStyle w:val="VerbatimChar"/>
                <w:sz w:val="18"/>
              </w:rPr>
              <w:t xml:space="preserve">REQ-MFIN-GR2-3</w:t>
            </w:r>
          </w:p>
        </w:tc>
      </w:tr>
      <w:tr>
        <w:tc>
          <w:tcPr>
            <w:tcW w:w="4054" w:type="dxa"/>
          </w:tcPr>
          <w:p>
            <w:pPr>
              <w:pStyle w:val="Compact"/>
              <w:spacing w:after="40"/>
              <w:jc w:val="left"/>
            </w:pPr>
            <w:r>
              <w:rPr>
                <w:sz w:val="18"/>
              </w:rPr>
              <w:t xml:space="preserve">Processing fee ≤ 1.5% plus GST; only the fee and credit-life premium deducted at disbursal</w:t>
            </w:r>
          </w:p>
        </w:tc>
        <w:tc>
          <w:tcPr>
            <w:tcW w:w="3593" w:type="dxa"/>
          </w:tcPr>
          <w:p>
            <w:pPr>
              <w:pStyle w:val="Compact"/>
              <w:spacing w:after="40"/>
              <w:jc w:val="left"/>
            </w:pPr>
            <w:r>
              <w:rPr>
                <w:sz w:val="18"/>
              </w:rPr>
              <w:t xml:space="preserve">KFS charge check; any other deduction blocks display</w:t>
            </w:r>
          </w:p>
        </w:tc>
        <w:tc>
          <w:tcPr>
            <w:tcW w:w="1991" w:type="dxa"/>
          </w:tcPr>
          <w:p>
            <w:pPr>
              <w:pStyle w:val="Compact"/>
              <w:spacing w:after="40"/>
              <w:jc w:val="left"/>
            </w:pPr>
            <w:r>
              <w:rPr>
                <w:rStyle w:val="VerbatimChar"/>
                <w:sz w:val="18"/>
              </w:rPr>
              <w:t xml:space="preserve">REQ-MFIN-GR2-4</w:t>
            </w:r>
          </w:p>
        </w:tc>
      </w:tr>
      <w:tr>
        <w:tc>
          <w:tcPr>
            <w:tcW w:w="4054" w:type="dxa"/>
          </w:tcPr>
          <w:p>
            <w:pPr>
              <w:pStyle w:val="Compact"/>
              <w:spacing w:after="40"/>
              <w:jc w:val="left"/>
            </w:pPr>
            <w:r>
              <w:rPr>
                <w:sz w:val="18"/>
              </w:rPr>
              <w:t xml:space="preserve">Third-party products only with consent and at least one month after disbursal</w:t>
            </w:r>
          </w:p>
        </w:tc>
        <w:tc>
          <w:tcPr>
            <w:tcW w:w="3593" w:type="dxa"/>
          </w:tcPr>
          <w:p>
            <w:pPr>
              <w:pStyle w:val="Compact"/>
              <w:spacing w:after="40"/>
              <w:jc w:val="left"/>
            </w:pPr>
            <w:r>
              <w:rPr>
                <w:sz w:val="18"/>
              </w:rPr>
              <w:t xml:space="preserve">XP4 blocks any cross-sell journey for 30 days after</w:t>
            </w:r>
            <w:r>
              <w:rPr>
                <w:sz w:val="18"/>
              </w:rPr>
              <w:t xml:space="preserve"> </w:t>
            </w:r>
            <w:r>
              <w:rPr>
                <w:rStyle w:val="VerbatimChar"/>
                <w:sz w:val="18"/>
              </w:rPr>
              <w:t xml:space="preserve">LoanDisbursed</w:t>
            </w:r>
            <w:r>
              <w:rPr>
                <w:sz w:val="18"/>
              </w:rPr>
              <w:t xml:space="preserve"> </w:t>
            </w:r>
            <w:r>
              <w:rPr>
                <w:sz w:val="18"/>
              </w:rPr>
              <w:t xml:space="preserve">on a microfinance loan</w:t>
            </w:r>
          </w:p>
        </w:tc>
        <w:tc>
          <w:tcPr>
            <w:tcW w:w="1991" w:type="dxa"/>
          </w:tcPr>
          <w:p>
            <w:pPr>
              <w:pStyle w:val="Compact"/>
              <w:spacing w:after="40"/>
              <w:jc w:val="left"/>
            </w:pPr>
            <w:r>
              <w:rPr>
                <w:rStyle w:val="VerbatimChar"/>
                <w:sz w:val="18"/>
              </w:rPr>
              <w:t xml:space="preserve">REQ-MFIN-GR2-5</w:t>
            </w:r>
            <w:r>
              <w:rPr>
                <w:sz w:val="18"/>
              </w:rPr>
              <w:t xml:space="preserve">; RBC para 80</w:t>
            </w:r>
          </w:p>
        </w:tc>
      </w:tr>
      <w:tr>
        <w:tc>
          <w:tcPr>
            <w:tcW w:w="4054" w:type="dxa"/>
          </w:tcPr>
          <w:p>
            <w:pPr>
              <w:pStyle w:val="Compact"/>
              <w:spacing w:after="40"/>
              <w:jc w:val="left"/>
            </w:pPr>
            <w:r>
              <w:rPr>
                <w:sz w:val="18"/>
              </w:rPr>
              <w:t xml:space="preserve">CIR validity 15 days</w:t>
            </w:r>
          </w:p>
        </w:tc>
        <w:tc>
          <w:tcPr>
            <w:tcW w:w="3593" w:type="dxa"/>
          </w:tcPr>
          <w:p>
            <w:pPr>
              <w:pStyle w:val="Compact"/>
              <w:spacing w:after="40"/>
              <w:jc w:val="left"/>
            </w:pPr>
            <w:r>
              <w:rPr>
                <w:sz w:val="18"/>
              </w:rPr>
              <w:t xml:space="preserve">Stale CIR blocks the sanction screen</w:t>
            </w:r>
          </w:p>
        </w:tc>
        <w:tc>
          <w:tcPr>
            <w:tcW w:w="1991" w:type="dxa"/>
          </w:tcPr>
          <w:p>
            <w:pPr>
              <w:pStyle w:val="Compact"/>
              <w:spacing w:after="40"/>
              <w:jc w:val="left"/>
            </w:pPr>
            <w:r>
              <w:rPr>
                <w:rStyle w:val="VerbatimChar"/>
                <w:sz w:val="18"/>
              </w:rPr>
              <w:t xml:space="preserve">REQ-MFIN-GR2-6</w:t>
            </w:r>
          </w:p>
        </w:tc>
      </w:tr>
      <w:tr>
        <w:tc>
          <w:tcPr>
            <w:tcW w:w="4054" w:type="dxa"/>
          </w:tcPr>
          <w:p>
            <w:pPr>
              <w:pStyle w:val="Compact"/>
              <w:spacing w:after="40"/>
              <w:jc w:val="left"/>
            </w:pPr>
            <w:r>
              <w:rPr>
                <w:sz w:val="18"/>
              </w:rPr>
              <w:t xml:space="preserve">Voter ID e-validation; reject</w:t>
            </w:r>
            <w:r>
              <w:rPr>
                <w:sz w:val="18"/>
              </w:rPr>
              <w:t xml:space="preserve"> </w:t>
            </w:r>
            <w:r>
              <w:rPr>
                <w:sz w:val="18"/>
              </w:rPr>
              <w:t xml:space="preserve">“</w:t>
            </w:r>
            <w:r>
              <w:rPr>
                <w:sz w:val="18"/>
              </w:rPr>
              <w:t xml:space="preserve">no hit</w:t>
            </w:r>
            <w:r>
              <w:rPr>
                <w:sz w:val="18"/>
              </w:rPr>
              <w:t xml:space="preserve">”</w:t>
            </w:r>
          </w:p>
        </w:tc>
        <w:tc>
          <w:tcPr>
            <w:tcW w:w="3593" w:type="dxa"/>
          </w:tcPr>
          <w:p>
            <w:pPr>
              <w:pStyle w:val="Compact"/>
              <w:spacing w:after="40"/>
              <w:jc w:val="left"/>
            </w:pPr>
            <w:r>
              <w:rPr>
                <w:sz w:val="18"/>
              </w:rPr>
              <w:t xml:space="preserve">Guardrail flag</w:t>
            </w:r>
          </w:p>
        </w:tc>
        <w:tc>
          <w:tcPr>
            <w:tcW w:w="1991" w:type="dxa"/>
          </w:tcPr>
          <w:p>
            <w:pPr>
              <w:pStyle w:val="Compact"/>
              <w:spacing w:after="40"/>
              <w:jc w:val="left"/>
            </w:pPr>
            <w:r>
              <w:rPr>
                <w:rStyle w:val="VerbatimChar"/>
                <w:sz w:val="18"/>
              </w:rPr>
              <w:t xml:space="preserve">REQ-MFIN-GR2-7</w:t>
            </w:r>
          </w:p>
        </w:tc>
      </w:tr>
    </w:tbl>
    <w:p>
      <w:pPr>
        <w:pStyle w:val="BodyText"/>
      </w:pPr>
      <w:r>
        <w:t xml:space="preserve">Where the RE is not an MFIN member, it applies the guardrails it adopts by policy; Udofin shows only the ones the RE configures [REC: recommend adoption].</w:t>
      </w:r>
    </w:p>
    <w:bookmarkEnd w:id="267"/>
    <w:bookmarkStart w:id="268" w:name="mg2.5-cgt-and-grt-scheduling"/>
    <w:p>
      <w:pPr>
        <w:pStyle w:val="Heading3"/>
      </w:pPr>
      <w:r>
        <w:t xml:space="preserve">MG2.5 CGT and GRT scheduling</w:t>
      </w:r>
    </w:p>
    <w:p>
      <w:pPr>
        <w:numPr>
          <w:ilvl w:val="0"/>
          <w:numId w:val="1157"/>
        </w:numPr>
        <w:pStyle w:val="Compact"/>
      </w:pPr>
      <w:r>
        <w:rPr>
          <w:bCs/>
          <w:b/>
        </w:rPr>
        <w:t xml:space="preserve">Scheduler</w:t>
      </w:r>
      <w:r>
        <w:t xml:space="preserve"> </w:t>
      </w:r>
      <w:r>
        <w:t xml:space="preserve">in the field app and the RE portal: sessions per group, trainer (RE staff), date, time, place (a public or community place agreed with members), language, planned duration (CGT commonly 3–5 days [VERIFY: RE norm]).</w:t>
      </w:r>
    </w:p>
    <w:p>
      <w:pPr>
        <w:numPr>
          <w:ilvl w:val="0"/>
          <w:numId w:val="1157"/>
        </w:numPr>
        <w:pStyle w:val="Compact"/>
      </w:pPr>
      <w:r>
        <w:rPr>
          <w:bCs/>
          <w:b/>
        </w:rPr>
        <w:t xml:space="preserve">Attendance</w:t>
      </w:r>
      <w:r>
        <w:t xml:space="preserve"> </w:t>
      </w:r>
      <w:r>
        <w:t xml:space="preserve">per member per session: present, absent, reason; geo-time stamp from the</w:t>
      </w:r>
      <w:r>
        <w:t xml:space="preserve"> </w:t>
      </w:r>
      <w:r>
        <w:rPr>
          <w:bCs/>
          <w:b/>
        </w:rPr>
        <w:t xml:space="preserve">staff</w:t>
      </w:r>
      <w:r>
        <w:t xml:space="preserve"> </w:t>
      </w:r>
      <w:r>
        <w:t xml:space="preserve">device; photo of the session venue only, never of members’ homes or of members without consent.</w:t>
      </w:r>
    </w:p>
    <w:p>
      <w:pPr>
        <w:numPr>
          <w:ilvl w:val="0"/>
          <w:numId w:val="1157"/>
        </w:numPr>
        <w:pStyle w:val="Compact"/>
      </w:pPr>
      <w:r>
        <w:rPr>
          <w:bCs/>
          <w:b/>
        </w:rPr>
        <w:t xml:space="preserve">Content checklist</w:t>
      </w:r>
      <w:r>
        <w:t xml:space="preserve"> </w:t>
      </w:r>
      <w:r>
        <w:t xml:space="preserve">from the RE (loan terms, rights, no prepayment charge, grievance route, recovery-grievance mechanism, the meaning of voluntary peer support, data rights). Training is free (RBC para 88); a fee field does not exist.</w:t>
      </w:r>
    </w:p>
    <w:p>
      <w:pPr>
        <w:numPr>
          <w:ilvl w:val="0"/>
          <w:numId w:val="1157"/>
        </w:numPr>
        <w:pStyle w:val="Compact"/>
      </w:pPr>
      <w:r>
        <w:rPr>
          <w:bCs/>
          <w:b/>
        </w:rPr>
        <w:t xml:space="preserve">GRT checklist</w:t>
      </w:r>
      <w:r>
        <w:t xml:space="preserve"> </w:t>
      </w:r>
      <w:r>
        <w:t xml:space="preserve">(RE officer): knowledge check, house-visit confirmation, coercion screen (</w:t>
      </w:r>
      <w:r>
        <w:t xml:space="preserve">“</w:t>
      </w:r>
      <w:r>
        <w:t xml:space="preserve">has anyone asked you for money or documents to join?</w:t>
      </w:r>
      <w:r>
        <w:t xml:space="preserve">”</w:t>
      </w:r>
      <w:r>
        <w:t xml:space="preserve">), household-data confirmation. Outcome PASS or FAIL with reasons is the RE’s; Udofin records it.</w:t>
      </w:r>
    </w:p>
    <w:p>
      <w:pPr>
        <w:numPr>
          <w:ilvl w:val="0"/>
          <w:numId w:val="1157"/>
        </w:numPr>
        <w:pStyle w:val="Compact"/>
      </w:pPr>
      <w:r>
        <w:rPr>
          <w:bCs/>
          <w:b/>
        </w:rPr>
        <w:t xml:space="preserve">Gate:</w:t>
      </w:r>
      <w:r>
        <w:t xml:space="preserve"> </w:t>
      </w:r>
      <w:r>
        <w:t xml:space="preserve">sanction screens stay locked until the RE marks GRT passed.</w:t>
      </w:r>
    </w:p>
    <w:bookmarkEnd w:id="268"/>
    <w:bookmarkStart w:id="269" w:name="Xa77afae1a5792f436d835810a4281e3f8a02106"/>
    <w:p>
      <w:pPr>
        <w:pStyle w:val="Heading3"/>
      </w:pPr>
      <w:r>
        <w:t xml:space="preserve">MG2.6 Sanction, KFS and loan card per member</w:t>
      </w:r>
    </w:p>
    <w:p>
      <w:pPr>
        <w:numPr>
          <w:ilvl w:val="0"/>
          <w:numId w:val="1158"/>
        </w:numPr>
        <w:pStyle w:val="Compact"/>
      </w:pPr>
      <w:r>
        <w:rPr>
          <w:bCs/>
          <w:b/>
        </w:rPr>
        <w:t xml:space="preserve">One KFS per member</w:t>
      </w:r>
      <w:r>
        <w:t xml:space="preserve"> </w:t>
      </w:r>
      <w:r>
        <w:t xml:space="preserve">(each member is a separate borrower): RE-issued, unique proposal number, validity, APR sheet and schedule in the member’s language (RBC para 29(1)–(3)). Group-level summaries are never a substitute.</w:t>
      </w:r>
    </w:p>
    <w:p>
      <w:pPr>
        <w:numPr>
          <w:ilvl w:val="0"/>
          <w:numId w:val="1158"/>
        </w:numPr>
        <w:pStyle w:val="Compact"/>
      </w:pPr>
      <w:r>
        <w:rPr>
          <w:bCs/>
          <w:b/>
        </w:rPr>
        <w:t xml:space="preserve">Loan card</w:t>
      </w:r>
      <w:r>
        <w:t xml:space="preserve"> </w:t>
      </w:r>
      <w:r>
        <w:t xml:space="preserve">(RBC paras 78–79; Part 8A.5</w:t>
      </w:r>
      <w:r>
        <w:t xml:space="preserve"> </w:t>
      </w:r>
      <w:r>
        <w:rPr>
          <w:rStyle w:val="VerbatimChar"/>
        </w:rPr>
        <w:t xml:space="preserve">REQ-RBC-78</w:t>
      </w:r>
      <w:r>
        <w:t xml:space="preserve">) in the member’s language, plus MFIN grievance details where the RE is an MFIN member; rendered in U25 from the RE’s data and updated on each</w:t>
      </w:r>
      <w:r>
        <w:t xml:space="preserve"> </w:t>
      </w:r>
      <w:r>
        <w:rPr>
          <w:rStyle w:val="VerbatimChar"/>
        </w:rPr>
        <w:t xml:space="preserve">PaymentReceived</w:t>
      </w:r>
      <w:r>
        <w:t xml:space="preserve">; printable for the RE.</w:t>
      </w:r>
    </w:p>
    <w:p>
      <w:pPr>
        <w:numPr>
          <w:ilvl w:val="0"/>
          <w:numId w:val="1158"/>
        </w:numPr>
        <w:pStyle w:val="Compact"/>
      </w:pPr>
      <w:r>
        <w:rPr>
          <w:bCs/>
          <w:b/>
        </w:rPr>
        <w:t xml:space="preserve">No prepayment charge</w:t>
      </w:r>
      <w:r>
        <w:t xml:space="preserve">; delay charge only on the overdue amount (RBC para 81) — U8 blocks a microfinance KFS that shows otherwise.</w:t>
      </w:r>
    </w:p>
    <w:p>
      <w:pPr>
        <w:numPr>
          <w:ilvl w:val="0"/>
          <w:numId w:val="1158"/>
        </w:numPr>
        <w:pStyle w:val="Compact"/>
      </w:pPr>
      <w:r>
        <w:rPr>
          <w:bCs/>
          <w:b/>
        </w:rPr>
        <w:t xml:space="preserve">Repayment periodicity</w:t>
      </w:r>
      <w:r>
        <w:t xml:space="preserve"> </w:t>
      </w:r>
      <w:r>
        <w:t xml:space="preserve">chosen by the member from the RE’s options (weekly, fortnightly, monthly; CF para 59).</w:t>
      </w:r>
    </w:p>
    <w:p>
      <w:pPr>
        <w:numPr>
          <w:ilvl w:val="0"/>
          <w:numId w:val="1158"/>
        </w:numPr>
        <w:pStyle w:val="Compact"/>
      </w:pPr>
      <w:r>
        <w:rPr>
          <w:bCs/>
          <w:b/>
        </w:rPr>
        <w:t xml:space="preserve">Rate display:</w:t>
      </w:r>
      <w:r>
        <w:t xml:space="preserve"> </w:t>
      </w:r>
      <w:r>
        <w:t xml:space="preserve">the RE’s minimum, maximum and average microfinance rates (RBC para 82) on the product page; rate changes shown as prospective only (para 83).</w:t>
      </w:r>
    </w:p>
    <w:p>
      <w:pPr>
        <w:numPr>
          <w:ilvl w:val="0"/>
          <w:numId w:val="1158"/>
        </w:numPr>
        <w:pStyle w:val="Compact"/>
      </w:pPr>
      <w:r>
        <w:rPr>
          <w:bCs/>
          <w:b/>
        </w:rPr>
        <w:t xml:space="preserve">Cooling-off</w:t>
      </w:r>
      <w:r>
        <w:t xml:space="preserve"> </w:t>
      </w:r>
      <w:r>
        <w:t xml:space="preserve">of at least one day for loans sourced through the DLA (CF para 11).</w:t>
      </w:r>
    </w:p>
    <w:p>
      <w:pPr>
        <w:numPr>
          <w:ilvl w:val="0"/>
          <w:numId w:val="1158"/>
        </w:numPr>
        <w:pStyle w:val="Compact"/>
      </w:pPr>
      <w:r>
        <w:rPr>
          <w:bCs/>
          <w:b/>
        </w:rPr>
        <w:t xml:space="preserve">Non-credit products</w:t>
      </w:r>
      <w:r>
        <w:t xml:space="preserve"> </w:t>
      </w:r>
      <w:r>
        <w:t xml:space="preserve">(for example credit-life cover) only with full, separate consent and with fees on the loan card (RBC para 80); never pre-ticked; never a condition of sanction (XP2, XP4).</w:t>
      </w:r>
    </w:p>
    <w:bookmarkEnd w:id="269"/>
    <w:bookmarkStart w:id="270" w:name="mg2.7-centre-meetings"/>
    <w:p>
      <w:pPr>
        <w:pStyle w:val="Heading3"/>
      </w:pPr>
      <w:r>
        <w:t xml:space="preserve">MG2.7 Centre meetings</w:t>
      </w:r>
    </w:p>
    <w:p>
      <w:pPr>
        <w:numPr>
          <w:ilvl w:val="0"/>
          <w:numId w:val="1159"/>
        </w:numPr>
        <w:pStyle w:val="Compact"/>
      </w:pPr>
      <w:r>
        <w:rPr>
          <w:bCs/>
          <w:b/>
        </w:rPr>
        <w:t xml:space="preserve">Centre</w:t>
      </w:r>
      <w:r>
        <w:t xml:space="preserve"> </w:t>
      </w:r>
      <w:r>
        <w:t xml:space="preserve">(2–6 groups commonly [MKT]) with a fixed day, time and place agreed with the members: this is the</w:t>
      </w:r>
      <w:r>
        <w:t xml:space="preserve"> </w:t>
      </w:r>
      <w:r>
        <w:rPr>
          <w:bCs/>
          <w:b/>
        </w:rPr>
        <w:t xml:space="preserve">designated place</w:t>
      </w:r>
      <w:r>
        <w:t xml:space="preserve"> </w:t>
      </w:r>
      <w:r>
        <w:t xml:space="preserve">for collection (RBC para 90). Changes need the members’ agreement, recorded in the meeting minutes.</w:t>
      </w:r>
    </w:p>
    <w:p>
      <w:pPr>
        <w:numPr>
          <w:ilvl w:val="0"/>
          <w:numId w:val="1159"/>
        </w:numPr>
        <w:pStyle w:val="Compact"/>
      </w:pPr>
      <w:r>
        <w:rPr>
          <w:bCs/>
          <w:b/>
        </w:rPr>
        <w:t xml:space="preserve">Meeting record:</w:t>
      </w:r>
      <w:r>
        <w:t xml:space="preserve"> </w:t>
      </w:r>
      <w:r>
        <w:t xml:space="preserve">date, start and end time, attendance per member, collections per member (MG4), loan-card entries, issues raised, next meeting.</w:t>
      </w:r>
      <w:r>
        <w:t xml:space="preserve"> </w:t>
      </w:r>
      <w:r>
        <w:rPr>
          <w:rStyle w:val="VerbatimChar"/>
        </w:rPr>
        <w:t xml:space="preserve">CentreMeetingHeld</w:t>
      </w:r>
      <w:r>
        <w:t xml:space="preserve"> </w:t>
      </w:r>
      <w:r>
        <w:t xml:space="preserve">is produced on close.</w:t>
      </w:r>
    </w:p>
    <w:p>
      <w:pPr>
        <w:numPr>
          <w:ilvl w:val="0"/>
          <w:numId w:val="1159"/>
        </w:numPr>
        <w:pStyle w:val="Compact"/>
      </w:pPr>
      <w:r>
        <w:rPr>
          <w:bCs/>
          <w:b/>
        </w:rPr>
        <w:t xml:space="preserve">Home or work visit</w:t>
      </w:r>
      <w:r>
        <w:t xml:space="preserve"> </w:t>
      </w:r>
      <w:r>
        <w:t xml:space="preserve">for collection is allowed by the contact-policy engine only after two or more successive non-appearances at the designated place (RBC para 90), counted from meeting records.</w:t>
      </w:r>
    </w:p>
    <w:p>
      <w:pPr>
        <w:numPr>
          <w:ilvl w:val="0"/>
          <w:numId w:val="1159"/>
        </w:numPr>
        <w:pStyle w:val="Compact"/>
      </w:pPr>
      <w:r>
        <w:rPr>
          <w:bCs/>
          <w:b/>
        </w:rPr>
        <w:t xml:space="preserve">Voluntary peer support only.</w:t>
      </w:r>
    </w:p>
    <w:p>
      <w:pPr>
        <w:numPr>
          <w:ilvl w:val="1"/>
          <w:numId w:val="1160"/>
        </w:numPr>
        <w:pStyle w:val="Compact"/>
      </w:pPr>
      <w:r>
        <w:t xml:space="preserve">The app never shows one member’s dues as another member’s liability.</w:t>
      </w:r>
    </w:p>
    <w:p>
      <w:pPr>
        <w:numPr>
          <w:ilvl w:val="1"/>
          <w:numId w:val="1160"/>
        </w:numPr>
        <w:pStyle w:val="Compact"/>
      </w:pPr>
      <w:r>
        <w:t xml:space="preserve">There is no</w:t>
      </w:r>
      <w:r>
        <w:t xml:space="preserve"> </w:t>
      </w:r>
      <w:r>
        <w:t xml:space="preserve">“</w:t>
      </w:r>
      <w:r>
        <w:t xml:space="preserve">group dues</w:t>
      </w:r>
      <w:r>
        <w:t xml:space="preserve">”</w:t>
      </w:r>
      <w:r>
        <w:t xml:space="preserve"> </w:t>
      </w:r>
      <w:r>
        <w:t xml:space="preserve">payment button. A member may pay another member’s instalment only through a separate, explicit, revocable consent artefact naming the beneficiary member, the amount and the occasion, captured on the paying member’s own device; each such payment is receipted to the paying member.</w:t>
      </w:r>
    </w:p>
    <w:p>
      <w:pPr>
        <w:numPr>
          <w:ilvl w:val="1"/>
          <w:numId w:val="1160"/>
        </w:numPr>
        <w:pStyle w:val="Compact"/>
      </w:pPr>
      <w:r>
        <w:t xml:space="preserve">No public defaulter lists, no naming in meetings, no shaming messages (RBC para 91(4)); the leader’s view shows own-group members’ status as paid or not yet paid, with amounts masked unless the member consents.</w:t>
      </w:r>
    </w:p>
    <w:bookmarkEnd w:id="270"/>
    <w:bookmarkStart w:id="271" w:name="X9b0370d5c7dbd094473c2a3928239aba0f20c20"/>
    <w:p>
      <w:pPr>
        <w:pStyle w:val="Heading3"/>
      </w:pPr>
      <w:r>
        <w:t xml:space="preserve">MG2.8 Contact rules, language and accessibility</w:t>
      </w:r>
    </w:p>
    <w:p>
      <w:pPr>
        <w:numPr>
          <w:ilvl w:val="0"/>
          <w:numId w:val="1161"/>
        </w:numPr>
        <w:pStyle w:val="Compact"/>
      </w:pPr>
      <w:r>
        <w:rPr>
          <w:bCs/>
          <w:b/>
        </w:rPr>
        <w:t xml:space="preserve">Call and contact window:</w:t>
      </w:r>
      <w:r>
        <w:t xml:space="preserve"> </w:t>
      </w:r>
      <w:r>
        <w:t xml:space="preserve">09:00–18:00 (RBC para 91(2)) for every microfinance-flagged loan until 31 Dec 2026; from 1 Jan 2027 the RBC Third Amendment rule pack (RBI/2026-27/230; pack B, Part 7A.0.4) governs the window and visit rules (paras 100Y(4), (5) and (7)) [VERIFY: official text].</w:t>
      </w:r>
      <w:r>
        <w:t xml:space="preserve"> </w:t>
      </w:r>
      <w:r>
        <w:rPr>
          <w:rStyle w:val="VerbatimChar"/>
        </w:rPr>
        <w:t xml:space="preserve">canContact</w:t>
      </w:r>
      <w:r>
        <w:t xml:space="preserve"> </w:t>
      </w:r>
      <w:r>
        <w:t xml:space="preserve">selects the pack by the timestamp of each attempt; an RE may configure a narrower window (Finbyx IP4.8 keeps 09:00–18:00 by default), never a wider one. No persistent calling; the RE’s Board frequency cap applies.</w:t>
      </w:r>
    </w:p>
    <w:p>
      <w:pPr>
        <w:numPr>
          <w:ilvl w:val="0"/>
          <w:numId w:val="1161"/>
        </w:numPr>
        <w:pStyle w:val="Compact"/>
      </w:pPr>
      <w:r>
        <w:rPr>
          <w:bCs/>
          <w:b/>
        </w:rPr>
        <w:t xml:space="preserve">Vernacular:</w:t>
      </w:r>
      <w:r>
        <w:t xml:space="preserve"> </w:t>
      </w:r>
      <w:r>
        <w:t xml:space="preserve">every member-facing screen, message and document in the member’s chosen language; English and Hindi at launch plus the RE’s regional languages; KFS and loan card in the member’s language (RBC paras 29(1), 79).</w:t>
      </w:r>
    </w:p>
    <w:p>
      <w:pPr>
        <w:numPr>
          <w:ilvl w:val="0"/>
          <w:numId w:val="1161"/>
        </w:numPr>
        <w:pStyle w:val="Compact"/>
      </w:pPr>
      <w:r>
        <w:rPr>
          <w:bCs/>
          <w:b/>
        </w:rPr>
        <w:t xml:space="preserve">Low-literacy UX:</w:t>
      </w:r>
      <w:r>
        <w:t xml:space="preserve"> </w:t>
      </w:r>
      <w:r>
        <w:t xml:space="preserve">icon-led navigation, numerals with spoken values, read-aloud (TTS) for KFS summary, loan card and receipts, voice prompts, no free-text where a choice works, large touch targets, colour never the only signal (WCAG 2.2 AA equivalent; Part 10.3).</w:t>
      </w:r>
    </w:p>
    <w:p>
      <w:pPr>
        <w:numPr>
          <w:ilvl w:val="0"/>
          <w:numId w:val="1161"/>
        </w:numPr>
        <w:pStyle w:val="Compact"/>
      </w:pPr>
      <w:r>
        <w:rPr>
          <w:bCs/>
          <w:b/>
        </w:rPr>
        <w:t xml:space="preserve">Assisted mode</w:t>
      </w:r>
      <w:r>
        <w:t xml:space="preserve"> </w:t>
      </w:r>
      <w:r>
        <w:t xml:space="preserve">per MG4.</w:t>
      </w:r>
    </w:p>
    <w:bookmarkEnd w:id="271"/>
    <w:bookmarkStart w:id="272" w:name="X56e9bda0699737fba163071a62df8058ba3da09"/>
    <w:p>
      <w:pPr>
        <w:pStyle w:val="Heading3"/>
      </w:pPr>
      <w:r>
        <w:t xml:space="preserve">MG2.9 Repayment, closure, death and repeat cycles</w:t>
      </w:r>
    </w:p>
    <w:p>
      <w:pPr>
        <w:numPr>
          <w:ilvl w:val="0"/>
          <w:numId w:val="1162"/>
        </w:numPr>
        <w:pStyle w:val="Compact"/>
      </w:pPr>
      <w:r>
        <w:rPr>
          <w:bCs/>
          <w:b/>
        </w:rPr>
        <w:t xml:space="preserve">Digital first:</w:t>
      </w:r>
      <w:r>
        <w:t xml:space="preserve"> </w:t>
      </w:r>
      <w:r>
        <w:t xml:space="preserve">per-member dynamic UPI QR or intent on the RE’s merchant account, reference = loan ID plus instalment number; eNACH or UPI AutoPay per member. No group account, no leader-collected pooled UPI.</w:t>
      </w:r>
    </w:p>
    <w:p>
      <w:pPr>
        <w:numPr>
          <w:ilvl w:val="0"/>
          <w:numId w:val="1162"/>
        </w:numPr>
        <w:pStyle w:val="Compact"/>
      </w:pPr>
      <w:r>
        <w:rPr>
          <w:bCs/>
          <w:b/>
        </w:rPr>
        <w:t xml:space="preserve">Utilisation check</w:t>
      </w:r>
      <w:r>
        <w:t xml:space="preserve"> </w:t>
      </w:r>
      <w:r>
        <w:t xml:space="preserve">at 30–45 days [MKT] scheduled from the RE’s rule; evidence captured on the staff device.</w:t>
      </w:r>
    </w:p>
    <w:p>
      <w:pPr>
        <w:numPr>
          <w:ilvl w:val="0"/>
          <w:numId w:val="1162"/>
        </w:numPr>
        <w:pStyle w:val="Compact"/>
      </w:pPr>
      <w:r>
        <w:rPr>
          <w:bCs/>
          <w:b/>
        </w:rPr>
        <w:t xml:space="preserve">Closure:</w:t>
      </w:r>
      <w:r>
        <w:t xml:space="preserve"> </w:t>
      </w:r>
      <w:r>
        <w:t xml:space="preserve">final-discharge acknowledgement on the loan card (RBC para 78(4)); NOC in My documents.</w:t>
      </w:r>
    </w:p>
    <w:p>
      <w:pPr>
        <w:numPr>
          <w:ilvl w:val="0"/>
          <w:numId w:val="1162"/>
        </w:numPr>
        <w:pStyle w:val="Compact"/>
      </w:pPr>
      <w:r>
        <w:rPr>
          <w:bCs/>
          <w:b/>
        </w:rPr>
        <w:t xml:space="preserve">Death of a member:</w:t>
      </w:r>
      <w:r>
        <w:t xml:space="preserve"> </w:t>
      </w:r>
      <w:r>
        <w:t xml:space="preserve">on the RE’s notification, all reminders and demands stop at once; co-members are never asked to pay; insurance-claim assistance for any credit-life cover (XP2); excess collected after death refunded to the nominee by the RE (MFIN Directive 6) [VERIFY: PMJJBY and PMSBY terms where relevant].</w:t>
      </w:r>
    </w:p>
    <w:p>
      <w:pPr>
        <w:numPr>
          <w:ilvl w:val="0"/>
          <w:numId w:val="1162"/>
        </w:numPr>
        <w:pStyle w:val="Compact"/>
      </w:pPr>
      <w:r>
        <w:rPr>
          <w:bCs/>
          <w:b/>
        </w:rPr>
        <w:t xml:space="preserve">Repeat cycle:</w:t>
      </w:r>
      <w:r>
        <w:t xml:space="preserve"> </w:t>
      </w:r>
      <w:r>
        <w:t xml:space="preserve">a fresh household-income assessment and bureau pull by the RE; no auto-renewal.</w:t>
      </w:r>
    </w:p>
    <w:p>
      <w:pPr>
        <w:numPr>
          <w:ilvl w:val="0"/>
          <w:numId w:val="1162"/>
        </w:numPr>
        <w:pStyle w:val="Compact"/>
      </w:pPr>
      <w:r>
        <w:rPr>
          <w:bCs/>
          <w:b/>
        </w:rPr>
        <w:t xml:space="preserve">State overlays:</w:t>
      </w:r>
      <w:r>
        <w:t xml:space="preserve"> </w:t>
      </w:r>
      <w:r>
        <w:t xml:space="preserve">Karnataka Act 15 of 2025 (non-exempt lenders only) and Tamil Nadu Act 40 of 2025 s.20 checklists on every field event (Part 7A.0.4).</w:t>
      </w:r>
    </w:p>
    <w:bookmarkEnd w:id="272"/>
    <w:bookmarkStart w:id="273" w:name="mg2.10-events"/>
    <w:p>
      <w:pPr>
        <w:pStyle w:val="Heading3"/>
      </w:pPr>
      <w:r>
        <w:t xml:space="preserve">MG2.10 Events</w:t>
      </w:r>
    </w:p>
    <w:p>
      <w:pPr>
        <w:numPr>
          <w:ilvl w:val="0"/>
          <w:numId w:val="1163"/>
        </w:numPr>
        <w:pStyle w:val="Compact"/>
      </w:pPr>
      <w:r>
        <w:rPr>
          <w:bCs/>
          <w:b/>
        </w:rPr>
        <w:t xml:space="preserve">Consumed:</w:t>
      </w:r>
      <w:r>
        <w:t xml:space="preserve"> </w:t>
      </w:r>
      <w:r>
        <w:rPr>
          <w:rStyle w:val="VerbatimChar"/>
        </w:rPr>
        <w:t xml:space="preserve">GroupFormed</w:t>
      </w:r>
      <w:r>
        <w:t xml:space="preserve">,</w:t>
      </w:r>
      <w:r>
        <w:t xml:space="preserve"> </w:t>
      </w:r>
      <w:r>
        <w:rPr>
          <w:rStyle w:val="VerbatimChar"/>
        </w:rPr>
        <w:t xml:space="preserve">GroupCollectionPosted</w:t>
      </w:r>
      <w:r>
        <w:t xml:space="preserve">,</w:t>
      </w:r>
      <w:r>
        <w:t xml:space="preserve"> </w:t>
      </w:r>
      <w:r>
        <w:rPr>
          <w:rStyle w:val="VerbatimChar"/>
        </w:rPr>
        <w:t xml:space="preserve">LoanDisbursed</w:t>
      </w:r>
      <w:r>
        <w:t xml:space="preserve">,</w:t>
      </w:r>
      <w:r>
        <w:t xml:space="preserve"> </w:t>
      </w:r>
      <w:r>
        <w:rPr>
          <w:rStyle w:val="VerbatimChar"/>
        </w:rPr>
        <w:t xml:space="preserve">PaymentReceived</w:t>
      </w:r>
      <w:r>
        <w:t xml:space="preserve">,</w:t>
      </w:r>
      <w:r>
        <w:t xml:space="preserve"> </w:t>
      </w:r>
      <w:r>
        <w:rPr>
          <w:rStyle w:val="VerbatimChar"/>
        </w:rPr>
        <w:t xml:space="preserve">ProductCatalogPublished</w:t>
      </w:r>
      <w:r>
        <w:t xml:space="preserve">.</w:t>
      </w:r>
    </w:p>
    <w:p>
      <w:pPr>
        <w:numPr>
          <w:ilvl w:val="0"/>
          <w:numId w:val="1163"/>
        </w:numPr>
        <w:pStyle w:val="Compact"/>
      </w:pPr>
      <w:r>
        <w:rPr>
          <w:bCs/>
          <w:b/>
        </w:rPr>
        <w:t xml:space="preserve">Produced:</w:t>
      </w:r>
      <w:r>
        <w:t xml:space="preserve"> </w:t>
      </w:r>
      <w:r>
        <w:rPr>
          <w:rStyle w:val="VerbatimChar"/>
        </w:rPr>
        <w:t xml:space="preserve">CentreMeetingHeld</w:t>
      </w:r>
      <w:r>
        <w:t xml:space="preserve"> </w:t>
      </w:r>
      <w:r>
        <w:t xml:space="preserve">(only when the meeting is closed in Udofin tooling),</w:t>
      </w:r>
      <w:r>
        <w:t xml:space="preserve"> </w:t>
      </w:r>
      <w:r>
        <w:rPr>
          <w:rStyle w:val="VerbatimChar"/>
        </w:rPr>
        <w:t xml:space="preserve">ApplicationSubmitted</w:t>
      </w:r>
      <w:r>
        <w:t xml:space="preserve"> </w:t>
      </w:r>
      <w:r>
        <w:t xml:space="preserve">(one per member,</w:t>
      </w:r>
      <w:r>
        <w:t xml:space="preserve"> </w:t>
      </w:r>
      <w:r>
        <w:rPr>
          <w:rStyle w:val="VerbatimChar"/>
        </w:rPr>
        <w:t xml:space="preserve">productfamily = MFI</w:t>
      </w:r>
      <w:r>
        <w:t xml:space="preserve">),</w:t>
      </w:r>
      <w:r>
        <w:t xml:space="preserve"> </w:t>
      </w:r>
      <w:r>
        <w:rPr>
          <w:rStyle w:val="VerbatimChar"/>
        </w:rPr>
        <w:t xml:space="preserve">ConsentRecorded</w:t>
      </w:r>
      <w:r>
        <w:t xml:space="preserve">.</w:t>
      </w:r>
    </w:p>
    <w:p>
      <w:pPr>
        <w:numPr>
          <w:ilvl w:val="0"/>
          <w:numId w:val="1163"/>
        </w:numPr>
        <w:pStyle w:val="Compact"/>
      </w:pPr>
      <w:r>
        <w:t xml:space="preserve">Producer rule (Integration Spec 6.24; Finbyx IP4.4): the RE’s system of record (Finbyx or another certified LMS) produces</w:t>
      </w:r>
      <w:r>
        <w:t xml:space="preserve"> </w:t>
      </w:r>
      <w:r>
        <w:rPr>
          <w:rStyle w:val="VerbatimChar"/>
        </w:rPr>
        <w:t xml:space="preserve">GroupFormed</w:t>
      </w:r>
      <w:r>
        <w:t xml:space="preserve"> </w:t>
      </w:r>
      <w:r>
        <w:t xml:space="preserve">and</w:t>
      </w:r>
      <w:r>
        <w:t xml:space="preserve"> </w:t>
      </w:r>
      <w:r>
        <w:rPr>
          <w:rStyle w:val="VerbatimChar"/>
        </w:rPr>
        <w:t xml:space="preserve">GroupCollectionPosted</w:t>
      </w:r>
      <w:r>
        <w:t xml:space="preserve">;</w:t>
      </w:r>
      <w:r>
        <w:t xml:space="preserve"> </w:t>
      </w:r>
      <w:r>
        <w:rPr>
          <w:rStyle w:val="VerbatimChar"/>
        </w:rPr>
        <w:t xml:space="preserve">CentreMeetingHeld</w:t>
      </w:r>
      <w:r>
        <w:t xml:space="preserve"> </w:t>
      </w:r>
      <w:r>
        <w:t xml:space="preserve">comes from whichever system closes the meeting, and a meeting is never closed in both: a close attempt in Udofin for a meeting the RE’s field app has closed is rejected with the closing system’s reference, and Udofin then consumes the RE’s</w:t>
      </w:r>
      <w:r>
        <w:t xml:space="preserve"> </w:t>
      </w:r>
      <w:r>
        <w:rPr>
          <w:rStyle w:val="VerbatimChar"/>
        </w:rPr>
        <w:t xml:space="preserve">CentreMeetingHeld</w:t>
      </w:r>
      <w:r>
        <w:t xml:space="preserve">.</w:t>
      </w:r>
    </w:p>
    <w:bookmarkEnd w:id="273"/>
    <w:bookmarkStart w:id="274" w:name="settings-and-options-mg2"/>
    <w:p>
      <w:pPr>
        <w:pStyle w:val="Heading3"/>
      </w:pPr>
      <w:r>
        <w:t xml:space="preserve">Settings and options (MG2)</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47"/>
        <w:gridCol w:w="1310"/>
        <w:gridCol w:w="3247"/>
        <w:gridCol w:w="2834"/>
      </w:tblGrid>
      <w:tr>
        <w:trPr>
          <w:tblHeader w:val="true"/>
          <w:tblHeader w:val="true"/>
        </w:trPr>
        <w:tc>
          <w:tcPr>
            <w:tcW w:w="2247" w:type="dxa"/>
            <w:shd w:val="clear" w:color="auto" w:fill="1F3A5F"/>
          </w:tcPr>
          <w:p>
            <w:pPr>
              <w:pStyle w:val="Compact"/>
              <w:spacing w:after="40"/>
              <w:jc w:val="left"/>
            </w:pPr>
            <w:r>
              <w:rPr>
                <w:b/>
                <w:color w:val="FFFFFF"/>
                <w:sz w:val="18"/>
              </w:rPr>
              <w:t xml:space="preserve">Setting</w:t>
            </w:r>
          </w:p>
        </w:tc>
        <w:tc>
          <w:tcPr>
            <w:tcW w:w="1310" w:type="dxa"/>
            <w:shd w:val="clear" w:color="auto" w:fill="1F3A5F"/>
          </w:tcPr>
          <w:p>
            <w:pPr>
              <w:pStyle w:val="Compact"/>
              <w:spacing w:after="40"/>
              <w:jc w:val="left"/>
            </w:pPr>
            <w:r>
              <w:rPr>
                <w:b/>
                <w:color w:val="FFFFFF"/>
                <w:sz w:val="18"/>
              </w:rPr>
              <w:t xml:space="preserve">Level</w:t>
            </w:r>
          </w:p>
        </w:tc>
        <w:tc>
          <w:tcPr>
            <w:tcW w:w="3247" w:type="dxa"/>
            <w:shd w:val="clear" w:color="auto" w:fill="1F3A5F"/>
          </w:tcPr>
          <w:p>
            <w:pPr>
              <w:pStyle w:val="Compact"/>
              <w:spacing w:after="40"/>
              <w:jc w:val="left"/>
            </w:pPr>
            <w:r>
              <w:rPr>
                <w:b/>
                <w:color w:val="FFFFFF"/>
                <w:sz w:val="18"/>
              </w:rPr>
              <w:t xml:space="preserve">Default</w:t>
            </w:r>
          </w:p>
        </w:tc>
        <w:tc>
          <w:tcPr>
            <w:tcW w:w="2834" w:type="dxa"/>
            <w:shd w:val="clear" w:color="auto" w:fill="1F3A5F"/>
          </w:tcPr>
          <w:p>
            <w:pPr>
              <w:pStyle w:val="Compact"/>
              <w:spacing w:after="40"/>
              <w:jc w:val="left"/>
            </w:pPr>
            <w:r>
              <w:rPr>
                <w:b/>
                <w:color w:val="FFFFFF"/>
                <w:sz w:val="18"/>
              </w:rPr>
              <w:t xml:space="preserve">Nature</w:t>
            </w:r>
          </w:p>
        </w:tc>
      </w:tr>
      <w:tr>
        <w:tc>
          <w:tcPr>
            <w:tcW w:w="2247" w:type="dxa"/>
          </w:tcPr>
          <w:p>
            <w:pPr>
              <w:pStyle w:val="Compact"/>
              <w:spacing w:after="40"/>
              <w:jc w:val="left"/>
            </w:pPr>
            <w:r>
              <w:rPr>
                <w:sz w:val="18"/>
              </w:rPr>
              <w:t xml:space="preserve">Household-income ceiling</w:t>
            </w:r>
          </w:p>
        </w:tc>
        <w:tc>
          <w:tcPr>
            <w:tcW w:w="1310" w:type="dxa"/>
          </w:tcPr>
          <w:p>
            <w:pPr>
              <w:pStyle w:val="Compact"/>
              <w:spacing w:after="40"/>
              <w:jc w:val="left"/>
            </w:pPr>
            <w:r>
              <w:rPr>
                <w:sz w:val="18"/>
              </w:rPr>
              <w:t xml:space="preserve">Platform</w:t>
            </w:r>
          </w:p>
        </w:tc>
        <w:tc>
          <w:tcPr>
            <w:tcW w:w="3247" w:type="dxa"/>
          </w:tcPr>
          <w:p>
            <w:pPr>
              <w:pStyle w:val="Compact"/>
              <w:spacing w:after="40"/>
              <w:jc w:val="left"/>
            </w:pPr>
            <w:r>
              <w:rPr>
                <w:sz w:val="18"/>
              </w:rPr>
              <w:t xml:space="preserve">₹3,00,000 a year</w:t>
            </w:r>
          </w:p>
        </w:tc>
        <w:tc>
          <w:tcPr>
            <w:tcW w:w="2834" w:type="dxa"/>
          </w:tcPr>
          <w:p>
            <w:pPr>
              <w:pStyle w:val="Compact"/>
              <w:spacing w:after="40"/>
              <w:jc w:val="left"/>
            </w:pPr>
            <w:r>
              <w:rPr>
                <w:sz w:val="18"/>
              </w:rPr>
              <w:t xml:space="preserve">Regulatory (CF para 51)</w:t>
            </w:r>
          </w:p>
        </w:tc>
      </w:tr>
      <w:tr>
        <w:tc>
          <w:tcPr>
            <w:tcW w:w="2247" w:type="dxa"/>
          </w:tcPr>
          <w:p>
            <w:pPr>
              <w:pStyle w:val="Compact"/>
              <w:spacing w:after="40"/>
              <w:jc w:val="left"/>
            </w:pPr>
            <w:r>
              <w:rPr>
                <w:sz w:val="18"/>
              </w:rPr>
              <w:t xml:space="preserve">Obligation cap shown</w:t>
            </w:r>
          </w:p>
        </w:tc>
        <w:tc>
          <w:tcPr>
            <w:tcW w:w="1310" w:type="dxa"/>
          </w:tcPr>
          <w:p>
            <w:pPr>
              <w:pStyle w:val="Compact"/>
              <w:spacing w:after="40"/>
              <w:jc w:val="left"/>
            </w:pPr>
            <w:r>
              <w:rPr>
                <w:sz w:val="18"/>
              </w:rPr>
              <w:t xml:space="preserve">RE</w:t>
            </w:r>
          </w:p>
        </w:tc>
        <w:tc>
          <w:tcPr>
            <w:tcW w:w="3247" w:type="dxa"/>
          </w:tcPr>
          <w:p>
            <w:pPr>
              <w:pStyle w:val="Compact"/>
              <w:spacing w:after="40"/>
              <w:jc w:val="left"/>
            </w:pPr>
            <w:r>
              <w:rPr>
                <w:sz w:val="18"/>
              </w:rPr>
              <w:t xml:space="preserve">50%</w:t>
            </w:r>
          </w:p>
        </w:tc>
        <w:tc>
          <w:tcPr>
            <w:tcW w:w="2834" w:type="dxa"/>
          </w:tcPr>
          <w:p>
            <w:pPr>
              <w:pStyle w:val="Compact"/>
              <w:spacing w:after="40"/>
              <w:jc w:val="left"/>
            </w:pPr>
            <w:r>
              <w:rPr>
                <w:sz w:val="18"/>
              </w:rPr>
              <w:t xml:space="preserve">Regulatory ceiling (CF para 55); RE may only lower</w:t>
            </w:r>
          </w:p>
        </w:tc>
      </w:tr>
      <w:tr>
        <w:tc>
          <w:tcPr>
            <w:tcW w:w="2247" w:type="dxa"/>
          </w:tcPr>
          <w:p>
            <w:pPr>
              <w:pStyle w:val="Compact"/>
              <w:spacing w:after="40"/>
              <w:jc w:val="left"/>
            </w:pPr>
            <w:r>
              <w:rPr>
                <w:sz w:val="18"/>
              </w:rPr>
              <w:t xml:space="preserve">MFIN guardrail display</w:t>
            </w:r>
          </w:p>
        </w:tc>
        <w:tc>
          <w:tcPr>
            <w:tcW w:w="1310" w:type="dxa"/>
          </w:tcPr>
          <w:p>
            <w:pPr>
              <w:pStyle w:val="Compact"/>
              <w:spacing w:after="40"/>
              <w:jc w:val="left"/>
            </w:pPr>
            <w:r>
              <w:rPr>
                <w:sz w:val="18"/>
              </w:rPr>
              <w:t xml:space="preserve">RE</w:t>
            </w:r>
          </w:p>
        </w:tc>
        <w:tc>
          <w:tcPr>
            <w:tcW w:w="3247" w:type="dxa"/>
          </w:tcPr>
          <w:p>
            <w:pPr>
              <w:pStyle w:val="Compact"/>
              <w:spacing w:after="40"/>
              <w:jc w:val="left"/>
            </w:pPr>
            <w:r>
              <w:rPr>
                <w:sz w:val="18"/>
              </w:rPr>
              <w:t xml:space="preserve">On for MFIN members</w:t>
            </w:r>
          </w:p>
        </w:tc>
        <w:tc>
          <w:tcPr>
            <w:tcW w:w="2834" w:type="dxa"/>
          </w:tcPr>
          <w:p>
            <w:pPr>
              <w:pStyle w:val="Compact"/>
              <w:spacing w:after="40"/>
              <w:jc w:val="left"/>
            </w:pPr>
            <w:r>
              <w:rPr>
                <w:sz w:val="18"/>
              </w:rPr>
              <w:t xml:space="preserve">SRO code; others show what they adopt</w:t>
            </w:r>
          </w:p>
        </w:tc>
      </w:tr>
      <w:tr>
        <w:tc>
          <w:tcPr>
            <w:tcW w:w="2247" w:type="dxa"/>
          </w:tcPr>
          <w:p>
            <w:pPr>
              <w:pStyle w:val="Compact"/>
              <w:spacing w:after="40"/>
              <w:jc w:val="left"/>
            </w:pPr>
            <w:r>
              <w:rPr>
                <w:sz w:val="18"/>
              </w:rPr>
              <w:t xml:space="preserve">Group size warning range</w:t>
            </w:r>
          </w:p>
        </w:tc>
        <w:tc>
          <w:tcPr>
            <w:tcW w:w="1310" w:type="dxa"/>
          </w:tcPr>
          <w:p>
            <w:pPr>
              <w:pStyle w:val="Compact"/>
              <w:spacing w:after="40"/>
              <w:jc w:val="left"/>
            </w:pPr>
            <w:r>
              <w:rPr>
                <w:sz w:val="18"/>
              </w:rPr>
              <w:t xml:space="preserve">RE</w:t>
            </w:r>
          </w:p>
        </w:tc>
        <w:tc>
          <w:tcPr>
            <w:tcW w:w="3247" w:type="dxa"/>
          </w:tcPr>
          <w:p>
            <w:pPr>
              <w:pStyle w:val="Compact"/>
              <w:spacing w:after="40"/>
              <w:jc w:val="left"/>
            </w:pPr>
            <w:r>
              <w:rPr>
                <w:sz w:val="18"/>
              </w:rPr>
              <w:t xml:space="preserve">4–10</w:t>
            </w:r>
          </w:p>
        </w:tc>
        <w:tc>
          <w:tcPr>
            <w:tcW w:w="2834" w:type="dxa"/>
          </w:tcPr>
          <w:p>
            <w:pPr>
              <w:pStyle w:val="Compact"/>
              <w:spacing w:after="40"/>
              <w:jc w:val="left"/>
            </w:pPr>
            <w:r>
              <w:rPr>
                <w:sz w:val="18"/>
              </w:rPr>
              <w:t xml:space="preserve">RE policy; warning only</w:t>
            </w:r>
          </w:p>
        </w:tc>
      </w:tr>
      <w:tr>
        <w:tc>
          <w:tcPr>
            <w:tcW w:w="2247" w:type="dxa"/>
          </w:tcPr>
          <w:p>
            <w:pPr>
              <w:pStyle w:val="Compact"/>
              <w:spacing w:after="40"/>
              <w:jc w:val="left"/>
            </w:pPr>
            <w:r>
              <w:rPr>
                <w:sz w:val="18"/>
              </w:rPr>
              <w:t xml:space="preserve">CGT duration</w:t>
            </w:r>
          </w:p>
        </w:tc>
        <w:tc>
          <w:tcPr>
            <w:tcW w:w="1310" w:type="dxa"/>
          </w:tcPr>
          <w:p>
            <w:pPr>
              <w:pStyle w:val="Compact"/>
              <w:spacing w:after="40"/>
              <w:jc w:val="left"/>
            </w:pPr>
            <w:r>
              <w:rPr>
                <w:sz w:val="18"/>
              </w:rPr>
              <w:t xml:space="preserve">RE</w:t>
            </w:r>
          </w:p>
        </w:tc>
        <w:tc>
          <w:tcPr>
            <w:tcW w:w="3247" w:type="dxa"/>
          </w:tcPr>
          <w:p>
            <w:pPr>
              <w:pStyle w:val="Compact"/>
              <w:spacing w:after="40"/>
              <w:jc w:val="left"/>
            </w:pPr>
            <w:r>
              <w:rPr>
                <w:sz w:val="18"/>
              </w:rPr>
              <w:t xml:space="preserve">RE norm</w:t>
            </w:r>
          </w:p>
        </w:tc>
        <w:tc>
          <w:tcPr>
            <w:tcW w:w="2834" w:type="dxa"/>
          </w:tcPr>
          <w:p>
            <w:pPr>
              <w:pStyle w:val="Compact"/>
              <w:spacing w:after="40"/>
              <w:jc w:val="left"/>
            </w:pPr>
            <w:r>
              <w:rPr>
                <w:sz w:val="18"/>
              </w:rPr>
              <w:t xml:space="preserve">RE policy</w:t>
            </w:r>
          </w:p>
        </w:tc>
      </w:tr>
      <w:tr>
        <w:tc>
          <w:tcPr>
            <w:tcW w:w="2247" w:type="dxa"/>
          </w:tcPr>
          <w:p>
            <w:pPr>
              <w:pStyle w:val="Compact"/>
              <w:spacing w:after="40"/>
              <w:jc w:val="left"/>
            </w:pPr>
            <w:r>
              <w:rPr>
                <w:sz w:val="18"/>
              </w:rPr>
              <w:t xml:space="preserve">Repayment periodicity offered</w:t>
            </w:r>
          </w:p>
        </w:tc>
        <w:tc>
          <w:tcPr>
            <w:tcW w:w="1310" w:type="dxa"/>
          </w:tcPr>
          <w:p>
            <w:pPr>
              <w:pStyle w:val="Compact"/>
              <w:spacing w:after="40"/>
              <w:jc w:val="left"/>
            </w:pPr>
            <w:r>
              <w:rPr>
                <w:sz w:val="18"/>
              </w:rPr>
              <w:t xml:space="preserve">RE product</w:t>
            </w:r>
          </w:p>
        </w:tc>
        <w:tc>
          <w:tcPr>
            <w:tcW w:w="3247" w:type="dxa"/>
          </w:tcPr>
          <w:p>
            <w:pPr>
              <w:pStyle w:val="Compact"/>
              <w:spacing w:after="40"/>
              <w:jc w:val="left"/>
            </w:pPr>
            <w:r>
              <w:rPr>
                <w:sz w:val="18"/>
              </w:rPr>
              <w:t xml:space="preserve">Weekly, fortnightly, monthly</w:t>
            </w:r>
          </w:p>
        </w:tc>
        <w:tc>
          <w:tcPr>
            <w:tcW w:w="2834" w:type="dxa"/>
          </w:tcPr>
          <w:p>
            <w:pPr>
              <w:pStyle w:val="Compact"/>
              <w:spacing w:after="40"/>
              <w:jc w:val="left"/>
            </w:pPr>
            <w:r>
              <w:rPr>
                <w:sz w:val="18"/>
              </w:rPr>
              <w:t xml:space="preserve">Member chooses (CF para 59)</w:t>
            </w:r>
          </w:p>
        </w:tc>
      </w:tr>
      <w:tr>
        <w:tc>
          <w:tcPr>
            <w:tcW w:w="2247" w:type="dxa"/>
          </w:tcPr>
          <w:p>
            <w:pPr>
              <w:pStyle w:val="Compact"/>
              <w:spacing w:after="40"/>
              <w:jc w:val="left"/>
            </w:pPr>
            <w:r>
              <w:rPr>
                <w:sz w:val="18"/>
              </w:rPr>
              <w:t xml:space="preserve">Contact window (microfinance)</w:t>
            </w:r>
          </w:p>
        </w:tc>
        <w:tc>
          <w:tcPr>
            <w:tcW w:w="1310" w:type="dxa"/>
          </w:tcPr>
          <w:p>
            <w:pPr>
              <w:pStyle w:val="Compact"/>
              <w:spacing w:after="40"/>
              <w:jc w:val="left"/>
            </w:pPr>
            <w:r>
              <w:rPr>
                <w:sz w:val="18"/>
              </w:rPr>
              <w:t xml:space="preserve">RE product</w:t>
            </w:r>
          </w:p>
        </w:tc>
        <w:tc>
          <w:tcPr>
            <w:tcW w:w="3247" w:type="dxa"/>
          </w:tcPr>
          <w:p>
            <w:pPr>
              <w:pStyle w:val="Compact"/>
              <w:spacing w:after="40"/>
              <w:jc w:val="left"/>
            </w:pPr>
            <w:r>
              <w:rPr>
                <w:sz w:val="18"/>
              </w:rPr>
              <w:t xml:space="preserve">09:00–18:00 until 31 Dec 2026; RBC Third Amendment pack from 1 Jan 2027</w:t>
            </w:r>
          </w:p>
        </w:tc>
        <w:tc>
          <w:tcPr>
            <w:tcW w:w="2834" w:type="dxa"/>
          </w:tcPr>
          <w:p>
            <w:pPr>
              <w:pStyle w:val="Compact"/>
              <w:spacing w:after="40"/>
              <w:jc w:val="left"/>
            </w:pPr>
            <w:r>
              <w:rPr>
                <w:sz w:val="18"/>
              </w:rPr>
              <w:t xml:space="preserve">Regulatory; tighten only</w:t>
            </w:r>
          </w:p>
        </w:tc>
      </w:tr>
      <w:tr>
        <w:tc>
          <w:tcPr>
            <w:tcW w:w="2247" w:type="dxa"/>
          </w:tcPr>
          <w:p>
            <w:pPr>
              <w:pStyle w:val="Compact"/>
              <w:spacing w:after="40"/>
              <w:jc w:val="left"/>
            </w:pPr>
            <w:r>
              <w:rPr>
                <w:sz w:val="18"/>
              </w:rPr>
              <w:t xml:space="preserve">Cross-sell embargo after disbursal</w:t>
            </w:r>
          </w:p>
        </w:tc>
        <w:tc>
          <w:tcPr>
            <w:tcW w:w="1310" w:type="dxa"/>
          </w:tcPr>
          <w:p>
            <w:pPr>
              <w:pStyle w:val="Compact"/>
              <w:spacing w:after="40"/>
              <w:jc w:val="left"/>
            </w:pPr>
            <w:r>
              <w:rPr>
                <w:sz w:val="18"/>
              </w:rPr>
              <w:t xml:space="preserve">Platform</w:t>
            </w:r>
          </w:p>
        </w:tc>
        <w:tc>
          <w:tcPr>
            <w:tcW w:w="3247" w:type="dxa"/>
          </w:tcPr>
          <w:p>
            <w:pPr>
              <w:pStyle w:val="Compact"/>
              <w:spacing w:after="40"/>
              <w:jc w:val="left"/>
            </w:pPr>
            <w:r>
              <w:rPr>
                <w:sz w:val="18"/>
              </w:rPr>
              <w:t xml:space="preserve">30 days</w:t>
            </w:r>
          </w:p>
        </w:tc>
        <w:tc>
          <w:tcPr>
            <w:tcW w:w="2834" w:type="dxa"/>
          </w:tcPr>
          <w:p>
            <w:pPr>
              <w:pStyle w:val="Compact"/>
              <w:spacing w:after="40"/>
              <w:jc w:val="left"/>
            </w:pPr>
            <w:r>
              <w:rPr>
                <w:sz w:val="18"/>
              </w:rPr>
              <w:t xml:space="preserve">SRO floor (MFIN; RBC para 80)</w:t>
            </w:r>
          </w:p>
        </w:tc>
      </w:tr>
      <w:tr>
        <w:tc>
          <w:tcPr>
            <w:tcW w:w="2247" w:type="dxa"/>
          </w:tcPr>
          <w:p>
            <w:pPr>
              <w:pStyle w:val="Compact"/>
              <w:spacing w:after="40"/>
              <w:jc w:val="left"/>
            </w:pPr>
            <w:r>
              <w:rPr>
                <w:sz w:val="18"/>
              </w:rPr>
              <w:t xml:space="preserve">Collection mode at meetings</w:t>
            </w:r>
          </w:p>
        </w:tc>
        <w:tc>
          <w:tcPr>
            <w:tcW w:w="1310" w:type="dxa"/>
          </w:tcPr>
          <w:p>
            <w:pPr>
              <w:pStyle w:val="Compact"/>
              <w:spacing w:after="40"/>
              <w:jc w:val="left"/>
            </w:pPr>
            <w:r>
              <w:rPr>
                <w:sz w:val="18"/>
              </w:rPr>
              <w:t xml:space="preserve">RE product</w:t>
            </w:r>
          </w:p>
        </w:tc>
        <w:tc>
          <w:tcPr>
            <w:tcW w:w="3247" w:type="dxa"/>
          </w:tcPr>
          <w:p>
            <w:pPr>
              <w:pStyle w:val="Compact"/>
              <w:spacing w:after="40"/>
              <w:jc w:val="left"/>
            </w:pPr>
            <w:r>
              <w:rPr>
                <w:sz w:val="18"/>
              </w:rPr>
              <w:t xml:space="preserve">Per-member UPI QR</w:t>
            </w:r>
          </w:p>
        </w:tc>
        <w:tc>
          <w:tcPr>
            <w:tcW w:w="2834" w:type="dxa"/>
          </w:tcPr>
          <w:p>
            <w:pPr>
              <w:pStyle w:val="Compact"/>
              <w:spacing w:after="40"/>
              <w:jc w:val="left"/>
            </w:pPr>
            <w:r>
              <w:rPr>
                <w:sz w:val="18"/>
              </w:rPr>
              <w:t xml:space="preserve">Cash only with the RE’s legal opinion recorded (MG4.1)</w:t>
            </w:r>
          </w:p>
        </w:tc>
      </w:tr>
    </w:tbl>
    <w:bookmarkEnd w:id="274"/>
    <w:bookmarkStart w:id="275" w:name="menu-and-screens-mg2"/>
    <w:p>
      <w:pPr>
        <w:pStyle w:val="Heading3"/>
      </w:pPr>
      <w:r>
        <w:t xml:space="preserve">Menu and screens (MG2)</w:t>
      </w:r>
    </w:p>
    <w:p>
      <w:pPr>
        <w:numPr>
          <w:ilvl w:val="0"/>
          <w:numId w:val="1164"/>
        </w:numPr>
        <w:pStyle w:val="Compact"/>
      </w:pPr>
      <w:r>
        <w:rPr>
          <w:bCs/>
          <w:b/>
        </w:rPr>
        <w:t xml:space="preserve">Field app › Today</w:t>
      </w:r>
      <w:r>
        <w:t xml:space="preserve"> </w:t>
      </w:r>
      <w:r>
        <w:t xml:space="preserve">(E): centres due today with state chips (scheduled, in progress, closed, sync pending), offline badge and last-sync time;</w:t>
      </w:r>
      <w:r>
        <w:t xml:space="preserve"> </w:t>
      </w:r>
      <w:r>
        <w:rPr>
          <w:bCs/>
          <w:b/>
        </w:rPr>
        <w:t xml:space="preserve">Start meeting</w:t>
      </w:r>
      <w:r>
        <w:t xml:space="preserve">.</w:t>
      </w:r>
    </w:p>
    <w:p>
      <w:pPr>
        <w:numPr>
          <w:ilvl w:val="0"/>
          <w:numId w:val="1164"/>
        </w:numPr>
        <w:pStyle w:val="Compact"/>
      </w:pPr>
      <w:r>
        <w:rPr>
          <w:bCs/>
          <w:b/>
        </w:rPr>
        <w:t xml:space="preserve">Field app › Groups</w:t>
      </w:r>
      <w:r>
        <w:t xml:space="preserve">: group pipeline (</w:t>
      </w:r>
      <w:r>
        <w:rPr>
          <w:rStyle w:val="VerbatimChar"/>
        </w:rPr>
        <w:t xml:space="preserve">FORMING</w:t>
      </w:r>
      <w:r>
        <w:t xml:space="preserve"> </w:t>
      </w:r>
      <w:r>
        <w:t xml:space="preserve">to</w:t>
      </w:r>
      <w:r>
        <w:t xml:space="preserve"> </w:t>
      </w:r>
      <w:r>
        <w:rPr>
          <w:rStyle w:val="VerbatimChar"/>
        </w:rPr>
        <w:t xml:space="preserve">ACTIVE</w:t>
      </w:r>
      <w:r>
        <w:t xml:space="preserve">), member roster with household and guardrail status,</w:t>
      </w:r>
      <w:r>
        <w:t xml:space="preserve"> </w:t>
      </w:r>
      <w:r>
        <w:rPr>
          <w:bCs/>
          <w:b/>
        </w:rPr>
        <w:t xml:space="preserve">Add member</w:t>
      </w:r>
      <w:r>
        <w:t xml:space="preserve"> </w:t>
      </w:r>
      <w:r>
        <w:t xml:space="preserve">(assisted wizard, MG4.2),</w:t>
      </w:r>
      <w:r>
        <w:t xml:space="preserve"> </w:t>
      </w:r>
      <w:r>
        <w:rPr>
          <w:bCs/>
          <w:b/>
        </w:rPr>
        <w:t xml:space="preserve">Schedule CGT</w:t>
      </w:r>
      <w:r>
        <w:t xml:space="preserve"> </w:t>
      </w:r>
      <w:r>
        <w:t xml:space="preserve">and</w:t>
      </w:r>
      <w:r>
        <w:t xml:space="preserve"> </w:t>
      </w:r>
      <w:r>
        <w:rPr>
          <w:bCs/>
          <w:b/>
        </w:rPr>
        <w:t xml:space="preserve">Schedule GRT</w:t>
      </w:r>
      <w:r>
        <w:t xml:space="preserve"> </w:t>
      </w:r>
      <w:r>
        <w:t xml:space="preserve">(RE trainer and RE officer pickers; the GRT picker excludes the CGT trainer).</w:t>
      </w:r>
    </w:p>
    <w:p>
      <w:pPr>
        <w:numPr>
          <w:ilvl w:val="0"/>
          <w:numId w:val="1164"/>
        </w:numPr>
        <w:pStyle w:val="Compact"/>
      </w:pPr>
      <w:r>
        <w:rPr>
          <w:bCs/>
          <w:b/>
        </w:rPr>
        <w:t xml:space="preserve">Field app › Today › Meeting</w:t>
      </w:r>
      <w:r>
        <w:t xml:space="preserve">: attendance grid, collection sheet with per-member QR, receipts, issues,</w:t>
      </w:r>
      <w:r>
        <w:t xml:space="preserve"> </w:t>
      </w:r>
      <w:r>
        <w:rPr>
          <w:bCs/>
          <w:b/>
        </w:rPr>
        <w:t xml:space="preserve">Close meeting</w:t>
      </w:r>
      <w:r>
        <w:t xml:space="preserve"> </w:t>
      </w:r>
      <w:r>
        <w:t xml:space="preserve">(disabled with an explain-why message while any receipt is unsynced or a conflict is open).</w:t>
      </w:r>
    </w:p>
    <w:p>
      <w:pPr>
        <w:numPr>
          <w:ilvl w:val="0"/>
          <w:numId w:val="1164"/>
        </w:numPr>
        <w:pStyle w:val="Compact"/>
      </w:pPr>
      <w:r>
        <w:rPr>
          <w:bCs/>
          <w:b/>
        </w:rPr>
        <w:t xml:space="preserve">Loans › Group loan</w:t>
      </w:r>
      <w:r>
        <w:t xml:space="preserve"> </w:t>
      </w:r>
      <w:r>
        <w:t xml:space="preserve">(A, B, member’s own device): my KFS, loan card, schedule, my payments,</w:t>
      </w:r>
      <w:r>
        <w:t xml:space="preserve"> </w:t>
      </w:r>
      <w:r>
        <w:rPr>
          <w:bCs/>
          <w:b/>
        </w:rPr>
        <w:t xml:space="preserve">Pay my instalment</w:t>
      </w:r>
      <w:r>
        <w:t xml:space="preserve"> </w:t>
      </w:r>
      <w:r>
        <w:t xml:space="preserve">(per-member QR or intent),</w:t>
      </w:r>
      <w:r>
        <w:t xml:space="preserve"> </w:t>
      </w:r>
      <w:r>
        <w:t xml:space="preserve">“</w:t>
      </w:r>
      <w:r>
        <w:t xml:space="preserve">pay for another member</w:t>
      </w:r>
      <w:r>
        <w:t xml:space="preserve">”</w:t>
      </w:r>
      <w:r>
        <w:t xml:space="preserve"> </w:t>
      </w:r>
      <w:r>
        <w:t xml:space="preserve">only through the separate consent flow, grievance and</w:t>
      </w:r>
      <w:r>
        <w:t xml:space="preserve"> </w:t>
      </w:r>
      <w:r>
        <w:t xml:space="preserve">“</w:t>
      </w:r>
      <w:r>
        <w:t xml:space="preserve">verify this agent</w:t>
      </w:r>
      <w:r>
        <w:t xml:space="preserve">”</w:t>
      </w:r>
      <w:r>
        <w:t xml:space="preserve">.</w:t>
      </w:r>
    </w:p>
    <w:p>
      <w:pPr>
        <w:numPr>
          <w:ilvl w:val="0"/>
          <w:numId w:val="1164"/>
        </w:numPr>
        <w:pStyle w:val="Compact"/>
      </w:pPr>
      <w:r>
        <w:rPr>
          <w:bCs/>
          <w:b/>
        </w:rPr>
        <w:t xml:space="preserve">Lender portal › Microfinance</w:t>
      </w:r>
      <w:r>
        <w:t xml:space="preserve"> </w:t>
      </w:r>
      <w:r>
        <w:t xml:space="preserve">(D): applications per member with indicative ratio and guardrail results, GRT outcomes (RE officers only), meeting records, exceptions (unsynced receipts, suspense, conflicts).</w:t>
      </w:r>
    </w:p>
    <w:bookmarkEnd w:id="275"/>
    <w:bookmarkStart w:id="276" w:name="acceptance-tests-14"/>
    <w:p>
      <w:pPr>
        <w:pStyle w:val="Heading3"/>
      </w:pPr>
      <w:r>
        <w:t xml:space="preserve">Acceptance tests</w:t>
      </w:r>
    </w:p>
    <w:p>
      <w:pPr>
        <w:numPr>
          <w:ilvl w:val="0"/>
          <w:numId w:val="1165"/>
        </w:numPr>
        <w:pStyle w:val="Compact"/>
      </w:pPr>
      <w:r>
        <w:t xml:space="preserve">A member whose household income exceeds ₹3,00,000 is routed to the RE’s non-microfinance product and never shown a microfinance KFS.</w:t>
      </w:r>
    </w:p>
    <w:p>
      <w:pPr>
        <w:numPr>
          <w:ilvl w:val="0"/>
          <w:numId w:val="1165"/>
        </w:numPr>
        <w:pStyle w:val="Compact"/>
      </w:pPr>
      <w:r>
        <w:t xml:space="preserve">The indicative ratio includes a converted bullet loan and a tradeline without an EMI; it excludes expected income from the financed activity; the screen states that the RE decides.</w:t>
      </w:r>
    </w:p>
    <w:p>
      <w:pPr>
        <w:numPr>
          <w:ilvl w:val="0"/>
          <w:numId w:val="1165"/>
        </w:numPr>
        <w:pStyle w:val="Compact"/>
      </w:pPr>
      <w:r>
        <w:t xml:space="preserve">A member with a loan of ₹3,500 at 61 DPD shows the guardrail flag; a CIR older than 15 days locks the sanction screen.</w:t>
      </w:r>
    </w:p>
    <w:p>
      <w:pPr>
        <w:numPr>
          <w:ilvl w:val="0"/>
          <w:numId w:val="1165"/>
        </w:numPr>
        <w:pStyle w:val="Compact"/>
      </w:pPr>
      <w:r>
        <w:t xml:space="preserve">Sanction screens stay locked until the RE records GRT passed; a Udofin staff role cannot record a GRT outcome.</w:t>
      </w:r>
    </w:p>
    <w:p>
      <w:pPr>
        <w:numPr>
          <w:ilvl w:val="0"/>
          <w:numId w:val="1165"/>
        </w:numPr>
        <w:pStyle w:val="Compact"/>
      </w:pPr>
      <w:r>
        <w:t xml:space="preserve">Each member receives an individual KFS and loan card in the chosen language; a microfinance KFS showing a prepayment charge is blocked.</w:t>
      </w:r>
    </w:p>
    <w:p>
      <w:pPr>
        <w:numPr>
          <w:ilvl w:val="0"/>
          <w:numId w:val="1165"/>
        </w:numPr>
        <w:pStyle w:val="Compact"/>
      </w:pPr>
      <w:r>
        <w:t xml:space="preserve">There is no group-dues button; a payment by one member for another requires the payer’s own consent and is receipted to the payer.</w:t>
      </w:r>
    </w:p>
    <w:p>
      <w:pPr>
        <w:numPr>
          <w:ilvl w:val="0"/>
          <w:numId w:val="1165"/>
        </w:numPr>
        <w:pStyle w:val="Compact"/>
      </w:pPr>
      <w:r>
        <w:t xml:space="preserve">A home-visit attempt after one non-appearance is denied; after two successive non-appearances it is permitted within 09:00–18:00 (attempts dated in 2026); an attempt dated 4 Jan 2027 is evaluated against pack B.</w:t>
      </w:r>
    </w:p>
    <w:p>
      <w:pPr>
        <w:numPr>
          <w:ilvl w:val="0"/>
          <w:numId w:val="1165"/>
        </w:numPr>
        <w:pStyle w:val="Compact"/>
      </w:pPr>
      <w:r>
        <w:t xml:space="preserve">A cross-sell journey cannot start within 30 days of disbursal of a microfinance loan.</w:t>
      </w:r>
    </w:p>
    <w:p>
      <w:pPr>
        <w:numPr>
          <w:ilvl w:val="0"/>
          <w:numId w:val="1165"/>
        </w:numPr>
        <w:pStyle w:val="Compact"/>
      </w:pPr>
      <w:r>
        <w:t xml:space="preserve">On a death notification, scheduled reminders for that loan are cancelled within one minute and no co-member receives any message about it.</w:t>
      </w:r>
    </w:p>
    <w:p>
      <w:pPr>
        <w:numPr>
          <w:ilvl w:val="0"/>
          <w:numId w:val="1165"/>
        </w:numPr>
        <w:pStyle w:val="Compact"/>
      </w:pPr>
      <w:r>
        <w:t xml:space="preserve">Read-aloud plays the KFS summary in the member’s language; every screen passes the accessibility suite.</w:t>
      </w:r>
    </w:p>
    <w:p>
      <w:r>
        <w:pict>
          <v:rect style="width:0;height:1.5pt" o:hralign="center" o:hrstd="t" o:hr="t"/>
        </w:pict>
      </w:r>
    </w:p>
    <w:bookmarkEnd w:id="276"/>
    <w:bookmarkEnd w:id="277"/>
    <w:bookmarkStart w:id="286" w:name="mg3.-shg-journeys"/>
    <w:p>
      <w:pPr>
        <w:pStyle w:val="Heading2"/>
      </w:pPr>
      <w:r>
        <w:t xml:space="preserve">MG3. SHG journeys</w:t>
      </w:r>
    </w:p>
    <w:bookmarkStart w:id="278" w:name="mg3.1-scope-and-boundaries"/>
    <w:p>
      <w:pPr>
        <w:pStyle w:val="Heading3"/>
      </w:pPr>
      <w:r>
        <w:t xml:space="preserve">MG3.1 Scope and boundaries</w:t>
      </w:r>
    </w:p>
    <w:p>
      <w:pPr>
        <w:numPr>
          <w:ilvl w:val="0"/>
          <w:numId w:val="1166"/>
        </w:numPr>
        <w:pStyle w:val="Compact"/>
      </w:pPr>
      <w:r>
        <w:rPr>
          <w:bCs/>
          <w:b/>
        </w:rPr>
        <w:t xml:space="preserve">Who borrows.</w:t>
      </w:r>
      <w:r>
        <w:t xml:space="preserve"> </w:t>
      </w:r>
      <w:r>
        <w:t xml:space="preserve">In SHG-Bank Linkage and SHG lending by NBFC-MFIs, the SHG borrows as a group from the lender, and members then borrow from the SHG under the SHG’s own rules (</w:t>
      </w:r>
      <w:r>
        <w:t xml:space="preserve">“</w:t>
      </w:r>
      <w:r>
        <w:t xml:space="preserve">internal lending</w:t>
      </w:r>
      <w:r>
        <w:t xml:space="preserve">”</w:t>
      </w:r>
      <w:r>
        <w:t xml:space="preserve">). The lender’s loan is to the SHG (with member attribution for CIC reporting);</w:t>
      </w:r>
      <w:r>
        <w:t xml:space="preserve"> </w:t>
      </w:r>
      <w:r>
        <w:rPr>
          <w:bCs/>
          <w:b/>
        </w:rPr>
        <w:t xml:space="preserve">internal lending is the SHG’s own activity</w:t>
      </w:r>
      <w:r>
        <w:t xml:space="preserve">, not a loan by Udofin or by the RE.</w:t>
      </w:r>
    </w:p>
    <w:p>
      <w:pPr>
        <w:numPr>
          <w:ilvl w:val="0"/>
          <w:numId w:val="1166"/>
        </w:numPr>
        <w:pStyle w:val="Compact"/>
      </w:pPr>
      <w:r>
        <w:rPr>
          <w:bCs/>
          <w:b/>
        </w:rPr>
        <w:t xml:space="preserve">Udofin provides:</w:t>
      </w:r>
      <w:r>
        <w:t xml:space="preserve"> </w:t>
      </w:r>
      <w:r>
        <w:t xml:space="preserve">SHG onboarding and grading data capture for the lender’s assessment; bank-linkage application and status; member-level data collection for CIC reporting by the lender; the lender’s loan servicing view; and an SHG book-keeping view as a service to the SHG.</w:t>
      </w:r>
    </w:p>
    <w:p>
      <w:pPr>
        <w:numPr>
          <w:ilvl w:val="0"/>
          <w:numId w:val="1166"/>
        </w:numPr>
        <w:pStyle w:val="Compact"/>
      </w:pPr>
      <w:r>
        <w:rPr>
          <w:bCs/>
          <w:b/>
        </w:rPr>
        <w:t xml:space="preserve">Udofin never:</w:t>
      </w:r>
      <w:r>
        <w:t xml:space="preserve"> </w:t>
      </w:r>
      <w:r>
        <w:t xml:space="preserve">lends, sets or recommends internal-lending rates, holds SHG funds, collects savings, reports internal loans to CICs, or presents internal loans as RE loans.</w:t>
      </w:r>
    </w:p>
    <w:bookmarkEnd w:id="278"/>
    <w:bookmarkStart w:id="279" w:name="mg3.2-shg-profile-and-office-bearers"/>
    <w:p>
      <w:pPr>
        <w:pStyle w:val="Heading3"/>
      </w:pPr>
      <w:r>
        <w:t xml:space="preserve">MG3.2 SHG profile and office bearers</w:t>
      </w:r>
    </w:p>
    <w:p>
      <w:pPr>
        <w:numPr>
          <w:ilvl w:val="0"/>
          <w:numId w:val="1167"/>
        </w:numPr>
        <w:pStyle w:val="Compact"/>
      </w:pPr>
      <w:r>
        <w:rPr>
          <w:bCs/>
          <w:b/>
        </w:rPr>
        <w:t xml:space="preserve">Profile:</w:t>
      </w:r>
      <w:r>
        <w:t xml:space="preserve"> </w:t>
      </w:r>
      <w:r>
        <w:t xml:space="preserve">SHG name, formation date, promoting institution (DAY-NRLM, NGO, bank) [VERIFY: DAY-NRLM norms], village, federation links (village organisation, cluster-level federation) where applicable, SHG savings bank account (bank, IFSC, masked number; penny-drop name match to the SHG name), meeting frequency, members (commonly 10–20 [VERIFY: DAY-NRLM norms]), office bearers (president, secretary, treasurer) and the SHG resolution authorising them.</w:t>
      </w:r>
    </w:p>
    <w:p>
      <w:pPr>
        <w:numPr>
          <w:ilvl w:val="0"/>
          <w:numId w:val="1167"/>
        </w:numPr>
        <w:pStyle w:val="Compact"/>
      </w:pPr>
      <w:r>
        <w:rPr>
          <w:bCs/>
          <w:b/>
        </w:rPr>
        <w:t xml:space="preserve">Roles in Udofin:</w:t>
      </w:r>
      <w:r>
        <w:t xml:space="preserve"> </w:t>
      </w:r>
      <w:r>
        <w:t xml:space="preserve">office bearers act for the SHG on group matters only under a resolution uploaded as a document; each member keeps individual control of her own consents and data. Book entries need maker-checker between two office bearers [REC].</w:t>
      </w:r>
    </w:p>
    <w:bookmarkEnd w:id="279"/>
    <w:bookmarkStart w:id="280" w:name="mg3.3-grading-data-and-bank-linkage"/>
    <w:p>
      <w:pPr>
        <w:pStyle w:val="Heading3"/>
      </w:pPr>
      <w:r>
        <w:t xml:space="preserve">MG3.3 Grading data and bank linkage</w:t>
      </w:r>
    </w:p>
    <w:p>
      <w:pPr>
        <w:numPr>
          <w:ilvl w:val="0"/>
          <w:numId w:val="1168"/>
        </w:numPr>
        <w:pStyle w:val="Compact"/>
      </w:pPr>
      <w:r>
        <w:rPr>
          <w:bCs/>
          <w:b/>
        </w:rPr>
        <w:t xml:space="preserve">Grading data capture</w:t>
      </w:r>
      <w:r>
        <w:t xml:space="preserve"> </w:t>
      </w:r>
      <w:r>
        <w:t xml:space="preserve">for the lender’s assessment, using the lender’s grading tool (commonly the Panchasutra parameters: regular meetings, regular savings, regular internal lending, timely repayment, up-to-date books [VERIFY: current DAY-NRLM grading format]): meeting regularity and attendance from the book-keeping view, savings regularity, internal-loan repayment rates, books’ currency, age of the group. Computed indicators are labelled</w:t>
      </w:r>
      <w:r>
        <w:t xml:space="preserve"> </w:t>
      </w:r>
      <w:r>
        <w:t xml:space="preserve">“</w:t>
      </w:r>
      <w:r>
        <w:t xml:space="preserve">from SHG records; [lender] grades</w:t>
      </w:r>
      <w:r>
        <w:t xml:space="preserve">”</w:t>
      </w:r>
      <w:r>
        <w:t xml:space="preserve">.</w:t>
      </w:r>
    </w:p>
    <w:p>
      <w:pPr>
        <w:numPr>
          <w:ilvl w:val="0"/>
          <w:numId w:val="1168"/>
        </w:numPr>
        <w:pStyle w:val="Compact"/>
      </w:pPr>
      <w:r>
        <w:rPr>
          <w:bCs/>
          <w:b/>
        </w:rPr>
        <w:t xml:space="preserve">Linkage application:</w:t>
      </w:r>
      <w:r>
        <w:t xml:space="preserve"> </w:t>
      </w:r>
      <w:r>
        <w:t xml:space="preserve">SHG resolution to borrow, loan purpose, micro-credit plan where the lender requires one, the corpus figure from the books, member-level non-credit information for all members (CIR para 13(3)(ii)), and member Tables 1 or 2 (CIR Annex III) depending on whether the amount attributed to a member exceeds ₹30,000 (CIR para 13(2)).</w:t>
      </w:r>
    </w:p>
    <w:p>
      <w:pPr>
        <w:numPr>
          <w:ilvl w:val="0"/>
          <w:numId w:val="1168"/>
        </w:numPr>
        <w:pStyle w:val="Compact"/>
      </w:pPr>
      <w:r>
        <w:rPr>
          <w:bCs/>
          <w:b/>
        </w:rPr>
        <w:t xml:space="preserve">Credit information:</w:t>
      </w:r>
      <w:r>
        <w:t xml:space="preserve"> </w:t>
      </w:r>
      <w:r>
        <w:t xml:space="preserve">member-level credit data is reported by the lender only for SHGs that take loans above ₹1,00,000 (CIR para 13(3)(ii)); Udofin collects per the lender’s configuration and passes it to the lender; the lender reports in UCRF (MFI) Form 3. Udofin does not report.</w:t>
      </w:r>
    </w:p>
    <w:p>
      <w:pPr>
        <w:numPr>
          <w:ilvl w:val="0"/>
          <w:numId w:val="1168"/>
        </w:numPr>
        <w:pStyle w:val="Compact"/>
      </w:pPr>
      <w:r>
        <w:rPr>
          <w:bCs/>
          <w:b/>
        </w:rPr>
        <w:t xml:space="preserve">Household data:</w:t>
      </w:r>
      <w:r>
        <w:t xml:space="preserve"> </w:t>
      </w:r>
      <w:r>
        <w:t xml:space="preserve">where the lender applies the CF para 51 test or MFIN guardrails to SHG members, the MG2.3 questionnaire runs per member with her own consent.</w:t>
      </w:r>
    </w:p>
    <w:p>
      <w:pPr>
        <w:numPr>
          <w:ilvl w:val="0"/>
          <w:numId w:val="1168"/>
        </w:numPr>
        <w:pStyle w:val="Compact"/>
      </w:pPr>
      <w:r>
        <w:rPr>
          <w:bCs/>
          <w:b/>
        </w:rPr>
        <w:t xml:space="preserve">States (linkage):</w:t>
      </w:r>
      <w:r>
        <w:t xml:space="preserve"> </w:t>
      </w:r>
      <w:r>
        <w:rPr>
          <w:rStyle w:val="VerbatimChar"/>
        </w:rPr>
        <w:t xml:space="preserve">PROFILE_DRAFT → DOCUMENTS_COMPLETE → GRADING_DATA_SUBMITTED → LENDER_ASSESSMENT → {SANCTIONED, DECLINED} → DISBURSED_TO_SHG_ACCOUNT → ACTIVE → CLOSED</w:t>
      </w:r>
      <w:r>
        <w:t xml:space="preserve">.</w:t>
      </w:r>
    </w:p>
    <w:p>
      <w:pPr>
        <w:numPr>
          <w:ilvl w:val="0"/>
          <w:numId w:val="1168"/>
        </w:numPr>
        <w:pStyle w:val="Compact"/>
      </w:pPr>
      <w:r>
        <w:rPr>
          <w:bCs/>
          <w:b/>
        </w:rPr>
        <w:t xml:space="preserve">Disbursal</w:t>
      </w:r>
      <w:r>
        <w:t xml:space="preserve"> </w:t>
      </w:r>
      <w:r>
        <w:t xml:space="preserve">only to the SHG’s own savings bank account;</w:t>
      </w:r>
      <w:r>
        <w:t xml:space="preserve"> </w:t>
      </w:r>
      <w:r>
        <w:rPr>
          <w:bCs/>
          <w:b/>
        </w:rPr>
        <w:t xml:space="preserve">repayment</w:t>
      </w:r>
      <w:r>
        <w:t xml:space="preserve"> </w:t>
      </w:r>
      <w:r>
        <w:t xml:space="preserve">only from the SHG account to the lender’s account (UPI, NEFT, mandate on the SHG account). Udofin shows instructions and status.</w:t>
      </w:r>
    </w:p>
    <w:bookmarkEnd w:id="280"/>
    <w:bookmarkStart w:id="281" w:name="X50593245dad8be0f01d66dd84bce157e121c373"/>
    <w:p>
      <w:pPr>
        <w:pStyle w:val="Heading3"/>
      </w:pPr>
      <w:r>
        <w:t xml:space="preserve">MG3.4 Book-keeping view (the SHG’s own books)</w:t>
      </w:r>
    </w:p>
    <w:p>
      <w:pPr>
        <w:numPr>
          <w:ilvl w:val="0"/>
          <w:numId w:val="1169"/>
        </w:numPr>
        <w:pStyle w:val="Compact"/>
      </w:pPr>
      <w:r>
        <w:rPr>
          <w:bCs/>
          <w:b/>
        </w:rPr>
        <w:t xml:space="preserve">Registers:</w:t>
      </w:r>
      <w:r>
        <w:t xml:space="preserve"> </w:t>
      </w:r>
      <w:r>
        <w:t xml:space="preserve">meeting minutes and attendance; member savings ledger; internal loan register (borrower member, amount, rate as resolved by the SHG, schedule, repayments); SHG cash book and bank book; linkage loan ledger (projection of the lender’s data, read-only); federation dues.</w:t>
      </w:r>
    </w:p>
    <w:p>
      <w:pPr>
        <w:numPr>
          <w:ilvl w:val="0"/>
          <w:numId w:val="1169"/>
        </w:numPr>
        <w:pStyle w:val="Compact"/>
      </w:pPr>
      <w:r>
        <w:rPr>
          <w:bCs/>
          <w:b/>
        </w:rPr>
        <w:t xml:space="preserve">Rules:</w:t>
      </w:r>
      <w:r>
        <w:t xml:space="preserve"> </w:t>
      </w:r>
      <w:r>
        <w:t xml:space="preserve">entries are the SHG’s records, entered by office bearers with maker-checker; corrections are reversal entries, never edits; every member can see her own savings and internal-loan entries; the group’s summary is visible to all members of that SHG only.</w:t>
      </w:r>
    </w:p>
    <w:p>
      <w:pPr>
        <w:numPr>
          <w:ilvl w:val="0"/>
          <w:numId w:val="1169"/>
        </w:numPr>
        <w:pStyle w:val="Compact"/>
      </w:pPr>
      <w:r>
        <w:rPr>
          <w:bCs/>
          <w:b/>
        </w:rPr>
        <w:t xml:space="preserve">Internal-lending calculator</w:t>
      </w:r>
      <w:r>
        <w:t xml:space="preserve"> </w:t>
      </w:r>
      <w:r>
        <w:t xml:space="preserve">computes schedules from the rate and terms the SHG enters, with the label</w:t>
      </w:r>
      <w:r>
        <w:t xml:space="preserve"> </w:t>
      </w:r>
      <w:r>
        <w:t xml:space="preserve">“</w:t>
      </w:r>
      <w:r>
        <w:t xml:space="preserve">SHG’s own decision; not advice</w:t>
      </w:r>
      <w:r>
        <w:t xml:space="preserve">”</w:t>
      </w:r>
      <w:r>
        <w:t xml:space="preserve">. No default rate is suggested.</w:t>
      </w:r>
    </w:p>
    <w:p>
      <w:pPr>
        <w:numPr>
          <w:ilvl w:val="0"/>
          <w:numId w:val="1169"/>
        </w:numPr>
        <w:pStyle w:val="Compact"/>
      </w:pPr>
      <w:r>
        <w:rPr>
          <w:bCs/>
          <w:b/>
        </w:rPr>
        <w:t xml:space="preserve">Exports:</w:t>
      </w:r>
      <w:r>
        <w:t xml:space="preserve"> </w:t>
      </w:r>
      <w:r>
        <w:t xml:space="preserve">monthly statement PDF and CSV for the SHG and its promoting institution, with the SHG’s consent.</w:t>
      </w:r>
    </w:p>
    <w:p>
      <w:pPr>
        <w:numPr>
          <w:ilvl w:val="0"/>
          <w:numId w:val="1169"/>
        </w:numPr>
        <w:pStyle w:val="Compact"/>
      </w:pPr>
      <w:r>
        <w:rPr>
          <w:bCs/>
          <w:b/>
        </w:rPr>
        <w:t xml:space="preserve">Data role:</w:t>
      </w:r>
      <w:r>
        <w:t xml:space="preserve"> </w:t>
      </w:r>
      <w:r>
        <w:t xml:space="preserve">the SHG book-keeping service is Udofin’s own service to the SHG, so Udofin acts as Data Fiduciary for it [VERIFY: DPDP role where the SHG is unincorporated], with its own notice and consent per member; book data is never shared with any lender except as the SHG resolves for a specific linkage application.</w:t>
      </w:r>
    </w:p>
    <w:bookmarkEnd w:id="281"/>
    <w:bookmarkStart w:id="282" w:name="mg3.5-conduct-and-contact"/>
    <w:p>
      <w:pPr>
        <w:pStyle w:val="Heading3"/>
      </w:pPr>
      <w:r>
        <w:t xml:space="preserve">MG3.5 Conduct and contact</w:t>
      </w:r>
    </w:p>
    <w:p>
      <w:pPr>
        <w:numPr>
          <w:ilvl w:val="0"/>
          <w:numId w:val="1170"/>
        </w:numPr>
        <w:pStyle w:val="Compact"/>
      </w:pPr>
      <w:r>
        <w:t xml:space="preserve">Same contact window, language, low-literacy and assisted-mode rules as MG2.8.</w:t>
      </w:r>
    </w:p>
    <w:p>
      <w:pPr>
        <w:numPr>
          <w:ilvl w:val="0"/>
          <w:numId w:val="1170"/>
        </w:numPr>
        <w:pStyle w:val="Compact"/>
      </w:pPr>
      <w:r>
        <w:t xml:space="preserve">SHG meetings are the SHG’s own; RE staff attend only by invitation for linkage-loan matters.</w:t>
      </w:r>
    </w:p>
    <w:p>
      <w:pPr>
        <w:numPr>
          <w:ilvl w:val="0"/>
          <w:numId w:val="1170"/>
        </w:numPr>
        <w:pStyle w:val="Compact"/>
      </w:pPr>
      <w:r>
        <w:t xml:space="preserve">No pressure on members to save or borrow internally; no messages from Udofin about internal-loan arrears to anyone except the SHG’s office bearers and the member concerned.</w:t>
      </w:r>
    </w:p>
    <w:bookmarkEnd w:id="282"/>
    <w:bookmarkStart w:id="283" w:name="acceptance-tests-15"/>
    <w:p>
      <w:pPr>
        <w:pStyle w:val="Heading3"/>
      </w:pPr>
      <w:r>
        <w:t xml:space="preserve">Acceptance tests</w:t>
      </w:r>
    </w:p>
    <w:p>
      <w:pPr>
        <w:numPr>
          <w:ilvl w:val="0"/>
          <w:numId w:val="1171"/>
        </w:numPr>
        <w:pStyle w:val="Compact"/>
      </w:pPr>
      <w:r>
        <w:t xml:space="preserve">An internal loan never appears as an RE loan, never generates a CIC record and never triggers RE reminders.</w:t>
      </w:r>
    </w:p>
    <w:p>
      <w:pPr>
        <w:numPr>
          <w:ilvl w:val="0"/>
          <w:numId w:val="1171"/>
        </w:numPr>
        <w:pStyle w:val="Compact"/>
      </w:pPr>
      <w:r>
        <w:t xml:space="preserve">A linkage disbursal or repayment instruction to any account other than the SHG’s own account and the lender’s account fails validation.</w:t>
      </w:r>
    </w:p>
    <w:p>
      <w:pPr>
        <w:numPr>
          <w:ilvl w:val="0"/>
          <w:numId w:val="1171"/>
        </w:numPr>
        <w:pStyle w:val="Compact"/>
      </w:pPr>
      <w:r>
        <w:t xml:space="preserve">Member Tables 1 or 2 are selected correctly at ₹30,000 and ₹30,001 attributed amounts; member-level credit data collection is required only when the SHG loan exceeds ₹1,00,000.</w:t>
      </w:r>
    </w:p>
    <w:p>
      <w:pPr>
        <w:numPr>
          <w:ilvl w:val="0"/>
          <w:numId w:val="1171"/>
        </w:numPr>
        <w:pStyle w:val="Compact"/>
      </w:pPr>
      <w:r>
        <w:t xml:space="preserve">A book entry by one office bearer stays pending until a second office bearer approves it; a correction creates a reversal and a new entry.</w:t>
      </w:r>
    </w:p>
    <w:p>
      <w:pPr>
        <w:numPr>
          <w:ilvl w:val="0"/>
          <w:numId w:val="1171"/>
        </w:numPr>
        <w:pStyle w:val="Compact"/>
      </w:pPr>
      <w:r>
        <w:t xml:space="preserve">The internal-lending calculator has no default rate and shows the</w:t>
      </w:r>
      <w:r>
        <w:t xml:space="preserve"> </w:t>
      </w:r>
      <w:r>
        <w:t xml:space="preserve">“</w:t>
      </w:r>
      <w:r>
        <w:t xml:space="preserve">not advice</w:t>
      </w:r>
      <w:r>
        <w:t xml:space="preserve">”</w:t>
      </w:r>
      <w:r>
        <w:t xml:space="preserve"> </w:t>
      </w:r>
      <w:r>
        <w:t xml:space="preserve">label.</w:t>
      </w:r>
    </w:p>
    <w:p>
      <w:pPr>
        <w:numPr>
          <w:ilvl w:val="0"/>
          <w:numId w:val="1171"/>
        </w:numPr>
        <w:pStyle w:val="Compact"/>
      </w:pPr>
      <w:r>
        <w:t xml:space="preserve">A member sees her own savings and internal-loan entries but not another member’s details beyond the group summary.</w:t>
      </w:r>
    </w:p>
    <w:bookmarkEnd w:id="283"/>
    <w:bookmarkStart w:id="284" w:name="settings-and-options-mg3"/>
    <w:p>
      <w:pPr>
        <w:pStyle w:val="Heading3"/>
      </w:pPr>
      <w:r>
        <w:t xml:space="preserve">Settings and options (MG3)</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947"/>
        <w:gridCol w:w="1477"/>
        <w:gridCol w:w="2534"/>
        <w:gridCol w:w="2680"/>
      </w:tblGrid>
      <w:tr>
        <w:trPr>
          <w:tblHeader w:val="true"/>
          <w:tblHeader w:val="true"/>
        </w:trPr>
        <w:tc>
          <w:tcPr>
            <w:tcW w:w="2947" w:type="dxa"/>
            <w:shd w:val="clear" w:color="auto" w:fill="1F3A5F"/>
          </w:tcPr>
          <w:p>
            <w:pPr>
              <w:pStyle w:val="Compact"/>
              <w:spacing w:after="40"/>
              <w:jc w:val="left"/>
            </w:pPr>
            <w:r>
              <w:rPr>
                <w:b/>
                <w:color w:val="FFFFFF"/>
                <w:sz w:val="18"/>
              </w:rPr>
              <w:t xml:space="preserve">Setting</w:t>
            </w:r>
          </w:p>
        </w:tc>
        <w:tc>
          <w:tcPr>
            <w:tcW w:w="1477" w:type="dxa"/>
            <w:shd w:val="clear" w:color="auto" w:fill="1F3A5F"/>
          </w:tcPr>
          <w:p>
            <w:pPr>
              <w:pStyle w:val="Compact"/>
              <w:spacing w:after="40"/>
              <w:jc w:val="left"/>
            </w:pPr>
            <w:r>
              <w:rPr>
                <w:b/>
                <w:color w:val="FFFFFF"/>
                <w:sz w:val="18"/>
              </w:rPr>
              <w:t xml:space="preserve">Level</w:t>
            </w:r>
          </w:p>
        </w:tc>
        <w:tc>
          <w:tcPr>
            <w:tcW w:w="2534" w:type="dxa"/>
            <w:shd w:val="clear" w:color="auto" w:fill="1F3A5F"/>
          </w:tcPr>
          <w:p>
            <w:pPr>
              <w:pStyle w:val="Compact"/>
              <w:spacing w:after="40"/>
              <w:jc w:val="left"/>
            </w:pPr>
            <w:r>
              <w:rPr>
                <w:b/>
                <w:color w:val="FFFFFF"/>
                <w:sz w:val="18"/>
              </w:rPr>
              <w:t xml:space="preserve">Default</w:t>
            </w:r>
          </w:p>
        </w:tc>
        <w:tc>
          <w:tcPr>
            <w:tcW w:w="2680" w:type="dxa"/>
            <w:shd w:val="clear" w:color="auto" w:fill="1F3A5F"/>
          </w:tcPr>
          <w:p>
            <w:pPr>
              <w:pStyle w:val="Compact"/>
              <w:spacing w:after="40"/>
              <w:jc w:val="left"/>
            </w:pPr>
            <w:r>
              <w:rPr>
                <w:b/>
                <w:color w:val="FFFFFF"/>
                <w:sz w:val="18"/>
              </w:rPr>
              <w:t xml:space="preserve">Nature</w:t>
            </w:r>
          </w:p>
        </w:tc>
      </w:tr>
      <w:tr>
        <w:tc>
          <w:tcPr>
            <w:tcW w:w="2947" w:type="dxa"/>
          </w:tcPr>
          <w:p>
            <w:pPr>
              <w:pStyle w:val="Compact"/>
              <w:spacing w:after="40"/>
              <w:jc w:val="left"/>
            </w:pPr>
            <w:r>
              <w:rPr>
                <w:sz w:val="18"/>
              </w:rPr>
              <w:t xml:space="preserve">Book-entry maker-checker</w:t>
            </w:r>
          </w:p>
        </w:tc>
        <w:tc>
          <w:tcPr>
            <w:tcW w:w="1477" w:type="dxa"/>
          </w:tcPr>
          <w:p>
            <w:pPr>
              <w:pStyle w:val="Compact"/>
              <w:spacing w:after="40"/>
              <w:jc w:val="left"/>
            </w:pPr>
            <w:r>
              <w:rPr>
                <w:sz w:val="18"/>
              </w:rPr>
              <w:t xml:space="preserve">SHG</w:t>
            </w:r>
          </w:p>
        </w:tc>
        <w:tc>
          <w:tcPr>
            <w:tcW w:w="2534" w:type="dxa"/>
          </w:tcPr>
          <w:p>
            <w:pPr>
              <w:pStyle w:val="Compact"/>
              <w:spacing w:after="40"/>
              <w:jc w:val="left"/>
            </w:pPr>
            <w:r>
              <w:rPr>
                <w:sz w:val="18"/>
              </w:rPr>
              <w:t xml:space="preserve">Two office bearers</w:t>
            </w:r>
          </w:p>
        </w:tc>
        <w:tc>
          <w:tcPr>
            <w:tcW w:w="2680" w:type="dxa"/>
          </w:tcPr>
          <w:p>
            <w:pPr>
              <w:pStyle w:val="Compact"/>
              <w:spacing w:after="40"/>
              <w:jc w:val="left"/>
            </w:pPr>
            <w:r>
              <w:rPr>
                <w:sz w:val="18"/>
              </w:rPr>
              <w:t xml:space="preserve">Fixed [REC]</w:t>
            </w:r>
          </w:p>
        </w:tc>
      </w:tr>
      <w:tr>
        <w:tc>
          <w:tcPr>
            <w:tcW w:w="2947" w:type="dxa"/>
          </w:tcPr>
          <w:p>
            <w:pPr>
              <w:pStyle w:val="Compact"/>
              <w:spacing w:after="40"/>
              <w:jc w:val="left"/>
            </w:pPr>
            <w:r>
              <w:rPr>
                <w:sz w:val="18"/>
              </w:rPr>
              <w:t xml:space="preserve">Internal-lending default rate</w:t>
            </w:r>
          </w:p>
        </w:tc>
        <w:tc>
          <w:tcPr>
            <w:tcW w:w="1477" w:type="dxa"/>
          </w:tcPr>
          <w:p>
            <w:pPr>
              <w:pStyle w:val="Compact"/>
              <w:spacing w:after="40"/>
              <w:jc w:val="left"/>
            </w:pPr>
            <w:r>
              <w:rPr>
                <w:sz w:val="18"/>
              </w:rPr>
              <w:t xml:space="preserve">Platform</w:t>
            </w:r>
          </w:p>
        </w:tc>
        <w:tc>
          <w:tcPr>
            <w:tcW w:w="2534" w:type="dxa"/>
          </w:tcPr>
          <w:p>
            <w:pPr>
              <w:pStyle w:val="Compact"/>
              <w:spacing w:after="40"/>
              <w:jc w:val="left"/>
            </w:pPr>
            <w:r>
              <w:rPr>
                <w:sz w:val="18"/>
              </w:rPr>
              <w:t xml:space="preserve">None</w:t>
            </w:r>
          </w:p>
        </w:tc>
        <w:tc>
          <w:tcPr>
            <w:tcW w:w="2680" w:type="dxa"/>
          </w:tcPr>
          <w:p>
            <w:pPr>
              <w:pStyle w:val="Compact"/>
              <w:spacing w:after="40"/>
              <w:jc w:val="left"/>
            </w:pPr>
            <w:r>
              <w:rPr>
                <w:sz w:val="18"/>
              </w:rPr>
              <w:t xml:space="preserve">Fixed (no rate is ever suggested)</w:t>
            </w:r>
          </w:p>
        </w:tc>
      </w:tr>
      <w:tr>
        <w:tc>
          <w:tcPr>
            <w:tcW w:w="2947" w:type="dxa"/>
          </w:tcPr>
          <w:p>
            <w:pPr>
              <w:pStyle w:val="Compact"/>
              <w:spacing w:after="40"/>
              <w:jc w:val="left"/>
            </w:pPr>
            <w:r>
              <w:rPr>
                <w:sz w:val="18"/>
              </w:rPr>
              <w:t xml:space="preserve">Statement exports to the promoting institution</w:t>
            </w:r>
          </w:p>
        </w:tc>
        <w:tc>
          <w:tcPr>
            <w:tcW w:w="1477" w:type="dxa"/>
          </w:tcPr>
          <w:p>
            <w:pPr>
              <w:pStyle w:val="Compact"/>
              <w:spacing w:after="40"/>
              <w:jc w:val="left"/>
            </w:pPr>
            <w:r>
              <w:rPr>
                <w:sz w:val="18"/>
              </w:rPr>
              <w:t xml:space="preserve">SHG</w:t>
            </w:r>
          </w:p>
        </w:tc>
        <w:tc>
          <w:tcPr>
            <w:tcW w:w="2534" w:type="dxa"/>
          </w:tcPr>
          <w:p>
            <w:pPr>
              <w:pStyle w:val="Compact"/>
              <w:spacing w:after="40"/>
              <w:jc w:val="left"/>
            </w:pPr>
            <w:r>
              <w:rPr>
                <w:sz w:val="18"/>
              </w:rPr>
              <w:t xml:space="preserve">Off</w:t>
            </w:r>
          </w:p>
        </w:tc>
        <w:tc>
          <w:tcPr>
            <w:tcW w:w="2680" w:type="dxa"/>
          </w:tcPr>
          <w:p>
            <w:pPr>
              <w:pStyle w:val="Compact"/>
              <w:spacing w:after="40"/>
              <w:jc w:val="left"/>
            </w:pPr>
            <w:r>
              <w:rPr>
                <w:sz w:val="18"/>
              </w:rPr>
              <w:t xml:space="preserve">SHG resolution and member consent</w:t>
            </w:r>
          </w:p>
        </w:tc>
      </w:tr>
      <w:tr>
        <w:tc>
          <w:tcPr>
            <w:tcW w:w="2947" w:type="dxa"/>
          </w:tcPr>
          <w:p>
            <w:pPr>
              <w:pStyle w:val="Compact"/>
              <w:spacing w:after="40"/>
              <w:jc w:val="left"/>
            </w:pPr>
            <w:r>
              <w:rPr>
                <w:sz w:val="18"/>
              </w:rPr>
              <w:t xml:space="preserve">Member-level credit data collection</w:t>
            </w:r>
          </w:p>
        </w:tc>
        <w:tc>
          <w:tcPr>
            <w:tcW w:w="1477" w:type="dxa"/>
          </w:tcPr>
          <w:p>
            <w:pPr>
              <w:pStyle w:val="Compact"/>
              <w:spacing w:after="40"/>
              <w:jc w:val="left"/>
            </w:pPr>
            <w:r>
              <w:rPr>
                <w:sz w:val="18"/>
              </w:rPr>
              <w:t xml:space="preserve">Lender</w:t>
            </w:r>
          </w:p>
        </w:tc>
        <w:tc>
          <w:tcPr>
            <w:tcW w:w="2534" w:type="dxa"/>
          </w:tcPr>
          <w:p>
            <w:pPr>
              <w:pStyle w:val="Compact"/>
              <w:spacing w:after="40"/>
              <w:jc w:val="left"/>
            </w:pPr>
            <w:r>
              <w:rPr>
                <w:sz w:val="18"/>
              </w:rPr>
              <w:t xml:space="preserve">Only for SHG loans above ₹1,00,000</w:t>
            </w:r>
          </w:p>
        </w:tc>
        <w:tc>
          <w:tcPr>
            <w:tcW w:w="2680" w:type="dxa"/>
          </w:tcPr>
          <w:p>
            <w:pPr>
              <w:pStyle w:val="Compact"/>
              <w:spacing w:after="40"/>
              <w:jc w:val="left"/>
            </w:pPr>
            <w:r>
              <w:rPr>
                <w:sz w:val="18"/>
              </w:rPr>
              <w:t xml:space="preserve">Regulatory (CIR para 13(3)(ii))</w:t>
            </w:r>
          </w:p>
        </w:tc>
      </w:tr>
      <w:tr>
        <w:tc>
          <w:tcPr>
            <w:tcW w:w="2947" w:type="dxa"/>
          </w:tcPr>
          <w:p>
            <w:pPr>
              <w:pStyle w:val="Compact"/>
              <w:spacing w:after="40"/>
              <w:jc w:val="left"/>
            </w:pPr>
            <w:r>
              <w:rPr>
                <w:sz w:val="18"/>
              </w:rPr>
              <w:t xml:space="preserve">Office-bearer authority</w:t>
            </w:r>
          </w:p>
        </w:tc>
        <w:tc>
          <w:tcPr>
            <w:tcW w:w="1477" w:type="dxa"/>
          </w:tcPr>
          <w:p>
            <w:pPr>
              <w:pStyle w:val="Compact"/>
              <w:spacing w:after="40"/>
              <w:jc w:val="left"/>
            </w:pPr>
            <w:r>
              <w:rPr>
                <w:sz w:val="18"/>
              </w:rPr>
              <w:t xml:space="preserve">SHG</w:t>
            </w:r>
          </w:p>
        </w:tc>
        <w:tc>
          <w:tcPr>
            <w:tcW w:w="2534" w:type="dxa"/>
          </w:tcPr>
          <w:p>
            <w:pPr>
              <w:pStyle w:val="Compact"/>
              <w:spacing w:after="40"/>
              <w:jc w:val="left"/>
            </w:pPr>
            <w:r>
              <w:rPr>
                <w:sz w:val="18"/>
              </w:rPr>
              <w:t xml:space="preserve">From the uploaded resolution</w:t>
            </w:r>
          </w:p>
        </w:tc>
        <w:tc>
          <w:tcPr>
            <w:tcW w:w="2680" w:type="dxa"/>
          </w:tcPr>
          <w:p>
            <w:pPr>
              <w:pStyle w:val="Compact"/>
              <w:spacing w:after="40"/>
              <w:jc w:val="left"/>
            </w:pPr>
            <w:r>
              <w:rPr>
                <w:sz w:val="18"/>
              </w:rPr>
              <w:t xml:space="preserve">Expires with the resolution’s validity</w:t>
            </w:r>
          </w:p>
        </w:tc>
      </w:tr>
    </w:tbl>
    <w:bookmarkEnd w:id="284"/>
    <w:bookmarkStart w:id="285" w:name="menu-and-screens-mg3"/>
    <w:p>
      <w:pPr>
        <w:pStyle w:val="Heading3"/>
      </w:pPr>
      <w:r>
        <w:t xml:space="preserve">Menu and screens (MG3)</w:t>
      </w:r>
    </w:p>
    <w:p>
      <w:pPr>
        <w:numPr>
          <w:ilvl w:val="0"/>
          <w:numId w:val="1172"/>
        </w:numPr>
        <w:pStyle w:val="Compact"/>
      </w:pPr>
      <w:r>
        <w:rPr>
          <w:bCs/>
          <w:b/>
        </w:rPr>
        <w:t xml:space="preserve">Loans › My SHG</w:t>
      </w:r>
      <w:r>
        <w:t xml:space="preserve"> </w:t>
      </w:r>
      <w:r>
        <w:t xml:space="preserve">(A, B; office bearers also on E in assisted mode): SHG profile, office bearers and resolution,</w:t>
      </w:r>
      <w:r>
        <w:t xml:space="preserve"> </w:t>
      </w:r>
      <w:r>
        <w:rPr>
          <w:bCs/>
          <w:b/>
        </w:rPr>
        <w:t xml:space="preserve">Books</w:t>
      </w:r>
      <w:r>
        <w:t xml:space="preserve"> </w:t>
      </w:r>
      <w:r>
        <w:t xml:space="preserve">(meetings, savings ledger, internal loans, cash book, bank book, linkage loan view), approval queue for the second office bearer,</w:t>
      </w:r>
      <w:r>
        <w:t xml:space="preserve"> </w:t>
      </w:r>
      <w:r>
        <w:rPr>
          <w:bCs/>
          <w:b/>
        </w:rPr>
        <w:t xml:space="preserve">Apply for bank linkage</w:t>
      </w:r>
      <w:r>
        <w:t xml:space="preserve"> </w:t>
      </w:r>
      <w:r>
        <w:t xml:space="preserve">wizard (resolution → purpose → plan → corpus from books → member data with each member’s consent → submit), linkage status, monthly statement export.</w:t>
      </w:r>
    </w:p>
    <w:p>
      <w:pPr>
        <w:numPr>
          <w:ilvl w:val="0"/>
          <w:numId w:val="1172"/>
        </w:numPr>
        <w:pStyle w:val="Compact"/>
      </w:pPr>
      <w:r>
        <w:t xml:space="preserve">Each member’s view: her own savings, internal loans and the group summary only.</w:t>
      </w:r>
    </w:p>
    <w:p>
      <w:r>
        <w:pict>
          <v:rect style="width:0;height:1.5pt" o:hralign="center" o:hrstd="t" o:hr="t"/>
        </w:pict>
      </w:r>
    </w:p>
    <w:bookmarkEnd w:id="285"/>
    <w:bookmarkEnd w:id="286"/>
    <w:bookmarkStart w:id="297" w:name="Xa266580f769f015774a80720872cea98dae947c"/>
    <w:p>
      <w:pPr>
        <w:pStyle w:val="Heading2"/>
      </w:pPr>
      <w:r>
        <w:t xml:space="preserve">MG4. Assisted mode, field and group collection records</w:t>
      </w:r>
    </w:p>
    <w:bookmarkStart w:id="287" w:name="mg4.1-principles"/>
    <w:p>
      <w:pPr>
        <w:pStyle w:val="Heading3"/>
      </w:pPr>
      <w:r>
        <w:t xml:space="preserve">MG4.1 Principles</w:t>
      </w:r>
    </w:p>
    <w:p>
      <w:pPr>
        <w:numPr>
          <w:ilvl w:val="0"/>
          <w:numId w:val="1173"/>
        </w:numPr>
        <w:pStyle w:val="Compact"/>
      </w:pPr>
      <w:r>
        <w:rPr>
          <w:bCs/>
          <w:b/>
        </w:rPr>
        <w:t xml:space="preserve">Udofin never holds cash or funds.</w:t>
      </w:r>
      <w:r>
        <w:t xml:space="preserve"> </w:t>
      </w:r>
      <w:r>
        <w:t xml:space="preserve">No Udofin cash account, cash drawer, wallet, float or settlement balance exists in the data model.</w:t>
      </w:r>
    </w:p>
    <w:p>
      <w:pPr>
        <w:numPr>
          <w:ilvl w:val="0"/>
          <w:numId w:val="1173"/>
        </w:numPr>
        <w:pStyle w:val="Compact"/>
      </w:pPr>
      <w:r>
        <w:rPr>
          <w:bCs/>
          <w:b/>
        </w:rPr>
        <w:t xml:space="preserve">The lender’s system is the ledger.</w:t>
      </w:r>
      <w:r>
        <w:t xml:space="preserve"> </w:t>
      </w:r>
      <w:r>
        <w:t xml:space="preserve">Cash collected by the lender’s staff (RE or society) is recorded in Udofin tooling with a receipt; the posting, the cash-in-transit ledger, the handover and the bank deposit are recorded in the lender’s system (Finbyx IP4 centre cash and CIT; the society’s core). Udofin holds evidence copies and a reconciliation view.</w:t>
      </w:r>
    </w:p>
    <w:p>
      <w:pPr>
        <w:numPr>
          <w:ilvl w:val="0"/>
          <w:numId w:val="1173"/>
        </w:numPr>
        <w:pStyle w:val="Compact"/>
      </w:pPr>
      <w:r>
        <w:rPr>
          <w:bCs/>
          <w:b/>
        </w:rPr>
        <w:t xml:space="preserve">Udofin’s own staff collect cash only</w:t>
      </w:r>
      <w:r>
        <w:t xml:space="preserve"> </w:t>
      </w:r>
      <w:r>
        <w:t xml:space="preserve">as the RE’s appointed recovery agent on</w:t>
      </w:r>
      <w:r>
        <w:t xml:space="preserve"> </w:t>
      </w:r>
      <w:r>
        <w:rPr>
          <w:bCs/>
          <w:b/>
        </w:rPr>
        <w:t xml:space="preserve">overdue (delinquent)</w:t>
      </w:r>
      <w:r>
        <w:t xml:space="preserve"> </w:t>
      </w:r>
      <w:r>
        <w:t xml:space="preserve">loans under Part 7A UR4, reflected in full in the borrower’s account the same day (CF para 10(5)). Udofin staff never collect regular instalments or share money in cash.</w:t>
      </w:r>
    </w:p>
    <w:p>
      <w:pPr>
        <w:numPr>
          <w:ilvl w:val="0"/>
          <w:numId w:val="1173"/>
        </w:numPr>
        <w:pStyle w:val="Compact"/>
      </w:pPr>
      <w:r>
        <w:rPr>
          <w:bCs/>
          <w:b/>
        </w:rPr>
        <w:t xml:space="preserve">Digital first for loans sourced through the DLA.</w:t>
      </w:r>
      <w:r>
        <w:t xml:space="preserve"> </w:t>
      </w:r>
      <w:r>
        <w:t xml:space="preserve">CF para 10(2) requires servicing and repayment directly into the RE’s bank account and exempts cash only for delinquent loans (para 10(5)). Default: per-member UPI QR on the RE’s merchant account at the meeting. Cash collection of</w:t>
      </w:r>
      <w:r>
        <w:t xml:space="preserve"> </w:t>
      </w:r>
      <w:r>
        <w:rPr>
          <w:bCs/>
          <w:b/>
        </w:rPr>
        <w:t xml:space="preserve">regular</w:t>
      </w:r>
      <w:r>
        <w:t xml:space="preserve"> </w:t>
      </w:r>
      <w:r>
        <w:t xml:space="preserve">instalments by the RE’s own staff at centre meetings on a Udofin-sourced loan is enabled per RE and product only after the RE records its legal opinion in U1 (</w:t>
      </w:r>
      <w:r>
        <w:rPr>
          <w:rStyle w:val="VerbatimChar"/>
        </w:rPr>
        <w:t xml:space="preserve">re_cash_collection_opinion</w:t>
      </w:r>
      <w:r>
        <w:t xml:space="preserve">); until then the cash option is absent from the collection sheet and a cash receipt for a regular instalment is refused by the API [INTERP; same rule as Finbyx GR-7G-14]. Loans the RE sourced itself through its own channels are outside this rule.</w:t>
      </w:r>
    </w:p>
    <w:bookmarkEnd w:id="287"/>
    <w:bookmarkStart w:id="288" w:name="mg4.2-assisted-mode"/>
    <w:p>
      <w:pPr>
        <w:pStyle w:val="Heading3"/>
      </w:pPr>
      <w:r>
        <w:t xml:space="preserve">MG4.2 Assisted mode</w:t>
      </w:r>
    </w:p>
    <w:p>
      <w:pPr>
        <w:numPr>
          <w:ilvl w:val="0"/>
          <w:numId w:val="1174"/>
        </w:numPr>
        <w:pStyle w:val="Compact"/>
      </w:pPr>
      <w:r>
        <w:rPr>
          <w:bCs/>
          <w:b/>
        </w:rPr>
        <w:t xml:space="preserve">Who uses it:</w:t>
      </w:r>
      <w:r>
        <w:t xml:space="preserve"> </w:t>
      </w:r>
      <w:r>
        <w:t xml:space="preserve">RE or society staff, business correspondents engaged by a bank RE [VERIFY: BC rules], and Udofin assisted-onboarding staff only where the RE appoints Udofin for assisted onboarding (U1 activity gate).</w:t>
      </w:r>
    </w:p>
    <w:p>
      <w:pPr>
        <w:numPr>
          <w:ilvl w:val="0"/>
          <w:numId w:val="1174"/>
        </w:numPr>
        <w:pStyle w:val="Compact"/>
      </w:pPr>
      <w:r>
        <w:rPr>
          <w:bCs/>
          <w:b/>
        </w:rPr>
        <w:t xml:space="preserve">App:</w:t>
      </w:r>
      <w:r>
        <w:t xml:space="preserve"> </w:t>
      </w:r>
      <w:r>
        <w:t xml:space="preserve">the field app (channel E, U22) on a managed device (MDM enrolment, device binding, remote wipe, screen lock, no personal apps profile access); staff MFA; session tied to the staff member and the lender.</w:t>
      </w:r>
    </w:p>
    <w:p>
      <w:pPr>
        <w:numPr>
          <w:ilvl w:val="0"/>
          <w:numId w:val="1174"/>
        </w:numPr>
        <w:pStyle w:val="Compact"/>
      </w:pPr>
      <w:r>
        <w:rPr>
          <w:bCs/>
          <w:b/>
        </w:rPr>
        <w:t xml:space="preserve">What the assistant may do:</w:t>
      </w:r>
      <w:r>
        <w:t xml:space="preserve"> </w:t>
      </w:r>
      <w:r>
        <w:t xml:space="preserve">guide, read aloud, capture documents with the system camera at the KYC step, fill forms from the member’s answers, schedule meetings, record attendance, issue receipts.</w:t>
      </w:r>
    </w:p>
    <w:p>
      <w:pPr>
        <w:numPr>
          <w:ilvl w:val="0"/>
          <w:numId w:val="1174"/>
        </w:numPr>
        <w:pStyle w:val="Compact"/>
      </w:pPr>
      <w:r>
        <w:rPr>
          <w:bCs/>
          <w:b/>
        </w:rPr>
        <w:t xml:space="preserve">What the assistant may not do:</w:t>
      </w:r>
      <w:r>
        <w:t xml:space="preserve"> </w:t>
      </w:r>
      <w:r>
        <w:t xml:space="preserve">enter or see an OTP, give consent, accept a KFS, sign, choose a lender or product for the member, change a member’s bank account or contact details, or use the member’s phone to complete steps.</w:t>
      </w:r>
    </w:p>
    <w:p>
      <w:pPr>
        <w:numPr>
          <w:ilvl w:val="0"/>
          <w:numId w:val="1174"/>
        </w:numPr>
        <w:pStyle w:val="Compact"/>
      </w:pPr>
      <w:r>
        <w:rPr>
          <w:bCs/>
          <w:b/>
        </w:rPr>
        <w:t xml:space="preserve">Borrower-side action</w:t>
      </w:r>
      <w:r>
        <w:t xml:space="preserve"> </w:t>
      </w:r>
      <w:r>
        <w:t xml:space="preserve">happens on the member’s own device: an OTP or one-tap link sent to the member’s registered mobile completes consent, KFS acceptance and eSign; the agent’s screen shows only</w:t>
      </w:r>
      <w:r>
        <w:t xml:space="preserve"> </w:t>
      </w:r>
      <w:r>
        <w:t xml:space="preserve">“</w:t>
      </w:r>
      <w:r>
        <w:t xml:space="preserve">waiting for member</w:t>
      </w:r>
      <w:r>
        <w:t xml:space="preserve">”</w:t>
      </w:r>
      <w:r>
        <w:t xml:space="preserve">.</w:t>
      </w:r>
    </w:p>
    <w:p>
      <w:pPr>
        <w:numPr>
          <w:ilvl w:val="0"/>
          <w:numId w:val="1174"/>
        </w:numPr>
        <w:pStyle w:val="Compact"/>
      </w:pPr>
      <w:r>
        <w:rPr>
          <w:bCs/>
          <w:b/>
        </w:rPr>
        <w:t xml:space="preserve">Session evidence</w:t>
      </w:r>
      <w:r>
        <w:t xml:space="preserve"> </w:t>
      </w:r>
      <w:r>
        <w:t xml:space="preserve">(</w:t>
      </w:r>
      <w:r>
        <w:rPr>
          <w:rStyle w:val="VerbatimChar"/>
        </w:rPr>
        <w:t xml:space="preserve">assisted_session</w:t>
      </w:r>
      <w:r>
        <w:t xml:space="preserve">): staff ID, device ID, lender, member reference, steps assisted, timestamps, geo-time of the staff device at session start, and the member-side completion evidence.</w:t>
      </w:r>
    </w:p>
    <w:p>
      <w:pPr>
        <w:pStyle w:val="FirstParagraph"/>
      </w:pPr>
      <w:r>
        <w:rPr>
          <w:bCs/>
          <w:b/>
        </w:rPr>
        <w:t xml:space="preserve">Guided assisted flows (field app wizards; each step saves a draft and resumes on any device of the same staff member).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08"/>
        <w:gridCol w:w="2895"/>
        <w:gridCol w:w="1848"/>
        <w:gridCol w:w="1399"/>
        <w:gridCol w:w="2388"/>
      </w:tblGrid>
      <w:tr>
        <w:trPr>
          <w:tblHeader w:val="true"/>
          <w:tblHeader w:val="true"/>
        </w:trPr>
        <w:tc>
          <w:tcPr>
            <w:tcW w:w="1108" w:type="dxa"/>
            <w:shd w:val="clear" w:color="auto" w:fill="1F3A5F"/>
          </w:tcPr>
          <w:p>
            <w:pPr>
              <w:pStyle w:val="Compact"/>
              <w:spacing w:after="40"/>
              <w:jc w:val="left"/>
            </w:pPr>
            <w:r>
              <w:rPr>
                <w:b/>
                <w:color w:val="FFFFFF"/>
                <w:sz w:val="18"/>
              </w:rPr>
              <w:t xml:space="preserve">Flow</w:t>
            </w:r>
          </w:p>
        </w:tc>
        <w:tc>
          <w:tcPr>
            <w:tcW w:w="2895" w:type="dxa"/>
            <w:shd w:val="clear" w:color="auto" w:fill="1F3A5F"/>
          </w:tcPr>
          <w:p>
            <w:pPr>
              <w:pStyle w:val="Compact"/>
              <w:spacing w:after="40"/>
              <w:jc w:val="left"/>
            </w:pPr>
            <w:r>
              <w:rPr>
                <w:b/>
                <w:color w:val="FFFFFF"/>
                <w:sz w:val="18"/>
              </w:rPr>
              <w:t xml:space="preserve">Steps (staff device)</w:t>
            </w:r>
          </w:p>
        </w:tc>
        <w:tc>
          <w:tcPr>
            <w:tcW w:w="1848" w:type="dxa"/>
            <w:shd w:val="clear" w:color="auto" w:fill="1F3A5F"/>
          </w:tcPr>
          <w:p>
            <w:pPr>
              <w:pStyle w:val="Compact"/>
              <w:spacing w:after="40"/>
              <w:jc w:val="left"/>
            </w:pPr>
            <w:r>
              <w:rPr>
                <w:b/>
                <w:color w:val="FFFFFF"/>
                <w:sz w:val="18"/>
              </w:rPr>
              <w:t xml:space="preserve">Member-device steps</w:t>
            </w:r>
          </w:p>
        </w:tc>
        <w:tc>
          <w:tcPr>
            <w:tcW w:w="1399" w:type="dxa"/>
            <w:shd w:val="clear" w:color="auto" w:fill="1F3A5F"/>
          </w:tcPr>
          <w:p>
            <w:pPr>
              <w:pStyle w:val="Compact"/>
              <w:spacing w:after="40"/>
              <w:jc w:val="left"/>
            </w:pPr>
            <w:r>
              <w:rPr>
                <w:b/>
                <w:color w:val="FFFFFF"/>
                <w:sz w:val="18"/>
              </w:rPr>
              <w:t xml:space="preserve">Offline?</w:t>
            </w:r>
          </w:p>
        </w:tc>
        <w:tc>
          <w:tcPr>
            <w:tcW w:w="2388" w:type="dxa"/>
            <w:shd w:val="clear" w:color="auto" w:fill="1F3A5F"/>
          </w:tcPr>
          <w:p>
            <w:pPr>
              <w:pStyle w:val="Compact"/>
              <w:spacing w:after="40"/>
              <w:jc w:val="left"/>
            </w:pPr>
            <w:r>
              <w:rPr>
                <w:b/>
                <w:color w:val="FFFFFF"/>
                <w:sz w:val="18"/>
              </w:rPr>
              <w:t xml:space="preserve">Exit and failure paths</w:t>
            </w:r>
          </w:p>
        </w:tc>
      </w:tr>
      <w:tr>
        <w:tc>
          <w:tcPr>
            <w:tcW w:w="1108" w:type="dxa"/>
          </w:tcPr>
          <w:p>
            <w:pPr>
              <w:pStyle w:val="Compact"/>
              <w:spacing w:after="40"/>
              <w:jc w:val="left"/>
            </w:pPr>
            <w:r>
              <w:rPr>
                <w:sz w:val="18"/>
              </w:rPr>
              <w:t xml:space="preserve">JLG member onboarding</w:t>
            </w:r>
          </w:p>
        </w:tc>
        <w:tc>
          <w:tcPr>
            <w:tcW w:w="2895" w:type="dxa"/>
          </w:tcPr>
          <w:p>
            <w:pPr>
              <w:pStyle w:val="Compact"/>
              <w:spacing w:after="40"/>
              <w:jc w:val="left"/>
            </w:pPr>
            <w:r>
              <w:rPr>
                <w:sz w:val="18"/>
              </w:rPr>
              <w:t xml:space="preserve">Select group → capture identity (offline XML or DigiLocker, masked) and Voter ID → household roster and income questionnaire → bank account (penny drop when online) → review read aloud</w:t>
            </w:r>
          </w:p>
        </w:tc>
        <w:tc>
          <w:tcPr>
            <w:tcW w:w="1848" w:type="dxa"/>
          </w:tcPr>
          <w:p>
            <w:pPr>
              <w:pStyle w:val="Compact"/>
              <w:spacing w:after="40"/>
              <w:jc w:val="left"/>
            </w:pPr>
            <w:r>
              <w:rPr>
                <w:sz w:val="18"/>
              </w:rPr>
              <w:t xml:space="preserve">Consent per purpose by OTP or link; low-literacy route if no mobile (MG4.4)</w:t>
            </w:r>
          </w:p>
        </w:tc>
        <w:tc>
          <w:tcPr>
            <w:tcW w:w="1399" w:type="dxa"/>
          </w:tcPr>
          <w:p>
            <w:pPr>
              <w:pStyle w:val="Compact"/>
              <w:spacing w:after="40"/>
              <w:jc w:val="left"/>
            </w:pPr>
            <w:r>
              <w:rPr>
                <w:sz w:val="18"/>
              </w:rPr>
              <w:t xml:space="preserve">Capture yes; verification and consent queue</w:t>
            </w:r>
          </w:p>
        </w:tc>
        <w:tc>
          <w:tcPr>
            <w:tcW w:w="2388" w:type="dxa"/>
          </w:tcPr>
          <w:p>
            <w:pPr>
              <w:pStyle w:val="Compact"/>
              <w:spacing w:after="40"/>
              <w:jc w:val="left"/>
            </w:pPr>
            <w:r>
              <w:rPr>
                <w:sz w:val="18"/>
              </w:rPr>
              <w:t xml:space="preserve">Member declines: draft deleted after 7 days; penny-drop name mismatch: RE review task; duplicate household: warning to the RE</w:t>
            </w:r>
          </w:p>
        </w:tc>
      </w:tr>
      <w:tr>
        <w:tc>
          <w:tcPr>
            <w:tcW w:w="1108" w:type="dxa"/>
          </w:tcPr>
          <w:p>
            <w:pPr>
              <w:pStyle w:val="Compact"/>
              <w:spacing w:after="40"/>
              <w:jc w:val="left"/>
            </w:pPr>
            <w:r>
              <w:rPr>
                <w:sz w:val="18"/>
              </w:rPr>
              <w:t xml:space="preserve">CGT or GRT session</w:t>
            </w:r>
          </w:p>
        </w:tc>
        <w:tc>
          <w:tcPr>
            <w:tcW w:w="2895" w:type="dxa"/>
          </w:tcPr>
          <w:p>
            <w:pPr>
              <w:pStyle w:val="Compact"/>
              <w:spacing w:after="40"/>
              <w:jc w:val="left"/>
            </w:pPr>
            <w:r>
              <w:rPr>
                <w:sz w:val="18"/>
              </w:rPr>
              <w:t xml:space="preserve">Schedule → attendance → content checklist → (GRT) RE officer records outcome</w:t>
            </w:r>
          </w:p>
        </w:tc>
        <w:tc>
          <w:tcPr>
            <w:tcW w:w="1848" w:type="dxa"/>
          </w:tcPr>
          <w:p>
            <w:pPr>
              <w:pStyle w:val="Compact"/>
              <w:spacing w:after="40"/>
              <w:jc w:val="left"/>
            </w:pPr>
            <w:r>
              <w:rPr>
                <w:sz w:val="18"/>
              </w:rPr>
              <w:t xml:space="preserve">None</w:t>
            </w:r>
          </w:p>
        </w:tc>
        <w:tc>
          <w:tcPr>
            <w:tcW w:w="1399" w:type="dxa"/>
          </w:tcPr>
          <w:p>
            <w:pPr>
              <w:pStyle w:val="Compact"/>
              <w:spacing w:after="40"/>
              <w:jc w:val="left"/>
            </w:pPr>
            <w:r>
              <w:rPr>
                <w:sz w:val="18"/>
              </w:rPr>
              <w:t xml:space="preserve">Yes</w:t>
            </w:r>
          </w:p>
        </w:tc>
        <w:tc>
          <w:tcPr>
            <w:tcW w:w="2388" w:type="dxa"/>
          </w:tcPr>
          <w:p>
            <w:pPr>
              <w:pStyle w:val="Compact"/>
              <w:spacing w:after="40"/>
              <w:jc w:val="left"/>
            </w:pPr>
            <w:r>
              <w:rPr>
                <w:sz w:val="18"/>
              </w:rPr>
              <w:t xml:space="preserve">Absent member: rescheduled; GRT FAIL: group returns to</w:t>
            </w:r>
            <w:r>
              <w:rPr>
                <w:sz w:val="18"/>
              </w:rPr>
              <w:t xml:space="preserve"> </w:t>
            </w:r>
            <w:r>
              <w:rPr>
                <w:rStyle w:val="VerbatimChar"/>
                <w:sz w:val="18"/>
              </w:rPr>
              <w:t xml:space="preserve">MEMBERS_CAPTURED</w:t>
            </w:r>
            <w:r>
              <w:rPr>
                <w:sz w:val="18"/>
              </w:rPr>
              <w:t xml:space="preserve"> </w:t>
            </w:r>
            <w:r>
              <w:rPr>
                <w:sz w:val="18"/>
              </w:rPr>
              <w:t xml:space="preserve">with reasons</w:t>
            </w:r>
          </w:p>
        </w:tc>
      </w:tr>
      <w:tr>
        <w:tc>
          <w:tcPr>
            <w:tcW w:w="1108" w:type="dxa"/>
          </w:tcPr>
          <w:p>
            <w:pPr>
              <w:pStyle w:val="Compact"/>
              <w:spacing w:after="40"/>
              <w:jc w:val="left"/>
            </w:pPr>
            <w:r>
              <w:rPr>
                <w:sz w:val="18"/>
              </w:rPr>
              <w:t xml:space="preserve">Per-member sanction and KFS</w:t>
            </w:r>
          </w:p>
        </w:tc>
        <w:tc>
          <w:tcPr>
            <w:tcW w:w="2895" w:type="dxa"/>
          </w:tcPr>
          <w:p>
            <w:pPr>
              <w:pStyle w:val="Compact"/>
              <w:spacing w:after="40"/>
              <w:jc w:val="left"/>
            </w:pPr>
            <w:r>
              <w:rPr>
                <w:sz w:val="18"/>
              </w:rPr>
              <w:t xml:space="preserve">Show RE sanction status → read KFS summary aloud</w:t>
            </w:r>
          </w:p>
        </w:tc>
        <w:tc>
          <w:tcPr>
            <w:tcW w:w="1848" w:type="dxa"/>
          </w:tcPr>
          <w:p>
            <w:pPr>
              <w:pStyle w:val="Compact"/>
              <w:spacing w:after="40"/>
              <w:jc w:val="left"/>
            </w:pPr>
            <w:r>
              <w:rPr>
                <w:sz w:val="18"/>
              </w:rPr>
              <w:t xml:space="preserve">KFS acceptance and eSign on own device</w:t>
            </w:r>
          </w:p>
        </w:tc>
        <w:tc>
          <w:tcPr>
            <w:tcW w:w="1399" w:type="dxa"/>
          </w:tcPr>
          <w:p>
            <w:pPr>
              <w:pStyle w:val="Compact"/>
              <w:spacing w:after="40"/>
              <w:jc w:val="left"/>
            </w:pPr>
            <w:r>
              <w:rPr>
                <w:sz w:val="18"/>
              </w:rPr>
              <w:t xml:space="preserve">No</w:t>
            </w:r>
          </w:p>
        </w:tc>
        <w:tc>
          <w:tcPr>
            <w:tcW w:w="2388" w:type="dxa"/>
          </w:tcPr>
          <w:p>
            <w:pPr>
              <w:pStyle w:val="Compact"/>
              <w:spacing w:after="40"/>
              <w:jc w:val="left"/>
            </w:pPr>
            <w:r>
              <w:rPr>
                <w:sz w:val="18"/>
              </w:rPr>
              <w:t xml:space="preserve">KFS validity lapses: RE re-issues; member exits during cooling-off: RE flow</w:t>
            </w:r>
          </w:p>
        </w:tc>
      </w:tr>
      <w:tr>
        <w:tc>
          <w:tcPr>
            <w:tcW w:w="1108" w:type="dxa"/>
          </w:tcPr>
          <w:p>
            <w:pPr>
              <w:pStyle w:val="Compact"/>
              <w:spacing w:after="40"/>
              <w:jc w:val="left"/>
            </w:pPr>
            <w:r>
              <w:rPr>
                <w:sz w:val="18"/>
              </w:rPr>
              <w:t xml:space="preserve">Centre meeting</w:t>
            </w:r>
          </w:p>
        </w:tc>
        <w:tc>
          <w:tcPr>
            <w:tcW w:w="2895" w:type="dxa"/>
          </w:tcPr>
          <w:p>
            <w:pPr>
              <w:pStyle w:val="Compact"/>
              <w:spacing w:after="40"/>
              <w:jc w:val="left"/>
            </w:pPr>
            <w:r>
              <w:rPr>
                <w:sz w:val="18"/>
              </w:rPr>
              <w:t xml:space="preserve">Open sheet → attendance → per-member QR or (only with the RE’s opinion) cash receipt → issues → close</w:t>
            </w:r>
          </w:p>
        </w:tc>
        <w:tc>
          <w:tcPr>
            <w:tcW w:w="1848" w:type="dxa"/>
          </w:tcPr>
          <w:p>
            <w:pPr>
              <w:pStyle w:val="Compact"/>
              <w:spacing w:after="40"/>
              <w:jc w:val="left"/>
            </w:pPr>
            <w:r>
              <w:rPr>
                <w:sz w:val="18"/>
              </w:rPr>
              <w:t xml:space="preserve">UPI payment on own phone</w:t>
            </w:r>
          </w:p>
        </w:tc>
        <w:tc>
          <w:tcPr>
            <w:tcW w:w="1399" w:type="dxa"/>
          </w:tcPr>
          <w:p>
            <w:pPr>
              <w:pStyle w:val="Compact"/>
              <w:spacing w:after="40"/>
              <w:jc w:val="left"/>
            </w:pPr>
            <w:r>
              <w:rPr>
                <w:sz w:val="18"/>
              </w:rPr>
              <w:t xml:space="preserve">Yes, except UPI</w:t>
            </w:r>
          </w:p>
        </w:tc>
        <w:tc>
          <w:tcPr>
            <w:tcW w:w="2388" w:type="dxa"/>
          </w:tcPr>
          <w:p>
            <w:pPr>
              <w:pStyle w:val="Compact"/>
              <w:spacing w:after="40"/>
              <w:jc w:val="left"/>
            </w:pPr>
            <w:r>
              <w:rPr>
                <w:sz w:val="18"/>
              </w:rPr>
              <w:t xml:space="preserve">Unsynced receipts block close; payer without a phone: RE staff cash only where permitted, else</w:t>
            </w:r>
            <w:r>
              <w:rPr>
                <w:sz w:val="18"/>
              </w:rPr>
              <w:t xml:space="preserve"> </w:t>
            </w:r>
            <w:r>
              <w:rPr>
                <w:sz w:val="18"/>
              </w:rPr>
              <w:t xml:space="preserve">“</w:t>
            </w:r>
            <w:r>
              <w:rPr>
                <w:sz w:val="18"/>
              </w:rPr>
              <w:t xml:space="preserve">pay later by QR</w:t>
            </w:r>
            <w:r>
              <w:rPr>
                <w:sz w:val="18"/>
              </w:rPr>
              <w:t xml:space="preserve">”</w:t>
            </w:r>
          </w:p>
        </w:tc>
      </w:tr>
      <w:tr>
        <w:tc>
          <w:tcPr>
            <w:tcW w:w="1108" w:type="dxa"/>
          </w:tcPr>
          <w:p>
            <w:pPr>
              <w:pStyle w:val="Compact"/>
              <w:spacing w:after="40"/>
              <w:jc w:val="left"/>
            </w:pPr>
            <w:r>
              <w:rPr>
                <w:sz w:val="18"/>
              </w:rPr>
              <w:t xml:space="preserve">SHG linkage</w:t>
            </w:r>
          </w:p>
        </w:tc>
        <w:tc>
          <w:tcPr>
            <w:tcW w:w="2895" w:type="dxa"/>
          </w:tcPr>
          <w:p>
            <w:pPr>
              <w:pStyle w:val="Compact"/>
              <w:spacing w:after="40"/>
              <w:jc w:val="left"/>
            </w:pPr>
            <w:r>
              <w:rPr>
                <w:sz w:val="18"/>
              </w:rPr>
              <w:t xml:space="preserve">Profile → resolution upload → books summary → member data</w:t>
            </w:r>
          </w:p>
        </w:tc>
        <w:tc>
          <w:tcPr>
            <w:tcW w:w="1848" w:type="dxa"/>
          </w:tcPr>
          <w:p>
            <w:pPr>
              <w:pStyle w:val="Compact"/>
              <w:spacing w:after="40"/>
              <w:jc w:val="left"/>
            </w:pPr>
            <w:r>
              <w:rPr>
                <w:sz w:val="18"/>
              </w:rPr>
              <w:t xml:space="preserve">Each member’s consent</w:t>
            </w:r>
          </w:p>
        </w:tc>
        <w:tc>
          <w:tcPr>
            <w:tcW w:w="1399" w:type="dxa"/>
          </w:tcPr>
          <w:p>
            <w:pPr>
              <w:pStyle w:val="Compact"/>
              <w:spacing w:after="40"/>
              <w:jc w:val="left"/>
            </w:pPr>
            <w:r>
              <w:rPr>
                <w:sz w:val="18"/>
              </w:rPr>
              <w:t xml:space="preserve">Capture yes</w:t>
            </w:r>
          </w:p>
        </w:tc>
        <w:tc>
          <w:tcPr>
            <w:tcW w:w="2388" w:type="dxa"/>
          </w:tcPr>
          <w:p>
            <w:pPr>
              <w:pStyle w:val="Compact"/>
              <w:spacing w:after="40"/>
              <w:jc w:val="left"/>
            </w:pPr>
            <w:r>
              <w:rPr>
                <w:sz w:val="18"/>
              </w:rPr>
              <w:t xml:space="preserve">Resolution expired: blocked with explain-why</w:t>
            </w:r>
          </w:p>
        </w:tc>
      </w:tr>
    </w:tbl>
    <w:bookmarkEnd w:id="288"/>
    <w:bookmarkStart w:id="289" w:name="mg4.3-offline-first-field-operation"/>
    <w:p>
      <w:pPr>
        <w:pStyle w:val="Heading3"/>
      </w:pPr>
      <w:r>
        <w:t xml:space="preserve">MG4.3 Offline-first field operation</w:t>
      </w:r>
    </w:p>
    <w:p>
      <w:pPr>
        <w:numPr>
          <w:ilvl w:val="0"/>
          <w:numId w:val="1175"/>
        </w:numPr>
        <w:pStyle w:val="Compact"/>
      </w:pPr>
      <w:r>
        <w:rPr>
          <w:bCs/>
          <w:b/>
        </w:rPr>
        <w:t xml:space="preserve">Works offline:</w:t>
      </w:r>
      <w:r>
        <w:t xml:space="preserve"> </w:t>
      </w:r>
      <w:r>
        <w:t xml:space="preserve">group and member data capture (drafts), CGT, GRT and meeting attendance, collection sheet entry, cash receipts (MG4.5), loan-card views cached for that centre’s members.</w:t>
      </w:r>
    </w:p>
    <w:p>
      <w:pPr>
        <w:numPr>
          <w:ilvl w:val="0"/>
          <w:numId w:val="1175"/>
        </w:numPr>
        <w:pStyle w:val="Compact"/>
      </w:pPr>
      <w:r>
        <w:rPr>
          <w:bCs/>
          <w:b/>
        </w:rPr>
        <w:t xml:space="preserve">Never offline:</w:t>
      </w:r>
      <w:r>
        <w:t xml:space="preserve"> </w:t>
      </w:r>
      <w:r>
        <w:t xml:space="preserve">consent, KFS acceptance, eSign, mandate registration, digital payment initiation, KYC verification calls; these queue as tasks that the member completes when connected.</w:t>
      </w:r>
    </w:p>
    <w:p>
      <w:pPr>
        <w:numPr>
          <w:ilvl w:val="0"/>
          <w:numId w:val="1175"/>
        </w:numPr>
        <w:pStyle w:val="Compact"/>
      </w:pPr>
      <w:r>
        <w:rPr>
          <w:bCs/>
          <w:b/>
        </w:rPr>
        <w:t xml:space="preserve">Local store:</w:t>
      </w:r>
      <w:r>
        <w:t xml:space="preserve"> </w:t>
      </w:r>
      <w:r>
        <w:t xml:space="preserve">encrypted (Keystore or Keychain keys), scoped to that day’s allocated centres, purged after sync and at most 72 hours after download [REC]; remote wipe; no Aadhaar number, OTP or full account number.</w:t>
      </w:r>
    </w:p>
    <w:p>
      <w:pPr>
        <w:numPr>
          <w:ilvl w:val="0"/>
          <w:numId w:val="1175"/>
        </w:numPr>
        <w:pStyle w:val="Compact"/>
      </w:pPr>
      <w:r>
        <w:rPr>
          <w:bCs/>
          <w:b/>
        </w:rPr>
        <w:t xml:space="preserve">Sync:</w:t>
      </w:r>
      <w:r>
        <w:t xml:space="preserve"> </w:t>
      </w:r>
      <w:r>
        <w:t xml:space="preserve">idempotent, device-signed, hash-chained batches (batch ID, device serial range, previous batch hash); a batch is accepted whole or rejected whole; rejected if the device clock drifts more than 5 minutes from the last trusted time [REC]; sync states per batch</w:t>
      </w:r>
      <w:r>
        <w:t xml:space="preserve"> </w:t>
      </w:r>
      <w:r>
        <w:rPr>
          <w:rStyle w:val="VerbatimChar"/>
        </w:rPr>
        <w:t xml:space="preserve">QUEUED → UPLOADING → ACCEPTED | CONFLICT | REJECTED</w:t>
      </w:r>
      <w:r>
        <w:t xml:space="preserve">, shown on the device and in the lender portal.</w:t>
      </w:r>
    </w:p>
    <w:p>
      <w:pPr>
        <w:pStyle w:val="FirstParagraph"/>
      </w:pPr>
      <w:r>
        <w:rPr>
          <w:bCs/>
          <w:b/>
        </w:rPr>
        <w:t xml:space="preserve">Conflict resolution (every conflict is logged in</w:t>
      </w:r>
      <w:r>
        <w:rPr>
          <w:bCs/>
          <w:b/>
        </w:rPr>
        <w:t xml:space="preserve"> </w:t>
      </w:r>
      <w:r>
        <w:rPr>
          <w:rStyle w:val="VerbatimChar"/>
          <w:bCs/>
          <w:b/>
        </w:rPr>
        <w:t xml:space="preserve">sync_conflict</w:t>
      </w:r>
      <w:r>
        <w:rPr>
          <w:bCs/>
          <w:b/>
        </w:rPr>
        <w:t xml:space="preserve"> </w:t>
      </w:r>
      <w:r>
        <w:rPr>
          <w:bCs/>
          <w:b/>
        </w:rPr>
        <w:t xml:space="preserve">with both versions and the resolver).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81"/>
        <w:gridCol w:w="4391"/>
        <w:gridCol w:w="2466"/>
      </w:tblGrid>
      <w:tr>
        <w:trPr>
          <w:tblHeader w:val="true"/>
          <w:tblHeader w:val="true"/>
        </w:trPr>
        <w:tc>
          <w:tcPr>
            <w:tcW w:w="2781" w:type="dxa"/>
            <w:shd w:val="clear" w:color="auto" w:fill="1F3A5F"/>
          </w:tcPr>
          <w:p>
            <w:pPr>
              <w:pStyle w:val="Compact"/>
              <w:spacing w:after="40"/>
              <w:jc w:val="left"/>
            </w:pPr>
            <w:r>
              <w:rPr>
                <w:b/>
                <w:color w:val="FFFFFF"/>
                <w:sz w:val="18"/>
              </w:rPr>
              <w:t xml:space="preserve">Data</w:t>
            </w:r>
          </w:p>
        </w:tc>
        <w:tc>
          <w:tcPr>
            <w:tcW w:w="4391" w:type="dxa"/>
            <w:shd w:val="clear" w:color="auto" w:fill="1F3A5F"/>
          </w:tcPr>
          <w:p>
            <w:pPr>
              <w:pStyle w:val="Compact"/>
              <w:spacing w:after="40"/>
              <w:jc w:val="left"/>
            </w:pPr>
            <w:r>
              <w:rPr>
                <w:b/>
                <w:color w:val="FFFFFF"/>
                <w:sz w:val="18"/>
              </w:rPr>
              <w:t xml:space="preserve">Rule</w:t>
            </w:r>
          </w:p>
        </w:tc>
        <w:tc>
          <w:tcPr>
            <w:tcW w:w="2466" w:type="dxa"/>
            <w:shd w:val="clear" w:color="auto" w:fill="1F3A5F"/>
          </w:tcPr>
          <w:p>
            <w:pPr>
              <w:pStyle w:val="Compact"/>
              <w:spacing w:after="40"/>
              <w:jc w:val="left"/>
            </w:pPr>
            <w:r>
              <w:rPr>
                <w:b/>
                <w:color w:val="FFFFFF"/>
                <w:sz w:val="18"/>
              </w:rPr>
              <w:t xml:space="preserve">Who resolves an open conflict</w:t>
            </w:r>
          </w:p>
        </w:tc>
      </w:tr>
      <w:tr>
        <w:tc>
          <w:tcPr>
            <w:tcW w:w="2781" w:type="dxa"/>
          </w:tcPr>
          <w:p>
            <w:pPr>
              <w:pStyle w:val="Compact"/>
              <w:spacing w:after="40"/>
              <w:jc w:val="left"/>
            </w:pPr>
            <w:r>
              <w:rPr>
                <w:sz w:val="18"/>
              </w:rPr>
              <w:t xml:space="preserve">Lender master data (loan, dues, member status, group recognition)</w:t>
            </w:r>
          </w:p>
        </w:tc>
        <w:tc>
          <w:tcPr>
            <w:tcW w:w="4391" w:type="dxa"/>
          </w:tcPr>
          <w:p>
            <w:pPr>
              <w:pStyle w:val="Compact"/>
              <w:spacing w:after="40"/>
              <w:jc w:val="left"/>
            </w:pPr>
            <w:r>
              <w:rPr>
                <w:sz w:val="18"/>
              </w:rPr>
              <w:t xml:space="preserve">Server wins; the device refreshes</w:t>
            </w:r>
          </w:p>
        </w:tc>
        <w:tc>
          <w:tcPr>
            <w:tcW w:w="2466" w:type="dxa"/>
          </w:tcPr>
          <w:p>
            <w:pPr>
              <w:pStyle w:val="Compact"/>
              <w:spacing w:after="40"/>
              <w:jc w:val="left"/>
            </w:pPr>
            <w:r>
              <w:rPr>
                <w:sz w:val="18"/>
              </w:rPr>
              <w:t xml:space="preserve">None needed</w:t>
            </w:r>
          </w:p>
        </w:tc>
      </w:tr>
      <w:tr>
        <w:tc>
          <w:tcPr>
            <w:tcW w:w="2781" w:type="dxa"/>
          </w:tcPr>
          <w:p>
            <w:pPr>
              <w:pStyle w:val="Compact"/>
              <w:spacing w:after="40"/>
              <w:jc w:val="left"/>
            </w:pPr>
            <w:r>
              <w:rPr>
                <w:sz w:val="18"/>
              </w:rPr>
              <w:t xml:space="preserve">Attendance and meeting minutes captured offline</w:t>
            </w:r>
          </w:p>
        </w:tc>
        <w:tc>
          <w:tcPr>
            <w:tcW w:w="4391" w:type="dxa"/>
          </w:tcPr>
          <w:p>
            <w:pPr>
              <w:pStyle w:val="Compact"/>
              <w:spacing w:after="40"/>
              <w:jc w:val="left"/>
            </w:pPr>
            <w:r>
              <w:rPr>
                <w:sz w:val="18"/>
              </w:rPr>
              <w:t xml:space="preserve">Field wins, unless the meeting was already closed by the RE’s system (then rejected with the closing reference)</w:t>
            </w:r>
          </w:p>
        </w:tc>
        <w:tc>
          <w:tcPr>
            <w:tcW w:w="2466" w:type="dxa"/>
          </w:tcPr>
          <w:p>
            <w:pPr>
              <w:pStyle w:val="Compact"/>
              <w:spacing w:after="40"/>
              <w:jc w:val="left"/>
            </w:pPr>
            <w:r>
              <w:rPr>
                <w:sz w:val="18"/>
              </w:rPr>
              <w:t xml:space="preserve">RE branch supervisor if rejected</w:t>
            </w:r>
          </w:p>
        </w:tc>
      </w:tr>
      <w:tr>
        <w:tc>
          <w:tcPr>
            <w:tcW w:w="2781" w:type="dxa"/>
          </w:tcPr>
          <w:p>
            <w:pPr>
              <w:pStyle w:val="Compact"/>
              <w:spacing w:after="40"/>
              <w:jc w:val="left"/>
            </w:pPr>
            <w:r>
              <w:rPr>
                <w:sz w:val="18"/>
              </w:rPr>
              <w:t xml:space="preserve">Receipts</w:t>
            </w:r>
          </w:p>
        </w:tc>
        <w:tc>
          <w:tcPr>
            <w:tcW w:w="4391" w:type="dxa"/>
          </w:tcPr>
          <w:p>
            <w:pPr>
              <w:pStyle w:val="Compact"/>
              <w:spacing w:after="40"/>
              <w:jc w:val="left"/>
            </w:pPr>
            <w:r>
              <w:rPr>
                <w:sz w:val="18"/>
              </w:rPr>
              <w:t xml:space="preserve">Field wins and is never overwritten; a receipt against a loan closed or fully paid on the server goes to the RE’s exception queue (refund or allocation by the RE)</w:t>
            </w:r>
          </w:p>
        </w:tc>
        <w:tc>
          <w:tcPr>
            <w:tcW w:w="2466" w:type="dxa"/>
          </w:tcPr>
          <w:p>
            <w:pPr>
              <w:pStyle w:val="Compact"/>
              <w:spacing w:after="40"/>
              <w:jc w:val="left"/>
            </w:pPr>
            <w:r>
              <w:rPr>
                <w:sz w:val="18"/>
              </w:rPr>
              <w:t xml:space="preserve">RE branch manager, same business day</w:t>
            </w:r>
          </w:p>
        </w:tc>
      </w:tr>
      <w:tr>
        <w:tc>
          <w:tcPr>
            <w:tcW w:w="2781" w:type="dxa"/>
          </w:tcPr>
          <w:p>
            <w:pPr>
              <w:pStyle w:val="Compact"/>
              <w:spacing w:after="40"/>
              <w:jc w:val="left"/>
            </w:pPr>
            <w:r>
              <w:rPr>
                <w:sz w:val="18"/>
              </w:rPr>
              <w:t xml:space="preserve">Same member edited on two devices</w:t>
            </w:r>
          </w:p>
        </w:tc>
        <w:tc>
          <w:tcPr>
            <w:tcW w:w="4391" w:type="dxa"/>
          </w:tcPr>
          <w:p>
            <w:pPr>
              <w:pStyle w:val="Compact"/>
              <w:spacing w:after="40"/>
              <w:jc w:val="left"/>
            </w:pPr>
            <w:r>
              <w:rPr>
                <w:sz w:val="18"/>
              </w:rPr>
              <w:t xml:space="preserve">Later trusted timestamp wins per field; contact and bank details never change through sync (member-device flow only)</w:t>
            </w:r>
          </w:p>
        </w:tc>
        <w:tc>
          <w:tcPr>
            <w:tcW w:w="2466" w:type="dxa"/>
          </w:tcPr>
          <w:p>
            <w:pPr>
              <w:pStyle w:val="Compact"/>
              <w:spacing w:after="40"/>
              <w:jc w:val="left"/>
            </w:pPr>
            <w:r>
              <w:rPr>
                <w:sz w:val="18"/>
              </w:rPr>
              <w:t xml:space="preserve">RE supervisor where both edits touch the same field</w:t>
            </w:r>
          </w:p>
        </w:tc>
      </w:tr>
      <w:tr>
        <w:tc>
          <w:tcPr>
            <w:tcW w:w="2781" w:type="dxa"/>
          </w:tcPr>
          <w:p>
            <w:pPr>
              <w:pStyle w:val="Compact"/>
              <w:spacing w:after="40"/>
              <w:jc w:val="left"/>
            </w:pPr>
            <w:r>
              <w:rPr>
                <w:sz w:val="18"/>
              </w:rPr>
              <w:t xml:space="preserve">Duplicate receipt numbers or broken hash chain</w:t>
            </w:r>
          </w:p>
        </w:tc>
        <w:tc>
          <w:tcPr>
            <w:tcW w:w="4391" w:type="dxa"/>
          </w:tcPr>
          <w:p>
            <w:pPr>
              <w:pStyle w:val="Compact"/>
              <w:spacing w:after="40"/>
              <w:jc w:val="left"/>
            </w:pPr>
            <w:r>
              <w:rPr>
                <w:sz w:val="18"/>
              </w:rPr>
              <w:t xml:space="preserve">Batch rejected; device locked for new receipts until a supervisor review</w:t>
            </w:r>
          </w:p>
        </w:tc>
        <w:tc>
          <w:tcPr>
            <w:tcW w:w="2466" w:type="dxa"/>
          </w:tcPr>
          <w:p>
            <w:pPr>
              <w:pStyle w:val="Compact"/>
              <w:spacing w:after="40"/>
              <w:jc w:val="left"/>
            </w:pPr>
            <w:r>
              <w:rPr>
                <w:sz w:val="18"/>
              </w:rPr>
              <w:t xml:space="preserve">RE supervisor and Udofin security</w:t>
            </w:r>
          </w:p>
        </w:tc>
      </w:tr>
      <w:tr>
        <w:tc>
          <w:tcPr>
            <w:tcW w:w="2781" w:type="dxa"/>
          </w:tcPr>
          <w:p>
            <w:pPr>
              <w:pStyle w:val="Compact"/>
              <w:spacing w:after="40"/>
              <w:jc w:val="left"/>
            </w:pPr>
            <w:r>
              <w:rPr>
                <w:sz w:val="18"/>
              </w:rPr>
              <w:t xml:space="preserve">Device lost before sync</w:t>
            </w:r>
          </w:p>
        </w:tc>
        <w:tc>
          <w:tcPr>
            <w:tcW w:w="4391" w:type="dxa"/>
          </w:tcPr>
          <w:p>
            <w:pPr>
              <w:pStyle w:val="Compact"/>
              <w:spacing w:after="40"/>
              <w:jc w:val="left"/>
            </w:pPr>
            <w:r>
              <w:rPr>
                <w:sz w:val="18"/>
              </w:rPr>
              <w:t xml:space="preserve">Remote wipe; unsynced receipts are reconstructed only from member-held receipts and SMS copies, recorded as</w:t>
            </w:r>
            <w:r>
              <w:rPr>
                <w:sz w:val="18"/>
              </w:rPr>
              <w:t xml:space="preserve"> </w:t>
            </w:r>
            <w:r>
              <w:rPr>
                <w:rStyle w:val="VerbatimChar"/>
                <w:sz w:val="18"/>
              </w:rPr>
              <w:t xml:space="preserve">RECONSTRUCTED</w:t>
            </w:r>
          </w:p>
        </w:tc>
        <w:tc>
          <w:tcPr>
            <w:tcW w:w="2466" w:type="dxa"/>
          </w:tcPr>
          <w:p>
            <w:pPr>
              <w:pStyle w:val="Compact"/>
              <w:spacing w:after="40"/>
              <w:jc w:val="left"/>
            </w:pPr>
            <w:r>
              <w:rPr>
                <w:sz w:val="18"/>
              </w:rPr>
              <w:t xml:space="preserve">RE branch manager</w:t>
            </w:r>
          </w:p>
        </w:tc>
      </w:tr>
    </w:tbl>
    <w:p>
      <w:pPr>
        <w:numPr>
          <w:ilvl w:val="0"/>
          <w:numId w:val="1176"/>
        </w:numPr>
        <w:pStyle w:val="Compact"/>
      </w:pPr>
      <w:r>
        <w:rPr>
          <w:bCs/>
          <w:b/>
        </w:rPr>
        <w:t xml:space="preserve">Permissions:</w:t>
      </w:r>
      <w:r>
        <w:t xml:space="preserve"> </w:t>
      </w:r>
      <w:r>
        <w:t xml:space="preserve">camera, coarse location for staff check-in, notifications only (Part 4.5 policy applied to the field app).</w:t>
      </w:r>
    </w:p>
    <w:bookmarkEnd w:id="289"/>
    <w:bookmarkStart w:id="290" w:name="mg4.4-low-literacy-consent"/>
    <w:p>
      <w:pPr>
        <w:pStyle w:val="Heading3"/>
      </w:pPr>
      <w:r>
        <w:t xml:space="preserve">MG4.4 Low-literacy consent</w:t>
      </w:r>
    </w:p>
    <w:p>
      <w:pPr>
        <w:numPr>
          <w:ilvl w:val="0"/>
          <w:numId w:val="1177"/>
        </w:numPr>
        <w:pStyle w:val="Compact"/>
      </w:pPr>
      <w:r>
        <w:rPr>
          <w:bCs/>
          <w:b/>
        </w:rPr>
        <w:t xml:space="preserve">Preferred:</w:t>
      </w:r>
      <w:r>
        <w:t xml:space="preserve"> </w:t>
      </w:r>
      <w:r>
        <w:t xml:space="preserve">OTP or one-tap link on the member’s own mobile.</w:t>
      </w:r>
    </w:p>
    <w:p>
      <w:pPr>
        <w:numPr>
          <w:ilvl w:val="0"/>
          <w:numId w:val="1177"/>
        </w:numPr>
        <w:pStyle w:val="Compact"/>
      </w:pPr>
      <w:r>
        <w:rPr>
          <w:bCs/>
          <w:b/>
        </w:rPr>
        <w:t xml:space="preserve">Where the member has no mobile</w:t>
      </w:r>
      <w:r>
        <w:t xml:space="preserve"> </w:t>
      </w:r>
      <w:r>
        <w:t xml:space="preserve">(lender policy permitting): a signed or ink-thumb-impressed paper consent form, in the member’s language, read aloud by the staff member, photographed as a document, plus an audio recording of the read-aloud and the member’s spoken confirmation, with a second person present (another RE staff member or, where the RE allows, a co-member who is not a relative) [REC; VERIFY: legal sufficiency under the IT Act and DPDP Rules r.3].</w:t>
      </w:r>
    </w:p>
    <w:p>
      <w:pPr>
        <w:numPr>
          <w:ilvl w:val="0"/>
          <w:numId w:val="1177"/>
        </w:numPr>
        <w:pStyle w:val="Compact"/>
      </w:pPr>
      <w:r>
        <w:rPr>
          <w:bCs/>
          <w:b/>
        </w:rPr>
        <w:t xml:space="preserve">Never:</w:t>
      </w:r>
      <w:r>
        <w:t xml:space="preserve"> </w:t>
      </w:r>
      <w:r>
        <w:t xml:space="preserve">a digital fingerprint or face template captured by Udofin as consent evidence (CF para 14(3)).</w:t>
      </w:r>
    </w:p>
    <w:bookmarkEnd w:id="290"/>
    <w:bookmarkStart w:id="291" w:name="mg4.5-field-and-group-collection-records"/>
    <w:p>
      <w:pPr>
        <w:pStyle w:val="Heading3"/>
      </w:pPr>
      <w:r>
        <w:t xml:space="preserve">MG4.5 Field and group collection records</w:t>
      </w:r>
    </w:p>
    <w:p>
      <w:pPr>
        <w:pStyle w:val="FirstParagraph"/>
      </w:pPr>
      <w:r>
        <w:rPr>
          <w:bCs/>
          <w:b/>
        </w:rPr>
        <w:t xml:space="preserve">Collection sheet</w:t>
      </w:r>
      <w:r>
        <w:t xml:space="preserve"> </w:t>
      </w:r>
      <w:r>
        <w:t xml:space="preserve">per centre meeting, generated from the lender’s dues (lender API or event) for each member: instalment due, arrears, and the member’s preferred mode.</w:t>
      </w:r>
    </w:p>
    <w:p>
      <w:pPr>
        <w:pStyle w:val="BodyText"/>
      </w:pPr>
      <w:r>
        <w:rPr>
          <w:bCs/>
          <w:b/>
        </w:rPr>
        <w:t xml:space="preserve">Receipt (each payment, each member):</w:t>
      </w:r>
    </w:p>
    <w:p>
      <w:pPr>
        <w:numPr>
          <w:ilvl w:val="0"/>
          <w:numId w:val="1178"/>
        </w:numPr>
        <w:pStyle w:val="Compact"/>
      </w:pPr>
      <w:r>
        <w:t xml:space="preserve">receipt number from a per-device, hash-chained, device-signed series; lender name; member; loan reference; amount in figures and words; mode (</w:t>
      </w:r>
      <w:r>
        <w:rPr>
          <w:rStyle w:val="VerbatimChar"/>
        </w:rPr>
        <w:t xml:space="preserve">UPI</w:t>
      </w:r>
      <w:r>
        <w:t xml:space="preserve"> </w:t>
      </w:r>
      <w:r>
        <w:t xml:space="preserve">or</w:t>
      </w:r>
      <w:r>
        <w:t xml:space="preserve"> </w:t>
      </w:r>
      <w:r>
        <w:rPr>
          <w:rStyle w:val="VerbatimChar"/>
        </w:rPr>
        <w:t xml:space="preserve">CASH</w:t>
      </w:r>
      <w:r>
        <w:t xml:space="preserve">, as in</w:t>
      </w:r>
      <w:r>
        <w:t xml:space="preserve"> </w:t>
      </w:r>
      <w:r>
        <w:rPr>
          <w:rStyle w:val="VerbatimChar"/>
        </w:rPr>
        <w:t xml:space="preserve">CentreMeetingHeld</w:t>
      </w:r>
      <w:r>
        <w:t xml:space="preserve">); date, time and geo-tag of the staff device; collector ID; meeting reference;</w:t>
      </w:r>
    </w:p>
    <w:p>
      <w:pPr>
        <w:numPr>
          <w:ilvl w:val="0"/>
          <w:numId w:val="1178"/>
        </w:numPr>
        <w:pStyle w:val="Compact"/>
      </w:pPr>
      <w:r>
        <w:t xml:space="preserve">instant SMS on the lender’s DLT header and an in-app receipt to the member; loan-card entry shown as</w:t>
      </w:r>
      <w:r>
        <w:t xml:space="preserve"> </w:t>
      </w:r>
      <w:r>
        <w:t xml:space="preserve">“</w:t>
      </w:r>
      <w:r>
        <w:t xml:space="preserve">pending posting</w:t>
      </w:r>
      <w:r>
        <w:t xml:space="preserve">”</w:t>
      </w:r>
      <w:r>
        <w:t xml:space="preserve"> </w:t>
      </w:r>
      <w:r>
        <w:t xml:space="preserve">until the lender posts;</w:t>
      </w:r>
    </w:p>
    <w:p>
      <w:pPr>
        <w:numPr>
          <w:ilvl w:val="0"/>
          <w:numId w:val="1178"/>
        </w:numPr>
        <w:pStyle w:val="Compact"/>
      </w:pPr>
      <w:r>
        <w:t xml:space="preserve">the receipt is labelled</w:t>
      </w:r>
      <w:r>
        <w:t xml:space="preserve"> </w:t>
      </w:r>
      <w:r>
        <w:t xml:space="preserve">“</w:t>
      </w:r>
      <w:r>
        <w:t xml:space="preserve">[lender name] receipt issued by [collector name]</w:t>
      </w:r>
      <w:r>
        <w:t xml:space="preserve">”</w:t>
      </w:r>
      <w:r>
        <w:t xml:space="preserve">; Udofin is never named as the receiver.</w:t>
      </w:r>
    </w:p>
    <w:p>
      <w:pPr>
        <w:pStyle w:val="FirstParagraph"/>
      </w:pPr>
      <w:r>
        <w:rPr>
          <w:bCs/>
          <w:b/>
        </w:rPr>
        <w:t xml:space="preserve">Cash reconciliation (lender system of record; Udofin view):</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54"/>
        <w:gridCol w:w="4298"/>
        <w:gridCol w:w="3286"/>
      </w:tblGrid>
      <w:tr>
        <w:trPr>
          <w:tblHeader w:val="true"/>
          <w:tblHeader w:val="true"/>
        </w:trPr>
        <w:tc>
          <w:tcPr>
            <w:tcW w:w="2054" w:type="dxa"/>
            <w:shd w:val="clear" w:color="auto" w:fill="1F3A5F"/>
          </w:tcPr>
          <w:p>
            <w:pPr>
              <w:pStyle w:val="Compact"/>
              <w:spacing w:after="40"/>
              <w:jc w:val="left"/>
            </w:pPr>
            <w:r>
              <w:rPr>
                <w:b/>
                <w:color w:val="FFFFFF"/>
                <w:sz w:val="18"/>
              </w:rPr>
              <w:t xml:space="preserve">Step</w:t>
            </w:r>
          </w:p>
        </w:tc>
        <w:tc>
          <w:tcPr>
            <w:tcW w:w="4298" w:type="dxa"/>
            <w:shd w:val="clear" w:color="auto" w:fill="1F3A5F"/>
          </w:tcPr>
          <w:p>
            <w:pPr>
              <w:pStyle w:val="Compact"/>
              <w:spacing w:after="40"/>
              <w:jc w:val="left"/>
            </w:pPr>
            <w:r>
              <w:rPr>
                <w:b/>
                <w:color w:val="FFFFFF"/>
                <w:sz w:val="18"/>
              </w:rPr>
              <w:t xml:space="preserve">Where it is recorded</w:t>
            </w:r>
          </w:p>
        </w:tc>
        <w:tc>
          <w:tcPr>
            <w:tcW w:w="3286" w:type="dxa"/>
            <w:shd w:val="clear" w:color="auto" w:fill="1F3A5F"/>
          </w:tcPr>
          <w:p>
            <w:pPr>
              <w:pStyle w:val="Compact"/>
              <w:spacing w:after="40"/>
              <w:jc w:val="left"/>
            </w:pPr>
            <w:r>
              <w:rPr>
                <w:b/>
                <w:color w:val="FFFFFF"/>
                <w:sz w:val="18"/>
              </w:rPr>
              <w:t xml:space="preserve">Udofin role</w:t>
            </w:r>
          </w:p>
        </w:tc>
      </w:tr>
      <w:tr>
        <w:tc>
          <w:tcPr>
            <w:tcW w:w="2054" w:type="dxa"/>
          </w:tcPr>
          <w:p>
            <w:pPr>
              <w:pStyle w:val="Compact"/>
              <w:spacing w:after="40"/>
              <w:jc w:val="left"/>
            </w:pPr>
            <w:r>
              <w:rPr>
                <w:sz w:val="18"/>
              </w:rPr>
              <w:t xml:space="preserve">Collection at the meeting</w:t>
            </w:r>
          </w:p>
        </w:tc>
        <w:tc>
          <w:tcPr>
            <w:tcW w:w="4298" w:type="dxa"/>
          </w:tcPr>
          <w:p>
            <w:pPr>
              <w:pStyle w:val="Compact"/>
              <w:spacing w:after="40"/>
              <w:jc w:val="left"/>
            </w:pPr>
            <w:r>
              <w:rPr>
                <w:sz w:val="18"/>
              </w:rPr>
              <w:t xml:space="preserve">Udofin tooling (receipt)</w:t>
            </w:r>
          </w:p>
        </w:tc>
        <w:tc>
          <w:tcPr>
            <w:tcW w:w="3286" w:type="dxa"/>
          </w:tcPr>
          <w:p>
            <w:pPr>
              <w:pStyle w:val="Compact"/>
              <w:spacing w:after="40"/>
              <w:jc w:val="left"/>
            </w:pPr>
            <w:r>
              <w:rPr>
                <w:sz w:val="18"/>
              </w:rPr>
              <w:t xml:space="preserve">Evidence and sheet totals</w:t>
            </w:r>
          </w:p>
        </w:tc>
      </w:tr>
      <w:tr>
        <w:tc>
          <w:tcPr>
            <w:tcW w:w="2054" w:type="dxa"/>
          </w:tcPr>
          <w:p>
            <w:pPr>
              <w:pStyle w:val="Compact"/>
              <w:spacing w:after="40"/>
              <w:jc w:val="left"/>
            </w:pPr>
            <w:r>
              <w:rPr>
                <w:sz w:val="18"/>
              </w:rPr>
              <w:t xml:space="preserve">Meeting close and sync</w:t>
            </w:r>
          </w:p>
        </w:tc>
        <w:tc>
          <w:tcPr>
            <w:tcW w:w="4298" w:type="dxa"/>
          </w:tcPr>
          <w:p>
            <w:pPr>
              <w:pStyle w:val="Compact"/>
              <w:spacing w:after="40"/>
              <w:jc w:val="left"/>
            </w:pPr>
            <w:r>
              <w:rPr>
                <w:sz w:val="18"/>
              </w:rPr>
              <w:t xml:space="preserve">Lender system: Dr cash-in-transit (collector) / Cr loan, on receipt of Udofin’s</w:t>
            </w:r>
            <w:r>
              <w:rPr>
                <w:sz w:val="18"/>
              </w:rPr>
              <w:t xml:space="preserve"> </w:t>
            </w:r>
            <w:r>
              <w:rPr>
                <w:rStyle w:val="VerbatimChar"/>
                <w:sz w:val="18"/>
              </w:rPr>
              <w:t xml:space="preserve">CentreMeetingHeld</w:t>
            </w:r>
            <w:r>
              <w:rPr>
                <w:sz w:val="18"/>
              </w:rPr>
              <w:t xml:space="preserve"> </w:t>
            </w:r>
            <w:r>
              <w:rPr>
                <w:sz w:val="18"/>
              </w:rPr>
              <w:t xml:space="preserve">(receipts, attendance)</w:t>
            </w:r>
          </w:p>
        </w:tc>
        <w:tc>
          <w:tcPr>
            <w:tcW w:w="3286" w:type="dxa"/>
          </w:tcPr>
          <w:p>
            <w:pPr>
              <w:pStyle w:val="Compact"/>
              <w:spacing w:after="40"/>
              <w:jc w:val="left"/>
            </w:pPr>
            <w:r>
              <w:rPr>
                <w:sz w:val="18"/>
              </w:rPr>
              <w:t xml:space="preserve">Sends</w:t>
            </w:r>
            <w:r>
              <w:rPr>
                <w:sz w:val="18"/>
              </w:rPr>
              <w:t xml:space="preserve"> </w:t>
            </w:r>
            <w:r>
              <w:rPr>
                <w:rStyle w:val="VerbatimChar"/>
                <w:sz w:val="18"/>
              </w:rPr>
              <w:t xml:space="preserve">CentreMeetingHeld</w:t>
            </w:r>
            <w:r>
              <w:rPr>
                <w:sz w:val="18"/>
              </w:rPr>
              <w:t xml:space="preserve"> </w:t>
            </w:r>
            <w:r>
              <w:rPr>
                <w:sz w:val="18"/>
              </w:rPr>
              <w:t xml:space="preserve">when closed in Udofin tooling; shows posting status from the lender’s</w:t>
            </w:r>
            <w:r>
              <w:rPr>
                <w:sz w:val="18"/>
              </w:rPr>
              <w:t xml:space="preserve"> </w:t>
            </w:r>
            <w:r>
              <w:rPr>
                <w:rStyle w:val="VerbatimChar"/>
                <w:sz w:val="18"/>
              </w:rPr>
              <w:t xml:space="preserve">GroupCollectionPosted</w:t>
            </w:r>
          </w:p>
        </w:tc>
      </w:tr>
      <w:tr>
        <w:tc>
          <w:tcPr>
            <w:tcW w:w="2054" w:type="dxa"/>
          </w:tcPr>
          <w:p>
            <w:pPr>
              <w:pStyle w:val="Compact"/>
              <w:spacing w:after="40"/>
              <w:jc w:val="left"/>
            </w:pPr>
            <w:r>
              <w:rPr>
                <w:sz w:val="18"/>
              </w:rPr>
              <w:t xml:space="preserve">Handover to branch cashier with dual sign-off</w:t>
            </w:r>
          </w:p>
        </w:tc>
        <w:tc>
          <w:tcPr>
            <w:tcW w:w="4298" w:type="dxa"/>
          </w:tcPr>
          <w:p>
            <w:pPr>
              <w:pStyle w:val="Compact"/>
              <w:spacing w:after="40"/>
              <w:jc w:val="left"/>
            </w:pPr>
            <w:r>
              <w:rPr>
                <w:sz w:val="18"/>
              </w:rPr>
              <w:t xml:space="preserve">Lender system: Dr branch cash / Cr cash-in-transit</w:t>
            </w:r>
          </w:p>
        </w:tc>
        <w:tc>
          <w:tcPr>
            <w:tcW w:w="3286" w:type="dxa"/>
          </w:tcPr>
          <w:p>
            <w:pPr>
              <w:pStyle w:val="Compact"/>
              <w:spacing w:after="40"/>
              <w:jc w:val="left"/>
            </w:pPr>
            <w:r>
              <w:rPr>
                <w:sz w:val="18"/>
              </w:rPr>
              <w:t xml:space="preserve">Shows handover status</w:t>
            </w:r>
          </w:p>
        </w:tc>
      </w:tr>
      <w:tr>
        <w:tc>
          <w:tcPr>
            <w:tcW w:w="2054" w:type="dxa"/>
          </w:tcPr>
          <w:p>
            <w:pPr>
              <w:pStyle w:val="Compact"/>
              <w:spacing w:after="40"/>
              <w:jc w:val="left"/>
            </w:pPr>
            <w:r>
              <w:rPr>
                <w:sz w:val="18"/>
              </w:rPr>
              <w:t xml:space="preserve">Bank deposit</w:t>
            </w:r>
          </w:p>
        </w:tc>
        <w:tc>
          <w:tcPr>
            <w:tcW w:w="4298" w:type="dxa"/>
          </w:tcPr>
          <w:p>
            <w:pPr>
              <w:pStyle w:val="Compact"/>
              <w:spacing w:after="40"/>
              <w:jc w:val="left"/>
            </w:pPr>
            <w:r>
              <w:rPr>
                <w:sz w:val="18"/>
              </w:rPr>
              <w:t xml:space="preserve">Lender system: Dr bank / Cr branch cash, matched to the bank statement</w:t>
            </w:r>
          </w:p>
        </w:tc>
        <w:tc>
          <w:tcPr>
            <w:tcW w:w="3286" w:type="dxa"/>
          </w:tcPr>
          <w:p>
            <w:pPr>
              <w:pStyle w:val="Compact"/>
              <w:spacing w:after="40"/>
              <w:jc w:val="left"/>
            </w:pPr>
            <w:r>
              <w:rPr>
                <w:sz w:val="18"/>
              </w:rPr>
              <w:t xml:space="preserve">Shows deposit status</w:t>
            </w:r>
          </w:p>
        </w:tc>
      </w:tr>
      <w:tr>
        <w:tc>
          <w:tcPr>
            <w:tcW w:w="2054" w:type="dxa"/>
          </w:tcPr>
          <w:p>
            <w:pPr>
              <w:pStyle w:val="Compact"/>
              <w:spacing w:after="40"/>
              <w:jc w:val="left"/>
            </w:pPr>
            <w:r>
              <w:rPr>
                <w:sz w:val="18"/>
              </w:rPr>
              <w:t xml:space="preserve">Shortfall and variance</w:t>
            </w:r>
          </w:p>
        </w:tc>
        <w:tc>
          <w:tcPr>
            <w:tcW w:w="4298" w:type="dxa"/>
          </w:tcPr>
          <w:p>
            <w:pPr>
              <w:pStyle w:val="Compact"/>
              <w:spacing w:after="40"/>
              <w:jc w:val="left"/>
            </w:pPr>
            <w:r>
              <w:rPr>
                <w:sz w:val="18"/>
              </w:rPr>
              <w:t xml:space="preserve">Lender system computes</w:t>
            </w:r>
            <w:r>
              <w:rPr>
                <w:sz w:val="18"/>
              </w:rPr>
              <w:t xml:space="preserve"> </w:t>
            </w:r>
            <w:r>
              <w:rPr>
                <w:rStyle w:val="VerbatimChar"/>
                <w:sz w:val="18"/>
              </w:rPr>
              <w:t xml:space="preserve">collection_shortfall = expected − receipted</w:t>
            </w:r>
            <w:r>
              <w:rPr>
                <w:sz w:val="18"/>
              </w:rPr>
              <w:t xml:space="preserve"> </w:t>
            </w:r>
            <w:r>
              <w:rPr>
                <w:sz w:val="18"/>
              </w:rPr>
              <w:t xml:space="preserve">(overdue on named members) and</w:t>
            </w:r>
            <w:r>
              <w:rPr>
                <w:sz w:val="18"/>
              </w:rPr>
              <w:t xml:space="preserve"> </w:t>
            </w:r>
            <w:r>
              <w:rPr>
                <w:rStyle w:val="VerbatimChar"/>
                <w:sz w:val="18"/>
              </w:rPr>
              <w:t xml:space="preserve">cash_variance = receipted − handed over</w:t>
            </w:r>
            <w:r>
              <w:rPr>
                <w:sz w:val="18"/>
              </w:rPr>
              <w:t xml:space="preserve"> </w:t>
            </w:r>
            <w:r>
              <w:rPr>
                <w:sz w:val="18"/>
              </w:rPr>
              <w:t xml:space="preserve">(an exception for an independent reviewer), as Finbyx IP4.5</w:t>
            </w:r>
          </w:p>
        </w:tc>
        <w:tc>
          <w:tcPr>
            <w:tcW w:w="3286" w:type="dxa"/>
          </w:tcPr>
          <w:p>
            <w:pPr>
              <w:pStyle w:val="Compact"/>
              <w:spacing w:after="40"/>
              <w:jc w:val="left"/>
            </w:pPr>
            <w:r>
              <w:rPr>
                <w:sz w:val="18"/>
              </w:rPr>
              <w:t xml:space="preserve">Shows both; blocks closing the meeting record while any receipt is unsynced</w:t>
            </w:r>
          </w:p>
        </w:tc>
      </w:tr>
    </w:tbl>
    <w:p>
      <w:pPr>
        <w:numPr>
          <w:ilvl w:val="0"/>
          <w:numId w:val="1179"/>
        </w:numPr>
        <w:pStyle w:val="Compact"/>
      </w:pPr>
      <w:r>
        <w:rPr>
          <w:bCs/>
          <w:b/>
        </w:rPr>
        <w:t xml:space="preserve">Same-day posting</w:t>
      </w:r>
      <w:r>
        <w:t xml:space="preserve"> </w:t>
      </w:r>
      <w:r>
        <w:t xml:space="preserve">is expected for all cash (mirrors CF para 10(5)); an unposted receipt at end of day escalates to the lender’s branch manager and appears on the lender’s exception queue [REC].</w:t>
      </w:r>
    </w:p>
    <w:p>
      <w:pPr>
        <w:numPr>
          <w:ilvl w:val="0"/>
          <w:numId w:val="1179"/>
        </w:numPr>
        <w:pStyle w:val="Compact"/>
      </w:pPr>
      <w:r>
        <w:rPr>
          <w:bCs/>
          <w:b/>
        </w:rPr>
        <w:t xml:space="preserve">Controls shown to the lender</w:t>
      </w:r>
      <w:r>
        <w:t xml:space="preserve"> </w:t>
      </w:r>
      <w:r>
        <w:t xml:space="preserve">(lender sets the values): per-collector daily cash limit, per-receipt limit [VERIFY: Income-tax Act 2025 cash-receipt limits], rotation, surprise counts, no cash disbursal of loans.</w:t>
      </w:r>
    </w:p>
    <w:p>
      <w:pPr>
        <w:numPr>
          <w:ilvl w:val="0"/>
          <w:numId w:val="1179"/>
        </w:numPr>
        <w:pStyle w:val="Compact"/>
      </w:pPr>
      <w:r>
        <w:rPr>
          <w:bCs/>
          <w:b/>
        </w:rPr>
        <w:t xml:space="preserve">Digital at the meeting:</w:t>
      </w:r>
      <w:r>
        <w:t xml:space="preserve"> </w:t>
      </w:r>
      <w:r>
        <w:t xml:space="preserve">per-member dynamic QR on the lender’s merchant account; webhook from the lender’s gateway; unmatched payments go to the lender’s suspense queue, resolved by the lender within 2 days [REC].</w:t>
      </w:r>
    </w:p>
    <w:bookmarkEnd w:id="291"/>
    <w:bookmarkStart w:id="292" w:name="mg4.6-field-event-conduct-checklist"/>
    <w:p>
      <w:pPr>
        <w:pStyle w:val="Heading3"/>
      </w:pPr>
      <w:r>
        <w:t xml:space="preserve">MG4.6 Field-event conduct checklist</w:t>
      </w:r>
    </w:p>
    <w:p>
      <w:pPr>
        <w:pStyle w:val="FirstParagraph"/>
      </w:pPr>
      <w:r>
        <w:t xml:space="preserve">Every field event (meeting, visit, collection) carries the lender’s checklist: designated place or recorded reason for a home or work visit (RBC para 90); time within window; no document or article taken; no third party pressured; State overlay items (Tamil Nadu s.20; Karnataka s.8 where applicable). A member complaint about a collector suspends that collector in the lender’s portal pending the lender’s review, and the member can scan</w:t>
      </w:r>
      <w:r>
        <w:t xml:space="preserve"> </w:t>
      </w:r>
      <w:r>
        <w:t xml:space="preserve">“</w:t>
      </w:r>
      <w:r>
        <w:t xml:space="preserve">verify this agent</w:t>
      </w:r>
      <w:r>
        <w:t xml:space="preserve">”</w:t>
      </w:r>
      <w:r>
        <w:t xml:space="preserve"> </w:t>
      </w:r>
      <w:r>
        <w:t xml:space="preserve">(Part 7A UR4) at any time.</w:t>
      </w:r>
    </w:p>
    <w:bookmarkEnd w:id="292"/>
    <w:bookmarkStart w:id="293" w:name="mg4.7-events"/>
    <w:p>
      <w:pPr>
        <w:pStyle w:val="Heading3"/>
      </w:pPr>
      <w:r>
        <w:t xml:space="preserve">MG4.7 Events</w:t>
      </w:r>
    </w:p>
    <w:p>
      <w:pPr>
        <w:numPr>
          <w:ilvl w:val="0"/>
          <w:numId w:val="1180"/>
        </w:numPr>
        <w:pStyle w:val="Compact"/>
      </w:pPr>
      <w:r>
        <w:rPr>
          <w:bCs/>
          <w:b/>
        </w:rPr>
        <w:t xml:space="preserve">Produced:</w:t>
      </w:r>
      <w:r>
        <w:t xml:space="preserve"> </w:t>
      </w:r>
      <w:r>
        <w:rPr>
          <w:rStyle w:val="VerbatimChar"/>
        </w:rPr>
        <w:t xml:space="preserve">CentreMeetingHeld</w:t>
      </w:r>
      <w:r>
        <w:t xml:space="preserve"> </w:t>
      </w:r>
      <w:r>
        <w:t xml:space="preserve">(closed in Udofin tooling only),</w:t>
      </w:r>
      <w:r>
        <w:t xml:space="preserve"> </w:t>
      </w:r>
      <w:r>
        <w:rPr>
          <w:rStyle w:val="VerbatimChar"/>
        </w:rPr>
        <w:t xml:space="preserve">ReceiptIssued</w:t>
      </w:r>
      <w:r>
        <w:t xml:space="preserve"> </w:t>
      </w:r>
      <w:r>
        <w:t xml:space="preserve">and</w:t>
      </w:r>
      <w:r>
        <w:t xml:space="preserve"> </w:t>
      </w:r>
      <w:r>
        <w:rPr>
          <w:rStyle w:val="VerbatimChar"/>
        </w:rPr>
        <w:t xml:space="preserve">FieldVisitLogged</w:t>
      </w:r>
      <w:r>
        <w:t xml:space="preserve"> </w:t>
      </w:r>
      <w:r>
        <w:t xml:space="preserve">(Integration Spec 6.7; UR4 recovery work as the RE’s agent).</w:t>
      </w:r>
    </w:p>
    <w:p>
      <w:pPr>
        <w:numPr>
          <w:ilvl w:val="0"/>
          <w:numId w:val="1180"/>
        </w:numPr>
        <w:pStyle w:val="Compact"/>
      </w:pPr>
      <w:r>
        <w:rPr>
          <w:bCs/>
          <w:b/>
        </w:rPr>
        <w:t xml:space="preserve">Consumed:</w:t>
      </w:r>
      <w:r>
        <w:t xml:space="preserve"> </w:t>
      </w:r>
      <w:r>
        <w:rPr>
          <w:rStyle w:val="VerbatimChar"/>
        </w:rPr>
        <w:t xml:space="preserve">GroupCollectionPosted</w:t>
      </w:r>
      <w:r>
        <w:t xml:space="preserve"> </w:t>
      </w:r>
      <w:r>
        <w:t xml:space="preserve">(lender posted the collection),</w:t>
      </w:r>
      <w:r>
        <w:t xml:space="preserve"> </w:t>
      </w:r>
      <w:r>
        <w:rPr>
          <w:rStyle w:val="VerbatimChar"/>
        </w:rPr>
        <w:t xml:space="preserve">CentreMeetingHeld</w:t>
      </w:r>
      <w:r>
        <w:t xml:space="preserve"> </w:t>
      </w:r>
      <w:r>
        <w:t xml:space="preserve">(meeting closed in the lender’s own field app),</w:t>
      </w:r>
      <w:r>
        <w:t xml:space="preserve"> </w:t>
      </w:r>
      <w:r>
        <w:rPr>
          <w:rStyle w:val="VerbatimChar"/>
        </w:rPr>
        <w:t xml:space="preserve">PaymentReceived</w:t>
      </w:r>
      <w:r>
        <w:t xml:space="preserve">,</w:t>
      </w:r>
      <w:r>
        <w:t xml:space="preserve"> </w:t>
      </w:r>
      <w:r>
        <w:rPr>
          <w:rStyle w:val="VerbatimChar"/>
        </w:rPr>
        <w:t xml:space="preserve">CollectionAllocated</w:t>
      </w:r>
      <w:r>
        <w:t xml:space="preserve"> </w:t>
      </w:r>
      <w:r>
        <w:t xml:space="preserve">and</w:t>
      </w:r>
      <w:r>
        <w:t xml:space="preserve"> </w:t>
      </w:r>
      <w:r>
        <w:rPr>
          <w:rStyle w:val="VerbatimChar"/>
        </w:rPr>
        <w:t xml:space="preserve">CollectionDeallocated</w:t>
      </w:r>
      <w:r>
        <w:t xml:space="preserve"> </w:t>
      </w:r>
      <w:r>
        <w:t xml:space="preserve">(UR4 only).</w:t>
      </w:r>
    </w:p>
    <w:bookmarkEnd w:id="293"/>
    <w:bookmarkStart w:id="294" w:name="settings-and-options-mg4"/>
    <w:p>
      <w:pPr>
        <w:pStyle w:val="Heading3"/>
      </w:pPr>
      <w:r>
        <w:t xml:space="preserve">Settings and options (MG4)</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149"/>
        <w:gridCol w:w="1262"/>
        <w:gridCol w:w="2164"/>
        <w:gridCol w:w="3063"/>
      </w:tblGrid>
      <w:tr>
        <w:trPr>
          <w:tblHeader w:val="true"/>
          <w:tblHeader w:val="true"/>
        </w:trPr>
        <w:tc>
          <w:tcPr>
            <w:tcW w:w="3149" w:type="dxa"/>
            <w:shd w:val="clear" w:color="auto" w:fill="1F3A5F"/>
          </w:tcPr>
          <w:p>
            <w:pPr>
              <w:pStyle w:val="Compact"/>
              <w:spacing w:after="40"/>
              <w:jc w:val="left"/>
            </w:pPr>
            <w:r>
              <w:rPr>
                <w:b/>
                <w:color w:val="FFFFFF"/>
                <w:sz w:val="18"/>
              </w:rPr>
              <w:t xml:space="preserve">Setting</w:t>
            </w:r>
          </w:p>
        </w:tc>
        <w:tc>
          <w:tcPr>
            <w:tcW w:w="1262" w:type="dxa"/>
            <w:shd w:val="clear" w:color="auto" w:fill="1F3A5F"/>
          </w:tcPr>
          <w:p>
            <w:pPr>
              <w:pStyle w:val="Compact"/>
              <w:spacing w:after="40"/>
              <w:jc w:val="left"/>
            </w:pPr>
            <w:r>
              <w:rPr>
                <w:b/>
                <w:color w:val="FFFFFF"/>
                <w:sz w:val="18"/>
              </w:rPr>
              <w:t xml:space="preserve">Level</w:t>
            </w:r>
          </w:p>
        </w:tc>
        <w:tc>
          <w:tcPr>
            <w:tcW w:w="2164" w:type="dxa"/>
            <w:shd w:val="clear" w:color="auto" w:fill="1F3A5F"/>
          </w:tcPr>
          <w:p>
            <w:pPr>
              <w:pStyle w:val="Compact"/>
              <w:spacing w:after="40"/>
              <w:jc w:val="left"/>
            </w:pPr>
            <w:r>
              <w:rPr>
                <w:b/>
                <w:color w:val="FFFFFF"/>
                <w:sz w:val="18"/>
              </w:rPr>
              <w:t xml:space="preserve">Default</w:t>
            </w:r>
          </w:p>
        </w:tc>
        <w:tc>
          <w:tcPr>
            <w:tcW w:w="3063" w:type="dxa"/>
            <w:shd w:val="clear" w:color="auto" w:fill="1F3A5F"/>
          </w:tcPr>
          <w:p>
            <w:pPr>
              <w:pStyle w:val="Compact"/>
              <w:spacing w:after="40"/>
              <w:jc w:val="left"/>
            </w:pPr>
            <w:r>
              <w:rPr>
                <w:b/>
                <w:color w:val="FFFFFF"/>
                <w:sz w:val="18"/>
              </w:rPr>
              <w:t xml:space="preserve">Nature</w:t>
            </w:r>
          </w:p>
        </w:tc>
      </w:tr>
      <w:tr>
        <w:tc>
          <w:tcPr>
            <w:tcW w:w="3149" w:type="dxa"/>
          </w:tcPr>
          <w:p>
            <w:pPr>
              <w:pStyle w:val="Compact"/>
              <w:spacing w:after="40"/>
              <w:jc w:val="left"/>
            </w:pPr>
            <w:r>
              <w:rPr>
                <w:sz w:val="18"/>
              </w:rPr>
              <w:t xml:space="preserve">Local-store lifetime</w:t>
            </w:r>
          </w:p>
        </w:tc>
        <w:tc>
          <w:tcPr>
            <w:tcW w:w="1262" w:type="dxa"/>
          </w:tcPr>
          <w:p>
            <w:pPr>
              <w:pStyle w:val="Compact"/>
              <w:spacing w:after="40"/>
              <w:jc w:val="left"/>
            </w:pPr>
            <w:r>
              <w:rPr>
                <w:sz w:val="18"/>
              </w:rPr>
              <w:t xml:space="preserve">Platform</w:t>
            </w:r>
          </w:p>
        </w:tc>
        <w:tc>
          <w:tcPr>
            <w:tcW w:w="2164" w:type="dxa"/>
          </w:tcPr>
          <w:p>
            <w:pPr>
              <w:pStyle w:val="Compact"/>
              <w:spacing w:after="40"/>
              <w:jc w:val="left"/>
            </w:pPr>
            <w:r>
              <w:rPr>
                <w:sz w:val="18"/>
              </w:rPr>
              <w:t xml:space="preserve">Purge after sync; at most 72 hours</w:t>
            </w:r>
          </w:p>
        </w:tc>
        <w:tc>
          <w:tcPr>
            <w:tcW w:w="3063" w:type="dxa"/>
          </w:tcPr>
          <w:p>
            <w:pPr>
              <w:pStyle w:val="Compact"/>
              <w:spacing w:after="40"/>
              <w:jc w:val="left"/>
            </w:pPr>
            <w:r>
              <w:rPr>
                <w:sz w:val="18"/>
              </w:rPr>
              <w:t xml:space="preserve">Security floor (may shorten)</w:t>
            </w:r>
          </w:p>
        </w:tc>
      </w:tr>
      <w:tr>
        <w:tc>
          <w:tcPr>
            <w:tcW w:w="3149" w:type="dxa"/>
          </w:tcPr>
          <w:p>
            <w:pPr>
              <w:pStyle w:val="Compact"/>
              <w:spacing w:after="40"/>
              <w:jc w:val="left"/>
            </w:pPr>
            <w:r>
              <w:rPr>
                <w:sz w:val="18"/>
              </w:rPr>
              <w:t xml:space="preserve">Device clock-drift tolerance</w:t>
            </w:r>
          </w:p>
        </w:tc>
        <w:tc>
          <w:tcPr>
            <w:tcW w:w="1262" w:type="dxa"/>
          </w:tcPr>
          <w:p>
            <w:pPr>
              <w:pStyle w:val="Compact"/>
              <w:spacing w:after="40"/>
              <w:jc w:val="left"/>
            </w:pPr>
            <w:r>
              <w:rPr>
                <w:sz w:val="18"/>
              </w:rPr>
              <w:t xml:space="preserve">Platform</w:t>
            </w:r>
          </w:p>
        </w:tc>
        <w:tc>
          <w:tcPr>
            <w:tcW w:w="2164" w:type="dxa"/>
          </w:tcPr>
          <w:p>
            <w:pPr>
              <w:pStyle w:val="Compact"/>
              <w:spacing w:after="40"/>
              <w:jc w:val="left"/>
            </w:pPr>
            <w:r>
              <w:rPr>
                <w:sz w:val="18"/>
              </w:rPr>
              <w:t xml:space="preserve">5 minutes</w:t>
            </w:r>
          </w:p>
        </w:tc>
        <w:tc>
          <w:tcPr>
            <w:tcW w:w="3063" w:type="dxa"/>
          </w:tcPr>
          <w:p>
            <w:pPr>
              <w:pStyle w:val="Compact"/>
              <w:spacing w:after="40"/>
              <w:jc w:val="left"/>
            </w:pPr>
            <w:r>
              <w:rPr>
                <w:sz w:val="18"/>
              </w:rPr>
              <w:t xml:space="preserve">Security floor</w:t>
            </w:r>
          </w:p>
        </w:tc>
      </w:tr>
      <w:tr>
        <w:tc>
          <w:tcPr>
            <w:tcW w:w="3149" w:type="dxa"/>
          </w:tcPr>
          <w:p>
            <w:pPr>
              <w:pStyle w:val="Compact"/>
              <w:spacing w:after="40"/>
              <w:jc w:val="left"/>
            </w:pPr>
            <w:r>
              <w:rPr>
                <w:sz w:val="18"/>
              </w:rPr>
              <w:t xml:space="preserve">Cash at meetings on Udofin-sourced loans (regular instalments, RE staff)</w:t>
            </w:r>
          </w:p>
        </w:tc>
        <w:tc>
          <w:tcPr>
            <w:tcW w:w="1262" w:type="dxa"/>
          </w:tcPr>
          <w:p>
            <w:pPr>
              <w:pStyle w:val="Compact"/>
              <w:spacing w:after="40"/>
              <w:jc w:val="left"/>
            </w:pPr>
            <w:r>
              <w:rPr>
                <w:sz w:val="18"/>
              </w:rPr>
              <w:t xml:space="preserve">RE product</w:t>
            </w:r>
          </w:p>
        </w:tc>
        <w:tc>
          <w:tcPr>
            <w:tcW w:w="2164" w:type="dxa"/>
          </w:tcPr>
          <w:p>
            <w:pPr>
              <w:pStyle w:val="Compact"/>
              <w:spacing w:after="40"/>
              <w:jc w:val="left"/>
            </w:pPr>
            <w:r>
              <w:rPr>
                <w:sz w:val="18"/>
              </w:rPr>
              <w:t xml:space="preserve">Off</w:t>
            </w:r>
          </w:p>
        </w:tc>
        <w:tc>
          <w:tcPr>
            <w:tcW w:w="3063" w:type="dxa"/>
          </w:tcPr>
          <w:p>
            <w:pPr>
              <w:pStyle w:val="Compact"/>
              <w:spacing w:after="40"/>
              <w:jc w:val="left"/>
            </w:pPr>
            <w:r>
              <w:rPr>
                <w:sz w:val="18"/>
              </w:rPr>
              <w:t xml:space="preserve">On only with the RE’s recorded legal opinion (CF paras 10(2), 10(5))</w:t>
            </w:r>
          </w:p>
        </w:tc>
      </w:tr>
      <w:tr>
        <w:tc>
          <w:tcPr>
            <w:tcW w:w="3149" w:type="dxa"/>
          </w:tcPr>
          <w:p>
            <w:pPr>
              <w:pStyle w:val="Compact"/>
              <w:spacing w:after="40"/>
              <w:jc w:val="left"/>
            </w:pPr>
            <w:r>
              <w:rPr>
                <w:sz w:val="18"/>
              </w:rPr>
              <w:t xml:space="preserve">Udofin staff cash collection</w:t>
            </w:r>
          </w:p>
        </w:tc>
        <w:tc>
          <w:tcPr>
            <w:tcW w:w="1262" w:type="dxa"/>
          </w:tcPr>
          <w:p>
            <w:pPr>
              <w:pStyle w:val="Compact"/>
              <w:spacing w:after="40"/>
              <w:jc w:val="left"/>
            </w:pPr>
            <w:r>
              <w:rPr>
                <w:sz w:val="18"/>
              </w:rPr>
              <w:t xml:space="preserve">RE</w:t>
            </w:r>
          </w:p>
        </w:tc>
        <w:tc>
          <w:tcPr>
            <w:tcW w:w="2164" w:type="dxa"/>
          </w:tcPr>
          <w:p>
            <w:pPr>
              <w:pStyle w:val="Compact"/>
              <w:spacing w:after="40"/>
              <w:jc w:val="left"/>
            </w:pPr>
            <w:r>
              <w:rPr>
                <w:sz w:val="18"/>
              </w:rPr>
              <w:t xml:space="preserve">Off</w:t>
            </w:r>
          </w:p>
        </w:tc>
        <w:tc>
          <w:tcPr>
            <w:tcW w:w="3063" w:type="dxa"/>
          </w:tcPr>
          <w:p>
            <w:pPr>
              <w:pStyle w:val="Compact"/>
              <w:spacing w:after="40"/>
              <w:jc w:val="left"/>
            </w:pPr>
            <w:r>
              <w:rPr>
                <w:sz w:val="18"/>
              </w:rPr>
              <w:t xml:space="preserve">Only under a UR4 appointment, overdue loans only</w:t>
            </w:r>
          </w:p>
        </w:tc>
      </w:tr>
      <w:tr>
        <w:tc>
          <w:tcPr>
            <w:tcW w:w="3149" w:type="dxa"/>
          </w:tcPr>
          <w:p>
            <w:pPr>
              <w:pStyle w:val="Compact"/>
              <w:spacing w:after="40"/>
              <w:jc w:val="left"/>
            </w:pPr>
            <w:r>
              <w:rPr>
                <w:sz w:val="18"/>
              </w:rPr>
              <w:t xml:space="preserve">Per-collector daily and per-receipt cash limits</w:t>
            </w:r>
          </w:p>
        </w:tc>
        <w:tc>
          <w:tcPr>
            <w:tcW w:w="1262" w:type="dxa"/>
          </w:tcPr>
          <w:p>
            <w:pPr>
              <w:pStyle w:val="Compact"/>
              <w:spacing w:after="40"/>
              <w:jc w:val="left"/>
            </w:pPr>
            <w:r>
              <w:rPr>
                <w:sz w:val="18"/>
              </w:rPr>
              <w:t xml:space="preserve">RE branch</w:t>
            </w:r>
          </w:p>
        </w:tc>
        <w:tc>
          <w:tcPr>
            <w:tcW w:w="2164" w:type="dxa"/>
          </w:tcPr>
          <w:p>
            <w:pPr>
              <w:pStyle w:val="Compact"/>
              <w:spacing w:after="40"/>
              <w:jc w:val="left"/>
            </w:pPr>
            <w:r>
              <w:rPr>
                <w:sz w:val="18"/>
              </w:rPr>
              <w:t xml:space="preserve">Set by the RE</w:t>
            </w:r>
          </w:p>
        </w:tc>
        <w:tc>
          <w:tcPr>
            <w:tcW w:w="3063" w:type="dxa"/>
          </w:tcPr>
          <w:p>
            <w:pPr>
              <w:pStyle w:val="Compact"/>
              <w:spacing w:after="40"/>
              <w:jc w:val="left"/>
            </w:pPr>
            <w:r>
              <w:rPr>
                <w:sz w:val="18"/>
              </w:rPr>
              <w:t xml:space="preserve">RE policy; tax cash limits [VERIFY]</w:t>
            </w:r>
          </w:p>
        </w:tc>
      </w:tr>
      <w:tr>
        <w:tc>
          <w:tcPr>
            <w:tcW w:w="3149" w:type="dxa"/>
          </w:tcPr>
          <w:p>
            <w:pPr>
              <w:pStyle w:val="Compact"/>
              <w:spacing w:after="40"/>
              <w:jc w:val="left"/>
            </w:pPr>
            <w:r>
              <w:rPr>
                <w:sz w:val="18"/>
              </w:rPr>
              <w:t xml:space="preserve">End-of-day posting escalation time</w:t>
            </w:r>
          </w:p>
        </w:tc>
        <w:tc>
          <w:tcPr>
            <w:tcW w:w="1262" w:type="dxa"/>
          </w:tcPr>
          <w:p>
            <w:pPr>
              <w:pStyle w:val="Compact"/>
              <w:spacing w:after="40"/>
              <w:jc w:val="left"/>
            </w:pPr>
            <w:r>
              <w:rPr>
                <w:sz w:val="18"/>
              </w:rPr>
              <w:t xml:space="preserve">RE</w:t>
            </w:r>
          </w:p>
        </w:tc>
        <w:tc>
          <w:tcPr>
            <w:tcW w:w="2164" w:type="dxa"/>
          </w:tcPr>
          <w:p>
            <w:pPr>
              <w:pStyle w:val="Compact"/>
              <w:spacing w:after="40"/>
              <w:jc w:val="left"/>
            </w:pPr>
            <w:r>
              <w:rPr>
                <w:sz w:val="18"/>
              </w:rPr>
              <w:t xml:space="preserve">20:00 IST</w:t>
            </w:r>
          </w:p>
        </w:tc>
        <w:tc>
          <w:tcPr>
            <w:tcW w:w="3063" w:type="dxa"/>
          </w:tcPr>
          <w:p>
            <w:pPr>
              <w:pStyle w:val="Compact"/>
              <w:spacing w:after="40"/>
              <w:jc w:val="left"/>
            </w:pPr>
            <w:r>
              <w:rPr>
                <w:sz w:val="18"/>
              </w:rPr>
              <w:t xml:space="preserve">Tighten only [REC]</w:t>
            </w:r>
          </w:p>
        </w:tc>
      </w:tr>
      <w:tr>
        <w:tc>
          <w:tcPr>
            <w:tcW w:w="3149" w:type="dxa"/>
          </w:tcPr>
          <w:p>
            <w:pPr>
              <w:pStyle w:val="Compact"/>
              <w:spacing w:after="40"/>
              <w:jc w:val="left"/>
            </w:pPr>
            <w:r>
              <w:rPr>
                <w:sz w:val="18"/>
              </w:rPr>
              <w:t xml:space="preserve">UPI suspense resolution target</w:t>
            </w:r>
          </w:p>
        </w:tc>
        <w:tc>
          <w:tcPr>
            <w:tcW w:w="1262" w:type="dxa"/>
          </w:tcPr>
          <w:p>
            <w:pPr>
              <w:pStyle w:val="Compact"/>
              <w:spacing w:after="40"/>
              <w:jc w:val="left"/>
            </w:pPr>
            <w:r>
              <w:rPr>
                <w:sz w:val="18"/>
              </w:rPr>
              <w:t xml:space="preserve">RE</w:t>
            </w:r>
          </w:p>
        </w:tc>
        <w:tc>
          <w:tcPr>
            <w:tcW w:w="2164" w:type="dxa"/>
          </w:tcPr>
          <w:p>
            <w:pPr>
              <w:pStyle w:val="Compact"/>
              <w:spacing w:after="40"/>
              <w:jc w:val="left"/>
            </w:pPr>
            <w:r>
              <w:rPr>
                <w:sz w:val="18"/>
              </w:rPr>
              <w:t xml:space="preserve">2 working days</w:t>
            </w:r>
          </w:p>
        </w:tc>
        <w:tc>
          <w:tcPr>
            <w:tcW w:w="3063" w:type="dxa"/>
          </w:tcPr>
          <w:p>
            <w:pPr>
              <w:pStyle w:val="Compact"/>
              <w:spacing w:after="40"/>
              <w:jc w:val="left"/>
            </w:pPr>
            <w:r>
              <w:rPr>
                <w:sz w:val="18"/>
              </w:rPr>
              <w:t xml:space="preserve">Commercial [REC]</w:t>
            </w:r>
          </w:p>
        </w:tc>
      </w:tr>
      <w:tr>
        <w:tc>
          <w:tcPr>
            <w:tcW w:w="3149" w:type="dxa"/>
          </w:tcPr>
          <w:p>
            <w:pPr>
              <w:pStyle w:val="Compact"/>
              <w:spacing w:after="40"/>
              <w:jc w:val="left"/>
            </w:pPr>
            <w:r>
              <w:rPr>
                <w:sz w:val="18"/>
              </w:rPr>
              <w:t xml:space="preserve">No-mobile consent route</w:t>
            </w:r>
          </w:p>
        </w:tc>
        <w:tc>
          <w:tcPr>
            <w:tcW w:w="1262" w:type="dxa"/>
          </w:tcPr>
          <w:p>
            <w:pPr>
              <w:pStyle w:val="Compact"/>
              <w:spacing w:after="40"/>
              <w:jc w:val="left"/>
            </w:pPr>
            <w:r>
              <w:rPr>
                <w:sz w:val="18"/>
              </w:rPr>
              <w:t xml:space="preserve">RE</w:t>
            </w:r>
          </w:p>
        </w:tc>
        <w:tc>
          <w:tcPr>
            <w:tcW w:w="2164" w:type="dxa"/>
          </w:tcPr>
          <w:p>
            <w:pPr>
              <w:pStyle w:val="Compact"/>
              <w:spacing w:after="40"/>
              <w:jc w:val="left"/>
            </w:pPr>
            <w:r>
              <w:rPr>
                <w:sz w:val="18"/>
              </w:rPr>
              <w:t xml:space="preserve">Off</w:t>
            </w:r>
          </w:p>
        </w:tc>
        <w:tc>
          <w:tcPr>
            <w:tcW w:w="3063" w:type="dxa"/>
          </w:tcPr>
          <w:p>
            <w:pPr>
              <w:pStyle w:val="Compact"/>
              <w:spacing w:after="40"/>
              <w:jc w:val="left"/>
            </w:pPr>
            <w:r>
              <w:rPr>
                <w:sz w:val="18"/>
              </w:rPr>
              <w:t xml:space="preserve">RE policy plus the MG4.4 evidence set</w:t>
            </w:r>
          </w:p>
        </w:tc>
      </w:tr>
    </w:tbl>
    <w:bookmarkEnd w:id="294"/>
    <w:bookmarkStart w:id="295" w:name="menu-and-screens-mg4"/>
    <w:p>
      <w:pPr>
        <w:pStyle w:val="Heading3"/>
      </w:pPr>
      <w:r>
        <w:t xml:space="preserve">Menu and screens (MG4)</w:t>
      </w:r>
    </w:p>
    <w:p>
      <w:pPr>
        <w:numPr>
          <w:ilvl w:val="0"/>
          <w:numId w:val="1181"/>
        </w:numPr>
        <w:pStyle w:val="Compact"/>
      </w:pPr>
      <w:r>
        <w:rPr>
          <w:bCs/>
          <w:b/>
        </w:rPr>
        <w:t xml:space="preserve">Field app</w:t>
      </w:r>
      <w:r>
        <w:t xml:space="preserve"> </w:t>
      </w:r>
      <w:r>
        <w:t xml:space="preserve">(E) bottom tabs:</w:t>
      </w:r>
      <w:r>
        <w:t xml:space="preserve"> </w:t>
      </w:r>
      <w:r>
        <w:rPr>
          <w:bCs/>
          <w:b/>
        </w:rPr>
        <w:t xml:space="preserve">Today</w:t>
      </w:r>
      <w:r>
        <w:t xml:space="preserve"> </w:t>
      </w:r>
      <w:r>
        <w:t xml:space="preserve">(centres, tasks, sync badge),</w:t>
      </w:r>
      <w:r>
        <w:t xml:space="preserve"> </w:t>
      </w:r>
      <w:r>
        <w:rPr>
          <w:bCs/>
          <w:b/>
        </w:rPr>
        <w:t xml:space="preserve">Groups</w:t>
      </w:r>
      <w:r>
        <w:t xml:space="preserve">,</w:t>
      </w:r>
      <w:r>
        <w:t xml:space="preserve"> </w:t>
      </w:r>
      <w:r>
        <w:rPr>
          <w:bCs/>
          <w:b/>
        </w:rPr>
        <w:t xml:space="preserve">Members</w:t>
      </w:r>
      <w:r>
        <w:t xml:space="preserve"> </w:t>
      </w:r>
      <w:r>
        <w:t xml:space="preserve">(search within allocated centres only),</w:t>
      </w:r>
      <w:r>
        <w:t xml:space="preserve"> </w:t>
      </w:r>
      <w:r>
        <w:rPr>
          <w:bCs/>
          <w:b/>
        </w:rPr>
        <w:t xml:space="preserve">Collections</w:t>
      </w:r>
      <w:r>
        <w:t xml:space="preserve"> </w:t>
      </w:r>
      <w:r>
        <w:t xml:space="preserve">(sheets, receipts, unsynced items),</w:t>
      </w:r>
      <w:r>
        <w:t xml:space="preserve"> </w:t>
      </w:r>
      <w:r>
        <w:rPr>
          <w:bCs/>
          <w:b/>
        </w:rPr>
        <w:t xml:space="preserve">Me</w:t>
      </w:r>
      <w:r>
        <w:t xml:space="preserve"> </w:t>
      </w:r>
      <w:r>
        <w:t xml:space="preserve">(device status, last sync, logout, remote-wipe notice). Large touch targets, read-aloud, vernacular labels, offline banner with the last trusted time.</w:t>
      </w:r>
    </w:p>
    <w:p>
      <w:pPr>
        <w:numPr>
          <w:ilvl w:val="0"/>
          <w:numId w:val="1181"/>
        </w:numPr>
        <w:pStyle w:val="Compact"/>
      </w:pPr>
      <w:r>
        <w:rPr>
          <w:bCs/>
          <w:b/>
        </w:rPr>
        <w:t xml:space="preserve">Lender portal › Field operations</w:t>
      </w:r>
      <w:r>
        <w:t xml:space="preserve"> </w:t>
      </w:r>
      <w:r>
        <w:t xml:space="preserve">(D): sync monitor by device and collector, conflict queue (MG4.3 table) with</w:t>
      </w:r>
      <w:r>
        <w:t xml:space="preserve"> </w:t>
      </w:r>
      <w:r>
        <w:rPr>
          <w:bCs/>
          <w:b/>
        </w:rPr>
        <w:t xml:space="preserve">Accept field version</w:t>
      </w:r>
      <w:r>
        <w:t xml:space="preserve">,</w:t>
      </w:r>
      <w:r>
        <w:t xml:space="preserve"> </w:t>
      </w:r>
      <w:r>
        <w:rPr>
          <w:bCs/>
          <w:b/>
        </w:rPr>
        <w:t xml:space="preserve">Keep server version</w:t>
      </w:r>
      <w:r>
        <w:t xml:space="preserve"> </w:t>
      </w:r>
      <w:r>
        <w:t xml:space="preserve">and</w:t>
      </w:r>
      <w:r>
        <w:t xml:space="preserve"> </w:t>
      </w:r>
      <w:r>
        <w:rPr>
          <w:bCs/>
          <w:b/>
        </w:rPr>
        <w:t xml:space="preserve">Escalate</w:t>
      </w:r>
      <w:r>
        <w:t xml:space="preserve">, receipt exceptions, collector suspensions, assisted-session evidence search; bulk</w:t>
      </w:r>
      <w:r>
        <w:t xml:space="preserve"> </w:t>
      </w:r>
      <w:r>
        <w:rPr>
          <w:bCs/>
          <w:b/>
        </w:rPr>
        <w:t xml:space="preserve">Reassign centre</w:t>
      </w:r>
      <w:r>
        <w:t xml:space="preserve">.</w:t>
      </w:r>
    </w:p>
    <w:p>
      <w:pPr>
        <w:numPr>
          <w:ilvl w:val="0"/>
          <w:numId w:val="1181"/>
        </w:numPr>
        <w:pStyle w:val="Compact"/>
      </w:pPr>
      <w:r>
        <w:rPr>
          <w:bCs/>
          <w:b/>
        </w:rPr>
        <w:t xml:space="preserve">Operations portal › Field devices</w:t>
      </w:r>
      <w:r>
        <w:t xml:space="preserve"> </w:t>
      </w:r>
      <w:r>
        <w:t xml:space="preserve">(C): MDM status, remote wipe, app versions; no collection data beyond counts.</w:t>
      </w:r>
    </w:p>
    <w:bookmarkEnd w:id="295"/>
    <w:bookmarkStart w:id="296" w:name="acceptance-tests-16"/>
    <w:p>
      <w:pPr>
        <w:pStyle w:val="Heading3"/>
      </w:pPr>
      <w:r>
        <w:t xml:space="preserve">Acceptance tests</w:t>
      </w:r>
    </w:p>
    <w:p>
      <w:pPr>
        <w:numPr>
          <w:ilvl w:val="0"/>
          <w:numId w:val="1182"/>
        </w:numPr>
        <w:pStyle w:val="Compact"/>
      </w:pPr>
      <w:r>
        <w:t xml:space="preserve">No table, API or ledger account represents cash or funds held by Udofin; a schema test fails if a cash balance column is added to any Udofin-owned entity.</w:t>
      </w:r>
    </w:p>
    <w:p>
      <w:pPr>
        <w:numPr>
          <w:ilvl w:val="0"/>
          <w:numId w:val="1182"/>
        </w:numPr>
        <w:pStyle w:val="Compact"/>
      </w:pPr>
      <w:r>
        <w:t xml:space="preserve">A Udofin staff role cannot issue a cash receipt for a regular (non-overdue) instalment; with a UR4 appointment it can for an overdue loan only.</w:t>
      </w:r>
    </w:p>
    <w:p>
      <w:pPr>
        <w:numPr>
          <w:ilvl w:val="0"/>
          <w:numId w:val="1182"/>
        </w:numPr>
        <w:pStyle w:val="Compact"/>
      </w:pPr>
      <w:r>
        <w:t xml:space="preserve">With the RE’s cash opinion not recorded, the field app offers only UPI QR at meetings.</w:t>
      </w:r>
    </w:p>
    <w:p>
      <w:pPr>
        <w:numPr>
          <w:ilvl w:val="0"/>
          <w:numId w:val="1182"/>
        </w:numPr>
        <w:pStyle w:val="Compact"/>
      </w:pPr>
      <w:r>
        <w:t xml:space="preserve">An assisted session cannot complete consent, KFS acceptance or eSign without the member-side OTP or link; the agent screen never displays the OTP.</w:t>
      </w:r>
    </w:p>
    <w:p>
      <w:pPr>
        <w:numPr>
          <w:ilvl w:val="0"/>
          <w:numId w:val="1182"/>
        </w:numPr>
        <w:pStyle w:val="Compact"/>
      </w:pPr>
      <w:r>
        <w:t xml:space="preserve">In airplane mode, attendance and receipts are captured and later synced exactly once; consent and payment initiation are disabled offline.</w:t>
      </w:r>
    </w:p>
    <w:p>
      <w:pPr>
        <w:numPr>
          <w:ilvl w:val="0"/>
          <w:numId w:val="1182"/>
        </w:numPr>
        <w:pStyle w:val="Compact"/>
      </w:pPr>
      <w:r>
        <w:t xml:space="preserve">Receipt numbers are gap-free per device; a tampered receipt breaks the hash chain and is rejected on sync.</w:t>
      </w:r>
    </w:p>
    <w:p>
      <w:pPr>
        <w:numPr>
          <w:ilvl w:val="0"/>
          <w:numId w:val="1182"/>
        </w:numPr>
        <w:pStyle w:val="Compact"/>
      </w:pPr>
      <w:r>
        <w:t xml:space="preserve">A meeting record cannot close while any receipt is unsynced; an unposted receipt at 20:00 creates a lender exception.</w:t>
      </w:r>
    </w:p>
    <w:p>
      <w:pPr>
        <w:numPr>
          <w:ilvl w:val="0"/>
          <w:numId w:val="1182"/>
        </w:numPr>
        <w:pStyle w:val="Compact"/>
      </w:pPr>
      <w:r>
        <w:t xml:space="preserve">Remote wipe removes the local store; data older than 72 hours is purged automatically.</w:t>
      </w:r>
    </w:p>
    <w:p>
      <w:pPr>
        <w:numPr>
          <w:ilvl w:val="0"/>
          <w:numId w:val="1182"/>
        </w:numPr>
        <w:pStyle w:val="Compact"/>
      </w:pPr>
      <w:r>
        <w:t xml:space="preserve">The no-mobile consent route requires the photographed form, the audio and the second-person record; no biometric template is stored anywhere.</w:t>
      </w:r>
    </w:p>
    <w:p>
      <w:pPr>
        <w:numPr>
          <w:ilvl w:val="0"/>
          <w:numId w:val="1182"/>
        </w:numPr>
        <w:pStyle w:val="Compact"/>
      </w:pPr>
      <w:r>
        <w:t xml:space="preserve">A complaint against a collector suspends the collector’s ability to start new field events for that lender.</w:t>
      </w:r>
    </w:p>
    <w:p>
      <w:pPr>
        <w:numPr>
          <w:ilvl w:val="0"/>
          <w:numId w:val="1182"/>
        </w:numPr>
        <w:pStyle w:val="Compact"/>
      </w:pPr>
      <w:r>
        <w:t xml:space="preserve">The same member’s attendance edited on two offline devices produces one</w:t>
      </w:r>
      <w:r>
        <w:t xml:space="preserve"> </w:t>
      </w:r>
      <w:r>
        <w:rPr>
          <w:rStyle w:val="VerbatimChar"/>
        </w:rPr>
        <w:t xml:space="preserve">sync_conflict</w:t>
      </w:r>
      <w:r>
        <w:t xml:space="preserve"> </w:t>
      </w:r>
      <w:r>
        <w:t xml:space="preserve">resolved by the later trusted timestamp; a receipt synced after the RE has closed the loan lands in the RE’s exception queue and is never dropped.</w:t>
      </w:r>
    </w:p>
    <w:p>
      <w:pPr>
        <w:numPr>
          <w:ilvl w:val="0"/>
          <w:numId w:val="1182"/>
        </w:numPr>
        <w:pStyle w:val="Compact"/>
      </w:pPr>
      <w:r>
        <w:t xml:space="preserve">Closing in Udofin a meeting already closed by the RE’s field app is rejected with the RE’s closing reference; Udofin then shows the RE’s</w:t>
      </w:r>
      <w:r>
        <w:t xml:space="preserve"> </w:t>
      </w:r>
      <w:r>
        <w:rPr>
          <w:rStyle w:val="VerbatimChar"/>
        </w:rPr>
        <w:t xml:space="preserve">CentreMeetingHeld</w:t>
      </w:r>
      <w:r>
        <w:t xml:space="preserve">.</w:t>
      </w:r>
    </w:p>
    <w:p>
      <w:r>
        <w:pict>
          <v:rect style="width:0;height:1.5pt" o:hralign="center" o:hrstd="t" o:hr="t"/>
        </w:pict>
      </w:r>
    </w:p>
    <w:bookmarkEnd w:id="296"/>
    <w:bookmarkEnd w:id="297"/>
    <w:bookmarkEnd w:id="298"/>
    <w:bookmarkStart w:id="332" w:name="Xd8fb547749f05bea0749c96c2f71bfa7b14e23e"/>
    <w:p>
      <w:pPr>
        <w:pStyle w:val="Heading1"/>
      </w:pPr>
      <w:r>
        <w:t xml:space="preserve">PART 7F — EXTENSIBLE PRODUCT FRAMEWORK AND INSURANCE DISTRIBUTION</w:t>
      </w:r>
    </w:p>
    <w:p>
      <w:pPr>
        <w:pStyle w:val="FirstParagraph"/>
      </w:pPr>
      <w:r>
        <w:rPr>
          <w:bCs/>
          <w:b/>
        </w:rPr>
        <w:t xml:space="preserve">Purpose.</w:t>
      </w:r>
      <w:r>
        <w:t xml:space="preserve"> </w:t>
      </w:r>
      <w:r>
        <w:t xml:space="preserve">Udofin must be able to add non-loan financial products (insurance first; later mutual-fund distribution, bill payments, deposit marketplaces and others) without weakening the LSP guard-rails of Part 4. This Part specifies (1) a</w:t>
      </w:r>
      <w:r>
        <w:t xml:space="preserve"> </w:t>
      </w:r>
      <w:r>
        <w:rPr>
          <w:bCs/>
          <w:b/>
        </w:rPr>
        <w:t xml:space="preserve">product plug-in framework</w:t>
      </w:r>
      <w:r>
        <w:t xml:space="preserve"> </w:t>
      </w:r>
      <w:r>
        <w:t xml:space="preserve">in which every product type is a registered module that cannot be switched on unless the licence, regulator mapping, consents, disclosures, partner contract and compliance sign-off are all in place; (2)</w:t>
      </w:r>
      <w:r>
        <w:t xml:space="preserve"> </w:t>
      </w:r>
      <w:r>
        <w:rPr>
          <w:bCs/>
          <w:b/>
        </w:rPr>
        <w:t xml:space="preserve">insurance distribution</w:t>
      </w:r>
      <w:r>
        <w:t xml:space="preserve"> </w:t>
      </w:r>
      <w:r>
        <w:t xml:space="preserve">end to end (quote, buy, pay premium to the insurer, policy documents, claim support and complaints), available only when Udofin holds its own IRDAI registration or acts as an unpaid technology provider to an RE that holds one; (3) a</w:t>
      </w:r>
      <w:r>
        <w:t xml:space="preserve"> </w:t>
      </w:r>
      <w:r>
        <w:rPr>
          <w:bCs/>
          <w:b/>
        </w:rPr>
        <w:t xml:space="preserve">feasibility gate</w:t>
      </w:r>
      <w:r>
        <w:t xml:space="preserve"> </w:t>
      </w:r>
      <w:r>
        <w:t xml:space="preserve">for future products; and (4)</w:t>
      </w:r>
      <w:r>
        <w:t xml:space="preserve"> </w:t>
      </w:r>
      <w:r>
        <w:rPr>
          <w:bCs/>
          <w:b/>
        </w:rPr>
        <w:t xml:space="preserve">cross-sell consent and sales-practice controls</w:t>
      </w:r>
      <w:r>
        <w:t xml:space="preserve"> </w:t>
      </w:r>
      <w:r>
        <w:t xml:space="preserve">that apply to every non-loan product.</w:t>
      </w:r>
    </w:p>
    <w:p>
      <w:pPr>
        <w:pStyle w:val="BodyText"/>
      </w:pPr>
      <w:r>
        <w:rPr>
          <w:bCs/>
          <w:b/>
        </w:rPr>
        <w:t xml:space="preserve">Applicability.</w:t>
      </w:r>
      <w:r>
        <w:t xml:space="preserve"> </w:t>
      </w:r>
      <w:r>
        <w:t xml:space="preserve">Udofin’s own consumer channels (borrower app, borrower web) and the operations portal. Partner REs are affected only where an insurance or other product is the RE’s (model D in XP2.2) or where an RE holds the licence and Udofin is its technology provider (model C). Lender-side counterparts: none in Finbyx; insurance events flow only between Udofin and insurers or IRDAI-registered partners.</w:t>
      </w:r>
    </w:p>
    <w:p>
      <w:pPr>
        <w:pStyle w:val="BodyText"/>
      </w:pPr>
      <w:r>
        <w:rPr>
          <w:bCs/>
          <w:b/>
        </w:rPr>
        <w:t xml:space="preserve">Codes used.</w:t>
      </w:r>
      <w:r>
        <w:t xml:space="preserve"> </w:t>
      </w:r>
      <w:r>
        <w:t xml:space="preserve">RBI: CF, RBC (including the RBC Second Amendment Directions 2026, issued 15 Jun 2026, effective 1 Jan 2027, cited by paragraph as reported in secondary sources: 101G, 101I, 101M, 101Q, 101V, 101W, 101X, 101Y–Z [VERIFY: final NBFC text and numbering]), OUT, AA. Non-RBI (Part 8A.17 codes, shared with Finbyx Part 8A.37):</w:t>
      </w:r>
      <w:r>
        <w:t xml:space="preserve"> </w:t>
      </w:r>
      <w:r>
        <w:rPr>
          <w:rStyle w:val="VerbatimChar"/>
        </w:rPr>
        <w:t xml:space="preserve">IRDAI</w:t>
      </w:r>
      <w:r>
        <w:t xml:space="preserve"> </w:t>
      </w:r>
      <w:r>
        <w:t xml:space="preserve">(Insurance Act 1938 as amended by the Sabka Bima Sabki Raksha (Amendment of Insurance Laws) Act 2025; IRDAI intermediary regulations as amended on 30 Jul 2026; IRDAI policyholder-protection regulations 2024 and Master Circular of 5 Sep 2024; Insurance Ombudsman Rules 2017),</w:t>
      </w:r>
      <w:r>
        <w:t xml:space="preserve"> </w:t>
      </w:r>
      <w:r>
        <w:rPr>
          <w:rStyle w:val="VerbatimChar"/>
        </w:rPr>
        <w:t xml:space="preserve">DPDP</w:t>
      </w:r>
      <w:r>
        <w:t xml:space="preserve">,</w:t>
      </w:r>
      <w:r>
        <w:t xml:space="preserve"> </w:t>
      </w:r>
      <w:r>
        <w:rPr>
          <w:rStyle w:val="VerbatimChar"/>
        </w:rPr>
        <w:t xml:space="preserve">TRAI</w:t>
      </w:r>
      <w:r>
        <w:t xml:space="preserve">, plus</w:t>
      </w:r>
      <w:r>
        <w:t xml:space="preserve"> </w:t>
      </w:r>
      <w:r>
        <w:rPr>
          <w:rStyle w:val="VerbatimChar"/>
        </w:rPr>
        <w:t xml:space="preserve">SEBI-IA</w:t>
      </w:r>
      <w:r>
        <w:t xml:space="preserve">,</w:t>
      </w:r>
      <w:r>
        <w:t xml:space="preserve"> </w:t>
      </w:r>
      <w:r>
        <w:rPr>
          <w:rStyle w:val="VerbatimChar"/>
        </w:rPr>
        <w:t xml:space="preserve">SEBI-MF</w:t>
      </w:r>
      <w:r>
        <w:t xml:space="preserve">,</w:t>
      </w:r>
      <w:r>
        <w:t xml:space="preserve"> </w:t>
      </w:r>
      <w:r>
        <w:rPr>
          <w:rStyle w:val="VerbatimChar"/>
        </w:rPr>
        <w:t xml:space="preserve">AMFI</w:t>
      </w:r>
      <w:r>
        <w:t xml:space="preserve">,</w:t>
      </w:r>
      <w:r>
        <w:t xml:space="preserve"> </w:t>
      </w:r>
      <w:r>
        <w:rPr>
          <w:rStyle w:val="VerbatimChar"/>
        </w:rPr>
        <w:t xml:space="preserve">NPCI-BBPS</w:t>
      </w:r>
      <w:r>
        <w:t xml:space="preserve">,</w:t>
      </w:r>
      <w:r>
        <w:t xml:space="preserve"> </w:t>
      </w:r>
      <w:r>
        <w:rPr>
          <w:rStyle w:val="VerbatimChar"/>
        </w:rPr>
        <w:t xml:space="preserve">CPA19</w:t>
      </w:r>
      <w:r>
        <w:t xml:space="preserve"> </w:t>
      </w:r>
      <w:r>
        <w:t xml:space="preserve">and</w:t>
      </w:r>
      <w:r>
        <w:t xml:space="preserve"> </w:t>
      </w:r>
      <w:r>
        <w:rPr>
          <w:rStyle w:val="VerbatimChar"/>
        </w:rPr>
        <w:t xml:space="preserve">CCPA</w:t>
      </w:r>
      <w:r>
        <w:t xml:space="preserve"> </w:t>
      </w:r>
      <w:r>
        <w:t xml:space="preserve">(Guidelines for Prevention and Regulation of Dark Patterns 2023; Guidelines for Prevention of Misleading Advertisements 2022) as source tags.</w:t>
      </w:r>
    </w:p>
    <w:p>
      <w:pPr>
        <w:pStyle w:val="BodyText"/>
      </w:pPr>
      <w:r>
        <w:rPr>
          <w:bCs/>
          <w:b/>
        </w:rPr>
        <w:t xml:space="preserve">Data owned.</w:t>
      </w:r>
      <w:r>
        <w:t xml:space="preserve"> </w:t>
      </w:r>
      <w:r>
        <w:t xml:space="preserve">Udofin owns the product-module registry, licence records, consent artefacts for each non-loan product, quote and proposal journey state, policy references and documents as delivered by insurers, claim-assistance and complaint tickets, sales-practice evidence (UI audits, feedback calls, refunds). Insurers own underwriting, policy issuance, premium accounting, claims decisions and their grievance records. Non-loan product data sits in a separate store (</w:t>
      </w:r>
      <w:r>
        <w:rPr>
          <w:rStyle w:val="VerbatimChar"/>
        </w:rPr>
        <w:t xml:space="preserve">product_vault</w:t>
      </w:r>
      <w:r>
        <w:t xml:space="preserve">) with its own key, readable only by the product module and never by U6–U8 lending, ranking or RE connectors.</w:t>
      </w:r>
    </w:p>
    <w:p>
      <w:pPr>
        <w:pStyle w:val="BodyText"/>
      </w:pPr>
      <w:r>
        <w:rPr>
          <w:bCs/>
          <w:b/>
        </w:rPr>
        <w:t xml:space="preserve">Non-negotiables (fail closed).</w:t>
      </w:r>
    </w:p>
    <w:p>
      <w:pPr>
        <w:numPr>
          <w:ilvl w:val="0"/>
          <w:numId w:val="1183"/>
        </w:numPr>
        <w:pStyle w:val="Compact"/>
      </w:pPr>
      <w:r>
        <w:t xml:space="preserve">No product module is</w:t>
      </w:r>
      <w:r>
        <w:t xml:space="preserve"> </w:t>
      </w:r>
      <w:r>
        <w:rPr>
          <w:rStyle w:val="VerbatimChar"/>
        </w:rPr>
        <w:t xml:space="preserve">ENABLED</w:t>
      </w:r>
      <w:r>
        <w:t xml:space="preserve"> </w:t>
      </w:r>
      <w:r>
        <w:t xml:space="preserve">without a valid licence held by the named holder for that product line, an active partner agreement and a compliance sign-off (XP1.3).</w:t>
      </w:r>
    </w:p>
    <w:p>
      <w:pPr>
        <w:numPr>
          <w:ilvl w:val="0"/>
          <w:numId w:val="1183"/>
        </w:numPr>
        <w:pStyle w:val="Compact"/>
      </w:pPr>
      <w:r>
        <w:t xml:space="preserve">No non-loan product is shown inside the multi-lender offer view, the KFS, the signing or mandate steps, or as a condition of or input to any loan (CF para 7(4); RBC Second Amendment para 101V).</w:t>
      </w:r>
    </w:p>
    <w:p>
      <w:pPr>
        <w:numPr>
          <w:ilvl w:val="0"/>
          <w:numId w:val="1183"/>
        </w:numPr>
        <w:pStyle w:val="Compact"/>
      </w:pPr>
      <w:r>
        <w:t xml:space="preserve">Udofin earns no commission, fee or reward for insurance or any regulated distribution unless Udofin itself holds the registration that permits it [VERIFY: Insurance Act s.40 as amended in 2025]. In model C the RE pays Udofin a fixed technology fee unrelated to sales.</w:t>
      </w:r>
    </w:p>
    <w:p>
      <w:pPr>
        <w:numPr>
          <w:ilvl w:val="0"/>
          <w:numId w:val="1183"/>
        </w:numPr>
        <w:pStyle w:val="Compact"/>
      </w:pPr>
      <w:r>
        <w:t xml:space="preserve">Consent for every non-loan product is product-specific, separate from loan consent, and defaults to</w:t>
      </w:r>
      <w:r>
        <w:t xml:space="preserve"> </w:t>
      </w:r>
      <w:r>
        <w:t xml:space="preserve">“</w:t>
      </w:r>
      <w:r>
        <w:t xml:space="preserve">No</w:t>
      </w:r>
      <w:r>
        <w:t xml:space="preserve">”</w:t>
      </w:r>
      <w:r>
        <w:t xml:space="preserve"> </w:t>
      </w:r>
      <w:r>
        <w:t xml:space="preserve">(RBC Second Amendment paras 101G, 101I; Udofin applies this as policy from v1.2, ahead of 1 Jan 2027).</w:t>
      </w:r>
    </w:p>
    <w:p>
      <w:pPr>
        <w:numPr>
          <w:ilvl w:val="0"/>
          <w:numId w:val="1183"/>
        </w:numPr>
        <w:pStyle w:val="Compact"/>
      </w:pPr>
      <w:r>
        <w:t xml:space="preserve">Premiums and other product payments go directly to the insurer or product provider. Udofin never collects, holds or nets them.</w:t>
      </w:r>
    </w:p>
    <w:p>
      <w:r>
        <w:pict>
          <v:rect style="width:0;height:1.5pt" o:hralign="center" o:hrstd="t" o:hr="t"/>
        </w:pict>
      </w:r>
    </w:p>
    <w:bookmarkStart w:id="307" w:name="Xbd0a8b3e2eb859857085f70423dc981478ce3ae"/>
    <w:p>
      <w:pPr>
        <w:pStyle w:val="Heading2"/>
      </w:pPr>
      <w:r>
        <w:t xml:space="preserve">XP1. Product plug-in framework and licence gating</w:t>
      </w:r>
    </w:p>
    <w:bookmarkStart w:id="299" w:name="xp1.1-product-type-registry"/>
    <w:p>
      <w:pPr>
        <w:pStyle w:val="Heading3"/>
      </w:pPr>
      <w:r>
        <w:t xml:space="preserve">XP1.1 Product type registry</w:t>
      </w:r>
    </w:p>
    <w:p>
      <w:pPr>
        <w:pStyle w:val="FirstParagraph"/>
      </w:pPr>
      <w:r>
        <w:t xml:space="preserve">Each non-loan product is an attachable module in the sense of Integration Specification Part 11.1, with a</w:t>
      </w:r>
      <w:r>
        <w:t xml:space="preserve"> </w:t>
      </w:r>
      <w:r>
        <w:rPr>
          <w:rStyle w:val="VerbatimChar"/>
        </w:rPr>
        <w:t xml:space="preserve">module.yaml</w:t>
      </w:r>
      <w:r>
        <w:t xml:space="preserve"> </w:t>
      </w:r>
      <w:r>
        <w:t xml:space="preserve">manifest extended by a</w:t>
      </w:r>
      <w:r>
        <w:t xml:space="preserve"> </w:t>
      </w:r>
      <w:r>
        <w:rPr>
          <w:rStyle w:val="VerbatimChar"/>
        </w:rPr>
        <w:t xml:space="preserve">product</w:t>
      </w:r>
      <w:r>
        <w:t xml:space="preserve"> </w:t>
      </w:r>
      <w:r>
        <w:t xml:space="preserve">block:</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84"/>
        <w:gridCol w:w="4442"/>
        <w:gridCol w:w="3112"/>
      </w:tblGrid>
      <w:tr>
        <w:trPr>
          <w:tblHeader w:val="true"/>
          <w:tblHeader w:val="true"/>
        </w:trPr>
        <w:tc>
          <w:tcPr>
            <w:tcW w:w="2084" w:type="dxa"/>
            <w:shd w:val="clear" w:color="auto" w:fill="1F3A5F"/>
          </w:tcPr>
          <w:p>
            <w:pPr>
              <w:pStyle w:val="Compact"/>
              <w:spacing w:after="40"/>
              <w:jc w:val="left"/>
            </w:pPr>
            <w:r>
              <w:rPr>
                <w:b/>
                <w:color w:val="FFFFFF"/>
                <w:sz w:val="18"/>
              </w:rPr>
              <w:t xml:space="preserve">Field</w:t>
            </w:r>
          </w:p>
        </w:tc>
        <w:tc>
          <w:tcPr>
            <w:tcW w:w="4442" w:type="dxa"/>
            <w:shd w:val="clear" w:color="auto" w:fill="1F3A5F"/>
          </w:tcPr>
          <w:p>
            <w:pPr>
              <w:pStyle w:val="Compact"/>
              <w:spacing w:after="40"/>
              <w:jc w:val="left"/>
            </w:pPr>
            <w:r>
              <w:rPr>
                <w:b/>
                <w:color w:val="FFFFFF"/>
                <w:sz w:val="18"/>
              </w:rPr>
              <w:t xml:space="preserve">Content</w:t>
            </w:r>
          </w:p>
        </w:tc>
        <w:tc>
          <w:tcPr>
            <w:tcW w:w="3112" w:type="dxa"/>
            <w:shd w:val="clear" w:color="auto" w:fill="1F3A5F"/>
          </w:tcPr>
          <w:p>
            <w:pPr>
              <w:pStyle w:val="Compact"/>
              <w:spacing w:after="40"/>
              <w:jc w:val="left"/>
            </w:pPr>
            <w:r>
              <w:rPr>
                <w:b/>
                <w:color w:val="FFFFFF"/>
                <w:sz w:val="18"/>
              </w:rPr>
              <w:t xml:space="preserve">Validation</w:t>
            </w:r>
          </w:p>
        </w:tc>
      </w:tr>
      <w:tr>
        <w:tc>
          <w:tcPr>
            <w:tcW w:w="2084" w:type="dxa"/>
          </w:tcPr>
          <w:p>
            <w:pPr>
              <w:pStyle w:val="Compact"/>
              <w:spacing w:after="40"/>
              <w:jc w:val="left"/>
            </w:pPr>
            <w:r>
              <w:rPr>
                <w:rStyle w:val="VerbatimChar"/>
                <w:sz w:val="18"/>
              </w:rPr>
              <w:t xml:space="preserve">module_id</w:t>
            </w:r>
            <w:r>
              <w:rPr>
                <w:sz w:val="18"/>
              </w:rPr>
              <w:t xml:space="preserve">,</w:t>
            </w:r>
            <w:r>
              <w:rPr>
                <w:sz w:val="18"/>
              </w:rPr>
              <w:t xml:space="preserve"> </w:t>
            </w:r>
            <w:r>
              <w:rPr>
                <w:rStyle w:val="VerbatimChar"/>
                <w:sz w:val="18"/>
              </w:rPr>
              <w:t xml:space="preserve">version</w:t>
            </w:r>
          </w:p>
        </w:tc>
        <w:tc>
          <w:tcPr>
            <w:tcW w:w="4442" w:type="dxa"/>
          </w:tcPr>
          <w:p>
            <w:pPr>
              <w:pStyle w:val="Compact"/>
              <w:spacing w:after="40"/>
              <w:jc w:val="left"/>
            </w:pPr>
            <w:r>
              <w:rPr>
                <w:sz w:val="18"/>
              </w:rPr>
              <w:t xml:space="preserve">e.g. </w:t>
            </w:r>
            <w:r>
              <w:rPr>
                <w:rStyle w:val="VerbatimChar"/>
                <w:sz w:val="18"/>
              </w:rPr>
              <w:t xml:space="preserve">xp.insurance.health</w:t>
            </w:r>
            <w:r>
              <w:rPr>
                <w:sz w:val="18"/>
              </w:rPr>
              <w:t xml:space="preserve">, semver</w:t>
            </w:r>
          </w:p>
        </w:tc>
        <w:tc>
          <w:tcPr>
            <w:tcW w:w="3112" w:type="dxa"/>
          </w:tcPr>
          <w:p>
            <w:pPr>
              <w:pStyle w:val="Compact"/>
              <w:spacing w:after="40"/>
              <w:jc w:val="left"/>
            </w:pPr>
            <w:r>
              <w:rPr>
                <w:sz w:val="18"/>
              </w:rPr>
              <w:t xml:space="preserve">Unique; immutable once released</w:t>
            </w:r>
          </w:p>
        </w:tc>
      </w:tr>
      <w:tr>
        <w:tc>
          <w:tcPr>
            <w:tcW w:w="2084" w:type="dxa"/>
          </w:tcPr>
          <w:p>
            <w:pPr>
              <w:pStyle w:val="Compact"/>
              <w:spacing w:after="40"/>
              <w:jc w:val="left"/>
            </w:pPr>
            <w:r>
              <w:rPr>
                <w:rStyle w:val="VerbatimChar"/>
                <w:sz w:val="18"/>
              </w:rPr>
              <w:t xml:space="preserve">category</w:t>
            </w:r>
          </w:p>
        </w:tc>
        <w:tc>
          <w:tcPr>
            <w:tcW w:w="4442" w:type="dxa"/>
          </w:tcPr>
          <w:p>
            <w:pPr>
              <w:pStyle w:val="Compact"/>
              <w:spacing w:after="40"/>
              <w:jc w:val="left"/>
            </w:pPr>
            <w:r>
              <w:rPr>
                <w:sz w:val="18"/>
              </w:rPr>
              <w:t xml:space="preserve">insurance, investment, payments, deposits_marketplace, value_added</w:t>
            </w:r>
          </w:p>
        </w:tc>
        <w:tc>
          <w:tcPr>
            <w:tcW w:w="3112" w:type="dxa"/>
          </w:tcPr>
          <w:p>
            <w:pPr>
              <w:pStyle w:val="Compact"/>
              <w:spacing w:after="40"/>
              <w:jc w:val="left"/>
            </w:pPr>
            <w:r>
              <w:rPr>
                <w:sz w:val="18"/>
              </w:rPr>
              <w:t xml:space="preserve">Enumerated;</w:t>
            </w:r>
            <w:r>
              <w:rPr>
                <w:sz w:val="18"/>
              </w:rPr>
              <w:t xml:space="preserve"> </w:t>
            </w:r>
            <w:r>
              <w:rPr>
                <w:rStyle w:val="VerbatimChar"/>
                <w:sz w:val="18"/>
              </w:rPr>
              <w:t xml:space="preserve">deposits</w:t>
            </w:r>
            <w:r>
              <w:rPr>
                <w:sz w:val="18"/>
              </w:rPr>
              <w:t xml:space="preserve"> </w:t>
            </w:r>
            <w:r>
              <w:rPr>
                <w:sz w:val="18"/>
              </w:rPr>
              <w:t xml:space="preserve">for co-operative societies is not a valid value (Part 7E)</w:t>
            </w:r>
          </w:p>
        </w:tc>
      </w:tr>
      <w:tr>
        <w:tc>
          <w:tcPr>
            <w:tcW w:w="2084" w:type="dxa"/>
          </w:tcPr>
          <w:p>
            <w:pPr>
              <w:pStyle w:val="Compact"/>
              <w:spacing w:after="40"/>
              <w:jc w:val="left"/>
            </w:pPr>
            <w:r>
              <w:rPr>
                <w:rStyle w:val="VerbatimChar"/>
                <w:sz w:val="18"/>
              </w:rPr>
              <w:t xml:space="preserve">regulator</w:t>
            </w:r>
          </w:p>
        </w:tc>
        <w:tc>
          <w:tcPr>
            <w:tcW w:w="4442" w:type="dxa"/>
          </w:tcPr>
          <w:p>
            <w:pPr>
              <w:pStyle w:val="Compact"/>
              <w:spacing w:after="40"/>
              <w:jc w:val="left"/>
            </w:pPr>
            <w:r>
              <w:rPr>
                <w:sz w:val="18"/>
              </w:rPr>
              <w:t xml:space="preserve">IRDAI, SEBI, AMFI, NPCI, RBI, none</w:t>
            </w:r>
          </w:p>
        </w:tc>
        <w:tc>
          <w:tcPr>
            <w:tcW w:w="3112" w:type="dxa"/>
          </w:tcPr>
          <w:p>
            <w:pPr>
              <w:pStyle w:val="Compact"/>
              <w:spacing w:after="40"/>
              <w:jc w:val="left"/>
            </w:pPr>
            <w:r>
              <w:rPr>
                <w:sz w:val="18"/>
              </w:rPr>
              <w:t xml:space="preserve">Must match the category map in XP1.2</w:t>
            </w:r>
          </w:p>
        </w:tc>
      </w:tr>
      <w:tr>
        <w:tc>
          <w:tcPr>
            <w:tcW w:w="2084" w:type="dxa"/>
          </w:tcPr>
          <w:p>
            <w:pPr>
              <w:pStyle w:val="Compact"/>
              <w:spacing w:after="40"/>
              <w:jc w:val="left"/>
            </w:pPr>
            <w:r>
              <w:rPr>
                <w:rStyle w:val="VerbatimChar"/>
                <w:sz w:val="18"/>
              </w:rPr>
              <w:t xml:space="preserve">licence</w:t>
            </w:r>
          </w:p>
        </w:tc>
        <w:tc>
          <w:tcPr>
            <w:tcW w:w="4442" w:type="dxa"/>
          </w:tcPr>
          <w:p>
            <w:pPr>
              <w:pStyle w:val="Compact"/>
              <w:spacing w:after="40"/>
              <w:jc w:val="left"/>
            </w:pPr>
            <w:r>
              <w:rPr>
                <w:sz w:val="18"/>
              </w:rPr>
              <w:t xml:space="preserve">type, holder (UDOFIN, RE, PARTNER), number, valid_from, valid_to, permitted_lines, tie_up_ids, principal_officer</w:t>
            </w:r>
          </w:p>
        </w:tc>
        <w:tc>
          <w:tcPr>
            <w:tcW w:w="3112" w:type="dxa"/>
          </w:tcPr>
          <w:p>
            <w:pPr>
              <w:pStyle w:val="Compact"/>
              <w:spacing w:after="40"/>
              <w:jc w:val="left"/>
            </w:pPr>
            <w:r>
              <w:rPr>
                <w:sz w:val="18"/>
              </w:rPr>
              <w:t xml:space="preserve">Holder must be UDOFIN for any module that pays Udofin commission</w:t>
            </w:r>
          </w:p>
        </w:tc>
      </w:tr>
      <w:tr>
        <w:tc>
          <w:tcPr>
            <w:tcW w:w="2084" w:type="dxa"/>
          </w:tcPr>
          <w:p>
            <w:pPr>
              <w:pStyle w:val="Compact"/>
              <w:spacing w:after="40"/>
              <w:jc w:val="left"/>
            </w:pPr>
            <w:r>
              <w:rPr>
                <w:rStyle w:val="VerbatimChar"/>
                <w:sz w:val="18"/>
              </w:rPr>
              <w:t xml:space="preserve">partners</w:t>
            </w:r>
          </w:p>
        </w:tc>
        <w:tc>
          <w:tcPr>
            <w:tcW w:w="4442" w:type="dxa"/>
          </w:tcPr>
          <w:p>
            <w:pPr>
              <w:pStyle w:val="Compact"/>
              <w:spacing w:after="40"/>
              <w:jc w:val="left"/>
            </w:pPr>
            <w:r>
              <w:rPr>
                <w:sz w:val="18"/>
              </w:rPr>
              <w:t xml:space="preserve">insurer, AMC, BBPOU, bank or NBFC with agreement IDs and effective dates</w:t>
            </w:r>
          </w:p>
        </w:tc>
        <w:tc>
          <w:tcPr>
            <w:tcW w:w="3112" w:type="dxa"/>
          </w:tcPr>
          <w:p>
            <w:pPr>
              <w:pStyle w:val="Compact"/>
              <w:spacing w:after="40"/>
              <w:jc w:val="left"/>
            </w:pPr>
            <w:r>
              <w:rPr>
                <w:sz w:val="18"/>
              </w:rPr>
              <w:t xml:space="preserve">At least one active agreement</w:t>
            </w:r>
          </w:p>
        </w:tc>
      </w:tr>
      <w:tr>
        <w:tc>
          <w:tcPr>
            <w:tcW w:w="2084" w:type="dxa"/>
          </w:tcPr>
          <w:p>
            <w:pPr>
              <w:pStyle w:val="Compact"/>
              <w:spacing w:after="40"/>
              <w:jc w:val="left"/>
            </w:pPr>
            <w:r>
              <w:rPr>
                <w:rStyle w:val="VerbatimChar"/>
                <w:sz w:val="18"/>
              </w:rPr>
              <w:t xml:space="preserve">consents</w:t>
            </w:r>
          </w:p>
        </w:tc>
        <w:tc>
          <w:tcPr>
            <w:tcW w:w="4442" w:type="dxa"/>
          </w:tcPr>
          <w:p>
            <w:pPr>
              <w:pStyle w:val="Compact"/>
              <w:spacing w:after="40"/>
              <w:jc w:val="left"/>
            </w:pPr>
            <w:r>
              <w:rPr>
                <w:sz w:val="18"/>
              </w:rPr>
              <w:t xml:space="preserve">one artefact per purpose (product display, needs analysis, proposal sharing with the named partner, premium debit, marketing follow-up), each default No</w:t>
            </w:r>
          </w:p>
        </w:tc>
        <w:tc>
          <w:tcPr>
            <w:tcW w:w="3112" w:type="dxa"/>
          </w:tcPr>
          <w:p>
            <w:pPr>
              <w:pStyle w:val="Compact"/>
              <w:spacing w:after="40"/>
              <w:jc w:val="left"/>
            </w:pPr>
            <w:r>
              <w:rPr>
                <w:sz w:val="18"/>
              </w:rPr>
              <w:t xml:space="preserve">Linter rejects a pre-ticked or bundled consent</w:t>
            </w:r>
          </w:p>
        </w:tc>
      </w:tr>
      <w:tr>
        <w:tc>
          <w:tcPr>
            <w:tcW w:w="2084" w:type="dxa"/>
          </w:tcPr>
          <w:p>
            <w:pPr>
              <w:pStyle w:val="Compact"/>
              <w:spacing w:after="40"/>
              <w:jc w:val="left"/>
            </w:pPr>
            <w:r>
              <w:rPr>
                <w:rStyle w:val="VerbatimChar"/>
                <w:sz w:val="18"/>
              </w:rPr>
              <w:t xml:space="preserve">data_scopes</w:t>
            </w:r>
          </w:p>
        </w:tc>
        <w:tc>
          <w:tcPr>
            <w:tcW w:w="4442" w:type="dxa"/>
          </w:tcPr>
          <w:p>
            <w:pPr>
              <w:pStyle w:val="Compact"/>
              <w:spacing w:after="40"/>
              <w:jc w:val="left"/>
            </w:pPr>
            <w:r>
              <w:rPr>
                <w:sz w:val="18"/>
              </w:rPr>
              <w:t xml:space="preserve">fields the module may read; never the credit vault (Part 7D), AA data, loan data or RE data unless the scope names them and a fresh consent names the recipient</w:t>
            </w:r>
          </w:p>
        </w:tc>
        <w:tc>
          <w:tcPr>
            <w:tcW w:w="3112" w:type="dxa"/>
          </w:tcPr>
          <w:p>
            <w:pPr>
              <w:pStyle w:val="Compact"/>
              <w:spacing w:after="40"/>
              <w:jc w:val="left"/>
            </w:pPr>
            <w:r>
              <w:rPr>
                <w:sz w:val="18"/>
              </w:rPr>
              <w:t xml:space="preserve">Static check against the data map (U4)</w:t>
            </w:r>
          </w:p>
        </w:tc>
      </w:tr>
      <w:tr>
        <w:tc>
          <w:tcPr>
            <w:tcW w:w="2084" w:type="dxa"/>
          </w:tcPr>
          <w:p>
            <w:pPr>
              <w:pStyle w:val="Compact"/>
              <w:spacing w:after="40"/>
              <w:jc w:val="left"/>
            </w:pPr>
            <w:r>
              <w:rPr>
                <w:rStyle w:val="VerbatimChar"/>
                <w:sz w:val="18"/>
              </w:rPr>
              <w:t xml:space="preserve">disclosures</w:t>
            </w:r>
          </w:p>
        </w:tc>
        <w:tc>
          <w:tcPr>
            <w:tcW w:w="4442" w:type="dxa"/>
          </w:tcPr>
          <w:p>
            <w:pPr>
              <w:pStyle w:val="Compact"/>
              <w:spacing w:after="40"/>
              <w:jc w:val="left"/>
            </w:pPr>
            <w:r>
              <w:rPr>
                <w:sz w:val="18"/>
              </w:rPr>
              <w:t xml:space="preserve">own-vs-third-party label, seller identity, remuneration disclosure, free-look terms, regulator statement</w:t>
            </w:r>
          </w:p>
        </w:tc>
        <w:tc>
          <w:tcPr>
            <w:tcW w:w="3112" w:type="dxa"/>
          </w:tcPr>
          <w:p>
            <w:pPr>
              <w:pStyle w:val="Compact"/>
              <w:spacing w:after="40"/>
              <w:jc w:val="left"/>
            </w:pPr>
            <w:r>
              <w:rPr>
                <w:sz w:val="18"/>
              </w:rPr>
              <w:t xml:space="preserve">All required strings present in every active language</w:t>
            </w:r>
          </w:p>
        </w:tc>
      </w:tr>
      <w:tr>
        <w:tc>
          <w:tcPr>
            <w:tcW w:w="2084" w:type="dxa"/>
          </w:tcPr>
          <w:p>
            <w:pPr>
              <w:pStyle w:val="Compact"/>
              <w:spacing w:after="40"/>
              <w:jc w:val="left"/>
            </w:pPr>
            <w:r>
              <w:rPr>
                <w:rStyle w:val="VerbatimChar"/>
                <w:sz w:val="18"/>
              </w:rPr>
              <w:t xml:space="preserve">summary_sheet</w:t>
            </w:r>
          </w:p>
        </w:tc>
        <w:tc>
          <w:tcPr>
            <w:tcW w:w="4442" w:type="dxa"/>
          </w:tcPr>
          <w:p>
            <w:pPr>
              <w:pStyle w:val="Compact"/>
              <w:spacing w:after="40"/>
              <w:jc w:val="left"/>
            </w:pPr>
            <w:r>
              <w:rPr>
                <w:sz w:val="18"/>
              </w:rPr>
              <w:t xml:space="preserve">KFS-like one-page summary template (XP1.4)</w:t>
            </w:r>
          </w:p>
        </w:tc>
        <w:tc>
          <w:tcPr>
            <w:tcW w:w="3112" w:type="dxa"/>
          </w:tcPr>
          <w:p>
            <w:pPr>
              <w:pStyle w:val="Compact"/>
              <w:spacing w:after="40"/>
              <w:jc w:val="left"/>
            </w:pPr>
            <w:r>
              <w:rPr>
                <w:sz w:val="18"/>
              </w:rPr>
              <w:t xml:space="preserve">Mandatory before any purchase step</w:t>
            </w:r>
          </w:p>
        </w:tc>
      </w:tr>
      <w:tr>
        <w:tc>
          <w:tcPr>
            <w:tcW w:w="2084" w:type="dxa"/>
          </w:tcPr>
          <w:p>
            <w:pPr>
              <w:pStyle w:val="Compact"/>
              <w:spacing w:after="40"/>
              <w:jc w:val="left"/>
            </w:pPr>
            <w:r>
              <w:rPr>
                <w:rStyle w:val="VerbatimChar"/>
                <w:sz w:val="18"/>
              </w:rPr>
              <w:t xml:space="preserve">revenue</w:t>
            </w:r>
          </w:p>
        </w:tc>
        <w:tc>
          <w:tcPr>
            <w:tcW w:w="4442" w:type="dxa"/>
          </w:tcPr>
          <w:p>
            <w:pPr>
              <w:pStyle w:val="Compact"/>
              <w:spacing w:after="40"/>
              <w:jc w:val="left"/>
            </w:pPr>
            <w:r>
              <w:rPr>
                <w:sz w:val="18"/>
              </w:rPr>
              <w:t xml:space="preserve">model (commission, fixed_fee, none), payer, GST treatment, RV1 stream ID</w:t>
            </w:r>
          </w:p>
        </w:tc>
        <w:tc>
          <w:tcPr>
            <w:tcW w:w="3112" w:type="dxa"/>
          </w:tcPr>
          <w:p>
            <w:pPr>
              <w:pStyle w:val="Compact"/>
              <w:spacing w:after="40"/>
              <w:jc w:val="left"/>
            </w:pPr>
            <w:r>
              <w:rPr>
                <w:sz w:val="18"/>
              </w:rPr>
              <w:t xml:space="preserve">Must reference an</w:t>
            </w:r>
            <w:r>
              <w:rPr>
                <w:sz w:val="18"/>
              </w:rPr>
              <w:t xml:space="preserve"> </w:t>
            </w:r>
            <w:r>
              <w:rPr>
                <w:rStyle w:val="VerbatimChar"/>
                <w:sz w:val="18"/>
              </w:rPr>
              <w:t xml:space="preserve">ACTIVE</w:t>
            </w:r>
            <w:r>
              <w:rPr>
                <w:sz w:val="18"/>
              </w:rPr>
              <w:t xml:space="preserve"> </w:t>
            </w:r>
            <w:r>
              <w:rPr>
                <w:sz w:val="18"/>
              </w:rPr>
              <w:t xml:space="preserve">stream in the RV1 catalogue</w:t>
            </w:r>
          </w:p>
        </w:tc>
      </w:tr>
      <w:tr>
        <w:tc>
          <w:tcPr>
            <w:tcW w:w="2084" w:type="dxa"/>
          </w:tcPr>
          <w:p>
            <w:pPr>
              <w:pStyle w:val="Compact"/>
              <w:spacing w:after="40"/>
              <w:jc w:val="left"/>
            </w:pPr>
            <w:r>
              <w:rPr>
                <w:rStyle w:val="VerbatimChar"/>
                <w:sz w:val="18"/>
              </w:rPr>
              <w:t xml:space="preserve">grievance_route</w:t>
            </w:r>
          </w:p>
        </w:tc>
        <w:tc>
          <w:tcPr>
            <w:tcW w:w="4442" w:type="dxa"/>
          </w:tcPr>
          <w:p>
            <w:pPr>
              <w:pStyle w:val="Compact"/>
              <w:spacing w:after="40"/>
              <w:jc w:val="left"/>
            </w:pPr>
            <w:r>
              <w:rPr>
                <w:sz w:val="18"/>
              </w:rPr>
              <w:t xml:space="preserve">Udofin GRO → provider GRO → sector redress → ombudsman</w:t>
            </w:r>
          </w:p>
        </w:tc>
        <w:tc>
          <w:tcPr>
            <w:tcW w:w="3112" w:type="dxa"/>
          </w:tcPr>
          <w:p>
            <w:pPr>
              <w:pStyle w:val="Compact"/>
              <w:spacing w:after="40"/>
              <w:jc w:val="left"/>
            </w:pPr>
            <w:r>
              <w:rPr>
                <w:sz w:val="18"/>
              </w:rPr>
              <w:t xml:space="preserve">Rendered in UB3 (Part 7C)</w:t>
            </w:r>
          </w:p>
        </w:tc>
      </w:tr>
      <w:tr>
        <w:tc>
          <w:tcPr>
            <w:tcW w:w="2084" w:type="dxa"/>
          </w:tcPr>
          <w:p>
            <w:pPr>
              <w:pStyle w:val="Compact"/>
              <w:spacing w:after="40"/>
              <w:jc w:val="left"/>
            </w:pPr>
            <w:r>
              <w:rPr>
                <w:rStyle w:val="VerbatimChar"/>
                <w:sz w:val="18"/>
              </w:rPr>
              <w:t xml:space="preserve">kill_switch</w:t>
            </w:r>
          </w:p>
        </w:tc>
        <w:tc>
          <w:tcPr>
            <w:tcW w:w="4442" w:type="dxa"/>
          </w:tcPr>
          <w:p>
            <w:pPr>
              <w:pStyle w:val="Compact"/>
              <w:spacing w:after="40"/>
              <w:jc w:val="left"/>
            </w:pPr>
            <w:r>
              <w:rPr>
                <w:sz w:val="18"/>
              </w:rPr>
              <w:t xml:space="preserve">flag key</w:t>
            </w:r>
            <w:r>
              <w:rPr>
                <w:sz w:val="18"/>
              </w:rPr>
              <w:t xml:space="preserve"> </w:t>
            </w:r>
            <w:r>
              <w:rPr>
                <w:rStyle w:val="VerbatimChar"/>
                <w:sz w:val="18"/>
              </w:rPr>
              <w:t xml:space="preserve">mod.xp.[id].enabled</w:t>
            </w:r>
          </w:p>
        </w:tc>
        <w:tc>
          <w:tcPr>
            <w:tcW w:w="3112" w:type="dxa"/>
          </w:tcPr>
          <w:p>
            <w:pPr>
              <w:pStyle w:val="Compact"/>
              <w:spacing w:after="40"/>
              <w:jc w:val="left"/>
            </w:pPr>
            <w:r>
              <w:rPr>
                <w:sz w:val="18"/>
              </w:rPr>
              <w:t xml:space="preserve">Server-side; effective within 60 seconds</w:t>
            </w:r>
          </w:p>
        </w:tc>
      </w:tr>
      <w:tr>
        <w:tc>
          <w:tcPr>
            <w:tcW w:w="2084" w:type="dxa"/>
          </w:tcPr>
          <w:p>
            <w:pPr>
              <w:pStyle w:val="Compact"/>
              <w:spacing w:after="40"/>
              <w:jc w:val="left"/>
            </w:pPr>
            <w:r>
              <w:rPr>
                <w:rStyle w:val="VerbatimChar"/>
                <w:sz w:val="18"/>
              </w:rPr>
              <w:t xml:space="preserve">compliance_approver</w:t>
            </w:r>
            <w:r>
              <w:rPr>
                <w:sz w:val="18"/>
              </w:rPr>
              <w:t xml:space="preserve">,</w:t>
            </w:r>
            <w:r>
              <w:rPr>
                <w:sz w:val="18"/>
              </w:rPr>
              <w:t xml:space="preserve"> </w:t>
            </w:r>
            <w:r>
              <w:rPr>
                <w:rStyle w:val="VerbatimChar"/>
                <w:sz w:val="18"/>
              </w:rPr>
              <w:t xml:space="preserve">legal_note_ref</w:t>
            </w:r>
          </w:p>
        </w:tc>
        <w:tc>
          <w:tcPr>
            <w:tcW w:w="4442" w:type="dxa"/>
          </w:tcPr>
          <w:p>
            <w:pPr>
              <w:pStyle w:val="Compact"/>
              <w:spacing w:after="40"/>
              <w:jc w:val="left"/>
            </w:pPr>
            <w:r>
              <w:rPr>
                <w:sz w:val="18"/>
              </w:rPr>
              <w:t xml:space="preserve">named approver; counsel’s note</w:t>
            </w:r>
          </w:p>
        </w:tc>
        <w:tc>
          <w:tcPr>
            <w:tcW w:w="3112" w:type="dxa"/>
          </w:tcPr>
          <w:p>
            <w:pPr>
              <w:pStyle w:val="Compact"/>
              <w:spacing w:after="40"/>
              <w:jc w:val="left"/>
            </w:pPr>
            <w:r>
              <w:rPr>
                <w:sz w:val="18"/>
              </w:rPr>
              <w:t xml:space="preserve">Required for</w:t>
            </w:r>
            <w:r>
              <w:rPr>
                <w:sz w:val="18"/>
              </w:rPr>
              <w:t xml:space="preserve"> </w:t>
            </w:r>
            <w:r>
              <w:rPr>
                <w:rStyle w:val="VerbatimChar"/>
                <w:sz w:val="18"/>
              </w:rPr>
              <w:t xml:space="preserve">ENABLED</w:t>
            </w:r>
          </w:p>
        </w:tc>
      </w:tr>
      <w:tr>
        <w:tc>
          <w:tcPr>
            <w:tcW w:w="2084" w:type="dxa"/>
          </w:tcPr>
          <w:p>
            <w:pPr>
              <w:pStyle w:val="Compact"/>
              <w:spacing w:after="40"/>
              <w:jc w:val="left"/>
            </w:pPr>
            <w:r>
              <w:rPr>
                <w:rStyle w:val="VerbatimChar"/>
                <w:sz w:val="18"/>
              </w:rPr>
              <w:t xml:space="preserve">effective_dates</w:t>
            </w:r>
            <w:r>
              <w:rPr>
                <w:sz w:val="18"/>
              </w:rPr>
              <w:t xml:space="preserve">,</w:t>
            </w:r>
            <w:r>
              <w:rPr>
                <w:sz w:val="18"/>
              </w:rPr>
              <w:t xml:space="preserve"> </w:t>
            </w:r>
            <w:r>
              <w:rPr>
                <w:rStyle w:val="VerbatimChar"/>
                <w:sz w:val="18"/>
              </w:rPr>
              <w:t xml:space="preserve">sunset_date</w:t>
            </w:r>
          </w:p>
        </w:tc>
        <w:tc>
          <w:tcPr>
            <w:tcW w:w="4442" w:type="dxa"/>
          </w:tcPr>
          <w:p>
            <w:pPr>
              <w:pStyle w:val="Compact"/>
              <w:spacing w:after="40"/>
            </w:pPr>
          </w:p>
        </w:tc>
        <w:tc>
          <w:tcPr>
            <w:tcW w:w="3112" w:type="dxa"/>
          </w:tcPr>
          <w:p>
            <w:pPr>
              <w:pStyle w:val="Compact"/>
              <w:spacing w:after="40"/>
              <w:jc w:val="left"/>
            </w:pPr>
            <w:r>
              <w:rPr>
                <w:sz w:val="18"/>
              </w:rPr>
              <w:t xml:space="preserve">Licence expiry within 30 days blocks new sales</w:t>
            </w:r>
          </w:p>
        </w:tc>
      </w:tr>
    </w:tbl>
    <w:bookmarkEnd w:id="299"/>
    <w:bookmarkStart w:id="300" w:name="xp1.2-regulator-mapping"/>
    <w:p>
      <w:pPr>
        <w:pStyle w:val="Heading3"/>
      </w:pPr>
      <w:r>
        <w:t xml:space="preserve">XP1.2 Regulator mapping</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46"/>
        <w:gridCol w:w="2438"/>
        <w:gridCol w:w="3371"/>
        <w:gridCol w:w="2183"/>
      </w:tblGrid>
      <w:tr>
        <w:trPr>
          <w:tblHeader w:val="true"/>
          <w:tblHeader w:val="true"/>
        </w:trPr>
        <w:tc>
          <w:tcPr>
            <w:tcW w:w="1646" w:type="dxa"/>
            <w:shd w:val="clear" w:color="auto" w:fill="1F3A5F"/>
          </w:tcPr>
          <w:p>
            <w:pPr>
              <w:pStyle w:val="Compact"/>
              <w:spacing w:after="40"/>
              <w:jc w:val="left"/>
            </w:pPr>
            <w:r>
              <w:rPr>
                <w:b/>
                <w:color w:val="FFFFFF"/>
                <w:sz w:val="18"/>
              </w:rPr>
              <w:t xml:space="preserve">Category</w:t>
            </w:r>
          </w:p>
        </w:tc>
        <w:tc>
          <w:tcPr>
            <w:tcW w:w="2438" w:type="dxa"/>
            <w:shd w:val="clear" w:color="auto" w:fill="1F3A5F"/>
          </w:tcPr>
          <w:p>
            <w:pPr>
              <w:pStyle w:val="Compact"/>
              <w:spacing w:after="40"/>
              <w:jc w:val="left"/>
            </w:pPr>
            <w:r>
              <w:rPr>
                <w:b/>
                <w:color w:val="FFFFFF"/>
                <w:sz w:val="18"/>
              </w:rPr>
              <w:t xml:space="preserve">Regulator and instrument</w:t>
            </w:r>
          </w:p>
        </w:tc>
        <w:tc>
          <w:tcPr>
            <w:tcW w:w="3371" w:type="dxa"/>
            <w:shd w:val="clear" w:color="auto" w:fill="1F3A5F"/>
          </w:tcPr>
          <w:p>
            <w:pPr>
              <w:pStyle w:val="Compact"/>
              <w:spacing w:after="40"/>
              <w:jc w:val="left"/>
            </w:pPr>
            <w:r>
              <w:rPr>
                <w:b/>
                <w:color w:val="FFFFFF"/>
                <w:sz w:val="18"/>
              </w:rPr>
              <w:t xml:space="preserve">Licence that makes Udofin’s role lawful</w:t>
            </w:r>
          </w:p>
        </w:tc>
        <w:tc>
          <w:tcPr>
            <w:tcW w:w="2183" w:type="dxa"/>
            <w:shd w:val="clear" w:color="auto" w:fill="1F3A5F"/>
          </w:tcPr>
          <w:p>
            <w:pPr>
              <w:pStyle w:val="Compact"/>
              <w:spacing w:after="40"/>
              <w:jc w:val="left"/>
            </w:pPr>
            <w:r>
              <w:rPr>
                <w:b/>
                <w:color w:val="FFFFFF"/>
                <w:sz w:val="18"/>
              </w:rPr>
              <w:t xml:space="preserve">Default status in v1.2</w:t>
            </w:r>
          </w:p>
        </w:tc>
      </w:tr>
      <w:tr>
        <w:tc>
          <w:tcPr>
            <w:tcW w:w="1646" w:type="dxa"/>
          </w:tcPr>
          <w:p>
            <w:pPr>
              <w:pStyle w:val="Compact"/>
              <w:spacing w:after="40"/>
              <w:jc w:val="left"/>
            </w:pPr>
            <w:r>
              <w:rPr>
                <w:sz w:val="18"/>
              </w:rPr>
              <w:t xml:space="preserve">Insurance (life, general, health)</w:t>
            </w:r>
          </w:p>
        </w:tc>
        <w:tc>
          <w:tcPr>
            <w:tcW w:w="2438" w:type="dxa"/>
          </w:tcPr>
          <w:p>
            <w:pPr>
              <w:pStyle w:val="Compact"/>
              <w:spacing w:after="40"/>
              <w:jc w:val="left"/>
            </w:pPr>
            <w:r>
              <w:rPr>
                <w:sz w:val="18"/>
              </w:rPr>
              <w:t xml:space="preserve">IRDAI; Insurance Act; intermediary regulations</w:t>
            </w:r>
          </w:p>
        </w:tc>
        <w:tc>
          <w:tcPr>
            <w:tcW w:w="3371" w:type="dxa"/>
          </w:tcPr>
          <w:p>
            <w:pPr>
              <w:pStyle w:val="Compact"/>
              <w:spacing w:after="40"/>
              <w:jc w:val="left"/>
            </w:pPr>
            <w:r>
              <w:rPr>
                <w:sz w:val="18"/>
              </w:rPr>
              <w:t xml:space="preserve">Corporate Agent (composite) or Insurance Web Aggregator registration in Udofin’s name; or none if Udofin is an unpaid technology provider to an RE that is a Corporate Agent</w:t>
            </w:r>
          </w:p>
        </w:tc>
        <w:tc>
          <w:tcPr>
            <w:tcW w:w="2183" w:type="dxa"/>
          </w:tcPr>
          <w:p>
            <w:pPr>
              <w:pStyle w:val="Compact"/>
              <w:spacing w:after="40"/>
              <w:jc w:val="left"/>
            </w:pPr>
            <w:r>
              <w:rPr>
                <w:sz w:val="18"/>
              </w:rPr>
              <w:t xml:space="preserve">Built in Phase 20c; enabled only after the licence decision (Appendix B)</w:t>
            </w:r>
          </w:p>
        </w:tc>
      </w:tr>
      <w:tr>
        <w:tc>
          <w:tcPr>
            <w:tcW w:w="1646" w:type="dxa"/>
          </w:tcPr>
          <w:p>
            <w:pPr>
              <w:pStyle w:val="Compact"/>
              <w:spacing w:after="40"/>
              <w:jc w:val="left"/>
            </w:pPr>
            <w:r>
              <w:rPr>
                <w:sz w:val="18"/>
              </w:rPr>
              <w:t xml:space="preserve">Credit-linked insurance in an RE loan</w:t>
            </w:r>
          </w:p>
        </w:tc>
        <w:tc>
          <w:tcPr>
            <w:tcW w:w="2438" w:type="dxa"/>
          </w:tcPr>
          <w:p>
            <w:pPr>
              <w:pStyle w:val="Compact"/>
              <w:spacing w:after="40"/>
              <w:jc w:val="left"/>
            </w:pPr>
            <w:r>
              <w:rPr>
                <w:sz w:val="18"/>
              </w:rPr>
              <w:t xml:space="preserve">RE’s arrangement with the insurer</w:t>
            </w:r>
          </w:p>
        </w:tc>
        <w:tc>
          <w:tcPr>
            <w:tcW w:w="3371" w:type="dxa"/>
          </w:tcPr>
          <w:p>
            <w:pPr>
              <w:pStyle w:val="Compact"/>
              <w:spacing w:after="40"/>
              <w:jc w:val="left"/>
            </w:pPr>
            <w:r>
              <w:rPr>
                <w:sz w:val="18"/>
              </w:rPr>
              <w:t xml:space="preserve">The RE’s Corporate Agent registration; Udofin only displays the RE’s KFS item</w:t>
            </w:r>
          </w:p>
        </w:tc>
        <w:tc>
          <w:tcPr>
            <w:tcW w:w="2183" w:type="dxa"/>
          </w:tcPr>
          <w:p>
            <w:pPr>
              <w:pStyle w:val="Compact"/>
              <w:spacing w:after="40"/>
              <w:jc w:val="left"/>
            </w:pPr>
            <w:r>
              <w:rPr>
                <w:sz w:val="18"/>
              </w:rPr>
              <w:t xml:space="preserve">Display only, in the RE’s KFS (XP2.2 model D)</w:t>
            </w:r>
          </w:p>
        </w:tc>
      </w:tr>
      <w:tr>
        <w:tc>
          <w:tcPr>
            <w:tcW w:w="1646" w:type="dxa"/>
          </w:tcPr>
          <w:p>
            <w:pPr>
              <w:pStyle w:val="Compact"/>
              <w:spacing w:after="40"/>
              <w:jc w:val="left"/>
            </w:pPr>
            <w:r>
              <w:rPr>
                <w:sz w:val="18"/>
              </w:rPr>
              <w:t xml:space="preserve">Mutual funds</w:t>
            </w:r>
          </w:p>
        </w:tc>
        <w:tc>
          <w:tcPr>
            <w:tcW w:w="2438" w:type="dxa"/>
          </w:tcPr>
          <w:p>
            <w:pPr>
              <w:pStyle w:val="Compact"/>
              <w:spacing w:after="40"/>
              <w:jc w:val="left"/>
            </w:pPr>
            <w:r>
              <w:rPr>
                <w:sz w:val="18"/>
              </w:rPr>
              <w:t xml:space="preserve">SEBI; AMFI</w:t>
            </w:r>
          </w:p>
        </w:tc>
        <w:tc>
          <w:tcPr>
            <w:tcW w:w="3371" w:type="dxa"/>
          </w:tcPr>
          <w:p>
            <w:pPr>
              <w:pStyle w:val="Compact"/>
              <w:spacing w:after="40"/>
              <w:jc w:val="left"/>
            </w:pPr>
            <w:r>
              <w:rPr>
                <w:sz w:val="18"/>
              </w:rPr>
              <w:t xml:space="preserve">AMFI registration (ARN) with NISM Series V-A certified staff, or a SEBI execution-only platform route [VERIFY]</w:t>
            </w:r>
          </w:p>
        </w:tc>
        <w:tc>
          <w:tcPr>
            <w:tcW w:w="2183" w:type="dxa"/>
          </w:tcPr>
          <w:p>
            <w:pPr>
              <w:pStyle w:val="Compact"/>
              <w:spacing w:after="40"/>
              <w:jc w:val="left"/>
            </w:pPr>
            <w:r>
              <w:rPr>
                <w:sz w:val="18"/>
              </w:rPr>
              <w:t xml:space="preserve">Feasibility-gated (XP3)</w:t>
            </w:r>
          </w:p>
        </w:tc>
      </w:tr>
      <w:tr>
        <w:tc>
          <w:tcPr>
            <w:tcW w:w="1646" w:type="dxa"/>
          </w:tcPr>
          <w:p>
            <w:pPr>
              <w:pStyle w:val="Compact"/>
              <w:spacing w:after="40"/>
              <w:jc w:val="left"/>
            </w:pPr>
            <w:r>
              <w:rPr>
                <w:sz w:val="18"/>
              </w:rPr>
              <w:t xml:space="preserve">Bill payments</w:t>
            </w:r>
          </w:p>
        </w:tc>
        <w:tc>
          <w:tcPr>
            <w:tcW w:w="2438" w:type="dxa"/>
          </w:tcPr>
          <w:p>
            <w:pPr>
              <w:pStyle w:val="Compact"/>
              <w:spacing w:after="40"/>
              <w:jc w:val="left"/>
            </w:pPr>
            <w:r>
              <w:rPr>
                <w:sz w:val="18"/>
              </w:rPr>
              <w:t xml:space="preserve">RBI Payment and Settlement Systems; BBPS Master Direction 29 Feb 2024; NPCI Bharat Connect</w:t>
            </w:r>
          </w:p>
        </w:tc>
        <w:tc>
          <w:tcPr>
            <w:tcW w:w="3371" w:type="dxa"/>
          </w:tcPr>
          <w:p>
            <w:pPr>
              <w:pStyle w:val="Compact"/>
              <w:spacing w:after="40"/>
              <w:jc w:val="left"/>
            </w:pPr>
            <w:r>
              <w:rPr>
                <w:sz w:val="18"/>
              </w:rPr>
              <w:t xml:space="preserve">Agent institution of a BBPOU or COU</w:t>
            </w:r>
          </w:p>
        </w:tc>
        <w:tc>
          <w:tcPr>
            <w:tcW w:w="2183" w:type="dxa"/>
          </w:tcPr>
          <w:p>
            <w:pPr>
              <w:pStyle w:val="Compact"/>
              <w:spacing w:after="40"/>
              <w:jc w:val="left"/>
            </w:pPr>
            <w:r>
              <w:rPr>
                <w:sz w:val="18"/>
              </w:rPr>
              <w:t xml:space="preserve">Feasibility-gated (XP3)</w:t>
            </w:r>
          </w:p>
        </w:tc>
      </w:tr>
      <w:tr>
        <w:tc>
          <w:tcPr>
            <w:tcW w:w="1646" w:type="dxa"/>
          </w:tcPr>
          <w:p>
            <w:pPr>
              <w:pStyle w:val="Compact"/>
              <w:spacing w:after="40"/>
              <w:jc w:val="left"/>
            </w:pPr>
            <w:r>
              <w:rPr>
                <w:sz w:val="18"/>
              </w:rPr>
              <w:t xml:space="preserve">Fixed deposits marketplace</w:t>
            </w:r>
          </w:p>
        </w:tc>
        <w:tc>
          <w:tcPr>
            <w:tcW w:w="2438" w:type="dxa"/>
          </w:tcPr>
          <w:p>
            <w:pPr>
              <w:pStyle w:val="Compact"/>
              <w:spacing w:after="40"/>
              <w:jc w:val="left"/>
            </w:pPr>
            <w:r>
              <w:rPr>
                <w:sz w:val="18"/>
              </w:rPr>
              <w:t xml:space="preserve">RBI (bank and NBFC deposit rules)</w:t>
            </w:r>
          </w:p>
        </w:tc>
        <w:tc>
          <w:tcPr>
            <w:tcW w:w="3371" w:type="dxa"/>
          </w:tcPr>
          <w:p>
            <w:pPr>
              <w:pStyle w:val="Compact"/>
              <w:spacing w:after="40"/>
              <w:jc w:val="left"/>
            </w:pPr>
            <w:r>
              <w:rPr>
                <w:sz w:val="18"/>
              </w:rPr>
              <w:t xml:space="preserve">Distribution agreement with the bank or deposit-taking NBFC [VERIFY: agent conditions]</w:t>
            </w:r>
          </w:p>
        </w:tc>
        <w:tc>
          <w:tcPr>
            <w:tcW w:w="2183" w:type="dxa"/>
          </w:tcPr>
          <w:p>
            <w:pPr>
              <w:pStyle w:val="Compact"/>
              <w:spacing w:after="40"/>
              <w:jc w:val="left"/>
            </w:pPr>
            <w:r>
              <w:rPr>
                <w:sz w:val="18"/>
              </w:rPr>
              <w:t xml:space="preserve">Feasibility-gated (XP3)</w:t>
            </w:r>
          </w:p>
        </w:tc>
      </w:tr>
      <w:tr>
        <w:tc>
          <w:tcPr>
            <w:tcW w:w="1646" w:type="dxa"/>
          </w:tcPr>
          <w:p>
            <w:pPr>
              <w:pStyle w:val="Compact"/>
              <w:spacing w:after="40"/>
              <w:jc w:val="left"/>
            </w:pPr>
            <w:r>
              <w:rPr>
                <w:sz w:val="18"/>
              </w:rPr>
              <w:t xml:space="preserve">Credit lines on UPI</w:t>
            </w:r>
          </w:p>
        </w:tc>
        <w:tc>
          <w:tcPr>
            <w:tcW w:w="2438" w:type="dxa"/>
          </w:tcPr>
          <w:p>
            <w:pPr>
              <w:pStyle w:val="Compact"/>
              <w:spacing w:after="40"/>
              <w:jc w:val="left"/>
            </w:pPr>
            <w:r>
              <w:rPr>
                <w:sz w:val="18"/>
              </w:rPr>
              <w:t xml:space="preserve">RBI; NPCI</w:t>
            </w:r>
          </w:p>
        </w:tc>
        <w:tc>
          <w:tcPr>
            <w:tcW w:w="3371" w:type="dxa"/>
          </w:tcPr>
          <w:p>
            <w:pPr>
              <w:pStyle w:val="Compact"/>
              <w:spacing w:after="40"/>
              <w:jc w:val="left"/>
            </w:pPr>
            <w:r>
              <w:rPr>
                <w:sz w:val="18"/>
              </w:rPr>
              <w:t xml:space="preserve">Bank or SFB product only; Udofin only as that bank’s LSP</w:t>
            </w:r>
          </w:p>
        </w:tc>
        <w:tc>
          <w:tcPr>
            <w:tcW w:w="2183" w:type="dxa"/>
          </w:tcPr>
          <w:p>
            <w:pPr>
              <w:pStyle w:val="Compact"/>
              <w:spacing w:after="40"/>
              <w:jc w:val="left"/>
            </w:pPr>
            <w:r>
              <w:rPr>
                <w:sz w:val="18"/>
              </w:rPr>
              <w:t xml:space="preserve">Not buildable for NBFC REs (XP3)</w:t>
            </w:r>
          </w:p>
        </w:tc>
      </w:tr>
      <w:tr>
        <w:tc>
          <w:tcPr>
            <w:tcW w:w="1646" w:type="dxa"/>
          </w:tcPr>
          <w:p>
            <w:pPr>
              <w:pStyle w:val="Compact"/>
              <w:spacing w:after="40"/>
              <w:jc w:val="left"/>
            </w:pPr>
            <w:r>
              <w:rPr>
                <w:sz w:val="18"/>
              </w:rPr>
              <w:t xml:space="preserve">Gold</w:t>
            </w:r>
          </w:p>
        </w:tc>
        <w:tc>
          <w:tcPr>
            <w:tcW w:w="2438" w:type="dxa"/>
          </w:tcPr>
          <w:p>
            <w:pPr>
              <w:pStyle w:val="Compact"/>
              <w:spacing w:after="40"/>
              <w:jc w:val="left"/>
            </w:pPr>
            <w:r>
              <w:rPr>
                <w:sz w:val="18"/>
              </w:rPr>
              <w:t xml:space="preserve">RBI (gold loans only)</w:t>
            </w:r>
          </w:p>
        </w:tc>
        <w:tc>
          <w:tcPr>
            <w:tcW w:w="3371" w:type="dxa"/>
          </w:tcPr>
          <w:p>
            <w:pPr>
              <w:pStyle w:val="Compact"/>
              <w:spacing w:after="40"/>
              <w:jc w:val="left"/>
            </w:pPr>
            <w:r>
              <w:rPr>
                <w:sz w:val="18"/>
              </w:rPr>
              <w:t xml:space="preserve">RE gold loan (Product 11)</w:t>
            </w:r>
          </w:p>
        </w:tc>
        <w:tc>
          <w:tcPr>
            <w:tcW w:w="2183" w:type="dxa"/>
          </w:tcPr>
          <w:p>
            <w:pPr>
              <w:pStyle w:val="Compact"/>
              <w:spacing w:after="40"/>
              <w:jc w:val="left"/>
            </w:pPr>
            <w:r>
              <w:rPr>
                <w:sz w:val="18"/>
              </w:rPr>
              <w:t xml:space="preserve">Digital gold sales prohibited</w:t>
            </w:r>
          </w:p>
        </w:tc>
      </w:tr>
      <w:tr>
        <w:tc>
          <w:tcPr>
            <w:tcW w:w="1646" w:type="dxa"/>
          </w:tcPr>
          <w:p>
            <w:pPr>
              <w:pStyle w:val="Compact"/>
              <w:spacing w:after="40"/>
              <w:jc w:val="left"/>
            </w:pPr>
            <w:r>
              <w:rPr>
                <w:sz w:val="18"/>
              </w:rPr>
              <w:t xml:space="preserve">Deposits of credit co-operative societies</w:t>
            </w:r>
          </w:p>
        </w:tc>
        <w:tc>
          <w:tcPr>
            <w:tcW w:w="2438" w:type="dxa"/>
          </w:tcPr>
          <w:p>
            <w:pPr>
              <w:pStyle w:val="Compact"/>
              <w:spacing w:after="40"/>
              <w:jc w:val="left"/>
            </w:pPr>
            <w:r>
              <w:rPr>
                <w:sz w:val="18"/>
              </w:rPr>
              <w:t xml:space="preserve">State Acts; MSCS Act; BUDS Act</w:t>
            </w:r>
          </w:p>
        </w:tc>
        <w:tc>
          <w:tcPr>
            <w:tcW w:w="3371" w:type="dxa"/>
          </w:tcPr>
          <w:p>
            <w:pPr>
              <w:pStyle w:val="Compact"/>
              <w:spacing w:after="40"/>
              <w:jc w:val="left"/>
            </w:pPr>
            <w:r>
              <w:rPr>
                <w:sz w:val="18"/>
              </w:rPr>
              <w:t xml:space="preserve">None</w:t>
            </w:r>
          </w:p>
        </w:tc>
        <w:tc>
          <w:tcPr>
            <w:tcW w:w="2183" w:type="dxa"/>
          </w:tcPr>
          <w:p>
            <w:pPr>
              <w:pStyle w:val="Compact"/>
              <w:spacing w:after="40"/>
              <w:jc w:val="left"/>
            </w:pPr>
            <w:r>
              <w:rPr>
                <w:sz w:val="18"/>
              </w:rPr>
              <w:t xml:space="preserve">Prohibited in every version (Part 7E)</w:t>
            </w:r>
          </w:p>
        </w:tc>
      </w:tr>
    </w:tbl>
    <w:bookmarkEnd w:id="300"/>
    <w:bookmarkStart w:id="301" w:name="xp1.3-licence-gate-and-lifecycle"/>
    <w:p>
      <w:pPr>
        <w:pStyle w:val="Heading3"/>
      </w:pPr>
      <w:r>
        <w:t xml:space="preserve">XP1.3 Licence gate and lifecycle</w:t>
      </w:r>
    </w:p>
    <w:p>
      <w:pPr>
        <w:numPr>
          <w:ilvl w:val="0"/>
          <w:numId w:val="1184"/>
        </w:numPr>
        <w:pStyle w:val="Compact"/>
      </w:pPr>
      <w:r>
        <w:rPr>
          <w:bCs/>
          <w:b/>
        </w:rPr>
        <w:t xml:space="preserve">Lifecycle:</w:t>
      </w:r>
      <w:r>
        <w:t xml:space="preserve"> </w:t>
      </w:r>
      <w:r>
        <w:rPr>
          <w:rStyle w:val="VerbatimChar"/>
        </w:rPr>
        <w:t xml:space="preserve">PROPOSED → FEASIBILITY_APPROVED → LICENCE_PENDING → LICENSED → CONFIGURED (maker-checker) → CERTIFIED (partner integration certified) → ENABLED → {SUSPENDED, READ_ONLY} → RETIRED</w:t>
      </w:r>
      <w:r>
        <w:t xml:space="preserve">.</w:t>
      </w:r>
    </w:p>
    <w:p>
      <w:pPr>
        <w:numPr>
          <w:ilvl w:val="0"/>
          <w:numId w:val="1184"/>
        </w:numPr>
        <w:pStyle w:val="Compact"/>
      </w:pPr>
      <w:r>
        <w:rPr>
          <w:rStyle w:val="VerbatimChar"/>
          <w:bCs/>
          <w:b/>
        </w:rPr>
        <w:t xml:space="preserve">ENABLED</w:t>
      </w:r>
      <w:r>
        <w:rPr>
          <w:bCs/>
          <w:b/>
        </w:rPr>
        <w:t xml:space="preserve"> </w:t>
      </w:r>
      <w:r>
        <w:rPr>
          <w:bCs/>
          <w:b/>
        </w:rPr>
        <w:t xml:space="preserve">requires all of:</w:t>
      </w:r>
      <w:r>
        <w:t xml:space="preserve"> </w:t>
      </w:r>
      <w:r>
        <w:t xml:space="preserve">licence valid and not expiring within 30 days; permitted line covers the product; partner agreement active and within the tie-up limit (for a Corporate Agent, at most 9 insurers per line: life, general, health); compliance approver sign-off; legal note attached; summary sheet and disclosures complete in every active language; RV1 stream</w:t>
      </w:r>
      <w:r>
        <w:t xml:space="preserve"> </w:t>
      </w:r>
      <w:r>
        <w:rPr>
          <w:rStyle w:val="VerbatimChar"/>
        </w:rPr>
        <w:t xml:space="preserve">ACTIVE</w:t>
      </w:r>
      <w:r>
        <w:t xml:space="preserve">; UI audit passed (XP4.3).</w:t>
      </w:r>
    </w:p>
    <w:p>
      <w:pPr>
        <w:numPr>
          <w:ilvl w:val="0"/>
          <w:numId w:val="1184"/>
        </w:numPr>
        <w:pStyle w:val="Compact"/>
      </w:pPr>
      <w:r>
        <w:rPr>
          <w:bCs/>
          <w:b/>
        </w:rPr>
        <w:t xml:space="preserve">Nightly job:</w:t>
      </w:r>
      <w:r>
        <w:t xml:space="preserve"> </w:t>
      </w:r>
      <w:r>
        <w:t xml:space="preserve">expired or suspended licences, lapsed partner agreements and missed re-registration deadlines move the module to</w:t>
      </w:r>
      <w:r>
        <w:t xml:space="preserve"> </w:t>
      </w:r>
      <w:r>
        <w:rPr>
          <w:rStyle w:val="VerbatimChar"/>
        </w:rPr>
        <w:t xml:space="preserve">SUSPENDED</w:t>
      </w:r>
      <w:r>
        <w:t xml:space="preserve"> </w:t>
      </w:r>
      <w:r>
        <w:t xml:space="preserve">(no new quotes or sales; servicing, documents, claims assistance and complaints continue) and notify Compliance and the Operations Hub licence calendar.</w:t>
      </w:r>
    </w:p>
    <w:p>
      <w:pPr>
        <w:numPr>
          <w:ilvl w:val="0"/>
          <w:numId w:val="1184"/>
        </w:numPr>
        <w:pStyle w:val="Compact"/>
      </w:pPr>
      <w:r>
        <w:rPr>
          <w:bCs/>
          <w:b/>
        </w:rPr>
        <w:t xml:space="preserve">IRDAI-specific checks:</w:t>
      </w:r>
      <w:r>
        <w:t xml:space="preserve"> </w:t>
      </w:r>
      <w:r>
        <w:t xml:space="preserve">fresh certificate application filed by</w:t>
      </w:r>
      <w:r>
        <w:t xml:space="preserve"> </w:t>
      </w:r>
      <w:r>
        <w:rPr>
          <w:bCs/>
          <w:b/>
        </w:rPr>
        <w:t xml:space="preserve">31 Jan 2027</w:t>
      </w:r>
      <w:r>
        <w:t xml:space="preserve"> </w:t>
      </w:r>
      <w:r>
        <w:t xml:space="preserve">for any registration existing before the 30 Jul 2026 amendment (or by 31 Mar 2027 with the additional fee) [VERIFY: IRDAI notification F. No. IRDAI/Reg/8/222/2026]; annual fee record (higher of ₹10,000 or 0.04% of receipts from insurers); principal officer and specified persons current; PI cover where intermediation exceeds 50% of revenue.</w:t>
      </w:r>
    </w:p>
    <w:p>
      <w:pPr>
        <w:numPr>
          <w:ilvl w:val="0"/>
          <w:numId w:val="1184"/>
        </w:numPr>
        <w:pStyle w:val="Compact"/>
      </w:pPr>
      <w:r>
        <w:rPr>
          <w:bCs/>
          <w:b/>
        </w:rPr>
        <w:t xml:space="preserve">Kill-switch:</w:t>
      </w:r>
      <w:r>
        <w:t xml:space="preserve"> </w:t>
      </w:r>
      <w:r>
        <w:t xml:space="preserve">one action by Compliance or the CISO disables a module across all channels within 60 seconds; the event is logged and reviewed within one business day.</w:t>
      </w:r>
    </w:p>
    <w:p>
      <w:pPr>
        <w:numPr>
          <w:ilvl w:val="0"/>
          <w:numId w:val="1184"/>
        </w:numPr>
        <w:pStyle w:val="Compact"/>
      </w:pPr>
      <w:r>
        <w:rPr>
          <w:bCs/>
          <w:b/>
        </w:rPr>
        <w:t xml:space="preserve">OTA rule:</w:t>
      </w:r>
      <w:r>
        <w:t xml:space="preserve"> </w:t>
      </w:r>
      <w:r>
        <w:t xml:space="preserve">a new product module or a new data collection for a product ships only in a store release with updated declarations, never by OTA (Part 10.3).</w:t>
      </w:r>
    </w:p>
    <w:bookmarkEnd w:id="301"/>
    <w:bookmarkStart w:id="302" w:name="Xff1fd77d5138f5c27ef29f909beaa775e6ed5e5"/>
    <w:p>
      <w:pPr>
        <w:pStyle w:val="Heading3"/>
      </w:pPr>
      <w:r>
        <w:t xml:space="preserve">XP1.4 Consent scopes, disclosures and summary sheets</w:t>
      </w:r>
    </w:p>
    <w:p>
      <w:pPr>
        <w:numPr>
          <w:ilvl w:val="0"/>
          <w:numId w:val="1185"/>
        </w:numPr>
        <w:pStyle w:val="Compact"/>
      </w:pPr>
      <w:r>
        <w:rPr>
          <w:bCs/>
          <w:b/>
        </w:rPr>
        <w:t xml:space="preserve">Consent artefact per product purpose,</w:t>
      </w:r>
      <w:r>
        <w:t xml:space="preserve"> </w:t>
      </w:r>
      <w:r>
        <w:t xml:space="preserve">separate forms (RBC Second Amendment para 101Q), each default No (101I), recorded with product, partner, purpose, notice version, language, channel and timestamp; kept for at least one year after the end of the contract (101G) and longer if the insurer’s retention requires.</w:t>
      </w:r>
    </w:p>
    <w:p>
      <w:pPr>
        <w:numPr>
          <w:ilvl w:val="0"/>
          <w:numId w:val="1185"/>
        </w:numPr>
        <w:pStyle w:val="Compact"/>
      </w:pPr>
      <w:r>
        <w:rPr>
          <w:bCs/>
          <w:b/>
        </w:rPr>
        <w:t xml:space="preserve">Withdrawal and unsubscribe</w:t>
      </w:r>
      <w:r>
        <w:t xml:space="preserve"> </w:t>
      </w:r>
      <w:r>
        <w:t xml:space="preserve">as easy as giving consent: one tap from the product page and the privacy dashboard (101M; DPDP Rules r.3).</w:t>
      </w:r>
    </w:p>
    <w:p>
      <w:pPr>
        <w:numPr>
          <w:ilvl w:val="0"/>
          <w:numId w:val="1185"/>
        </w:numPr>
        <w:pStyle w:val="Compact"/>
      </w:pPr>
      <w:r>
        <w:rPr>
          <w:bCs/>
          <w:b/>
        </w:rPr>
        <w:t xml:space="preserve">Own-versus-third-party label</w:t>
      </w:r>
      <w:r>
        <w:t xml:space="preserve"> </w:t>
      </w:r>
      <w:r>
        <w:t xml:space="preserve">on every screen:</w:t>
      </w:r>
      <w:r>
        <w:t xml:space="preserve"> </w:t>
      </w:r>
      <w:r>
        <w:t xml:space="preserve">“</w:t>
      </w:r>
      <w:r>
        <w:t xml:space="preserve">This is a [insurer name] product. Udofin acts as [corporate agent / web aggregator / technology provider to RE name] (registration [number]).</w:t>
      </w:r>
      <w:r>
        <w:t xml:space="preserve">”</w:t>
      </w:r>
      <w:r>
        <w:t xml:space="preserve"> </w:t>
      </w:r>
      <w:r>
        <w:t xml:space="preserve">Never presented as Udofin’s or an RE’s own product unless it is (draft para 101J).</w:t>
      </w:r>
    </w:p>
    <w:p>
      <w:pPr>
        <w:numPr>
          <w:ilvl w:val="0"/>
          <w:numId w:val="1185"/>
        </w:numPr>
        <w:pStyle w:val="Compact"/>
      </w:pPr>
      <w:r>
        <w:rPr>
          <w:bCs/>
          <w:b/>
        </w:rPr>
        <w:t xml:space="preserve">KFS-like summary sheet</w:t>
      </w:r>
      <w:r>
        <w:t xml:space="preserve"> </w:t>
      </w:r>
      <w:r>
        <w:t xml:space="preserve">(one page, before any purchase step): provider; product; what is covered and what is not; premium and all charges (one figure and its split); term; renewal; free-look period; how to cancel; how to claim; seller name and functional ID; remuneration (commission or fee) disclosed in a single line; grievance route; the regulator statement. Versioned and stored with the purchase evidence.</w:t>
      </w:r>
    </w:p>
    <w:p>
      <w:pPr>
        <w:numPr>
          <w:ilvl w:val="0"/>
          <w:numId w:val="1185"/>
        </w:numPr>
        <w:pStyle w:val="Compact"/>
      </w:pPr>
      <w:r>
        <w:rPr>
          <w:bCs/>
          <w:b/>
        </w:rPr>
        <w:t xml:space="preserve">Plain-language and vernacular:</w:t>
      </w:r>
      <w:r>
        <w:t xml:space="preserve"> </w:t>
      </w:r>
      <w:r>
        <w:t xml:space="preserve">same language and accessibility rules as Part 3.3.</w:t>
      </w:r>
    </w:p>
    <w:bookmarkEnd w:id="302"/>
    <w:bookmarkStart w:id="303" w:name="xp1.5-partner-adapters"/>
    <w:p>
      <w:pPr>
        <w:pStyle w:val="Heading3"/>
      </w:pPr>
      <w:r>
        <w:t xml:space="preserve">XP1.5 Partner adapters</w:t>
      </w:r>
    </w:p>
    <w:p>
      <w:pPr>
        <w:numPr>
          <w:ilvl w:val="0"/>
          <w:numId w:val="1186"/>
        </w:numPr>
        <w:pStyle w:val="Compact"/>
      </w:pPr>
      <w:r>
        <w:rPr>
          <w:bCs/>
          <w:b/>
        </w:rPr>
        <w:t xml:space="preserve">Interfaces</w:t>
      </w:r>
      <w:r>
        <w:t xml:space="preserve"> </w:t>
      </w:r>
      <w:r>
        <w:t xml:space="preserve">(in U21, Part 9):</w:t>
      </w:r>
      <w:r>
        <w:t xml:space="preserve"> </w:t>
      </w:r>
      <w:r>
        <w:rPr>
          <w:rStyle w:val="VerbatimChar"/>
        </w:rPr>
        <w:t xml:space="preserve">InsurerAdapter</w:t>
      </w:r>
      <w:r>
        <w:t xml:space="preserve"> </w:t>
      </w:r>
      <w:r>
        <w:t xml:space="preserve">(product catalogue, quote, proposal, payment link, policy issuance callback, document fetch, endorsement, cancellation, claim intimation, claim status, grievance status),</w:t>
      </w:r>
      <w:r>
        <w:t xml:space="preserve"> </w:t>
      </w:r>
      <w:r>
        <w:rPr>
          <w:rStyle w:val="VerbatimChar"/>
        </w:rPr>
        <w:t xml:space="preserve">WebAggregatorAdapter</w:t>
      </w:r>
      <w:r>
        <w:t xml:space="preserve">,</w:t>
      </w:r>
      <w:r>
        <w:t xml:space="preserve"> </w:t>
      </w:r>
      <w:r>
        <w:rPr>
          <w:rStyle w:val="VerbatimChar"/>
        </w:rPr>
        <w:t xml:space="preserve">MfDistributionAdapter</w:t>
      </w:r>
      <w:r>
        <w:t xml:space="preserve">,</w:t>
      </w:r>
      <w:r>
        <w:t xml:space="preserve"> </w:t>
      </w:r>
      <w:r>
        <w:rPr>
          <w:rStyle w:val="VerbatimChar"/>
        </w:rPr>
        <w:t xml:space="preserve">BbpsAgentAdapter</w:t>
      </w:r>
      <w:r>
        <w:t xml:space="preserve">,</w:t>
      </w:r>
      <w:r>
        <w:t xml:space="preserve"> </w:t>
      </w:r>
      <w:r>
        <w:rPr>
          <w:rStyle w:val="VerbatimChar"/>
        </w:rPr>
        <w:t xml:space="preserve">DepositDistributionAdapter</w:t>
      </w:r>
      <w:r>
        <w:t xml:space="preserve">.</w:t>
      </w:r>
    </w:p>
    <w:p>
      <w:pPr>
        <w:numPr>
          <w:ilvl w:val="0"/>
          <w:numId w:val="1186"/>
        </w:numPr>
        <w:pStyle w:val="Compact"/>
      </w:pPr>
      <w:r>
        <w:rPr>
          <w:bCs/>
          <w:b/>
        </w:rPr>
        <w:t xml:space="preserve">Certification:</w:t>
      </w:r>
      <w:r>
        <w:t xml:space="preserve"> </w:t>
      </w:r>
      <w:r>
        <w:t xml:space="preserve">each partner integration passes a certification suite (sandbox quotes, issuance, cancellation within free-look, claim intimation, webhook signature and replay tests) before</w:t>
      </w:r>
      <w:r>
        <w:t xml:space="preserve"> </w:t>
      </w:r>
      <w:r>
        <w:rPr>
          <w:rStyle w:val="VerbatimChar"/>
        </w:rPr>
        <w:t xml:space="preserve">CERTIFIED</w:t>
      </w:r>
      <w:r>
        <w:t xml:space="preserve">.</w:t>
      </w:r>
    </w:p>
    <w:p>
      <w:pPr>
        <w:numPr>
          <w:ilvl w:val="0"/>
          <w:numId w:val="1186"/>
        </w:numPr>
        <w:pStyle w:val="Compact"/>
      </w:pPr>
      <w:r>
        <w:rPr>
          <w:bCs/>
          <w:b/>
        </w:rPr>
        <w:t xml:space="preserve">Security and residency:</w:t>
      </w:r>
      <w:r>
        <w:t xml:space="preserve"> </w:t>
      </w:r>
      <w:r>
        <w:t xml:space="preserve">mTLS or signed requests; per-partner credentials in the vault; partner data processing and storage in India confirmed by contract (CF para 14(4) applies to DLA data; DPDP applies to all) [VERIFY each partner].</w:t>
      </w:r>
    </w:p>
    <w:bookmarkEnd w:id="303"/>
    <w:bookmarkStart w:id="304" w:name="settings-and-options-xp1-and-xp3"/>
    <w:p>
      <w:pPr>
        <w:pStyle w:val="Heading3"/>
      </w:pPr>
      <w:r>
        <w:t xml:space="preserve">Settings and options (XP1 and XP3)</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76"/>
        <w:gridCol w:w="1767"/>
        <w:gridCol w:w="2708"/>
        <w:gridCol w:w="2687"/>
      </w:tblGrid>
      <w:tr>
        <w:trPr>
          <w:tblHeader w:val="true"/>
          <w:tblHeader w:val="true"/>
        </w:trPr>
        <w:tc>
          <w:tcPr>
            <w:tcW w:w="2476" w:type="dxa"/>
            <w:shd w:val="clear" w:color="auto" w:fill="1F3A5F"/>
          </w:tcPr>
          <w:p>
            <w:pPr>
              <w:pStyle w:val="Compact"/>
              <w:spacing w:after="40"/>
              <w:jc w:val="left"/>
            </w:pPr>
            <w:r>
              <w:rPr>
                <w:b/>
                <w:color w:val="FFFFFF"/>
                <w:sz w:val="18"/>
              </w:rPr>
              <w:t xml:space="preserve">Setting</w:t>
            </w:r>
          </w:p>
        </w:tc>
        <w:tc>
          <w:tcPr>
            <w:tcW w:w="1767" w:type="dxa"/>
            <w:shd w:val="clear" w:color="auto" w:fill="1F3A5F"/>
          </w:tcPr>
          <w:p>
            <w:pPr>
              <w:pStyle w:val="Compact"/>
              <w:spacing w:after="40"/>
              <w:jc w:val="left"/>
            </w:pPr>
            <w:r>
              <w:rPr>
                <w:b/>
                <w:color w:val="FFFFFF"/>
                <w:sz w:val="18"/>
              </w:rPr>
              <w:t xml:space="preserve">Level</w:t>
            </w:r>
          </w:p>
        </w:tc>
        <w:tc>
          <w:tcPr>
            <w:tcW w:w="2708" w:type="dxa"/>
            <w:shd w:val="clear" w:color="auto" w:fill="1F3A5F"/>
          </w:tcPr>
          <w:p>
            <w:pPr>
              <w:pStyle w:val="Compact"/>
              <w:spacing w:after="40"/>
              <w:jc w:val="left"/>
            </w:pPr>
            <w:r>
              <w:rPr>
                <w:b/>
                <w:color w:val="FFFFFF"/>
                <w:sz w:val="18"/>
              </w:rPr>
              <w:t xml:space="preserve">Default</w:t>
            </w:r>
          </w:p>
        </w:tc>
        <w:tc>
          <w:tcPr>
            <w:tcW w:w="2687" w:type="dxa"/>
            <w:shd w:val="clear" w:color="auto" w:fill="1F3A5F"/>
          </w:tcPr>
          <w:p>
            <w:pPr>
              <w:pStyle w:val="Compact"/>
              <w:spacing w:after="40"/>
              <w:jc w:val="left"/>
            </w:pPr>
            <w:r>
              <w:rPr>
                <w:b/>
                <w:color w:val="FFFFFF"/>
                <w:sz w:val="18"/>
              </w:rPr>
              <w:t xml:space="preserve">Nature</w:t>
            </w:r>
          </w:p>
        </w:tc>
      </w:tr>
      <w:tr>
        <w:tc>
          <w:tcPr>
            <w:tcW w:w="2476" w:type="dxa"/>
          </w:tcPr>
          <w:p>
            <w:pPr>
              <w:pStyle w:val="Compact"/>
              <w:spacing w:after="40"/>
              <w:jc w:val="left"/>
            </w:pPr>
            <w:r>
              <w:rPr>
                <w:sz w:val="18"/>
              </w:rPr>
              <w:t xml:space="preserve">Module state and kill-switch</w:t>
            </w:r>
          </w:p>
        </w:tc>
        <w:tc>
          <w:tcPr>
            <w:tcW w:w="1767" w:type="dxa"/>
          </w:tcPr>
          <w:p>
            <w:pPr>
              <w:pStyle w:val="Compact"/>
              <w:spacing w:after="40"/>
              <w:jc w:val="left"/>
            </w:pPr>
            <w:r>
              <w:rPr>
                <w:sz w:val="18"/>
              </w:rPr>
              <w:t xml:space="preserve">Platform, per module</w:t>
            </w:r>
          </w:p>
        </w:tc>
        <w:tc>
          <w:tcPr>
            <w:tcW w:w="2708" w:type="dxa"/>
          </w:tcPr>
          <w:p>
            <w:pPr>
              <w:pStyle w:val="Compact"/>
              <w:spacing w:after="40"/>
              <w:jc w:val="left"/>
            </w:pPr>
            <w:r>
              <w:rPr>
                <w:rStyle w:val="VerbatimChar"/>
                <w:sz w:val="18"/>
              </w:rPr>
              <w:t xml:space="preserve">PROPOSED</w:t>
            </w:r>
            <w:r>
              <w:rPr>
                <w:sz w:val="18"/>
              </w:rPr>
              <w:t xml:space="preserve">; kill-switch armed</w:t>
            </w:r>
          </w:p>
        </w:tc>
        <w:tc>
          <w:tcPr>
            <w:tcW w:w="2687" w:type="dxa"/>
          </w:tcPr>
          <w:p>
            <w:pPr>
              <w:pStyle w:val="Compact"/>
              <w:spacing w:after="40"/>
              <w:jc w:val="left"/>
            </w:pPr>
            <w:r>
              <w:rPr>
                <w:sz w:val="18"/>
              </w:rPr>
              <w:t xml:space="preserve">Compliance or CISO only; ENABLED only through the XP1.3 gate</w:t>
            </w:r>
          </w:p>
        </w:tc>
      </w:tr>
      <w:tr>
        <w:tc>
          <w:tcPr>
            <w:tcW w:w="2476" w:type="dxa"/>
          </w:tcPr>
          <w:p>
            <w:pPr>
              <w:pStyle w:val="Compact"/>
              <w:spacing w:after="40"/>
              <w:jc w:val="left"/>
            </w:pPr>
            <w:r>
              <w:rPr>
                <w:sz w:val="18"/>
              </w:rPr>
              <w:t xml:space="preserve">Licence-expiry block window</w:t>
            </w:r>
          </w:p>
        </w:tc>
        <w:tc>
          <w:tcPr>
            <w:tcW w:w="1767" w:type="dxa"/>
          </w:tcPr>
          <w:p>
            <w:pPr>
              <w:pStyle w:val="Compact"/>
              <w:spacing w:after="40"/>
              <w:jc w:val="left"/>
            </w:pPr>
            <w:r>
              <w:rPr>
                <w:sz w:val="18"/>
              </w:rPr>
              <w:t xml:space="preserve">Platform</w:t>
            </w:r>
          </w:p>
        </w:tc>
        <w:tc>
          <w:tcPr>
            <w:tcW w:w="2708" w:type="dxa"/>
          </w:tcPr>
          <w:p>
            <w:pPr>
              <w:pStyle w:val="Compact"/>
              <w:spacing w:after="40"/>
              <w:jc w:val="left"/>
            </w:pPr>
            <w:r>
              <w:rPr>
                <w:sz w:val="18"/>
              </w:rPr>
              <w:t xml:space="preserve">30 days before</w:t>
            </w:r>
            <w:r>
              <w:rPr>
                <w:sz w:val="18"/>
              </w:rPr>
              <w:t xml:space="preserve"> </w:t>
            </w:r>
            <w:r>
              <w:rPr>
                <w:rStyle w:val="VerbatimChar"/>
                <w:sz w:val="18"/>
              </w:rPr>
              <w:t xml:space="preserve">valid_to</w:t>
            </w:r>
          </w:p>
        </w:tc>
        <w:tc>
          <w:tcPr>
            <w:tcW w:w="2687" w:type="dxa"/>
          </w:tcPr>
          <w:p>
            <w:pPr>
              <w:pStyle w:val="Compact"/>
              <w:spacing w:after="40"/>
              <w:jc w:val="left"/>
            </w:pPr>
            <w:r>
              <w:rPr>
                <w:sz w:val="18"/>
              </w:rPr>
              <w:t xml:space="preserve">Floor; may only be lengthened</w:t>
            </w:r>
          </w:p>
        </w:tc>
      </w:tr>
      <w:tr>
        <w:tc>
          <w:tcPr>
            <w:tcW w:w="2476" w:type="dxa"/>
          </w:tcPr>
          <w:p>
            <w:pPr>
              <w:pStyle w:val="Compact"/>
              <w:spacing w:after="40"/>
              <w:jc w:val="left"/>
            </w:pPr>
            <w:r>
              <w:rPr>
                <w:sz w:val="18"/>
              </w:rPr>
              <w:t xml:space="preserve">Tie-up limit per line</w:t>
            </w:r>
          </w:p>
        </w:tc>
        <w:tc>
          <w:tcPr>
            <w:tcW w:w="1767" w:type="dxa"/>
          </w:tcPr>
          <w:p>
            <w:pPr>
              <w:pStyle w:val="Compact"/>
              <w:spacing w:after="40"/>
              <w:jc w:val="left"/>
            </w:pPr>
            <w:r>
              <w:rPr>
                <w:sz w:val="18"/>
              </w:rPr>
              <w:t xml:space="preserve">Platform, per licence type</w:t>
            </w:r>
          </w:p>
        </w:tc>
        <w:tc>
          <w:tcPr>
            <w:tcW w:w="2708" w:type="dxa"/>
          </w:tcPr>
          <w:p>
            <w:pPr>
              <w:pStyle w:val="Compact"/>
              <w:spacing w:after="40"/>
              <w:jc w:val="left"/>
            </w:pPr>
            <w:r>
              <w:rPr>
                <w:sz w:val="18"/>
              </w:rPr>
              <w:t xml:space="preserve">9 insurers per line (Corporate Agent)</w:t>
            </w:r>
          </w:p>
        </w:tc>
        <w:tc>
          <w:tcPr>
            <w:tcW w:w="2687" w:type="dxa"/>
          </w:tcPr>
          <w:p>
            <w:pPr>
              <w:pStyle w:val="Compact"/>
              <w:spacing w:after="40"/>
              <w:jc w:val="left"/>
            </w:pPr>
            <w:r>
              <w:rPr>
                <w:sz w:val="18"/>
              </w:rPr>
              <w:t xml:space="preserve">Regulatory floor; follows the licence rule pack</w:t>
            </w:r>
          </w:p>
        </w:tc>
      </w:tr>
      <w:tr>
        <w:tc>
          <w:tcPr>
            <w:tcW w:w="2476" w:type="dxa"/>
          </w:tcPr>
          <w:p>
            <w:pPr>
              <w:pStyle w:val="Compact"/>
              <w:spacing w:after="40"/>
              <w:jc w:val="left"/>
            </w:pPr>
            <w:r>
              <w:rPr>
                <w:sz w:val="18"/>
              </w:rPr>
              <w:t xml:space="preserve">Partner certification re-run</w:t>
            </w:r>
          </w:p>
        </w:tc>
        <w:tc>
          <w:tcPr>
            <w:tcW w:w="1767" w:type="dxa"/>
          </w:tcPr>
          <w:p>
            <w:pPr>
              <w:pStyle w:val="Compact"/>
              <w:spacing w:after="40"/>
              <w:jc w:val="left"/>
            </w:pPr>
            <w:r>
              <w:rPr>
                <w:sz w:val="18"/>
              </w:rPr>
              <w:t xml:space="preserve">Platform, per partner</w:t>
            </w:r>
          </w:p>
        </w:tc>
        <w:tc>
          <w:tcPr>
            <w:tcW w:w="2708" w:type="dxa"/>
          </w:tcPr>
          <w:p>
            <w:pPr>
              <w:pStyle w:val="Compact"/>
              <w:spacing w:after="40"/>
              <w:jc w:val="left"/>
            </w:pPr>
            <w:r>
              <w:rPr>
                <w:sz w:val="18"/>
              </w:rPr>
              <w:t xml:space="preserve">On each adapter release and annually</w:t>
            </w:r>
          </w:p>
        </w:tc>
        <w:tc>
          <w:tcPr>
            <w:tcW w:w="2687" w:type="dxa"/>
          </w:tcPr>
          <w:p>
            <w:pPr>
              <w:pStyle w:val="Compact"/>
              <w:spacing w:after="40"/>
              <w:jc w:val="left"/>
            </w:pPr>
            <w:r>
              <w:rPr>
                <w:sz w:val="18"/>
              </w:rPr>
              <w:t xml:space="preserve">Floor</w:t>
            </w:r>
          </w:p>
        </w:tc>
      </w:tr>
      <w:tr>
        <w:tc>
          <w:tcPr>
            <w:tcW w:w="2476" w:type="dxa"/>
          </w:tcPr>
          <w:p>
            <w:pPr>
              <w:pStyle w:val="Compact"/>
              <w:spacing w:after="40"/>
              <w:jc w:val="left"/>
            </w:pPr>
            <w:r>
              <w:rPr>
                <w:sz w:val="18"/>
              </w:rPr>
              <w:t xml:space="preserve">Active languages for disclosures and summary sheets</w:t>
            </w:r>
          </w:p>
        </w:tc>
        <w:tc>
          <w:tcPr>
            <w:tcW w:w="1767" w:type="dxa"/>
          </w:tcPr>
          <w:p>
            <w:pPr>
              <w:pStyle w:val="Compact"/>
              <w:spacing w:after="40"/>
              <w:jc w:val="left"/>
            </w:pPr>
            <w:r>
              <w:rPr>
                <w:sz w:val="18"/>
              </w:rPr>
              <w:t xml:space="preserve">Platform, per module</w:t>
            </w:r>
          </w:p>
        </w:tc>
        <w:tc>
          <w:tcPr>
            <w:tcW w:w="2708" w:type="dxa"/>
          </w:tcPr>
          <w:p>
            <w:pPr>
              <w:pStyle w:val="Compact"/>
              <w:spacing w:after="40"/>
              <w:jc w:val="left"/>
            </w:pPr>
            <w:r>
              <w:rPr>
                <w:sz w:val="18"/>
              </w:rPr>
              <w:t xml:space="preserve">English and Hindi</w:t>
            </w:r>
          </w:p>
        </w:tc>
        <w:tc>
          <w:tcPr>
            <w:tcW w:w="2687" w:type="dxa"/>
          </w:tcPr>
          <w:p>
            <w:pPr>
              <w:pStyle w:val="Compact"/>
              <w:spacing w:after="40"/>
              <w:jc w:val="left"/>
            </w:pPr>
            <w:r>
              <w:rPr>
                <w:sz w:val="18"/>
              </w:rPr>
              <w:t xml:space="preserve">A language goes live only when every string is approved</w:t>
            </w:r>
          </w:p>
        </w:tc>
      </w:tr>
      <w:tr>
        <w:tc>
          <w:tcPr>
            <w:tcW w:w="2476" w:type="dxa"/>
          </w:tcPr>
          <w:p>
            <w:pPr>
              <w:pStyle w:val="Compact"/>
              <w:spacing w:after="40"/>
              <w:jc w:val="left"/>
            </w:pPr>
            <w:r>
              <w:rPr>
                <w:sz w:val="18"/>
              </w:rPr>
              <w:t xml:space="preserve">Nightly licence job time and notification list</w:t>
            </w:r>
          </w:p>
        </w:tc>
        <w:tc>
          <w:tcPr>
            <w:tcW w:w="1767" w:type="dxa"/>
          </w:tcPr>
          <w:p>
            <w:pPr>
              <w:pStyle w:val="Compact"/>
              <w:spacing w:after="40"/>
              <w:jc w:val="left"/>
            </w:pPr>
            <w:r>
              <w:rPr>
                <w:sz w:val="18"/>
              </w:rPr>
              <w:t xml:space="preserve">Platform</w:t>
            </w:r>
          </w:p>
        </w:tc>
        <w:tc>
          <w:tcPr>
            <w:tcW w:w="2708" w:type="dxa"/>
          </w:tcPr>
          <w:p>
            <w:pPr>
              <w:pStyle w:val="Compact"/>
              <w:spacing w:after="40"/>
              <w:jc w:val="left"/>
            </w:pPr>
            <w:r>
              <w:rPr>
                <w:sz w:val="18"/>
              </w:rPr>
              <w:t xml:space="preserve">02:00 IST; Compliance and the Operations Hub licence calendar</w:t>
            </w:r>
          </w:p>
        </w:tc>
        <w:tc>
          <w:tcPr>
            <w:tcW w:w="2687" w:type="dxa"/>
          </w:tcPr>
          <w:p>
            <w:pPr>
              <w:pStyle w:val="Compact"/>
              <w:spacing w:after="40"/>
              <w:jc w:val="left"/>
            </w:pPr>
            <w:r>
              <w:rPr>
                <w:sz w:val="18"/>
              </w:rPr>
              <w:t xml:space="preserve">Operational choice</w:t>
            </w:r>
          </w:p>
        </w:tc>
      </w:tr>
    </w:tbl>
    <w:bookmarkEnd w:id="304"/>
    <w:bookmarkStart w:id="305" w:name="X2cf1080d7ae2d8218764991740a52e073ca1853"/>
    <w:p>
      <w:pPr>
        <w:pStyle w:val="Heading3"/>
      </w:pPr>
      <w:r>
        <w:t xml:space="preserve">Menu and screens (operations portal, channel C)</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26"/>
        <w:gridCol w:w="5527"/>
        <w:gridCol w:w="2485"/>
      </w:tblGrid>
      <w:tr>
        <w:trPr>
          <w:tblHeader w:val="true"/>
          <w:tblHeader w:val="true"/>
        </w:trPr>
        <w:tc>
          <w:tcPr>
            <w:tcW w:w="1626" w:type="dxa"/>
            <w:shd w:val="clear" w:color="auto" w:fill="1F3A5F"/>
          </w:tcPr>
          <w:p>
            <w:pPr>
              <w:pStyle w:val="Compact"/>
              <w:spacing w:after="40"/>
              <w:jc w:val="left"/>
            </w:pPr>
            <w:r>
              <w:rPr>
                <w:b/>
                <w:color w:val="FFFFFF"/>
                <w:sz w:val="18"/>
              </w:rPr>
              <w:t xml:space="preserve">Path</w:t>
            </w:r>
          </w:p>
        </w:tc>
        <w:tc>
          <w:tcPr>
            <w:tcW w:w="5527" w:type="dxa"/>
            <w:shd w:val="clear" w:color="auto" w:fill="1F3A5F"/>
          </w:tcPr>
          <w:p>
            <w:pPr>
              <w:pStyle w:val="Compact"/>
              <w:spacing w:after="40"/>
              <w:jc w:val="left"/>
            </w:pPr>
            <w:r>
              <w:rPr>
                <w:b/>
                <w:color w:val="FFFFFF"/>
                <w:sz w:val="18"/>
              </w:rPr>
              <w:t xml:space="preserve">Main screens and key actions</w:t>
            </w:r>
          </w:p>
        </w:tc>
        <w:tc>
          <w:tcPr>
            <w:tcW w:w="2485" w:type="dxa"/>
            <w:shd w:val="clear" w:color="auto" w:fill="1F3A5F"/>
          </w:tcPr>
          <w:p>
            <w:pPr>
              <w:pStyle w:val="Compact"/>
              <w:spacing w:after="40"/>
              <w:jc w:val="left"/>
            </w:pPr>
            <w:r>
              <w:rPr>
                <w:b/>
                <w:color w:val="FFFFFF"/>
                <w:sz w:val="18"/>
              </w:rPr>
              <w:t xml:space="preserve">Roles</w:t>
            </w:r>
          </w:p>
        </w:tc>
      </w:tr>
      <w:tr>
        <w:tc>
          <w:tcPr>
            <w:tcW w:w="1626" w:type="dxa"/>
          </w:tcPr>
          <w:p>
            <w:pPr>
              <w:pStyle w:val="Compact"/>
              <w:spacing w:after="40"/>
              <w:jc w:val="left"/>
            </w:pPr>
            <w:r>
              <w:rPr>
                <w:rStyle w:val="VerbatimChar"/>
                <w:sz w:val="18"/>
              </w:rPr>
              <w:t xml:space="preserve">Products › Registry</w:t>
            </w:r>
          </w:p>
        </w:tc>
        <w:tc>
          <w:tcPr>
            <w:tcW w:w="5527" w:type="dxa"/>
          </w:tcPr>
          <w:p>
            <w:pPr>
              <w:pStyle w:val="Compact"/>
              <w:spacing w:after="40"/>
              <w:jc w:val="left"/>
            </w:pPr>
            <w:r>
              <w:rPr>
                <w:sz w:val="18"/>
              </w:rPr>
              <w:t xml:space="preserve">Module list by state with filters (category, regulator, holder, state); module detail with the ENABLED gate checklist showing each missing item; configure wizard (manifest, consents, disclosures, summary sheet, revenue stream) with maker-checker; Enable, Suspend, Read-only, Retire; kill-switch with typed reason</w:t>
            </w:r>
          </w:p>
        </w:tc>
        <w:tc>
          <w:tcPr>
            <w:tcW w:w="2485" w:type="dxa"/>
          </w:tcPr>
          <w:p>
            <w:pPr>
              <w:pStyle w:val="Compact"/>
              <w:spacing w:after="40"/>
              <w:jc w:val="left"/>
            </w:pPr>
            <w:r>
              <w:rPr>
                <w:sz w:val="18"/>
              </w:rPr>
              <w:t xml:space="preserve">Product owner (maker), Compliance (checker), CISO (kill-switch)</w:t>
            </w:r>
          </w:p>
        </w:tc>
      </w:tr>
      <w:tr>
        <w:tc>
          <w:tcPr>
            <w:tcW w:w="1626" w:type="dxa"/>
          </w:tcPr>
          <w:p>
            <w:pPr>
              <w:pStyle w:val="Compact"/>
              <w:spacing w:after="40"/>
              <w:jc w:val="left"/>
            </w:pPr>
            <w:r>
              <w:rPr>
                <w:rStyle w:val="VerbatimChar"/>
                <w:sz w:val="18"/>
              </w:rPr>
              <w:t xml:space="preserve">Products › Licences</w:t>
            </w:r>
          </w:p>
        </w:tc>
        <w:tc>
          <w:tcPr>
            <w:tcW w:w="5527" w:type="dxa"/>
          </w:tcPr>
          <w:p>
            <w:pPr>
              <w:pStyle w:val="Compact"/>
              <w:spacing w:after="40"/>
              <w:jc w:val="left"/>
            </w:pPr>
            <w:r>
              <w:rPr>
                <w:sz w:val="18"/>
              </w:rPr>
              <w:t xml:space="preserve">Licence register with expiry countdown, IRDAI fresh-certificate and annual-fee tracker, principal officer and specified persons; upload certificate; renewal tasks</w:t>
            </w:r>
          </w:p>
        </w:tc>
        <w:tc>
          <w:tcPr>
            <w:tcW w:w="2485" w:type="dxa"/>
          </w:tcPr>
          <w:p>
            <w:pPr>
              <w:pStyle w:val="Compact"/>
              <w:spacing w:after="40"/>
              <w:jc w:val="left"/>
            </w:pPr>
            <w:r>
              <w:rPr>
                <w:sz w:val="18"/>
              </w:rPr>
              <w:t xml:space="preserve">Compliance</w:t>
            </w:r>
          </w:p>
        </w:tc>
      </w:tr>
      <w:tr>
        <w:tc>
          <w:tcPr>
            <w:tcW w:w="1626" w:type="dxa"/>
          </w:tcPr>
          <w:p>
            <w:pPr>
              <w:pStyle w:val="Compact"/>
              <w:spacing w:after="40"/>
              <w:jc w:val="left"/>
            </w:pPr>
            <w:r>
              <w:rPr>
                <w:rStyle w:val="VerbatimChar"/>
                <w:sz w:val="18"/>
              </w:rPr>
              <w:t xml:space="preserve">Products › Product partners</w:t>
            </w:r>
          </w:p>
        </w:tc>
        <w:tc>
          <w:tcPr>
            <w:tcW w:w="5527" w:type="dxa"/>
          </w:tcPr>
          <w:p>
            <w:pPr>
              <w:pStyle w:val="Compact"/>
              <w:spacing w:after="40"/>
              <w:jc w:val="left"/>
            </w:pPr>
            <w:r>
              <w:rPr>
                <w:sz w:val="18"/>
              </w:rPr>
              <w:t xml:space="preserve">Agreements, tie-up count per line, certification runs and results, residency attestations</w:t>
            </w:r>
          </w:p>
        </w:tc>
        <w:tc>
          <w:tcPr>
            <w:tcW w:w="2485" w:type="dxa"/>
          </w:tcPr>
          <w:p>
            <w:pPr>
              <w:pStyle w:val="Compact"/>
              <w:spacing w:after="40"/>
              <w:jc w:val="left"/>
            </w:pPr>
            <w:r>
              <w:rPr>
                <w:sz w:val="18"/>
              </w:rPr>
              <w:t xml:space="preserve">Partnerships, Compliance</w:t>
            </w:r>
          </w:p>
        </w:tc>
      </w:tr>
      <w:tr>
        <w:tc>
          <w:tcPr>
            <w:tcW w:w="1626" w:type="dxa"/>
          </w:tcPr>
          <w:p>
            <w:pPr>
              <w:pStyle w:val="Compact"/>
              <w:spacing w:after="40"/>
              <w:jc w:val="left"/>
            </w:pPr>
            <w:r>
              <w:rPr>
                <w:rStyle w:val="VerbatimChar"/>
                <w:sz w:val="18"/>
              </w:rPr>
              <w:t xml:space="preserve">Products › Pipeline</w:t>
            </w:r>
            <w:r>
              <w:rPr>
                <w:sz w:val="18"/>
              </w:rPr>
              <w:t xml:space="preserve"> </w:t>
            </w:r>
            <w:r>
              <w:rPr>
                <w:sz w:val="18"/>
              </w:rPr>
              <w:t xml:space="preserve">(XP3)</w:t>
            </w:r>
          </w:p>
        </w:tc>
        <w:tc>
          <w:tcPr>
            <w:tcW w:w="5527" w:type="dxa"/>
          </w:tcPr>
          <w:p>
            <w:pPr>
              <w:pStyle w:val="Compact"/>
              <w:spacing w:after="40"/>
              <w:jc w:val="left"/>
            </w:pPr>
            <w:r>
              <w:rPr>
                <w:rStyle w:val="VerbatimChar"/>
                <w:sz w:val="18"/>
              </w:rPr>
              <w:t xml:space="preserve">PROPOSED</w:t>
            </w:r>
            <w:r>
              <w:rPr>
                <w:sz w:val="18"/>
              </w:rPr>
              <w:t xml:space="preserve"> </w:t>
            </w:r>
            <w:r>
              <w:rPr>
                <w:sz w:val="18"/>
              </w:rPr>
              <w:t xml:space="preserve">candidates with feasibility-note status, legal sign-off and owner approval; no build action until</w:t>
            </w:r>
            <w:r>
              <w:rPr>
                <w:sz w:val="18"/>
              </w:rPr>
              <w:t xml:space="preserve"> </w:t>
            </w:r>
            <w:r>
              <w:rPr>
                <w:rStyle w:val="VerbatimChar"/>
                <w:sz w:val="18"/>
              </w:rPr>
              <w:t xml:space="preserve">FEASIBILITY_APPROVED</w:t>
            </w:r>
          </w:p>
        </w:tc>
        <w:tc>
          <w:tcPr>
            <w:tcW w:w="2485" w:type="dxa"/>
          </w:tcPr>
          <w:p>
            <w:pPr>
              <w:pStyle w:val="Compact"/>
              <w:spacing w:after="40"/>
              <w:jc w:val="left"/>
            </w:pPr>
            <w:r>
              <w:rPr>
                <w:sz w:val="18"/>
              </w:rPr>
              <w:t xml:space="preserve">Product owner, counsel</w:t>
            </w:r>
          </w:p>
        </w:tc>
      </w:tr>
    </w:tbl>
    <w:p>
      <w:pPr>
        <w:pStyle w:val="BodyText"/>
      </w:pPr>
      <w:r>
        <w:t xml:space="preserve">Empty state:</w:t>
      </w:r>
      <w:r>
        <w:t xml:space="preserve"> </w:t>
      </w:r>
      <w:r>
        <w:t xml:space="preserve">“</w:t>
      </w:r>
      <w:r>
        <w:t xml:space="preserve">No product module is enabled. Insurance and other non-loan products stay off until a licence model is approved (Appendix B).</w:t>
      </w:r>
      <w:r>
        <w:t xml:space="preserve">”</w:t>
      </w:r>
      <w:r>
        <w:t xml:space="preserve"> </w:t>
      </w:r>
      <w:r>
        <w:t xml:space="preserve">Bulk actions are limited to export of the registry (CSV, XLSX); state changes are one module at a time.</w:t>
      </w:r>
    </w:p>
    <w:bookmarkEnd w:id="305"/>
    <w:bookmarkStart w:id="306" w:name="acceptance-tests-17"/>
    <w:p>
      <w:pPr>
        <w:pStyle w:val="Heading3"/>
      </w:pPr>
      <w:r>
        <w:t xml:space="preserve">Acceptance tests</w:t>
      </w:r>
    </w:p>
    <w:p>
      <w:pPr>
        <w:numPr>
          <w:ilvl w:val="0"/>
          <w:numId w:val="1187"/>
        </w:numPr>
        <w:pStyle w:val="Compact"/>
      </w:pPr>
      <w:r>
        <w:t xml:space="preserve">A module with an expired licence, a 10th insurer on one line under a Corporate Agent licence, or no RV1 stream cannot reach</w:t>
      </w:r>
      <w:r>
        <w:t xml:space="preserve"> </w:t>
      </w:r>
      <w:r>
        <w:rPr>
          <w:rStyle w:val="VerbatimChar"/>
        </w:rPr>
        <w:t xml:space="preserve">ENABLED</w:t>
      </w:r>
      <w:r>
        <w:t xml:space="preserve">.</w:t>
      </w:r>
    </w:p>
    <w:p>
      <w:pPr>
        <w:numPr>
          <w:ilvl w:val="0"/>
          <w:numId w:val="1187"/>
        </w:numPr>
        <w:pStyle w:val="Compact"/>
      </w:pPr>
      <w:r>
        <w:t xml:space="preserve">The nightly job suspends a module whose licence expires that day; quotes stop; existing policy documents and claim tickets stay available.</w:t>
      </w:r>
    </w:p>
    <w:p>
      <w:pPr>
        <w:numPr>
          <w:ilvl w:val="0"/>
          <w:numId w:val="1187"/>
        </w:numPr>
        <w:pStyle w:val="Compact"/>
      </w:pPr>
      <w:r>
        <w:t xml:space="preserve">The kill-switch disables a module on app and web within 60 seconds.</w:t>
      </w:r>
    </w:p>
    <w:p>
      <w:pPr>
        <w:numPr>
          <w:ilvl w:val="0"/>
          <w:numId w:val="1187"/>
        </w:numPr>
        <w:pStyle w:val="Compact"/>
      </w:pPr>
      <w:r>
        <w:t xml:space="preserve">A consent component that renders pre-ticked fails the UI test; withdrawal takes no more steps than granting.</w:t>
      </w:r>
    </w:p>
    <w:p>
      <w:pPr>
        <w:numPr>
          <w:ilvl w:val="0"/>
          <w:numId w:val="1187"/>
        </w:numPr>
        <w:pStyle w:val="Compact"/>
      </w:pPr>
      <w:r>
        <w:t xml:space="preserve">A product module cannot read the credit vault, AA references, the loan mirror or any RE data; the static data-scope check fails the build if it tries.</w:t>
      </w:r>
    </w:p>
    <w:p>
      <w:pPr>
        <w:numPr>
          <w:ilvl w:val="0"/>
          <w:numId w:val="1187"/>
        </w:numPr>
        <w:pStyle w:val="Compact"/>
      </w:pPr>
      <w:r>
        <w:t xml:space="preserve">Every product page shows the own-versus-third-party label and the seller identity.</w:t>
      </w:r>
    </w:p>
    <w:p>
      <w:r>
        <w:pict>
          <v:rect style="width:0;height:1.5pt" o:hralign="center" o:hrstd="t" o:hr="t"/>
        </w:pict>
      </w:r>
    </w:p>
    <w:bookmarkEnd w:id="306"/>
    <w:bookmarkEnd w:id="307"/>
    <w:bookmarkStart w:id="318" w:name="X63458c365a202f4260febb879b82c7c4c0400c8"/>
    <w:p>
      <w:pPr>
        <w:pStyle w:val="Heading2"/>
      </w:pPr>
      <w:r>
        <w:t xml:space="preserve">XP2. Insurance distribution (buy, pay, claim support, complaints)</w:t>
      </w:r>
    </w:p>
    <w:bookmarkStart w:id="308" w:name="X768126478c894c2662edb3a882967ef40db2e04"/>
    <w:p>
      <w:pPr>
        <w:pStyle w:val="Heading3"/>
      </w:pPr>
      <w:r>
        <w:t xml:space="preserve">XP2.1 Licence decision (owner decision before Phase 20c)</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60"/>
        <w:gridCol w:w="2298"/>
        <w:gridCol w:w="2164"/>
        <w:gridCol w:w="1340"/>
        <w:gridCol w:w="2076"/>
      </w:tblGrid>
      <w:tr>
        <w:trPr>
          <w:tblHeader w:val="true"/>
          <w:tblHeader w:val="true"/>
        </w:trPr>
        <w:tc>
          <w:tcPr>
            <w:tcW w:w="1760" w:type="dxa"/>
            <w:shd w:val="clear" w:color="auto" w:fill="1F3A5F"/>
          </w:tcPr>
          <w:p>
            <w:pPr>
              <w:pStyle w:val="Compact"/>
              <w:spacing w:after="40"/>
              <w:jc w:val="left"/>
            </w:pPr>
            <w:r>
              <w:rPr>
                <w:b/>
                <w:color w:val="FFFFFF"/>
                <w:sz w:val="18"/>
              </w:rPr>
              <w:t xml:space="preserve">Model</w:t>
            </w:r>
          </w:p>
        </w:tc>
        <w:tc>
          <w:tcPr>
            <w:tcW w:w="2298" w:type="dxa"/>
            <w:shd w:val="clear" w:color="auto" w:fill="1F3A5F"/>
          </w:tcPr>
          <w:p>
            <w:pPr>
              <w:pStyle w:val="Compact"/>
              <w:spacing w:after="40"/>
              <w:jc w:val="left"/>
            </w:pPr>
            <w:r>
              <w:rPr>
                <w:b/>
                <w:color w:val="FFFFFF"/>
                <w:sz w:val="18"/>
              </w:rPr>
              <w:t xml:space="preserve">Udofin’s licence</w:t>
            </w:r>
          </w:p>
        </w:tc>
        <w:tc>
          <w:tcPr>
            <w:tcW w:w="2164" w:type="dxa"/>
            <w:shd w:val="clear" w:color="auto" w:fill="1F3A5F"/>
          </w:tcPr>
          <w:p>
            <w:pPr>
              <w:pStyle w:val="Compact"/>
              <w:spacing w:after="40"/>
              <w:jc w:val="left"/>
            </w:pPr>
            <w:r>
              <w:rPr>
                <w:b/>
                <w:color w:val="FFFFFF"/>
                <w:sz w:val="18"/>
              </w:rPr>
              <w:t xml:space="preserve">Remuneration</w:t>
            </w:r>
          </w:p>
        </w:tc>
        <w:tc>
          <w:tcPr>
            <w:tcW w:w="1340" w:type="dxa"/>
            <w:shd w:val="clear" w:color="auto" w:fill="1F3A5F"/>
          </w:tcPr>
          <w:p>
            <w:pPr>
              <w:pStyle w:val="Compact"/>
              <w:spacing w:after="40"/>
              <w:jc w:val="left"/>
            </w:pPr>
            <w:r>
              <w:rPr>
                <w:b/>
                <w:color w:val="FFFFFF"/>
                <w:sz w:val="18"/>
              </w:rPr>
              <w:t xml:space="preserve">Fit</w:t>
            </w:r>
          </w:p>
        </w:tc>
        <w:tc>
          <w:tcPr>
            <w:tcW w:w="2076" w:type="dxa"/>
            <w:shd w:val="clear" w:color="auto" w:fill="1F3A5F"/>
          </w:tcPr>
          <w:p>
            <w:pPr>
              <w:pStyle w:val="Compact"/>
              <w:spacing w:after="40"/>
              <w:jc w:val="left"/>
            </w:pPr>
            <w:r>
              <w:rPr>
                <w:b/>
                <w:color w:val="FFFFFF"/>
                <w:sz w:val="18"/>
              </w:rPr>
              <w:t xml:space="preserve">Status</w:t>
            </w:r>
          </w:p>
        </w:tc>
      </w:tr>
      <w:tr>
        <w:tc>
          <w:tcPr>
            <w:tcW w:w="1760" w:type="dxa"/>
          </w:tcPr>
          <w:p>
            <w:pPr>
              <w:pStyle w:val="Compact"/>
              <w:spacing w:after="40"/>
              <w:jc w:val="left"/>
            </w:pPr>
            <w:r>
              <w:rPr>
                <w:sz w:val="18"/>
              </w:rPr>
              <w:t xml:space="preserve">A. Udofin is a composite Corporate Agent</w:t>
            </w:r>
          </w:p>
        </w:tc>
        <w:tc>
          <w:tcPr>
            <w:tcW w:w="2298" w:type="dxa"/>
          </w:tcPr>
          <w:p>
            <w:pPr>
              <w:pStyle w:val="Compact"/>
              <w:spacing w:after="40"/>
              <w:jc w:val="left"/>
            </w:pPr>
            <w:r>
              <w:rPr>
                <w:sz w:val="18"/>
              </w:rPr>
              <w:t xml:space="preserve">IRDAI Corporate Agent registration; principal officer; specified persons trained and certified; PI cover</w:t>
            </w:r>
          </w:p>
        </w:tc>
        <w:tc>
          <w:tcPr>
            <w:tcW w:w="2164" w:type="dxa"/>
          </w:tcPr>
          <w:p>
            <w:pPr>
              <w:pStyle w:val="Compact"/>
              <w:spacing w:after="40"/>
              <w:jc w:val="left"/>
            </w:pPr>
            <w:r>
              <w:rPr>
                <w:sz w:val="18"/>
              </w:rPr>
              <w:t xml:space="preserve">Commission from insurers within the insurer’s Board-approved commission policy [VERIFY: IRDAI Payment of Commission Regulations 2023]</w:t>
            </w:r>
          </w:p>
        </w:tc>
        <w:tc>
          <w:tcPr>
            <w:tcW w:w="1340" w:type="dxa"/>
          </w:tcPr>
          <w:p>
            <w:pPr>
              <w:pStyle w:val="Compact"/>
              <w:spacing w:after="40"/>
              <w:jc w:val="left"/>
            </w:pPr>
            <w:r>
              <w:rPr>
                <w:sz w:val="18"/>
              </w:rPr>
              <w:t xml:space="preserve">Embedded marketplace with up to 9 insurers per line</w:t>
            </w:r>
          </w:p>
        </w:tc>
        <w:tc>
          <w:tcPr>
            <w:tcW w:w="2076" w:type="dxa"/>
          </w:tcPr>
          <w:p>
            <w:pPr>
              <w:pStyle w:val="Compact"/>
              <w:spacing w:after="40"/>
              <w:jc w:val="left"/>
            </w:pPr>
            <w:r>
              <w:rPr>
                <w:sz w:val="18"/>
              </w:rPr>
              <w:t xml:space="preserve">Recommended if insurance is strategic [REC]</w:t>
            </w:r>
          </w:p>
        </w:tc>
      </w:tr>
      <w:tr>
        <w:tc>
          <w:tcPr>
            <w:tcW w:w="1760" w:type="dxa"/>
          </w:tcPr>
          <w:p>
            <w:pPr>
              <w:pStyle w:val="Compact"/>
              <w:spacing w:after="40"/>
              <w:jc w:val="left"/>
            </w:pPr>
            <w:r>
              <w:rPr>
                <w:sz w:val="18"/>
              </w:rPr>
              <w:t xml:space="preserve">B. Udofin is an Insurance Web Aggregator</w:t>
            </w:r>
          </w:p>
        </w:tc>
        <w:tc>
          <w:tcPr>
            <w:tcW w:w="2298" w:type="dxa"/>
          </w:tcPr>
          <w:p>
            <w:pPr>
              <w:pStyle w:val="Compact"/>
              <w:spacing w:after="40"/>
              <w:jc w:val="left"/>
            </w:pPr>
            <w:r>
              <w:rPr>
                <w:sz w:val="18"/>
              </w:rPr>
              <w:t xml:space="preserve">IRDAI web aggregator registration (capital ₹25 lakh; no rebates, reg 30E; no promotion of one insurer, reg 21C) [VERIFY: current regulation numbering]</w:t>
            </w:r>
          </w:p>
        </w:tc>
        <w:tc>
          <w:tcPr>
            <w:tcW w:w="2164" w:type="dxa"/>
          </w:tcPr>
          <w:p>
            <w:pPr>
              <w:pStyle w:val="Compact"/>
              <w:spacing w:after="40"/>
              <w:jc w:val="left"/>
            </w:pPr>
            <w:r>
              <w:rPr>
                <w:sz w:val="18"/>
              </w:rPr>
              <w:t xml:space="preserve">Lead and sale fees within the expenses-of-management limits</w:t>
            </w:r>
          </w:p>
        </w:tc>
        <w:tc>
          <w:tcPr>
            <w:tcW w:w="1340" w:type="dxa"/>
          </w:tcPr>
          <w:p>
            <w:pPr>
              <w:pStyle w:val="Compact"/>
              <w:spacing w:after="40"/>
              <w:jc w:val="left"/>
            </w:pPr>
            <w:r>
              <w:rPr>
                <w:sz w:val="18"/>
              </w:rPr>
              <w:t xml:space="preserve">Comparison-led; stricter display rules</w:t>
            </w:r>
          </w:p>
        </w:tc>
        <w:tc>
          <w:tcPr>
            <w:tcW w:w="2076" w:type="dxa"/>
          </w:tcPr>
          <w:p>
            <w:pPr>
              <w:pStyle w:val="Compact"/>
              <w:spacing w:after="40"/>
              <w:jc w:val="left"/>
            </w:pPr>
            <w:r>
              <w:rPr>
                <w:sz w:val="18"/>
              </w:rPr>
              <w:t xml:space="preserve">Alternative to A</w:t>
            </w:r>
          </w:p>
        </w:tc>
      </w:tr>
      <w:tr>
        <w:tc>
          <w:tcPr>
            <w:tcW w:w="1760" w:type="dxa"/>
          </w:tcPr>
          <w:p>
            <w:pPr>
              <w:pStyle w:val="Compact"/>
              <w:spacing w:after="40"/>
              <w:jc w:val="left"/>
            </w:pPr>
            <w:r>
              <w:rPr>
                <w:sz w:val="18"/>
              </w:rPr>
              <w:t xml:space="preserve">C. Udofin is a technology provider to an RE that is a Corporate Agent</w:t>
            </w:r>
          </w:p>
        </w:tc>
        <w:tc>
          <w:tcPr>
            <w:tcW w:w="2298" w:type="dxa"/>
          </w:tcPr>
          <w:p>
            <w:pPr>
              <w:pStyle w:val="Compact"/>
              <w:spacing w:after="40"/>
              <w:jc w:val="left"/>
            </w:pPr>
            <w:r>
              <w:rPr>
                <w:sz w:val="18"/>
              </w:rPr>
              <w:t xml:space="preserve">None for Udofin</w:t>
            </w:r>
          </w:p>
        </w:tc>
        <w:tc>
          <w:tcPr>
            <w:tcW w:w="2164" w:type="dxa"/>
          </w:tcPr>
          <w:p>
            <w:pPr>
              <w:pStyle w:val="Compact"/>
              <w:spacing w:after="40"/>
              <w:jc w:val="left"/>
            </w:pPr>
            <w:r>
              <w:rPr>
                <w:sz w:val="18"/>
              </w:rPr>
              <w:t xml:space="preserve">None from insurers; a fixed technology fee from the RE unrelated to policies sold</w:t>
            </w:r>
          </w:p>
        </w:tc>
        <w:tc>
          <w:tcPr>
            <w:tcW w:w="1340" w:type="dxa"/>
          </w:tcPr>
          <w:p>
            <w:pPr>
              <w:pStyle w:val="Compact"/>
              <w:spacing w:after="40"/>
              <w:jc w:val="left"/>
            </w:pPr>
            <w:r>
              <w:rPr>
                <w:sz w:val="18"/>
              </w:rPr>
              <w:t xml:space="preserve">Low-licence entry</w:t>
            </w:r>
          </w:p>
        </w:tc>
        <w:tc>
          <w:tcPr>
            <w:tcW w:w="2076" w:type="dxa"/>
          </w:tcPr>
          <w:p>
            <w:pPr>
              <w:pStyle w:val="Compact"/>
              <w:spacing w:after="40"/>
              <w:jc w:val="left"/>
            </w:pPr>
            <w:r>
              <w:rPr>
                <w:sz w:val="18"/>
              </w:rPr>
              <w:t xml:space="preserve">Allowed only with a legal note confirming no</w:t>
            </w:r>
            <w:r>
              <w:rPr>
                <w:sz w:val="18"/>
              </w:rPr>
              <w:t xml:space="preserve"> </w:t>
            </w:r>
            <w:r>
              <w:rPr>
                <w:sz w:val="18"/>
              </w:rPr>
              <w:t xml:space="preserve">“</w:t>
            </w:r>
            <w:r>
              <w:rPr>
                <w:sz w:val="18"/>
              </w:rPr>
              <w:t xml:space="preserve">solicitation</w:t>
            </w:r>
            <w:r>
              <w:rPr>
                <w:sz w:val="18"/>
              </w:rPr>
              <w:t xml:space="preserve">”</w:t>
            </w:r>
            <w:r>
              <w:rPr>
                <w:sz w:val="18"/>
              </w:rPr>
              <w:t xml:space="preserve"> </w:t>
            </w:r>
            <w:r>
              <w:rPr>
                <w:sz w:val="18"/>
              </w:rPr>
              <w:t xml:space="preserve">by Udofin [VERIFY: Insurance Act s.42D(8) and s.40 after 2025]</w:t>
            </w:r>
          </w:p>
        </w:tc>
      </w:tr>
      <w:tr>
        <w:tc>
          <w:tcPr>
            <w:tcW w:w="1760" w:type="dxa"/>
          </w:tcPr>
          <w:p>
            <w:pPr>
              <w:pStyle w:val="Compact"/>
              <w:spacing w:after="40"/>
              <w:jc w:val="left"/>
            </w:pPr>
            <w:r>
              <w:rPr>
                <w:sz w:val="18"/>
              </w:rPr>
              <w:t xml:space="preserve">D. Credit-linked group cover in an RE loan, RE as master policyholder or Corporate Agent</w:t>
            </w:r>
          </w:p>
        </w:tc>
        <w:tc>
          <w:tcPr>
            <w:tcW w:w="2298" w:type="dxa"/>
          </w:tcPr>
          <w:p>
            <w:pPr>
              <w:pStyle w:val="Compact"/>
              <w:spacing w:after="40"/>
              <w:jc w:val="left"/>
            </w:pPr>
            <w:r>
              <w:rPr>
                <w:sz w:val="18"/>
              </w:rPr>
              <w:t xml:space="preserve">RE or insurer</w:t>
            </w:r>
          </w:p>
        </w:tc>
        <w:tc>
          <w:tcPr>
            <w:tcW w:w="2164" w:type="dxa"/>
          </w:tcPr>
          <w:p>
            <w:pPr>
              <w:pStyle w:val="Compact"/>
              <w:spacing w:after="40"/>
              <w:jc w:val="left"/>
            </w:pPr>
            <w:r>
              <w:rPr>
                <w:sz w:val="18"/>
              </w:rPr>
              <w:t xml:space="preserve">RE’s arrangement</w:t>
            </w:r>
          </w:p>
        </w:tc>
        <w:tc>
          <w:tcPr>
            <w:tcW w:w="1340" w:type="dxa"/>
          </w:tcPr>
          <w:p>
            <w:pPr>
              <w:pStyle w:val="Compact"/>
              <w:spacing w:after="40"/>
              <w:jc w:val="left"/>
            </w:pPr>
            <w:r>
              <w:rPr>
                <w:sz w:val="18"/>
              </w:rPr>
              <w:t xml:space="preserve">Display in the RE’s KFS only</w:t>
            </w:r>
          </w:p>
        </w:tc>
        <w:tc>
          <w:tcPr>
            <w:tcW w:w="2076" w:type="dxa"/>
          </w:tcPr>
          <w:p>
            <w:pPr>
              <w:pStyle w:val="Compact"/>
              <w:spacing w:after="40"/>
              <w:jc w:val="left"/>
            </w:pPr>
            <w:r>
              <w:rPr>
                <w:sz w:val="18"/>
              </w:rPr>
              <w:t xml:space="preserve">Udofin never sells it; shows it as the RE’s optional item</w:t>
            </w:r>
          </w:p>
        </w:tc>
      </w:tr>
    </w:tbl>
    <w:p>
      <w:pPr>
        <w:pStyle w:val="BodyText"/>
      </w:pPr>
      <w:r>
        <w:t xml:space="preserve">Penalties for unregistered intermediation and for dealing with unregistered intermediaries apply under Insurance Act s.42D(8) (₹1–10 lakh; ₹10 lakh–₹1 crore) [VERIFY: amounts after the 2025 amendment]. Until model A, B or C is approved and licensed,</w:t>
      </w:r>
      <w:r>
        <w:t xml:space="preserve"> </w:t>
      </w:r>
      <w:r>
        <w:rPr>
          <w:rStyle w:val="VerbatimChar"/>
        </w:rPr>
        <w:t xml:space="preserve">xp.insurance.*</w:t>
      </w:r>
      <w:r>
        <w:t xml:space="preserve"> </w:t>
      </w:r>
      <w:r>
        <w:t xml:space="preserve">modules stay</w:t>
      </w:r>
      <w:r>
        <w:t xml:space="preserve"> </w:t>
      </w:r>
      <w:r>
        <w:rPr>
          <w:rStyle w:val="VerbatimChar"/>
        </w:rPr>
        <w:t xml:space="preserve">LICENCE_PENDING</w:t>
      </w:r>
      <w:r>
        <w:t xml:space="preserve"> </w:t>
      </w:r>
      <w:r>
        <w:t xml:space="preserve">and no insurance screen exists.</w:t>
      </w:r>
    </w:p>
    <w:bookmarkEnd w:id="308"/>
    <w:bookmarkStart w:id="309" w:name="X6aeb5c69f7b4d8faf2e3d4b9131755d865b7361"/>
    <w:p>
      <w:pPr>
        <w:pStyle w:val="Heading3"/>
      </w:pPr>
      <w:r>
        <w:t xml:space="preserve">XP2.2 Placement and separation from loans</w:t>
      </w:r>
    </w:p>
    <w:p>
      <w:pPr>
        <w:numPr>
          <w:ilvl w:val="0"/>
          <w:numId w:val="1188"/>
        </w:numPr>
        <w:pStyle w:val="Compact"/>
      </w:pPr>
      <w:r>
        <w:t xml:space="preserve">Insurance lives in its own area,</w:t>
      </w:r>
      <w:r>
        <w:t xml:space="preserve"> </w:t>
      </w:r>
      <w:r>
        <w:rPr>
          <w:rStyle w:val="VerbatimChar"/>
        </w:rPr>
        <w:t xml:space="preserve">Account › Protect</w:t>
      </w:r>
      <w:r>
        <w:t xml:space="preserve"> </w:t>
      </w:r>
      <w:r>
        <w:t xml:space="preserve">(never a bottom tab or a top-level area; the borrower app keeps the five tabs Home, Loans, Pay, Help and Account), with its own deep links. It never appears in: the product chooser for loans, the offer view, the KFS, signing, mandate or payment steps, the loan dashboard, recovery or grievance screens.</w:t>
      </w:r>
    </w:p>
    <w:p>
      <w:pPr>
        <w:numPr>
          <w:ilvl w:val="0"/>
          <w:numId w:val="1188"/>
        </w:numPr>
        <w:pStyle w:val="Compact"/>
      </w:pPr>
      <w:r>
        <w:rPr>
          <w:bCs/>
          <w:b/>
        </w:rPr>
        <w:t xml:space="preserve">No bundling.</w:t>
      </w:r>
      <w:r>
        <w:t xml:space="preserve"> </w:t>
      </w:r>
      <w:r>
        <w:t xml:space="preserve">No loan is conditional on, priced against, or faster because of insurance; voluntary or free packages are allowed only where each item can be declined separately (RBC Second Amendment para 101V). The routing engine and the RE connectors have no access to insurance data.</w:t>
      </w:r>
    </w:p>
    <w:p>
      <w:pPr>
        <w:numPr>
          <w:ilvl w:val="0"/>
          <w:numId w:val="1188"/>
        </w:numPr>
        <w:pStyle w:val="Compact"/>
      </w:pPr>
      <w:r>
        <w:rPr>
          <w:bCs/>
          <w:b/>
        </w:rPr>
        <w:t xml:space="preserve">No loan-funding of premiums</w:t>
      </w:r>
      <w:r>
        <w:t xml:space="preserve"> </w:t>
      </w:r>
      <w:r>
        <w:t xml:space="preserve">without the borrower’s explicit, separate consent (101W); Udofin does not offer premium finance in v1.2.</w:t>
      </w:r>
    </w:p>
    <w:p>
      <w:pPr>
        <w:numPr>
          <w:ilvl w:val="0"/>
          <w:numId w:val="1188"/>
        </w:numPr>
        <w:pStyle w:val="Compact"/>
      </w:pPr>
      <w:r>
        <w:rPr>
          <w:bCs/>
          <w:b/>
        </w:rPr>
        <w:t xml:space="preserve">Model D display rules:</w:t>
      </w:r>
      <w:r>
        <w:t xml:space="preserve"> </w:t>
      </w:r>
      <w:r>
        <w:t xml:space="preserve">in the RE’s KFS the premium is an optional, unticked item shown separately and included in the APR (RBC para 29(4)); the sentence</w:t>
      </w:r>
      <w:r>
        <w:t xml:space="preserve"> </w:t>
      </w:r>
      <w:r>
        <w:t xml:space="preserve">“</w:t>
      </w:r>
      <w:r>
        <w:t xml:space="preserve">You may buy this cover from any insurer of your choice</w:t>
      </w:r>
      <w:r>
        <w:t xml:space="preserve">”</w:t>
      </w:r>
      <w:r>
        <w:t xml:space="preserve"> </w:t>
      </w:r>
      <w:r>
        <w:t xml:space="preserve">is shown; the RE issues receipts; Udofin shows the RE’s KFS unchanged.</w:t>
      </w:r>
    </w:p>
    <w:p>
      <w:pPr>
        <w:numPr>
          <w:ilvl w:val="0"/>
          <w:numId w:val="1188"/>
        </w:numPr>
        <w:pStyle w:val="Compact"/>
      </w:pPr>
      <w:r>
        <w:rPr>
          <w:bCs/>
          <w:b/>
        </w:rPr>
        <w:t xml:space="preserve">Microfinance:</w:t>
      </w:r>
      <w:r>
        <w:t xml:space="preserve"> </w:t>
      </w:r>
      <w:r>
        <w:t xml:space="preserve">no insurance cross-sell within one month of disbursal of a microfinance loan (MFIN Guardrails 2.0,</w:t>
      </w:r>
      <w:r>
        <w:t xml:space="preserve"> </w:t>
      </w:r>
      <w:r>
        <w:rPr>
          <w:rStyle w:val="VerbatimChar"/>
        </w:rPr>
        <w:t xml:space="preserve">REQ-MFIN-GR2-5</w:t>
      </w:r>
      <w:r>
        <w:t xml:space="preserve">); any non-credit product on a microfinance loan needs the borrower’s full consent with its fee on the loan card (RBC para 80), which is the RE’s KFS and loan-card content (model D).</w:t>
      </w:r>
    </w:p>
    <w:p>
      <w:pPr>
        <w:numPr>
          <w:ilvl w:val="0"/>
          <w:numId w:val="1188"/>
        </w:numPr>
        <w:pStyle w:val="Compact"/>
      </w:pPr>
      <w:r>
        <w:rPr>
          <w:bCs/>
          <w:b/>
        </w:rPr>
        <w:t xml:space="preserve">Timing:</w:t>
      </w:r>
      <w:r>
        <w:t xml:space="preserve"> </w:t>
      </w:r>
      <w:r>
        <w:t xml:space="preserve">no insurance prompt within the cooling-off period of any loan and none on the day of disbursal [REC].</w:t>
      </w:r>
    </w:p>
    <w:bookmarkEnd w:id="309"/>
    <w:bookmarkStart w:id="310" w:name="xp2.3-journey-quote-buy-pay"/>
    <w:p>
      <w:pPr>
        <w:pStyle w:val="Heading3"/>
      </w:pPr>
      <w:r>
        <w:t xml:space="preserve">XP2.3 Journey: quote, buy, pay</w:t>
      </w:r>
    </w:p>
    <w:p>
      <w:pPr>
        <w:numPr>
          <w:ilvl w:val="0"/>
          <w:numId w:val="1189"/>
        </w:numPr>
        <w:pStyle w:val="Compact"/>
      </w:pPr>
      <w:r>
        <w:rPr>
          <w:bCs/>
          <w:b/>
        </w:rPr>
        <w:t xml:space="preserve">Discover</w:t>
      </w:r>
      <w:r>
        <w:t xml:space="preserve"> </w:t>
      </w:r>
      <w:r>
        <w:t xml:space="preserve">(</w:t>
      </w:r>
      <w:r>
        <w:rPr>
          <w:rStyle w:val="VerbatimChar"/>
        </w:rPr>
        <w:t xml:space="preserve">Account › Protect › Quotes</w:t>
      </w:r>
      <w:r>
        <w:t xml:space="preserve">): product categories; no pre-selection; no</w:t>
      </w:r>
      <w:r>
        <w:t xml:space="preserve"> </w:t>
      </w:r>
      <w:r>
        <w:t xml:space="preserve">“</w:t>
      </w:r>
      <w:r>
        <w:t xml:space="preserve">recommended</w:t>
      </w:r>
      <w:r>
        <w:t xml:space="preserve">”</w:t>
      </w:r>
      <w:r>
        <w:t xml:space="preserve"> </w:t>
      </w:r>
      <w:r>
        <w:t xml:space="preserve">or</w:t>
      </w:r>
      <w:r>
        <w:t xml:space="preserve"> </w:t>
      </w:r>
      <w:r>
        <w:t xml:space="preserve">“</w:t>
      </w:r>
      <w:r>
        <w:t xml:space="preserve">best</w:t>
      </w:r>
      <w:r>
        <w:t xml:space="preserve">”</w:t>
      </w:r>
      <w:r>
        <w:t xml:space="preserve"> </w:t>
      </w:r>
      <w:r>
        <w:t xml:space="preserve">badge; sort by a pre-disclosed metric only (premium, or cover, chosen by the user).</w:t>
      </w:r>
    </w:p>
    <w:p>
      <w:pPr>
        <w:numPr>
          <w:ilvl w:val="0"/>
          <w:numId w:val="1189"/>
        </w:numPr>
        <w:pStyle w:val="Compact"/>
      </w:pPr>
      <w:r>
        <w:rPr>
          <w:bCs/>
          <w:b/>
        </w:rPr>
        <w:t xml:space="preserve">Needs questions</w:t>
      </w:r>
      <w:r>
        <w:t xml:space="preserve"> </w:t>
      </w:r>
      <w:r>
        <w:t xml:space="preserve">(suitability capture): age band, dependants, existing cover, purpose, budget; stored as the needs record; health questions only inside the insurer’s proposal form.</w:t>
      </w:r>
    </w:p>
    <w:p>
      <w:pPr>
        <w:numPr>
          <w:ilvl w:val="0"/>
          <w:numId w:val="1189"/>
        </w:numPr>
        <w:pStyle w:val="Compact"/>
      </w:pPr>
      <w:r>
        <w:rPr>
          <w:bCs/>
          <w:b/>
        </w:rPr>
        <w:t xml:space="preserve">Quotes</w:t>
      </w:r>
      <w:r>
        <w:t xml:space="preserve"> </w:t>
      </w:r>
      <w:r>
        <w:t xml:space="preserve">from at least two insurers where more than one is tied up for that line (model A) or as the web-aggregator rules require (model B); equal visual weight; premium, cover, key exclusions, claim-settlement information as published by IRDAI where available [VERIFY], free-look.</w:t>
      </w:r>
    </w:p>
    <w:p>
      <w:pPr>
        <w:numPr>
          <w:ilvl w:val="0"/>
          <w:numId w:val="1189"/>
        </w:numPr>
        <w:pStyle w:val="Compact"/>
      </w:pPr>
      <w:r>
        <w:rPr>
          <w:bCs/>
          <w:b/>
        </w:rPr>
        <w:t xml:space="preserve">Summary sheet</w:t>
      </w:r>
      <w:r>
        <w:t xml:space="preserve"> </w:t>
      </w:r>
      <w:r>
        <w:t xml:space="preserve">(XP1.4) with acknowledgement.</w:t>
      </w:r>
    </w:p>
    <w:p>
      <w:pPr>
        <w:numPr>
          <w:ilvl w:val="0"/>
          <w:numId w:val="1189"/>
        </w:numPr>
        <w:pStyle w:val="Compact"/>
      </w:pPr>
      <w:r>
        <w:rPr>
          <w:bCs/>
          <w:b/>
        </w:rPr>
        <w:t xml:space="preserve">Proposal form</w:t>
      </w:r>
      <w:r>
        <w:t xml:space="preserve"> </w:t>
      </w:r>
      <w:r>
        <w:t xml:space="preserve">is the insurer’s (embedded insurer-hosted form or insurer API with the insurer’s wording); separate consent to share the needs record and identity data with the named insurer.</w:t>
      </w:r>
    </w:p>
    <w:p>
      <w:pPr>
        <w:numPr>
          <w:ilvl w:val="0"/>
          <w:numId w:val="1189"/>
        </w:numPr>
        <w:pStyle w:val="Compact"/>
      </w:pPr>
      <w:r>
        <w:rPr>
          <w:bCs/>
          <w:b/>
        </w:rPr>
        <w:t xml:space="preserve">Premium payment directly to the insurer</w:t>
      </w:r>
      <w:r>
        <w:t xml:space="preserve"> </w:t>
      </w:r>
      <w:r>
        <w:t xml:space="preserve">through the insurer’s payment gateway or payment link (or the web aggregator’s permitted mechanism). Udofin never receives the premium [REC; VERIFY: model A premium-collection rules]. Recurring premiums by e-mandate in the insurer’s favour; e-mandates for insurance premiums up to ₹1,00,000 per transaction need no additional factor of authentication, with a pre-debit notice at least 24 hours before each debit (RBI E-mandate Directions 2026, paras 6(a)–(b), 8(b)); explicit consent for premium debits (IRDAI Master Circular, 5 Sep 2024) [VERIFY].</w:t>
      </w:r>
    </w:p>
    <w:p>
      <w:pPr>
        <w:numPr>
          <w:ilvl w:val="0"/>
          <w:numId w:val="1189"/>
        </w:numPr>
        <w:pStyle w:val="Compact"/>
      </w:pPr>
      <w:r>
        <w:rPr>
          <w:bCs/>
          <w:b/>
        </w:rPr>
        <w:t xml:space="preserve">Issuance:</w:t>
      </w:r>
      <w:r>
        <w:t xml:space="preserve"> </w:t>
      </w:r>
      <w:r>
        <w:t xml:space="preserve">insurer callback; policy number, schedule, policy wording and certificate stored in My documents;</w:t>
      </w:r>
      <w:r>
        <w:t xml:space="preserve"> </w:t>
      </w:r>
      <w:r>
        <w:rPr>
          <w:rStyle w:val="VerbatimChar"/>
        </w:rPr>
        <w:t xml:space="preserve">PolicyIssued</w:t>
      </w:r>
      <w:r>
        <w:t xml:space="preserve"> </w:t>
      </w:r>
      <w:r>
        <w:t xml:space="preserve">recorded.</w:t>
      </w:r>
    </w:p>
    <w:p>
      <w:pPr>
        <w:numPr>
          <w:ilvl w:val="0"/>
          <w:numId w:val="1189"/>
        </w:numPr>
        <w:pStyle w:val="Compact"/>
      </w:pPr>
      <w:r>
        <w:rPr>
          <w:bCs/>
          <w:b/>
        </w:rPr>
        <w:t xml:space="preserve">Seller tagging from 1 Jan 2027:</w:t>
      </w:r>
      <w:r>
        <w:t xml:space="preserve"> </w:t>
      </w:r>
      <w:r>
        <w:t xml:space="preserve">the policy documents show the seller’s name and functional ID and the branch contact; where bought on Udofin’s own digital platform under model A, the principal officer’s contact (IRDAI amendment of 30 Jul 2026) [VERIFY]. Udofin sends the seller-tagging data with every proposal and checks it on the issued document; a mismatch raises a compliance issue.</w:t>
      </w:r>
    </w:p>
    <w:p>
      <w:pPr>
        <w:numPr>
          <w:ilvl w:val="0"/>
          <w:numId w:val="1189"/>
        </w:numPr>
        <w:pStyle w:val="Compact"/>
      </w:pPr>
      <w:r>
        <w:rPr>
          <w:bCs/>
          <w:b/>
        </w:rPr>
        <w:t xml:space="preserve">Free-look:</w:t>
      </w:r>
      <w:r>
        <w:t xml:space="preserve"> </w:t>
      </w:r>
      <w:r>
        <w:t xml:space="preserve">the free-look period and the cancellation route are shown on issuance and by reminder 5 days before expiry [REC]; the period is per the policy and IRDAI regulations (30 days for life and health under the 2024 policyholder-protection regulations) [VERIFY]. Cancellation requests go to the insurer through the adapter; the refund is the insurer’s.</w:t>
      </w:r>
    </w:p>
    <w:p>
      <w:pPr>
        <w:numPr>
          <w:ilvl w:val="0"/>
          <w:numId w:val="1189"/>
        </w:numPr>
        <w:pStyle w:val="Compact"/>
      </w:pPr>
      <w:r>
        <w:rPr>
          <w:bCs/>
          <w:b/>
        </w:rPr>
        <w:t xml:space="preserve">30-day feedback:</w:t>
      </w:r>
      <w:r>
        <w:t xml:space="preserve"> </w:t>
      </w:r>
      <w:r>
        <w:t xml:space="preserve">a structured feedback contact within 30 days of purchase asking whether the product was explained and wanted (RBC Second Amendment paras 101Y–Z, applied as policy); a</w:t>
      </w:r>
      <w:r>
        <w:t xml:space="preserve"> </w:t>
      </w:r>
      <w:r>
        <w:t xml:space="preserve">“</w:t>
      </w:r>
      <w:r>
        <w:t xml:space="preserve">not wanted</w:t>
      </w:r>
      <w:r>
        <w:t xml:space="preserve">”</w:t>
      </w:r>
      <w:r>
        <w:t xml:space="preserve"> </w:t>
      </w:r>
      <w:r>
        <w:t xml:space="preserve">answer opens a mis-selling review (XP4.4).</w:t>
      </w:r>
    </w:p>
    <w:p>
      <w:pPr>
        <w:pStyle w:val="FirstParagraph"/>
      </w:pPr>
      <w:r>
        <w:rPr>
          <w:bCs/>
          <w:b/>
        </w:rPr>
        <w:t xml:space="preserve">States</w:t>
      </w:r>
      <w:r>
        <w:t xml:space="preserve"> </w:t>
      </w:r>
      <w:r>
        <w:t xml:space="preserve">(</w:t>
      </w:r>
      <w:r>
        <w:rPr>
          <w:rStyle w:val="VerbatimChar"/>
        </w:rPr>
        <w:t xml:space="preserve">insurance_journey</w:t>
      </w:r>
      <w:r>
        <w:t xml:space="preserve">; server-side, resumable on any channel; every transition audited and idempotent on</w:t>
      </w:r>
      <w:r>
        <w:t xml:space="preserve"> </w:t>
      </w:r>
      <w:r>
        <w:rPr>
          <w:rStyle w:val="VerbatimChar"/>
        </w:rPr>
        <w:t xml:space="preserve">journey_id</w:t>
      </w:r>
      <w:r>
        <w:t xml:space="preserve"> </w:t>
      </w:r>
      <w:r>
        <w:t xml:space="preserve">plus step):</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79"/>
        <w:gridCol w:w="2067"/>
        <w:gridCol w:w="3441"/>
        <w:gridCol w:w="2551"/>
      </w:tblGrid>
      <w:tr>
        <w:trPr>
          <w:tblHeader w:val="true"/>
          <w:tblHeader w:val="true"/>
        </w:trPr>
        <w:tc>
          <w:tcPr>
            <w:tcW w:w="1579" w:type="dxa"/>
            <w:shd w:val="clear" w:color="auto" w:fill="1F3A5F"/>
          </w:tcPr>
          <w:p>
            <w:pPr>
              <w:pStyle w:val="Compact"/>
              <w:spacing w:after="40"/>
              <w:jc w:val="left"/>
            </w:pPr>
            <w:r>
              <w:rPr>
                <w:b/>
                <w:color w:val="FFFFFF"/>
                <w:sz w:val="18"/>
              </w:rPr>
              <w:t xml:space="preserve">State</w:t>
            </w:r>
          </w:p>
        </w:tc>
        <w:tc>
          <w:tcPr>
            <w:tcW w:w="2067" w:type="dxa"/>
            <w:shd w:val="clear" w:color="auto" w:fill="1F3A5F"/>
          </w:tcPr>
          <w:p>
            <w:pPr>
              <w:pStyle w:val="Compact"/>
              <w:spacing w:after="40"/>
              <w:jc w:val="left"/>
            </w:pPr>
            <w:r>
              <w:rPr>
                <w:b/>
                <w:color w:val="FFFFFF"/>
                <w:sz w:val="18"/>
              </w:rPr>
              <w:t xml:space="preserve">Entry</w:t>
            </w:r>
          </w:p>
        </w:tc>
        <w:tc>
          <w:tcPr>
            <w:tcW w:w="3441" w:type="dxa"/>
            <w:shd w:val="clear" w:color="auto" w:fill="1F3A5F"/>
          </w:tcPr>
          <w:p>
            <w:pPr>
              <w:pStyle w:val="Compact"/>
              <w:spacing w:after="40"/>
              <w:jc w:val="left"/>
            </w:pPr>
            <w:r>
              <w:rPr>
                <w:b/>
                <w:color w:val="FFFFFF"/>
                <w:sz w:val="18"/>
              </w:rPr>
              <w:t xml:space="preserve">Exit, timer and owner</w:t>
            </w:r>
          </w:p>
        </w:tc>
        <w:tc>
          <w:tcPr>
            <w:tcW w:w="2551" w:type="dxa"/>
            <w:shd w:val="clear" w:color="auto" w:fill="1F3A5F"/>
          </w:tcPr>
          <w:p>
            <w:pPr>
              <w:pStyle w:val="Compact"/>
              <w:spacing w:after="40"/>
              <w:jc w:val="left"/>
            </w:pPr>
            <w:r>
              <w:rPr>
                <w:b/>
                <w:color w:val="FFFFFF"/>
                <w:sz w:val="18"/>
              </w:rPr>
              <w:t xml:space="preserve">Failure or rollback</w:t>
            </w:r>
          </w:p>
        </w:tc>
      </w:tr>
      <w:tr>
        <w:tc>
          <w:tcPr>
            <w:tcW w:w="1579" w:type="dxa"/>
          </w:tcPr>
          <w:p>
            <w:pPr>
              <w:pStyle w:val="Compact"/>
              <w:spacing w:after="40"/>
              <w:jc w:val="left"/>
            </w:pPr>
            <w:r>
              <w:rPr>
                <w:rStyle w:val="VerbatimChar"/>
                <w:sz w:val="18"/>
              </w:rPr>
              <w:t xml:space="preserve">DISCOVERED</w:t>
            </w:r>
          </w:p>
        </w:tc>
        <w:tc>
          <w:tcPr>
            <w:tcW w:w="2067" w:type="dxa"/>
          </w:tcPr>
          <w:p>
            <w:pPr>
              <w:pStyle w:val="Compact"/>
              <w:spacing w:after="40"/>
              <w:jc w:val="left"/>
            </w:pPr>
            <w:r>
              <w:rPr>
                <w:sz w:val="18"/>
              </w:rPr>
              <w:t xml:space="preserve">Consumer opens a product category</w:t>
            </w:r>
          </w:p>
        </w:tc>
        <w:tc>
          <w:tcPr>
            <w:tcW w:w="3441" w:type="dxa"/>
          </w:tcPr>
          <w:p>
            <w:pPr>
              <w:pStyle w:val="Compact"/>
              <w:spacing w:after="40"/>
              <w:jc w:val="left"/>
            </w:pPr>
            <w:r>
              <w:rPr>
                <w:sz w:val="18"/>
              </w:rPr>
              <w:t xml:space="preserve">Needs questions started; journey expires after 30 days idle [REC]</w:t>
            </w:r>
          </w:p>
        </w:tc>
        <w:tc>
          <w:tcPr>
            <w:tcW w:w="2551" w:type="dxa"/>
          </w:tcPr>
          <w:p>
            <w:pPr>
              <w:pStyle w:val="Compact"/>
              <w:spacing w:after="40"/>
              <w:jc w:val="left"/>
            </w:pPr>
            <w:r>
              <w:rPr>
                <w:sz w:val="18"/>
              </w:rPr>
              <w:t xml:space="preserve">Expiry deletes draft answers</w:t>
            </w:r>
          </w:p>
        </w:tc>
      </w:tr>
      <w:tr>
        <w:tc>
          <w:tcPr>
            <w:tcW w:w="1579" w:type="dxa"/>
          </w:tcPr>
          <w:p>
            <w:pPr>
              <w:pStyle w:val="Compact"/>
              <w:spacing w:after="40"/>
              <w:jc w:val="left"/>
            </w:pPr>
            <w:r>
              <w:rPr>
                <w:rStyle w:val="VerbatimChar"/>
                <w:sz w:val="18"/>
              </w:rPr>
              <w:t xml:space="preserve">NEEDS_CAPTURED</w:t>
            </w:r>
          </w:p>
        </w:tc>
        <w:tc>
          <w:tcPr>
            <w:tcW w:w="2067" w:type="dxa"/>
          </w:tcPr>
          <w:p>
            <w:pPr>
              <w:pStyle w:val="Compact"/>
              <w:spacing w:after="40"/>
              <w:jc w:val="left"/>
            </w:pPr>
            <w:r>
              <w:rPr>
                <w:sz w:val="18"/>
              </w:rPr>
              <w:t xml:space="preserve">Needs record saved with its consent</w:t>
            </w:r>
          </w:p>
        </w:tc>
        <w:tc>
          <w:tcPr>
            <w:tcW w:w="3441" w:type="dxa"/>
          </w:tcPr>
          <w:p>
            <w:pPr>
              <w:pStyle w:val="Compact"/>
              <w:spacing w:after="40"/>
              <w:jc w:val="left"/>
            </w:pPr>
            <w:r>
              <w:rPr>
                <w:bCs/>
                <w:b/>
                <w:sz w:val="18"/>
              </w:rPr>
              <w:t xml:space="preserve">Needs check</w:t>
            </w:r>
            <w:r>
              <w:rPr>
                <w:sz w:val="18"/>
              </w:rPr>
              <w:t xml:space="preserve"> </w:t>
            </w:r>
            <w:r>
              <w:rPr>
                <w:sz w:val="18"/>
              </w:rPr>
              <w:t xml:space="preserve">(rules, not advice): a product whose age band, term or sum-insured range excludes the answers is hidden with an explain-why line; premium above the declared budget or duplicate existing cover shows a warning the consumer must read; no</w:t>
            </w:r>
            <w:r>
              <w:rPr>
                <w:sz w:val="18"/>
              </w:rPr>
              <w:t xml:space="preserve"> </w:t>
            </w:r>
            <w:r>
              <w:rPr>
                <w:sz w:val="18"/>
              </w:rPr>
              <w:t xml:space="preserve">“</w:t>
            </w:r>
            <w:r>
              <w:rPr>
                <w:sz w:val="18"/>
              </w:rPr>
              <w:t xml:space="preserve">recommended</w:t>
            </w:r>
            <w:r>
              <w:rPr>
                <w:sz w:val="18"/>
              </w:rPr>
              <w:t xml:space="preserve">”</w:t>
            </w:r>
            <w:r>
              <w:rPr>
                <w:sz w:val="18"/>
              </w:rPr>
              <w:t xml:space="preserve"> </w:t>
            </w:r>
            <w:r>
              <w:rPr>
                <w:sz w:val="18"/>
              </w:rPr>
              <w:t xml:space="preserve">label</w:t>
            </w:r>
          </w:p>
        </w:tc>
        <w:tc>
          <w:tcPr>
            <w:tcW w:w="2551" w:type="dxa"/>
          </w:tcPr>
          <w:p>
            <w:pPr>
              <w:pStyle w:val="Compact"/>
              <w:spacing w:after="40"/>
              <w:jc w:val="left"/>
            </w:pPr>
            <w:r>
              <w:rPr>
                <w:sz w:val="18"/>
              </w:rPr>
              <w:t xml:space="preserve">Consumer edits answers; the check re-runs</w:t>
            </w:r>
          </w:p>
        </w:tc>
      </w:tr>
      <w:tr>
        <w:tc>
          <w:tcPr>
            <w:tcW w:w="1579" w:type="dxa"/>
          </w:tcPr>
          <w:p>
            <w:pPr>
              <w:pStyle w:val="Compact"/>
              <w:spacing w:after="40"/>
              <w:jc w:val="left"/>
            </w:pPr>
            <w:r>
              <w:rPr>
                <w:rStyle w:val="VerbatimChar"/>
                <w:sz w:val="18"/>
              </w:rPr>
              <w:t xml:space="preserve">QUOTED</w:t>
            </w:r>
          </w:p>
        </w:tc>
        <w:tc>
          <w:tcPr>
            <w:tcW w:w="2067" w:type="dxa"/>
          </w:tcPr>
          <w:p>
            <w:pPr>
              <w:pStyle w:val="Compact"/>
              <w:spacing w:after="40"/>
              <w:jc w:val="left"/>
            </w:pPr>
            <w:r>
              <w:rPr>
                <w:sz w:val="18"/>
              </w:rPr>
              <w:t xml:space="preserve">Quotes received through</w:t>
            </w:r>
            <w:r>
              <w:rPr>
                <w:sz w:val="18"/>
              </w:rPr>
              <w:t xml:space="preserve"> </w:t>
            </w:r>
            <w:r>
              <w:rPr>
                <w:rStyle w:val="VerbatimChar"/>
                <w:sz w:val="18"/>
              </w:rPr>
              <w:t xml:space="preserve">InsurerAdapter</w:t>
            </w:r>
            <w:r>
              <w:rPr>
                <w:sz w:val="18"/>
              </w:rPr>
              <w:t xml:space="preserve"> </w:t>
            </w:r>
            <w:r>
              <w:rPr>
                <w:sz w:val="18"/>
              </w:rPr>
              <w:t xml:space="preserve">(</w:t>
            </w:r>
            <w:r>
              <w:rPr>
                <w:rStyle w:val="VerbatimChar"/>
                <w:sz w:val="18"/>
              </w:rPr>
              <w:t xml:space="preserve">InsuranceQuoteRequested</w:t>
            </w:r>
            <w:r>
              <w:rPr>
                <w:sz w:val="18"/>
              </w:rPr>
              <w:t xml:space="preserve">)</w:t>
            </w:r>
          </w:p>
        </w:tc>
        <w:tc>
          <w:tcPr>
            <w:tcW w:w="3441" w:type="dxa"/>
          </w:tcPr>
          <w:p>
            <w:pPr>
              <w:pStyle w:val="Compact"/>
              <w:spacing w:after="40"/>
              <w:jc w:val="left"/>
            </w:pPr>
            <w:r>
              <w:rPr>
                <w:sz w:val="18"/>
              </w:rPr>
              <w:t xml:space="preserve">Valid until the insurer’s</w:t>
            </w:r>
            <w:r>
              <w:rPr>
                <w:sz w:val="18"/>
              </w:rPr>
              <w:t xml:space="preserve"> </w:t>
            </w:r>
            <w:r>
              <w:rPr>
                <w:rStyle w:val="VerbatimChar"/>
                <w:sz w:val="18"/>
              </w:rPr>
              <w:t xml:space="preserve">valid_until</w:t>
            </w:r>
            <w:r>
              <w:rPr>
                <w:sz w:val="18"/>
              </w:rPr>
              <w:t xml:space="preserve">; consumer picks one</w:t>
            </w:r>
          </w:p>
        </w:tc>
        <w:tc>
          <w:tcPr>
            <w:tcW w:w="2551" w:type="dxa"/>
          </w:tcPr>
          <w:p>
            <w:pPr>
              <w:pStyle w:val="Compact"/>
              <w:spacing w:after="40"/>
              <w:jc w:val="left"/>
            </w:pPr>
            <w:r>
              <w:rPr>
                <w:sz w:val="18"/>
              </w:rPr>
              <w:t xml:space="preserve">Adapter time-out or error: retry twice, then show</w:t>
            </w:r>
            <w:r>
              <w:rPr>
                <w:sz w:val="18"/>
              </w:rPr>
              <w:t xml:space="preserve"> </w:t>
            </w:r>
            <w:r>
              <w:rPr>
                <w:sz w:val="18"/>
              </w:rPr>
              <w:t xml:space="preserve">“</w:t>
            </w:r>
            <w:r>
              <w:rPr>
                <w:sz w:val="18"/>
              </w:rPr>
              <w:t xml:space="preserve">quote unavailable from [insurer]</w:t>
            </w:r>
            <w:r>
              <w:rPr>
                <w:sz w:val="18"/>
              </w:rPr>
              <w:t xml:space="preserve">”</w:t>
            </w:r>
            <w:r>
              <w:rPr>
                <w:sz w:val="18"/>
              </w:rPr>
              <w:t xml:space="preserve"> </w:t>
            </w:r>
            <w:r>
              <w:rPr>
                <w:sz w:val="18"/>
              </w:rPr>
              <w:t xml:space="preserve">without hiding other quotes; expiry returns to</w:t>
            </w:r>
            <w:r>
              <w:rPr>
                <w:sz w:val="18"/>
              </w:rPr>
              <w:t xml:space="preserve"> </w:t>
            </w:r>
            <w:r>
              <w:rPr>
                <w:rStyle w:val="VerbatimChar"/>
                <w:sz w:val="18"/>
              </w:rPr>
              <w:t xml:space="preserve">NEEDS_CAPTURED</w:t>
            </w:r>
          </w:p>
        </w:tc>
      </w:tr>
      <w:tr>
        <w:tc>
          <w:tcPr>
            <w:tcW w:w="1579" w:type="dxa"/>
          </w:tcPr>
          <w:p>
            <w:pPr>
              <w:pStyle w:val="Compact"/>
              <w:spacing w:after="40"/>
              <w:jc w:val="left"/>
            </w:pPr>
            <w:r>
              <w:rPr>
                <w:rStyle w:val="VerbatimChar"/>
                <w:sz w:val="18"/>
              </w:rPr>
              <w:t xml:space="preserve">SUMMARY_ACKNOWLEDGED</w:t>
            </w:r>
          </w:p>
        </w:tc>
        <w:tc>
          <w:tcPr>
            <w:tcW w:w="2067" w:type="dxa"/>
          </w:tcPr>
          <w:p>
            <w:pPr>
              <w:pStyle w:val="Compact"/>
              <w:spacing w:after="40"/>
              <w:jc w:val="left"/>
            </w:pPr>
            <w:r>
              <w:rPr>
                <w:sz w:val="18"/>
              </w:rPr>
              <w:t xml:space="preserve">Summary sheet version shown and acknowledged</w:t>
            </w:r>
          </w:p>
        </w:tc>
        <w:tc>
          <w:tcPr>
            <w:tcW w:w="3441" w:type="dxa"/>
          </w:tcPr>
          <w:p>
            <w:pPr>
              <w:pStyle w:val="Compact"/>
              <w:spacing w:after="40"/>
              <w:jc w:val="left"/>
            </w:pPr>
            <w:r>
              <w:rPr>
                <w:sz w:val="18"/>
              </w:rPr>
              <w:t xml:space="preserve">Proposal consent next</w:t>
            </w:r>
          </w:p>
        </w:tc>
        <w:tc>
          <w:tcPr>
            <w:tcW w:w="2551" w:type="dxa"/>
          </w:tcPr>
          <w:p>
            <w:pPr>
              <w:pStyle w:val="Compact"/>
              <w:spacing w:after="40"/>
              <w:jc w:val="left"/>
            </w:pPr>
            <w:r>
              <w:rPr>
                <w:sz w:val="18"/>
              </w:rPr>
              <w:t xml:space="preserve">A changed quote re-shows the summary</w:t>
            </w:r>
          </w:p>
        </w:tc>
      </w:tr>
      <w:tr>
        <w:tc>
          <w:tcPr>
            <w:tcW w:w="1579" w:type="dxa"/>
          </w:tcPr>
          <w:p>
            <w:pPr>
              <w:pStyle w:val="Compact"/>
              <w:spacing w:after="40"/>
              <w:jc w:val="left"/>
            </w:pPr>
            <w:r>
              <w:rPr>
                <w:rStyle w:val="VerbatimChar"/>
                <w:sz w:val="18"/>
              </w:rPr>
              <w:t xml:space="preserve">CONSENTED</w:t>
            </w:r>
          </w:p>
        </w:tc>
        <w:tc>
          <w:tcPr>
            <w:tcW w:w="2067" w:type="dxa"/>
          </w:tcPr>
          <w:p>
            <w:pPr>
              <w:pStyle w:val="Compact"/>
              <w:spacing w:after="40"/>
              <w:jc w:val="left"/>
            </w:pPr>
            <w:r>
              <w:rPr>
                <w:sz w:val="18"/>
              </w:rPr>
              <w:t xml:space="preserve">Separate consent to share the needs record and identity data with the named insurer (default No)</w:t>
            </w:r>
          </w:p>
        </w:tc>
        <w:tc>
          <w:tcPr>
            <w:tcW w:w="3441" w:type="dxa"/>
          </w:tcPr>
          <w:p>
            <w:pPr>
              <w:pStyle w:val="Compact"/>
              <w:spacing w:after="40"/>
              <w:jc w:val="left"/>
            </w:pPr>
            <w:r>
              <w:rPr>
                <w:sz w:val="18"/>
              </w:rPr>
              <w:t xml:space="preserve">Proposal submitted within 24 hours</w:t>
            </w:r>
          </w:p>
        </w:tc>
        <w:tc>
          <w:tcPr>
            <w:tcW w:w="2551" w:type="dxa"/>
          </w:tcPr>
          <w:p>
            <w:pPr>
              <w:pStyle w:val="Compact"/>
              <w:spacing w:after="40"/>
              <w:jc w:val="left"/>
            </w:pPr>
            <w:r>
              <w:rPr>
                <w:sz w:val="18"/>
              </w:rPr>
              <w:t xml:space="preserve">Withdrawal before submission cancels the journey and shares nothing</w:t>
            </w:r>
          </w:p>
        </w:tc>
      </w:tr>
      <w:tr>
        <w:tc>
          <w:tcPr>
            <w:tcW w:w="1579" w:type="dxa"/>
          </w:tcPr>
          <w:p>
            <w:pPr>
              <w:pStyle w:val="Compact"/>
              <w:spacing w:after="40"/>
              <w:jc w:val="left"/>
            </w:pPr>
            <w:r>
              <w:rPr>
                <w:rStyle w:val="VerbatimChar"/>
                <w:sz w:val="18"/>
              </w:rPr>
              <w:t xml:space="preserve">PROPOSAL_SUBMITTED</w:t>
            </w:r>
          </w:p>
        </w:tc>
        <w:tc>
          <w:tcPr>
            <w:tcW w:w="2067" w:type="dxa"/>
          </w:tcPr>
          <w:p>
            <w:pPr>
              <w:pStyle w:val="Compact"/>
              <w:spacing w:after="40"/>
              <w:jc w:val="left"/>
            </w:pPr>
            <w:r>
              <w:rPr>
                <w:sz w:val="18"/>
              </w:rPr>
              <w:t xml:space="preserve">Insurer proposal reference received</w:t>
            </w:r>
          </w:p>
        </w:tc>
        <w:tc>
          <w:tcPr>
            <w:tcW w:w="3441" w:type="dxa"/>
          </w:tcPr>
          <w:p>
            <w:pPr>
              <w:pStyle w:val="Compact"/>
              <w:spacing w:after="40"/>
              <w:jc w:val="left"/>
            </w:pPr>
            <w:r>
              <w:rPr>
                <w:sz w:val="18"/>
              </w:rPr>
              <w:t xml:space="preserve">Insurer returns a payment link or underwriting requirement</w:t>
            </w:r>
          </w:p>
        </w:tc>
        <w:tc>
          <w:tcPr>
            <w:tcW w:w="2551" w:type="dxa"/>
          </w:tcPr>
          <w:p>
            <w:pPr>
              <w:pStyle w:val="Compact"/>
              <w:spacing w:after="40"/>
              <w:jc w:val="left"/>
            </w:pPr>
            <w:r>
              <w:rPr>
                <w:sz w:val="18"/>
              </w:rPr>
              <w:t xml:space="preserve">Duplicate submission returns the existing reference (idempotency key)</w:t>
            </w:r>
          </w:p>
        </w:tc>
      </w:tr>
      <w:tr>
        <w:tc>
          <w:tcPr>
            <w:tcW w:w="1579" w:type="dxa"/>
          </w:tcPr>
          <w:p>
            <w:pPr>
              <w:pStyle w:val="Compact"/>
              <w:spacing w:after="40"/>
              <w:jc w:val="left"/>
            </w:pPr>
            <w:r>
              <w:rPr>
                <w:rStyle w:val="VerbatimChar"/>
                <w:sz w:val="18"/>
              </w:rPr>
              <w:t xml:space="preserve">REFERRED_FOR_UNDERWRITING</w:t>
            </w:r>
          </w:p>
        </w:tc>
        <w:tc>
          <w:tcPr>
            <w:tcW w:w="2067" w:type="dxa"/>
          </w:tcPr>
          <w:p>
            <w:pPr>
              <w:pStyle w:val="Compact"/>
              <w:spacing w:after="40"/>
              <w:jc w:val="left"/>
            </w:pPr>
            <w:r>
              <w:rPr>
                <w:sz w:val="18"/>
              </w:rPr>
              <w:t xml:space="preserve">Insurer asks for medicals or documents</w:t>
            </w:r>
          </w:p>
        </w:tc>
        <w:tc>
          <w:tcPr>
            <w:tcW w:w="3441" w:type="dxa"/>
          </w:tcPr>
          <w:p>
            <w:pPr>
              <w:pStyle w:val="Compact"/>
              <w:spacing w:after="40"/>
              <w:jc w:val="left"/>
            </w:pPr>
            <w:r>
              <w:rPr>
                <w:sz w:val="18"/>
              </w:rPr>
              <w:t xml:space="preserve">Tasks shown with the insurer’s deadline; owner: insurer</w:t>
            </w:r>
          </w:p>
        </w:tc>
        <w:tc>
          <w:tcPr>
            <w:tcW w:w="2551" w:type="dxa"/>
          </w:tcPr>
          <w:p>
            <w:pPr>
              <w:pStyle w:val="Compact"/>
              <w:spacing w:after="40"/>
              <w:jc w:val="left"/>
            </w:pPr>
            <w:r>
              <w:rPr>
                <w:sz w:val="18"/>
              </w:rPr>
              <w:t xml:space="preserve">Insurer deadline missed: journey closed as the insurer reports</w:t>
            </w:r>
          </w:p>
        </w:tc>
      </w:tr>
      <w:tr>
        <w:tc>
          <w:tcPr>
            <w:tcW w:w="1579" w:type="dxa"/>
          </w:tcPr>
          <w:p>
            <w:pPr>
              <w:pStyle w:val="Compact"/>
              <w:spacing w:after="40"/>
              <w:jc w:val="left"/>
            </w:pPr>
            <w:r>
              <w:rPr>
                <w:rStyle w:val="VerbatimChar"/>
                <w:sz w:val="18"/>
              </w:rPr>
              <w:t xml:space="preserve">PAYMENT_PENDING</w:t>
            </w:r>
          </w:p>
        </w:tc>
        <w:tc>
          <w:tcPr>
            <w:tcW w:w="2067" w:type="dxa"/>
          </w:tcPr>
          <w:p>
            <w:pPr>
              <w:pStyle w:val="Compact"/>
              <w:spacing w:after="40"/>
              <w:jc w:val="left"/>
            </w:pPr>
            <w:r>
              <w:rPr>
                <w:sz w:val="18"/>
              </w:rPr>
              <w:t xml:space="preserve">Link to the insurer’s gateway opened</w:t>
            </w:r>
          </w:p>
        </w:tc>
        <w:tc>
          <w:tcPr>
            <w:tcW w:w="3441" w:type="dxa"/>
          </w:tcPr>
          <w:p>
            <w:pPr>
              <w:pStyle w:val="Compact"/>
              <w:spacing w:after="40"/>
              <w:jc w:val="left"/>
            </w:pPr>
            <w:r>
              <w:rPr>
                <w:sz w:val="18"/>
              </w:rPr>
              <w:t xml:space="preserve">Insurer’s callback or status poll; link expiry per insurer</w:t>
            </w:r>
          </w:p>
        </w:tc>
        <w:tc>
          <w:tcPr>
            <w:tcW w:w="2551" w:type="dxa"/>
          </w:tcPr>
          <w:p>
            <w:pPr>
              <w:pStyle w:val="Compact"/>
              <w:spacing w:after="40"/>
              <w:jc w:val="left"/>
            </w:pPr>
            <w:r>
              <w:rPr>
                <w:sz w:val="18"/>
              </w:rPr>
              <w:t xml:space="preserve">Expired or failed:</w:t>
            </w:r>
            <w:r>
              <w:rPr>
                <w:sz w:val="18"/>
              </w:rPr>
              <w:t xml:space="preserve"> </w:t>
            </w:r>
            <w:r>
              <w:rPr>
                <w:rStyle w:val="VerbatimChar"/>
                <w:sz w:val="18"/>
              </w:rPr>
              <w:t xml:space="preserve">PAYMENT_FAILED</w:t>
            </w:r>
            <w:r>
              <w:rPr>
                <w:sz w:val="18"/>
              </w:rPr>
              <w:t xml:space="preserve">, retry with a fresh insurer link; Udofin never retries a debit itself</w:t>
            </w:r>
          </w:p>
        </w:tc>
      </w:tr>
      <w:tr>
        <w:tc>
          <w:tcPr>
            <w:tcW w:w="1579" w:type="dxa"/>
          </w:tcPr>
          <w:p>
            <w:pPr>
              <w:pStyle w:val="Compact"/>
              <w:spacing w:after="40"/>
              <w:jc w:val="left"/>
            </w:pPr>
            <w:r>
              <w:rPr>
                <w:rStyle w:val="VerbatimChar"/>
                <w:sz w:val="18"/>
              </w:rPr>
              <w:t xml:space="preserve">PAID</w:t>
            </w:r>
          </w:p>
        </w:tc>
        <w:tc>
          <w:tcPr>
            <w:tcW w:w="2067" w:type="dxa"/>
          </w:tcPr>
          <w:p>
            <w:pPr>
              <w:pStyle w:val="Compact"/>
              <w:spacing w:after="40"/>
              <w:jc w:val="left"/>
            </w:pPr>
            <w:r>
              <w:rPr>
                <w:sz w:val="18"/>
              </w:rPr>
              <w:t xml:space="preserve">Insurer confirms receipt of premium</w:t>
            </w:r>
          </w:p>
        </w:tc>
        <w:tc>
          <w:tcPr>
            <w:tcW w:w="3441" w:type="dxa"/>
          </w:tcPr>
          <w:p>
            <w:pPr>
              <w:pStyle w:val="Compact"/>
              <w:spacing w:after="40"/>
              <w:jc w:val="left"/>
            </w:pPr>
            <w:r>
              <w:rPr>
                <w:sz w:val="18"/>
              </w:rPr>
              <w:t xml:space="preserve">Issuance expected within the insurer’s SLA (default watch 48 hours [REC])</w:t>
            </w:r>
          </w:p>
        </w:tc>
        <w:tc>
          <w:tcPr>
            <w:tcW w:w="2551" w:type="dxa"/>
          </w:tcPr>
          <w:p>
            <w:pPr>
              <w:pStyle w:val="Compact"/>
              <w:spacing w:after="40"/>
              <w:jc w:val="left"/>
            </w:pPr>
            <w:r>
              <w:rPr>
                <w:sz w:val="18"/>
              </w:rPr>
              <w:t xml:space="preserve">No issuance in 48 hours: status poll, then a support task to the insurer; the consumer sees</w:t>
            </w:r>
            <w:r>
              <w:rPr>
                <w:sz w:val="18"/>
              </w:rPr>
              <w:t xml:space="preserve"> </w:t>
            </w:r>
            <w:r>
              <w:rPr>
                <w:sz w:val="18"/>
              </w:rPr>
              <w:t xml:space="preserve">“</w:t>
            </w:r>
            <w:r>
              <w:rPr>
                <w:sz w:val="18"/>
              </w:rPr>
              <w:t xml:space="preserve">payment received by [insurer]; policy pending</w:t>
            </w:r>
            <w:r>
              <w:rPr>
                <w:sz w:val="18"/>
              </w:rPr>
              <w:t xml:space="preserve">”</w:t>
            </w:r>
          </w:p>
        </w:tc>
      </w:tr>
      <w:tr>
        <w:tc>
          <w:tcPr>
            <w:tcW w:w="1579" w:type="dxa"/>
          </w:tcPr>
          <w:p>
            <w:pPr>
              <w:pStyle w:val="Compact"/>
              <w:spacing w:after="40"/>
              <w:jc w:val="left"/>
            </w:pPr>
            <w:r>
              <w:rPr>
                <w:rStyle w:val="VerbatimChar"/>
                <w:sz w:val="18"/>
              </w:rPr>
              <w:t xml:space="preserve">ISSUED</w:t>
            </w:r>
            <w:r>
              <w:rPr>
                <w:sz w:val="18"/>
              </w:rPr>
              <w:t xml:space="preserve"> </w:t>
            </w:r>
            <w:r>
              <w:rPr>
                <w:sz w:val="18"/>
              </w:rPr>
              <w:t xml:space="preserve">→</w:t>
            </w:r>
            <w:r>
              <w:rPr>
                <w:sz w:val="18"/>
              </w:rPr>
              <w:t xml:space="preserve"> </w:t>
            </w:r>
            <w:r>
              <w:rPr>
                <w:rStyle w:val="VerbatimChar"/>
                <w:sz w:val="18"/>
              </w:rPr>
              <w:t xml:space="preserve">IN_FORCE</w:t>
            </w:r>
          </w:p>
        </w:tc>
        <w:tc>
          <w:tcPr>
            <w:tcW w:w="2067" w:type="dxa"/>
          </w:tcPr>
          <w:p>
            <w:pPr>
              <w:pStyle w:val="Compact"/>
              <w:spacing w:after="40"/>
              <w:jc w:val="left"/>
            </w:pPr>
            <w:r>
              <w:rPr>
                <w:rStyle w:val="VerbatimChar"/>
                <w:sz w:val="18"/>
              </w:rPr>
              <w:t xml:space="preserve">PolicyIssued</w:t>
            </w:r>
            <w:r>
              <w:rPr>
                <w:sz w:val="18"/>
              </w:rPr>
              <w:t xml:space="preserve">; documents fetched and seller tagging checked (step 8)</w:t>
            </w:r>
          </w:p>
        </w:tc>
        <w:tc>
          <w:tcPr>
            <w:tcW w:w="3441" w:type="dxa"/>
          </w:tcPr>
          <w:p>
            <w:pPr>
              <w:pStyle w:val="Compact"/>
              <w:spacing w:after="40"/>
              <w:jc w:val="left"/>
            </w:pPr>
            <w:r>
              <w:rPr>
                <w:sz w:val="18"/>
              </w:rPr>
              <w:t xml:space="preserve">Free-look clock starts on receipt of the policy document</w:t>
            </w:r>
          </w:p>
        </w:tc>
        <w:tc>
          <w:tcPr>
            <w:tcW w:w="2551" w:type="dxa"/>
          </w:tcPr>
          <w:p>
            <w:pPr>
              <w:pStyle w:val="Compact"/>
              <w:spacing w:after="40"/>
              <w:jc w:val="left"/>
            </w:pPr>
            <w:r>
              <w:rPr>
                <w:sz w:val="18"/>
              </w:rPr>
              <w:t xml:space="preserve">Tagging mismatch raises a compliance issue; the policy stays valid</w:t>
            </w:r>
          </w:p>
        </w:tc>
      </w:tr>
      <w:tr>
        <w:tc>
          <w:tcPr>
            <w:tcW w:w="1579" w:type="dxa"/>
          </w:tcPr>
          <w:p>
            <w:pPr>
              <w:pStyle w:val="Compact"/>
              <w:spacing w:after="40"/>
              <w:jc w:val="left"/>
            </w:pPr>
            <w:r>
              <w:rPr>
                <w:rStyle w:val="VerbatimChar"/>
                <w:sz w:val="18"/>
              </w:rPr>
              <w:t xml:space="preserve">DECLINED_BY_INSURER</w:t>
            </w:r>
          </w:p>
        </w:tc>
        <w:tc>
          <w:tcPr>
            <w:tcW w:w="2067" w:type="dxa"/>
          </w:tcPr>
          <w:p>
            <w:pPr>
              <w:pStyle w:val="Compact"/>
              <w:spacing w:after="40"/>
              <w:jc w:val="left"/>
            </w:pPr>
            <w:r>
              <w:rPr>
                <w:sz w:val="18"/>
              </w:rPr>
              <w:t xml:space="preserve">Insurer declines</w:t>
            </w:r>
          </w:p>
        </w:tc>
        <w:tc>
          <w:tcPr>
            <w:tcW w:w="3441" w:type="dxa"/>
          </w:tcPr>
          <w:p>
            <w:pPr>
              <w:pStyle w:val="Compact"/>
              <w:spacing w:after="40"/>
              <w:jc w:val="left"/>
            </w:pPr>
            <w:r>
              <w:rPr>
                <w:sz w:val="18"/>
              </w:rPr>
              <w:t xml:space="preserve">Refund of any premium is the insurer’s; Udofin tracks</w:t>
            </w:r>
            <w:r>
              <w:rPr>
                <w:sz w:val="18"/>
              </w:rPr>
              <w:t xml:space="preserve"> </w:t>
            </w:r>
            <w:r>
              <w:rPr>
                <w:rStyle w:val="VerbatimChar"/>
                <w:sz w:val="18"/>
              </w:rPr>
              <w:t xml:space="preserve">refund_status_mirror</w:t>
            </w:r>
            <w:r>
              <w:rPr>
                <w:sz w:val="18"/>
              </w:rPr>
              <w:t xml:space="preserve"> </w:t>
            </w:r>
            <w:r>
              <w:rPr>
                <w:sz w:val="18"/>
              </w:rPr>
              <w:t xml:space="preserve">to completion</w:t>
            </w:r>
          </w:p>
        </w:tc>
        <w:tc>
          <w:tcPr>
            <w:tcW w:w="2551" w:type="dxa"/>
          </w:tcPr>
          <w:p>
            <w:pPr>
              <w:pStyle w:val="Compact"/>
              <w:spacing w:after="40"/>
              <w:jc w:val="left"/>
            </w:pPr>
            <w:r>
              <w:rPr>
                <w:sz w:val="18"/>
              </w:rPr>
              <w:t xml:space="preserve">Refund not confirmed in 7 days: task to the insurer [REC]</w:t>
            </w:r>
          </w:p>
        </w:tc>
      </w:tr>
      <w:tr>
        <w:tc>
          <w:tcPr>
            <w:tcW w:w="1579" w:type="dxa"/>
          </w:tcPr>
          <w:p>
            <w:pPr>
              <w:pStyle w:val="Compact"/>
              <w:spacing w:after="40"/>
              <w:jc w:val="left"/>
            </w:pPr>
            <w:r>
              <w:rPr>
                <w:rStyle w:val="VerbatimChar"/>
                <w:sz w:val="18"/>
              </w:rPr>
              <w:t xml:space="preserve">FREE_LOOK_CANCELLED</w:t>
            </w:r>
            <w:r>
              <w:rPr>
                <w:sz w:val="18"/>
              </w:rPr>
              <w:t xml:space="preserve">,</w:t>
            </w:r>
            <w:r>
              <w:rPr>
                <w:sz w:val="18"/>
              </w:rPr>
              <w:t xml:space="preserve"> </w:t>
            </w:r>
            <w:r>
              <w:rPr>
                <w:rStyle w:val="VerbatimChar"/>
                <w:sz w:val="18"/>
              </w:rPr>
              <w:t xml:space="preserve">LAPSED</w:t>
            </w:r>
            <w:r>
              <w:rPr>
                <w:sz w:val="18"/>
              </w:rPr>
              <w:t xml:space="preserve">,</w:t>
            </w:r>
            <w:r>
              <w:rPr>
                <w:sz w:val="18"/>
              </w:rPr>
              <w:t xml:space="preserve"> </w:t>
            </w:r>
            <w:r>
              <w:rPr>
                <w:rStyle w:val="VerbatimChar"/>
                <w:sz w:val="18"/>
              </w:rPr>
              <w:t xml:space="preserve">CANCELLED</w:t>
            </w:r>
            <w:r>
              <w:rPr>
                <w:sz w:val="18"/>
              </w:rPr>
              <w:t xml:space="preserve">,</w:t>
            </w:r>
            <w:r>
              <w:rPr>
                <w:sz w:val="18"/>
              </w:rPr>
              <w:t xml:space="preserve"> </w:t>
            </w:r>
            <w:r>
              <w:rPr>
                <w:rStyle w:val="VerbatimChar"/>
                <w:sz w:val="18"/>
              </w:rPr>
              <w:t xml:space="preserve">MATURED</w:t>
            </w:r>
            <w:r>
              <w:rPr>
                <w:sz w:val="18"/>
              </w:rPr>
              <w:t xml:space="preserve">,</w:t>
            </w:r>
            <w:r>
              <w:rPr>
                <w:sz w:val="18"/>
              </w:rPr>
              <w:t xml:space="preserve"> </w:t>
            </w:r>
            <w:r>
              <w:rPr>
                <w:rStyle w:val="VerbatimChar"/>
                <w:sz w:val="18"/>
              </w:rPr>
              <w:t xml:space="preserve">CLAIMED</w:t>
            </w:r>
          </w:p>
        </w:tc>
        <w:tc>
          <w:tcPr>
            <w:tcW w:w="2067" w:type="dxa"/>
          </w:tcPr>
          <w:p>
            <w:pPr>
              <w:pStyle w:val="Compact"/>
              <w:spacing w:after="40"/>
              <w:jc w:val="left"/>
            </w:pPr>
            <w:r>
              <w:rPr>
                <w:sz w:val="18"/>
              </w:rPr>
              <w:t xml:space="preserve">Insurer status events</w:t>
            </w:r>
          </w:p>
        </w:tc>
        <w:tc>
          <w:tcPr>
            <w:tcW w:w="3441" w:type="dxa"/>
          </w:tcPr>
          <w:p>
            <w:pPr>
              <w:pStyle w:val="Compact"/>
              <w:spacing w:after="40"/>
              <w:jc w:val="left"/>
            </w:pPr>
            <w:r>
              <w:rPr>
                <w:sz w:val="18"/>
              </w:rPr>
              <w:t xml:space="preserve">Documents and complaint routes stay available for the retention period</w:t>
            </w:r>
          </w:p>
        </w:tc>
        <w:tc>
          <w:tcPr>
            <w:tcW w:w="2551" w:type="dxa"/>
          </w:tcPr>
          <w:p>
            <w:pPr>
              <w:pStyle w:val="Compact"/>
              <w:spacing w:after="40"/>
              <w:jc w:val="left"/>
            </w:pPr>
            <w:r>
              <w:rPr>
                <w:sz w:val="18"/>
              </w:rPr>
              <w:t xml:space="preserve">—</w:t>
            </w:r>
          </w:p>
        </w:tc>
      </w:tr>
    </w:tbl>
    <w:p>
      <w:pPr>
        <w:pStyle w:val="BodyText"/>
      </w:pPr>
      <w:r>
        <w:t xml:space="preserve">A consent withdrawal after</w:t>
      </w:r>
      <w:r>
        <w:t xml:space="preserve"> </w:t>
      </w:r>
      <w:r>
        <w:rPr>
          <w:rStyle w:val="VerbatimChar"/>
        </w:rPr>
        <w:t xml:space="preserve">PROPOSAL_SUBMITTED</w:t>
      </w:r>
      <w:r>
        <w:t xml:space="preserve"> </w:t>
      </w:r>
      <w:r>
        <w:t xml:space="preserve">is passed to the insurer as a data-principal request; it does not cancel a policy unless the consumer also asks to cancel.</w:t>
      </w:r>
    </w:p>
    <w:bookmarkEnd w:id="310"/>
    <w:bookmarkStart w:id="311" w:name="xp2.4-policy-documents-and-servicing"/>
    <w:p>
      <w:pPr>
        <w:pStyle w:val="Heading3"/>
      </w:pPr>
      <w:r>
        <w:t xml:space="preserve">XP2.4 Policy documents and servicing</w:t>
      </w:r>
    </w:p>
    <w:p>
      <w:pPr>
        <w:numPr>
          <w:ilvl w:val="0"/>
          <w:numId w:val="1190"/>
        </w:numPr>
        <w:pStyle w:val="Compact"/>
      </w:pPr>
      <w:r>
        <w:t xml:space="preserve">My documents (Part 7C UB1) holds the policy schedule, wording, certificate, premium receipts (the insurer’s), endorsements and renewal notices; downloads are the insurer’s documents, unaltered, with Udofin’s index.</w:t>
      </w:r>
    </w:p>
    <w:p>
      <w:pPr>
        <w:numPr>
          <w:ilvl w:val="0"/>
          <w:numId w:val="1190"/>
        </w:numPr>
        <w:pStyle w:val="Compact"/>
      </w:pPr>
      <w:r>
        <w:t xml:space="preserve">Renewal reminders with consent; no auto-renewal without the e-mandate the policyholder set up; no</w:t>
      </w:r>
      <w:r>
        <w:t xml:space="preserve"> </w:t>
      </w:r>
      <w:r>
        <w:t xml:space="preserve">“</w:t>
      </w:r>
      <w:r>
        <w:t xml:space="preserve">subscription trap</w:t>
      </w:r>
      <w:r>
        <w:t xml:space="preserve">”</w:t>
      </w:r>
      <w:r>
        <w:t xml:space="preserve"> </w:t>
      </w:r>
      <w:r>
        <w:t xml:space="preserve">(CCPA 2023).</w:t>
      </w:r>
    </w:p>
    <w:p>
      <w:pPr>
        <w:numPr>
          <w:ilvl w:val="0"/>
          <w:numId w:val="1190"/>
        </w:numPr>
        <w:pStyle w:val="Compact"/>
      </w:pPr>
      <w:r>
        <w:t xml:space="preserve">Endorsement and nominee-change requests passed to the insurer; status shown.</w:t>
      </w:r>
    </w:p>
    <w:p>
      <w:pPr>
        <w:numPr>
          <w:ilvl w:val="0"/>
          <w:numId w:val="1190"/>
        </w:numPr>
        <w:pStyle w:val="Compact"/>
      </w:pPr>
      <w:r>
        <w:t xml:space="preserve">Udofin keeps policy-wise records accessible for IRDAI’s remote access where Udofin is the intermediary (IRDAI amendment of 30 Jul 2026) [VERIFY].</w:t>
      </w:r>
    </w:p>
    <w:bookmarkEnd w:id="311"/>
    <w:bookmarkStart w:id="312" w:name="X8f3e306a59051015566ce43e7e6efc6c8e9534d"/>
    <w:p>
      <w:pPr>
        <w:pStyle w:val="Heading3"/>
      </w:pPr>
      <w:r>
        <w:t xml:space="preserve">XP2.5 Claim-support intake and tracking (the insurer decides)</w:t>
      </w:r>
    </w:p>
    <w:p>
      <w:pPr>
        <w:numPr>
          <w:ilvl w:val="0"/>
          <w:numId w:val="1191"/>
        </w:numPr>
        <w:pStyle w:val="Compact"/>
      </w:pPr>
      <w:r>
        <w:rPr>
          <w:bCs/>
          <w:b/>
        </w:rPr>
        <w:t xml:space="preserve">Intake:</w:t>
      </w:r>
      <w:r>
        <w:t xml:space="preserve"> </w:t>
      </w:r>
      <w:r>
        <w:t xml:space="preserve">claim type, event date, description, documents through the system picker, bank account for settlement (the policyholder’s or nominee’s own); consent to share with the insurer;</w:t>
      </w:r>
      <w:r>
        <w:t xml:space="preserve"> </w:t>
      </w:r>
      <w:r>
        <w:rPr>
          <w:rStyle w:val="VerbatimChar"/>
        </w:rPr>
        <w:t xml:space="preserve">ClaimAssistanceRequested</w:t>
      </w:r>
      <w:r>
        <w:t xml:space="preserve"> </w:t>
      </w:r>
      <w:r>
        <w:t xml:space="preserve">sent to the insurer.</w:t>
      </w:r>
    </w:p>
    <w:p>
      <w:pPr>
        <w:numPr>
          <w:ilvl w:val="0"/>
          <w:numId w:val="1191"/>
        </w:numPr>
        <w:pStyle w:val="Compact"/>
      </w:pPr>
      <w:r>
        <w:rPr>
          <w:bCs/>
          <w:b/>
        </w:rPr>
        <w:t xml:space="preserve">Tracking:</w:t>
      </w:r>
      <w:r>
        <w:t xml:space="preserve"> </w:t>
      </w:r>
      <w:r>
        <w:t xml:space="preserve">the insurer’s claim number and status (intimated, documents pending, under assessment, approved, partially approved, rejected, paid) with timestamps; document requests become tasks.</w:t>
      </w:r>
    </w:p>
    <w:p>
      <w:pPr>
        <w:numPr>
          <w:ilvl w:val="0"/>
          <w:numId w:val="1191"/>
        </w:numPr>
        <w:pStyle w:val="Compact"/>
      </w:pPr>
      <w:r>
        <w:rPr>
          <w:bCs/>
          <w:b/>
        </w:rPr>
        <w:t xml:space="preserve">Udofin never:</w:t>
      </w:r>
      <w:r>
        <w:t xml:space="preserve"> </w:t>
      </w:r>
      <w:r>
        <w:t xml:space="preserve">assesses, approves, rejects or negotiates a claim; promises an outcome; advises on what to disclose; contacts a hospital or third party without the claimant’s consent.</w:t>
      </w:r>
    </w:p>
    <w:p>
      <w:pPr>
        <w:numPr>
          <w:ilvl w:val="0"/>
          <w:numId w:val="1191"/>
        </w:numPr>
        <w:pStyle w:val="Compact"/>
      </w:pPr>
      <w:r>
        <w:rPr>
          <w:bCs/>
          <w:b/>
        </w:rPr>
        <w:t xml:space="preserve">Death claims on credit-linked cover:</w:t>
      </w:r>
      <w:r>
        <w:t xml:space="preserve"> </w:t>
      </w:r>
      <w:r>
        <w:t xml:space="preserve">shown to the nominee only after the nominee’s own verification; no message to co-members or family beyond the nominee.</w:t>
      </w:r>
    </w:p>
    <w:p>
      <w:pPr>
        <w:numPr>
          <w:ilvl w:val="0"/>
          <w:numId w:val="1191"/>
        </w:numPr>
        <w:pStyle w:val="Compact"/>
      </w:pPr>
      <w:r>
        <w:rPr>
          <w:bCs/>
          <w:b/>
        </w:rPr>
        <w:t xml:space="preserve">Health data</w:t>
      </w:r>
      <w:r>
        <w:t xml:space="preserve"> </w:t>
      </w:r>
      <w:r>
        <w:t xml:space="preserve">is collected only inside the insurer’s forms and stored only as the claim documents the claimant uploads, in the product vault, with retention per the insurer’s contract and DPDP s.8(7).</w:t>
      </w:r>
    </w:p>
    <w:bookmarkEnd w:id="312"/>
    <w:bookmarkStart w:id="313" w:name="xp2.6-complaints"/>
    <w:p>
      <w:pPr>
        <w:pStyle w:val="Heading3"/>
      </w:pPr>
      <w:r>
        <w:t xml:space="preserve">XP2.6 Complaints</w:t>
      </w:r>
    </w:p>
    <w:p>
      <w:pPr>
        <w:pStyle w:val="FirstParagraph"/>
      </w:pPr>
      <w:r>
        <w:t xml:space="preserve">Route shown on every insurance screen and ticket (UB3 specialised route):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94"/>
        <w:gridCol w:w="2728"/>
        <w:gridCol w:w="3745"/>
        <w:gridCol w:w="2171"/>
      </w:tblGrid>
      <w:tr>
        <w:trPr>
          <w:tblHeader w:val="true"/>
          <w:tblHeader w:val="true"/>
        </w:trPr>
        <w:tc>
          <w:tcPr>
            <w:tcW w:w="994" w:type="dxa"/>
            <w:shd w:val="clear" w:color="auto" w:fill="1F3A5F"/>
          </w:tcPr>
          <w:p>
            <w:pPr>
              <w:pStyle w:val="Compact"/>
              <w:spacing w:after="40"/>
              <w:jc w:val="left"/>
            </w:pPr>
            <w:r>
              <w:rPr>
                <w:b/>
                <w:color w:val="FFFFFF"/>
                <w:sz w:val="18"/>
              </w:rPr>
              <w:t xml:space="preserve">Tier</w:t>
            </w:r>
          </w:p>
        </w:tc>
        <w:tc>
          <w:tcPr>
            <w:tcW w:w="2728" w:type="dxa"/>
            <w:shd w:val="clear" w:color="auto" w:fill="1F3A5F"/>
          </w:tcPr>
          <w:p>
            <w:pPr>
              <w:pStyle w:val="Compact"/>
              <w:spacing w:after="40"/>
              <w:jc w:val="left"/>
            </w:pPr>
            <w:r>
              <w:rPr>
                <w:b/>
                <w:color w:val="FFFFFF"/>
                <w:sz w:val="18"/>
              </w:rPr>
              <w:t xml:space="preserve">Owner</w:t>
            </w:r>
          </w:p>
        </w:tc>
        <w:tc>
          <w:tcPr>
            <w:tcW w:w="3745" w:type="dxa"/>
            <w:shd w:val="clear" w:color="auto" w:fill="1F3A5F"/>
          </w:tcPr>
          <w:p>
            <w:pPr>
              <w:pStyle w:val="Compact"/>
              <w:spacing w:after="40"/>
              <w:jc w:val="left"/>
            </w:pPr>
            <w:r>
              <w:rPr>
                <w:b/>
                <w:color w:val="FFFFFF"/>
                <w:sz w:val="18"/>
              </w:rPr>
              <w:t xml:space="preserve">Timer</w:t>
            </w:r>
          </w:p>
        </w:tc>
        <w:tc>
          <w:tcPr>
            <w:tcW w:w="2171" w:type="dxa"/>
            <w:shd w:val="clear" w:color="auto" w:fill="1F3A5F"/>
          </w:tcPr>
          <w:p>
            <w:pPr>
              <w:pStyle w:val="Compact"/>
              <w:spacing w:after="40"/>
              <w:jc w:val="left"/>
            </w:pPr>
            <w:r>
              <w:rPr>
                <w:b/>
                <w:color w:val="FFFFFF"/>
                <w:sz w:val="18"/>
              </w:rPr>
              <w:t xml:space="preserve">Udofin action</w:t>
            </w:r>
          </w:p>
        </w:tc>
      </w:tr>
      <w:tr>
        <w:tc>
          <w:tcPr>
            <w:tcW w:w="994" w:type="dxa"/>
          </w:tcPr>
          <w:p>
            <w:pPr>
              <w:pStyle w:val="Compact"/>
              <w:spacing w:after="40"/>
              <w:jc w:val="left"/>
            </w:pPr>
            <w:r>
              <w:rPr>
                <w:sz w:val="18"/>
              </w:rPr>
              <w:t xml:space="preserve">T1</w:t>
            </w:r>
          </w:p>
        </w:tc>
        <w:tc>
          <w:tcPr>
            <w:tcW w:w="2728" w:type="dxa"/>
          </w:tcPr>
          <w:p>
            <w:pPr>
              <w:pStyle w:val="Compact"/>
              <w:spacing w:after="40"/>
              <w:jc w:val="left"/>
            </w:pPr>
            <w:r>
              <w:rPr>
                <w:sz w:val="18"/>
              </w:rPr>
              <w:t xml:space="preserve">Udofin GRO for platform or sales-conduct complaints (model A or B: as the intermediary)</w:t>
            </w:r>
          </w:p>
        </w:tc>
        <w:tc>
          <w:tcPr>
            <w:tcW w:w="3745" w:type="dxa"/>
          </w:tcPr>
          <w:p>
            <w:pPr>
              <w:pStyle w:val="Compact"/>
              <w:spacing w:after="40"/>
              <w:jc w:val="left"/>
            </w:pPr>
            <w:r>
              <w:rPr>
                <w:sz w:val="18"/>
              </w:rPr>
              <w:t xml:space="preserve">Acknowledge within 1 hour; resolve or forward within 7 days [REC]</w:t>
            </w:r>
          </w:p>
        </w:tc>
        <w:tc>
          <w:tcPr>
            <w:tcW w:w="2171" w:type="dxa"/>
          </w:tcPr>
          <w:p>
            <w:pPr>
              <w:pStyle w:val="Compact"/>
              <w:spacing w:after="40"/>
              <w:jc w:val="left"/>
            </w:pPr>
            <w:r>
              <w:rPr>
                <w:sz w:val="18"/>
              </w:rPr>
              <w:t xml:space="preserve">Own ticket; mis-selling review (XP4.4)</w:t>
            </w:r>
          </w:p>
        </w:tc>
      </w:tr>
      <w:tr>
        <w:tc>
          <w:tcPr>
            <w:tcW w:w="994" w:type="dxa"/>
          </w:tcPr>
          <w:p>
            <w:pPr>
              <w:pStyle w:val="Compact"/>
              <w:spacing w:after="40"/>
              <w:jc w:val="left"/>
            </w:pPr>
            <w:r>
              <w:rPr>
                <w:sz w:val="18"/>
              </w:rPr>
              <w:t xml:space="preserve">T2</w:t>
            </w:r>
          </w:p>
        </w:tc>
        <w:tc>
          <w:tcPr>
            <w:tcW w:w="2728" w:type="dxa"/>
          </w:tcPr>
          <w:p>
            <w:pPr>
              <w:pStyle w:val="Compact"/>
              <w:spacing w:after="40"/>
              <w:jc w:val="left"/>
            </w:pPr>
            <w:r>
              <w:rPr>
                <w:sz w:val="18"/>
              </w:rPr>
              <w:t xml:space="preserve">Insurer’s grievance redressal officer</w:t>
            </w:r>
          </w:p>
        </w:tc>
        <w:tc>
          <w:tcPr>
            <w:tcW w:w="3745" w:type="dxa"/>
          </w:tcPr>
          <w:p>
            <w:pPr>
              <w:pStyle w:val="Compact"/>
              <w:spacing w:after="40"/>
              <w:jc w:val="left"/>
            </w:pPr>
            <w:r>
              <w:rPr>
                <w:sz w:val="18"/>
              </w:rPr>
              <w:t xml:space="preserve">Per IRDAI policyholder-protection rules [VERIFY: response period]</w:t>
            </w:r>
          </w:p>
        </w:tc>
        <w:tc>
          <w:tcPr>
            <w:tcW w:w="2171" w:type="dxa"/>
          </w:tcPr>
          <w:p>
            <w:pPr>
              <w:pStyle w:val="Compact"/>
              <w:spacing w:after="40"/>
              <w:jc w:val="left"/>
            </w:pPr>
            <w:r>
              <w:rPr>
                <w:sz w:val="18"/>
              </w:rPr>
              <w:t xml:space="preserve">Forward with case pack; track</w:t>
            </w:r>
          </w:p>
        </w:tc>
      </w:tr>
      <w:tr>
        <w:tc>
          <w:tcPr>
            <w:tcW w:w="994" w:type="dxa"/>
          </w:tcPr>
          <w:p>
            <w:pPr>
              <w:pStyle w:val="Compact"/>
              <w:spacing w:after="40"/>
              <w:jc w:val="left"/>
            </w:pPr>
            <w:r>
              <w:rPr>
                <w:sz w:val="18"/>
              </w:rPr>
              <w:t xml:space="preserve">T3</w:t>
            </w:r>
          </w:p>
        </w:tc>
        <w:tc>
          <w:tcPr>
            <w:tcW w:w="2728" w:type="dxa"/>
          </w:tcPr>
          <w:p>
            <w:pPr>
              <w:pStyle w:val="Compact"/>
              <w:spacing w:after="40"/>
              <w:jc w:val="left"/>
            </w:pPr>
            <w:r>
              <w:rPr>
                <w:sz w:val="18"/>
              </w:rPr>
              <w:t xml:space="preserve">Bima Bharosa (IRDAI grievance system; optional)</w:t>
            </w:r>
          </w:p>
        </w:tc>
        <w:tc>
          <w:tcPr>
            <w:tcW w:w="3745" w:type="dxa"/>
          </w:tcPr>
          <w:p>
            <w:pPr>
              <w:pStyle w:val="Compact"/>
              <w:spacing w:after="40"/>
              <w:jc w:val="left"/>
            </w:pPr>
            <w:r>
              <w:rPr>
                <w:sz w:val="18"/>
              </w:rPr>
              <w:t xml:space="preserve">—</w:t>
            </w:r>
          </w:p>
        </w:tc>
        <w:tc>
          <w:tcPr>
            <w:tcW w:w="2171" w:type="dxa"/>
          </w:tcPr>
          <w:p>
            <w:pPr>
              <w:pStyle w:val="Compact"/>
              <w:spacing w:after="40"/>
              <w:jc w:val="left"/>
            </w:pPr>
            <w:r>
              <w:rPr>
                <w:sz w:val="18"/>
              </w:rPr>
              <w:t xml:space="preserve">Deep link and case-pack download</w:t>
            </w:r>
          </w:p>
        </w:tc>
      </w:tr>
      <w:tr>
        <w:tc>
          <w:tcPr>
            <w:tcW w:w="994" w:type="dxa"/>
          </w:tcPr>
          <w:p>
            <w:pPr>
              <w:pStyle w:val="Compact"/>
              <w:spacing w:after="40"/>
              <w:jc w:val="left"/>
            </w:pPr>
            <w:r>
              <w:rPr>
                <w:sz w:val="18"/>
              </w:rPr>
              <w:t xml:space="preserve">T4</w:t>
            </w:r>
          </w:p>
        </w:tc>
        <w:tc>
          <w:tcPr>
            <w:tcW w:w="2728" w:type="dxa"/>
          </w:tcPr>
          <w:p>
            <w:pPr>
              <w:pStyle w:val="Compact"/>
              <w:spacing w:after="40"/>
              <w:jc w:val="left"/>
            </w:pPr>
            <w:r>
              <w:rPr>
                <w:sz w:val="18"/>
              </w:rPr>
              <w:t xml:space="preserve">Insurance Ombudsman via the Council for Insurance Ombudsmen portal</w:t>
            </w:r>
          </w:p>
        </w:tc>
        <w:tc>
          <w:tcPr>
            <w:tcW w:w="3745" w:type="dxa"/>
          </w:tcPr>
          <w:p>
            <w:pPr>
              <w:pStyle w:val="Compact"/>
              <w:spacing w:after="40"/>
              <w:jc w:val="left"/>
            </w:pPr>
            <w:r>
              <w:rPr>
                <w:sz w:val="18"/>
              </w:rPr>
              <w:t xml:space="preserve">Within 1 year of the insurer’s reply or rejection; claims up to ₹50 lakh; award complied with within 30 days (Insurance Ombudsman Rules 2017) [VERIFY: rule numbers]</w:t>
            </w:r>
          </w:p>
        </w:tc>
        <w:tc>
          <w:tcPr>
            <w:tcW w:w="2171" w:type="dxa"/>
          </w:tcPr>
          <w:p>
            <w:pPr>
              <w:pStyle w:val="Compact"/>
              <w:spacing w:after="40"/>
              <w:jc w:val="left"/>
            </w:pPr>
            <w:r>
              <w:rPr>
                <w:sz w:val="18"/>
              </w:rPr>
              <w:t xml:space="preserve">Countdown; pre-filled case pack; the policyholder files</w:t>
            </w:r>
          </w:p>
        </w:tc>
      </w:tr>
      <w:tr>
        <w:tc>
          <w:tcPr>
            <w:tcW w:w="994" w:type="dxa"/>
          </w:tcPr>
          <w:p>
            <w:pPr>
              <w:pStyle w:val="Compact"/>
              <w:spacing w:after="40"/>
              <w:jc w:val="left"/>
            </w:pPr>
            <w:r>
              <w:rPr>
                <w:sz w:val="18"/>
              </w:rPr>
              <w:t xml:space="preserve">Parallel</w:t>
            </w:r>
          </w:p>
        </w:tc>
        <w:tc>
          <w:tcPr>
            <w:tcW w:w="2728" w:type="dxa"/>
          </w:tcPr>
          <w:p>
            <w:pPr>
              <w:pStyle w:val="Compact"/>
              <w:spacing w:after="40"/>
              <w:jc w:val="left"/>
            </w:pPr>
            <w:r>
              <w:rPr>
                <w:sz w:val="18"/>
              </w:rPr>
              <w:t xml:space="preserve">Consumer Commission (e-Daakhil)</w:t>
            </w:r>
          </w:p>
        </w:tc>
        <w:tc>
          <w:tcPr>
            <w:tcW w:w="3745" w:type="dxa"/>
          </w:tcPr>
          <w:p>
            <w:pPr>
              <w:pStyle w:val="Compact"/>
              <w:spacing w:after="40"/>
              <w:jc w:val="left"/>
            </w:pPr>
            <w:r>
              <w:rPr>
                <w:sz w:val="18"/>
              </w:rPr>
              <w:t xml:space="preserve">Within limitation</w:t>
            </w:r>
          </w:p>
        </w:tc>
        <w:tc>
          <w:tcPr>
            <w:tcW w:w="2171" w:type="dxa"/>
          </w:tcPr>
          <w:p>
            <w:pPr>
              <w:pStyle w:val="Compact"/>
              <w:spacing w:after="40"/>
              <w:jc w:val="left"/>
            </w:pPr>
            <w:r>
              <w:rPr>
                <w:sz w:val="18"/>
              </w:rPr>
              <w:t xml:space="preserve">Information only</w:t>
            </w:r>
          </w:p>
        </w:tc>
      </w:tr>
    </w:tbl>
    <w:p>
      <w:pPr>
        <w:pStyle w:val="BodyText"/>
      </w:pPr>
      <w:r>
        <w:t xml:space="preserve">The RBI Ombudsman route is never shown for an insurance complaint unless the complaint is also about an RE’s loan (model D), in which case the RE route in UB3 is shown separately.</w:t>
      </w:r>
    </w:p>
    <w:bookmarkEnd w:id="313"/>
    <w:bookmarkStart w:id="314" w:name="xp2.7-events-and-data-flows"/>
    <w:p>
      <w:pPr>
        <w:pStyle w:val="Heading3"/>
      </w:pPr>
      <w:r>
        <w:t xml:space="preserve">XP2.7 Events and data flows</w:t>
      </w:r>
    </w:p>
    <w:p>
      <w:pPr>
        <w:numPr>
          <w:ilvl w:val="0"/>
          <w:numId w:val="1192"/>
        </w:numPr>
        <w:pStyle w:val="Compact"/>
      </w:pPr>
      <w:r>
        <w:rPr>
          <w:bCs/>
          <w:b/>
        </w:rPr>
        <w:t xml:space="preserve">Udofin ↔ insurer (or registered partner) only, separate consent:</w:t>
      </w:r>
      <w:r>
        <w:t xml:space="preserve"> </w:t>
      </w:r>
      <w:r>
        <w:rPr>
          <w:rStyle w:val="VerbatimChar"/>
        </w:rPr>
        <w:t xml:space="preserve">InsuranceQuoteRequested</w:t>
      </w:r>
      <w:r>
        <w:t xml:space="preserve">,</w:t>
      </w:r>
      <w:r>
        <w:t xml:space="preserve"> </w:t>
      </w:r>
      <w:r>
        <w:rPr>
          <w:rStyle w:val="VerbatimChar"/>
        </w:rPr>
        <w:t xml:space="preserve">PolicyIssued</w:t>
      </w:r>
      <w:r>
        <w:t xml:space="preserve">,</w:t>
      </w:r>
      <w:r>
        <w:t xml:space="preserve"> </w:t>
      </w:r>
      <w:r>
        <w:rPr>
          <w:rStyle w:val="VerbatimChar"/>
        </w:rPr>
        <w:t xml:space="preserve">ClaimAssistanceRequested</w:t>
      </w:r>
      <w:r>
        <w:t xml:space="preserve">. These never go to REs, Finbyx, LawDocsComply or the Operations Hub except as counts.</w:t>
      </w:r>
    </w:p>
    <w:p>
      <w:pPr>
        <w:numPr>
          <w:ilvl w:val="0"/>
          <w:numId w:val="1192"/>
        </w:numPr>
        <w:pStyle w:val="Compact"/>
      </w:pPr>
      <w:r>
        <w:rPr>
          <w:bCs/>
          <w:b/>
        </w:rPr>
        <w:t xml:space="preserve">To the Operations Hub:</w:t>
      </w:r>
      <w:r>
        <w:t xml:space="preserve"> </w:t>
      </w:r>
      <w:r>
        <w:t xml:space="preserve">aggregated sales and commission counts for revenue review (RV1); licence events for the licence calendar.</w:t>
      </w:r>
    </w:p>
    <w:p>
      <w:pPr>
        <w:numPr>
          <w:ilvl w:val="0"/>
          <w:numId w:val="1192"/>
        </w:numPr>
        <w:pStyle w:val="Compact"/>
      </w:pPr>
      <w:r>
        <w:rPr>
          <w:bCs/>
          <w:b/>
        </w:rPr>
        <w:t xml:space="preserve">To LawDocsComply (Udofin’s own compliance tenant):</w:t>
      </w:r>
      <w:r>
        <w:t xml:space="preserve"> </w:t>
      </w:r>
      <w:r>
        <w:t xml:space="preserve">licence status, seller-tagging exceptions, mis-selling reviews, complaint statistics.</w:t>
      </w:r>
    </w:p>
    <w:bookmarkEnd w:id="314"/>
    <w:bookmarkStart w:id="315" w:name="settings-and-options-xp2"/>
    <w:p>
      <w:pPr>
        <w:pStyle w:val="Heading3"/>
      </w:pPr>
      <w:r>
        <w:t xml:space="preserve">Settings and options (XP2)</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92"/>
        <w:gridCol w:w="1566"/>
        <w:gridCol w:w="2839"/>
        <w:gridCol w:w="2841"/>
      </w:tblGrid>
      <w:tr>
        <w:trPr>
          <w:tblHeader w:val="true"/>
          <w:tblHeader w:val="true"/>
        </w:trPr>
        <w:tc>
          <w:tcPr>
            <w:tcW w:w="2392" w:type="dxa"/>
            <w:shd w:val="clear" w:color="auto" w:fill="1F3A5F"/>
          </w:tcPr>
          <w:p>
            <w:pPr>
              <w:pStyle w:val="Compact"/>
              <w:spacing w:after="40"/>
              <w:jc w:val="left"/>
            </w:pPr>
            <w:r>
              <w:rPr>
                <w:b/>
                <w:color w:val="FFFFFF"/>
                <w:sz w:val="18"/>
              </w:rPr>
              <w:t xml:space="preserve">Setting</w:t>
            </w:r>
          </w:p>
        </w:tc>
        <w:tc>
          <w:tcPr>
            <w:tcW w:w="1566" w:type="dxa"/>
            <w:shd w:val="clear" w:color="auto" w:fill="1F3A5F"/>
          </w:tcPr>
          <w:p>
            <w:pPr>
              <w:pStyle w:val="Compact"/>
              <w:spacing w:after="40"/>
              <w:jc w:val="left"/>
            </w:pPr>
            <w:r>
              <w:rPr>
                <w:b/>
                <w:color w:val="FFFFFF"/>
                <w:sz w:val="18"/>
              </w:rPr>
              <w:t xml:space="preserve">Level</w:t>
            </w:r>
          </w:p>
        </w:tc>
        <w:tc>
          <w:tcPr>
            <w:tcW w:w="2839" w:type="dxa"/>
            <w:shd w:val="clear" w:color="auto" w:fill="1F3A5F"/>
          </w:tcPr>
          <w:p>
            <w:pPr>
              <w:pStyle w:val="Compact"/>
              <w:spacing w:after="40"/>
              <w:jc w:val="left"/>
            </w:pPr>
            <w:r>
              <w:rPr>
                <w:b/>
                <w:color w:val="FFFFFF"/>
                <w:sz w:val="18"/>
              </w:rPr>
              <w:t xml:space="preserve">Default</w:t>
            </w:r>
          </w:p>
        </w:tc>
        <w:tc>
          <w:tcPr>
            <w:tcW w:w="2841" w:type="dxa"/>
            <w:shd w:val="clear" w:color="auto" w:fill="1F3A5F"/>
          </w:tcPr>
          <w:p>
            <w:pPr>
              <w:pStyle w:val="Compact"/>
              <w:spacing w:after="40"/>
              <w:jc w:val="left"/>
            </w:pPr>
            <w:r>
              <w:rPr>
                <w:b/>
                <w:color w:val="FFFFFF"/>
                <w:sz w:val="18"/>
              </w:rPr>
              <w:t xml:space="preserve">Nature</w:t>
            </w:r>
          </w:p>
        </w:tc>
      </w:tr>
      <w:tr>
        <w:tc>
          <w:tcPr>
            <w:tcW w:w="2392" w:type="dxa"/>
          </w:tcPr>
          <w:p>
            <w:pPr>
              <w:pStyle w:val="Compact"/>
              <w:spacing w:after="40"/>
              <w:jc w:val="left"/>
            </w:pPr>
            <w:r>
              <w:rPr>
                <w:rStyle w:val="VerbatimChar"/>
                <w:sz w:val="18"/>
              </w:rPr>
              <w:t xml:space="preserve">Account › Protect</w:t>
            </w:r>
            <w:r>
              <w:rPr>
                <w:sz w:val="18"/>
              </w:rPr>
              <w:t xml:space="preserve"> </w:t>
            </w:r>
            <w:r>
              <w:rPr>
                <w:sz w:val="18"/>
              </w:rPr>
              <w:t xml:space="preserve">visibility</w:t>
            </w:r>
          </w:p>
        </w:tc>
        <w:tc>
          <w:tcPr>
            <w:tcW w:w="1566" w:type="dxa"/>
          </w:tcPr>
          <w:p>
            <w:pPr>
              <w:pStyle w:val="Compact"/>
              <w:spacing w:after="40"/>
              <w:jc w:val="left"/>
            </w:pPr>
            <w:r>
              <w:rPr>
                <w:sz w:val="18"/>
              </w:rPr>
              <w:t xml:space="preserve">Platform, per channel</w:t>
            </w:r>
          </w:p>
        </w:tc>
        <w:tc>
          <w:tcPr>
            <w:tcW w:w="2839" w:type="dxa"/>
          </w:tcPr>
          <w:p>
            <w:pPr>
              <w:pStyle w:val="Compact"/>
              <w:spacing w:after="40"/>
              <w:jc w:val="left"/>
            </w:pPr>
            <w:r>
              <w:rPr>
                <w:sz w:val="18"/>
              </w:rPr>
              <w:t xml:space="preserve">Hidden until a module is ENABLED</w:t>
            </w:r>
          </w:p>
        </w:tc>
        <w:tc>
          <w:tcPr>
            <w:tcW w:w="2841" w:type="dxa"/>
          </w:tcPr>
          <w:p>
            <w:pPr>
              <w:pStyle w:val="Compact"/>
              <w:spacing w:after="40"/>
              <w:jc w:val="left"/>
            </w:pPr>
            <w:r>
              <w:rPr>
                <w:sz w:val="18"/>
              </w:rPr>
              <w:t xml:space="preserve">Gate-controlled; cannot be shown manually</w:t>
            </w:r>
          </w:p>
        </w:tc>
      </w:tr>
      <w:tr>
        <w:tc>
          <w:tcPr>
            <w:tcW w:w="2392" w:type="dxa"/>
          </w:tcPr>
          <w:p>
            <w:pPr>
              <w:pStyle w:val="Compact"/>
              <w:spacing w:after="40"/>
              <w:jc w:val="left"/>
            </w:pPr>
            <w:r>
              <w:rPr>
                <w:sz w:val="18"/>
              </w:rPr>
              <w:t xml:space="preserve">Minimum quotes where several insurers are tied up</w:t>
            </w:r>
          </w:p>
        </w:tc>
        <w:tc>
          <w:tcPr>
            <w:tcW w:w="1566" w:type="dxa"/>
          </w:tcPr>
          <w:p>
            <w:pPr>
              <w:pStyle w:val="Compact"/>
              <w:spacing w:after="40"/>
              <w:jc w:val="left"/>
            </w:pPr>
            <w:r>
              <w:rPr>
                <w:sz w:val="18"/>
              </w:rPr>
              <w:t xml:space="preserve">Platform, per line</w:t>
            </w:r>
          </w:p>
        </w:tc>
        <w:tc>
          <w:tcPr>
            <w:tcW w:w="2839" w:type="dxa"/>
          </w:tcPr>
          <w:p>
            <w:pPr>
              <w:pStyle w:val="Compact"/>
              <w:spacing w:after="40"/>
              <w:jc w:val="left"/>
            </w:pPr>
            <w:r>
              <w:rPr>
                <w:sz w:val="18"/>
              </w:rPr>
              <w:t xml:space="preserve">2</w:t>
            </w:r>
          </w:p>
        </w:tc>
        <w:tc>
          <w:tcPr>
            <w:tcW w:w="2841" w:type="dxa"/>
          </w:tcPr>
          <w:p>
            <w:pPr>
              <w:pStyle w:val="Compact"/>
              <w:spacing w:after="40"/>
              <w:jc w:val="left"/>
            </w:pPr>
            <w:r>
              <w:rPr>
                <w:sz w:val="18"/>
              </w:rPr>
              <w:t xml:space="preserve">Floor (model A); model B per web-aggregator rules</w:t>
            </w:r>
          </w:p>
        </w:tc>
      </w:tr>
      <w:tr>
        <w:tc>
          <w:tcPr>
            <w:tcW w:w="2392" w:type="dxa"/>
          </w:tcPr>
          <w:p>
            <w:pPr>
              <w:pStyle w:val="Compact"/>
              <w:spacing w:after="40"/>
              <w:jc w:val="left"/>
            </w:pPr>
            <w:r>
              <w:rPr>
                <w:sz w:val="18"/>
              </w:rPr>
              <w:t xml:space="preserve">Quote sort metric</w:t>
            </w:r>
          </w:p>
        </w:tc>
        <w:tc>
          <w:tcPr>
            <w:tcW w:w="1566" w:type="dxa"/>
          </w:tcPr>
          <w:p>
            <w:pPr>
              <w:pStyle w:val="Compact"/>
              <w:spacing w:after="40"/>
              <w:jc w:val="left"/>
            </w:pPr>
            <w:r>
              <w:rPr>
                <w:sz w:val="18"/>
              </w:rPr>
              <w:t xml:space="preserve">Consumer</w:t>
            </w:r>
          </w:p>
        </w:tc>
        <w:tc>
          <w:tcPr>
            <w:tcW w:w="2839" w:type="dxa"/>
          </w:tcPr>
          <w:p>
            <w:pPr>
              <w:pStyle w:val="Compact"/>
              <w:spacing w:after="40"/>
              <w:jc w:val="left"/>
            </w:pPr>
            <w:r>
              <w:rPr>
                <w:sz w:val="18"/>
              </w:rPr>
              <w:t xml:space="preserve">Premium, low to high (consumer may switch to cover)</w:t>
            </w:r>
          </w:p>
        </w:tc>
        <w:tc>
          <w:tcPr>
            <w:tcW w:w="2841" w:type="dxa"/>
          </w:tcPr>
          <w:p>
            <w:pPr>
              <w:pStyle w:val="Compact"/>
              <w:spacing w:after="40"/>
              <w:jc w:val="left"/>
            </w:pPr>
            <w:r>
              <w:rPr>
                <w:sz w:val="18"/>
              </w:rPr>
              <w:t xml:space="preserve">Only pre-disclosed metrics; no</w:t>
            </w:r>
            <w:r>
              <w:rPr>
                <w:sz w:val="18"/>
              </w:rPr>
              <w:t xml:space="preserve"> </w:t>
            </w:r>
            <w:r>
              <w:rPr>
                <w:sz w:val="18"/>
              </w:rPr>
              <w:t xml:space="preserve">“</w:t>
            </w:r>
            <w:r>
              <w:rPr>
                <w:sz w:val="18"/>
              </w:rPr>
              <w:t xml:space="preserve">recommended</w:t>
            </w:r>
            <w:r>
              <w:rPr>
                <w:sz w:val="18"/>
              </w:rPr>
              <w:t xml:space="preserve">”</w:t>
            </w:r>
            <w:r>
              <w:rPr>
                <w:sz w:val="18"/>
              </w:rPr>
              <w:t xml:space="preserve"> </w:t>
            </w:r>
            <w:r>
              <w:rPr>
                <w:sz w:val="18"/>
              </w:rPr>
              <w:t xml:space="preserve">sort</w:t>
            </w:r>
          </w:p>
        </w:tc>
      </w:tr>
      <w:tr>
        <w:tc>
          <w:tcPr>
            <w:tcW w:w="2392" w:type="dxa"/>
          </w:tcPr>
          <w:p>
            <w:pPr>
              <w:pStyle w:val="Compact"/>
              <w:spacing w:after="40"/>
              <w:jc w:val="left"/>
            </w:pPr>
            <w:r>
              <w:rPr>
                <w:sz w:val="18"/>
              </w:rPr>
              <w:t xml:space="preserve">Free-look reminder</w:t>
            </w:r>
          </w:p>
        </w:tc>
        <w:tc>
          <w:tcPr>
            <w:tcW w:w="1566" w:type="dxa"/>
          </w:tcPr>
          <w:p>
            <w:pPr>
              <w:pStyle w:val="Compact"/>
              <w:spacing w:after="40"/>
              <w:jc w:val="left"/>
            </w:pPr>
            <w:r>
              <w:rPr>
                <w:sz w:val="18"/>
              </w:rPr>
              <w:t xml:space="preserve">Platform</w:t>
            </w:r>
          </w:p>
        </w:tc>
        <w:tc>
          <w:tcPr>
            <w:tcW w:w="2839" w:type="dxa"/>
          </w:tcPr>
          <w:p>
            <w:pPr>
              <w:pStyle w:val="Compact"/>
              <w:spacing w:after="40"/>
              <w:jc w:val="left"/>
            </w:pPr>
            <w:r>
              <w:rPr>
                <w:sz w:val="18"/>
              </w:rPr>
              <w:t xml:space="preserve">5 days before expiry, in app and by SMS on a service template</w:t>
            </w:r>
          </w:p>
        </w:tc>
        <w:tc>
          <w:tcPr>
            <w:tcW w:w="2841" w:type="dxa"/>
          </w:tcPr>
          <w:p>
            <w:pPr>
              <w:pStyle w:val="Compact"/>
              <w:spacing w:after="40"/>
              <w:jc w:val="left"/>
            </w:pPr>
            <w:r>
              <w:rPr>
                <w:sz w:val="18"/>
              </w:rPr>
              <w:t xml:space="preserve">Udofin default [REC]; may be earlier</w:t>
            </w:r>
          </w:p>
        </w:tc>
      </w:tr>
      <w:tr>
        <w:tc>
          <w:tcPr>
            <w:tcW w:w="2392" w:type="dxa"/>
          </w:tcPr>
          <w:p>
            <w:pPr>
              <w:pStyle w:val="Compact"/>
              <w:spacing w:after="40"/>
              <w:jc w:val="left"/>
            </w:pPr>
            <w:r>
              <w:rPr>
                <w:sz w:val="18"/>
              </w:rPr>
              <w:t xml:space="preserve">Post-sale feedback contact</w:t>
            </w:r>
          </w:p>
        </w:tc>
        <w:tc>
          <w:tcPr>
            <w:tcW w:w="1566" w:type="dxa"/>
          </w:tcPr>
          <w:p>
            <w:pPr>
              <w:pStyle w:val="Compact"/>
              <w:spacing w:after="40"/>
              <w:jc w:val="left"/>
            </w:pPr>
            <w:r>
              <w:rPr>
                <w:sz w:val="18"/>
              </w:rPr>
              <w:t xml:space="preserve">Platform</w:t>
            </w:r>
          </w:p>
        </w:tc>
        <w:tc>
          <w:tcPr>
            <w:tcW w:w="2839" w:type="dxa"/>
          </w:tcPr>
          <w:p>
            <w:pPr>
              <w:pStyle w:val="Compact"/>
              <w:spacing w:after="40"/>
              <w:jc w:val="left"/>
            </w:pPr>
            <w:r>
              <w:rPr>
                <w:sz w:val="18"/>
              </w:rPr>
              <w:t xml:space="preserve">Day 15, second attempt day 25, closed by day 30</w:t>
            </w:r>
          </w:p>
        </w:tc>
        <w:tc>
          <w:tcPr>
            <w:tcW w:w="2841" w:type="dxa"/>
          </w:tcPr>
          <w:p>
            <w:pPr>
              <w:pStyle w:val="Compact"/>
              <w:spacing w:after="40"/>
              <w:jc w:val="left"/>
            </w:pPr>
            <w:r>
              <w:rPr>
                <w:sz w:val="18"/>
              </w:rPr>
              <w:t xml:space="preserve">Floor: within 30 days of purchase</w:t>
            </w:r>
          </w:p>
        </w:tc>
      </w:tr>
      <w:tr>
        <w:tc>
          <w:tcPr>
            <w:tcW w:w="2392" w:type="dxa"/>
          </w:tcPr>
          <w:p>
            <w:pPr>
              <w:pStyle w:val="Compact"/>
              <w:spacing w:after="40"/>
              <w:jc w:val="left"/>
            </w:pPr>
            <w:r>
              <w:rPr>
                <w:sz w:val="18"/>
              </w:rPr>
              <w:t xml:space="preserve">Cross-sell quiet periods</w:t>
            </w:r>
          </w:p>
        </w:tc>
        <w:tc>
          <w:tcPr>
            <w:tcW w:w="1566" w:type="dxa"/>
          </w:tcPr>
          <w:p>
            <w:pPr>
              <w:pStyle w:val="Compact"/>
              <w:spacing w:after="40"/>
              <w:jc w:val="left"/>
            </w:pPr>
            <w:r>
              <w:rPr>
                <w:sz w:val="18"/>
              </w:rPr>
              <w:t xml:space="preserve">Platform</w:t>
            </w:r>
          </w:p>
        </w:tc>
        <w:tc>
          <w:tcPr>
            <w:tcW w:w="2839" w:type="dxa"/>
          </w:tcPr>
          <w:p>
            <w:pPr>
              <w:pStyle w:val="Compact"/>
              <w:spacing w:after="40"/>
              <w:jc w:val="left"/>
            </w:pPr>
            <w:r>
              <w:rPr>
                <w:sz w:val="18"/>
              </w:rPr>
              <w:t xml:space="preserve">Cooling-off, day of disbursal, 30 days after a microfinance disbursal</w:t>
            </w:r>
          </w:p>
        </w:tc>
        <w:tc>
          <w:tcPr>
            <w:tcW w:w="2841" w:type="dxa"/>
          </w:tcPr>
          <w:p>
            <w:pPr>
              <w:pStyle w:val="Compact"/>
              <w:spacing w:after="40"/>
              <w:jc w:val="left"/>
            </w:pPr>
            <w:r>
              <w:rPr>
                <w:sz w:val="18"/>
              </w:rPr>
              <w:t xml:space="preserve">Floor; may only be lengthened</w:t>
            </w:r>
          </w:p>
        </w:tc>
      </w:tr>
      <w:tr>
        <w:tc>
          <w:tcPr>
            <w:tcW w:w="2392" w:type="dxa"/>
          </w:tcPr>
          <w:p>
            <w:pPr>
              <w:pStyle w:val="Compact"/>
              <w:spacing w:after="40"/>
              <w:jc w:val="left"/>
            </w:pPr>
            <w:r>
              <w:rPr>
                <w:sz w:val="18"/>
              </w:rPr>
              <w:t xml:space="preserve">Renewal reminders</w:t>
            </w:r>
          </w:p>
        </w:tc>
        <w:tc>
          <w:tcPr>
            <w:tcW w:w="1566" w:type="dxa"/>
          </w:tcPr>
          <w:p>
            <w:pPr>
              <w:pStyle w:val="Compact"/>
              <w:spacing w:after="40"/>
              <w:jc w:val="left"/>
            </w:pPr>
            <w:r>
              <w:rPr>
                <w:sz w:val="18"/>
              </w:rPr>
              <w:t xml:space="preserve">Consumer</w:t>
            </w:r>
          </w:p>
        </w:tc>
        <w:tc>
          <w:tcPr>
            <w:tcW w:w="2839" w:type="dxa"/>
          </w:tcPr>
          <w:p>
            <w:pPr>
              <w:pStyle w:val="Compact"/>
              <w:spacing w:after="40"/>
              <w:jc w:val="left"/>
            </w:pPr>
            <w:r>
              <w:rPr>
                <w:sz w:val="18"/>
              </w:rPr>
              <w:t xml:space="preserve">On, 30 and 7 days before renewal</w:t>
            </w:r>
          </w:p>
        </w:tc>
        <w:tc>
          <w:tcPr>
            <w:tcW w:w="2841" w:type="dxa"/>
          </w:tcPr>
          <w:p>
            <w:pPr>
              <w:pStyle w:val="Compact"/>
              <w:spacing w:after="40"/>
              <w:jc w:val="left"/>
            </w:pPr>
            <w:r>
              <w:rPr>
                <w:sz w:val="18"/>
              </w:rPr>
              <w:t xml:space="preserve">Consumer may turn off; service reminders stay separate from marketing</w:t>
            </w:r>
          </w:p>
        </w:tc>
      </w:tr>
      <w:tr>
        <w:tc>
          <w:tcPr>
            <w:tcW w:w="2392" w:type="dxa"/>
          </w:tcPr>
          <w:p>
            <w:pPr>
              <w:pStyle w:val="Compact"/>
              <w:spacing w:after="40"/>
              <w:jc w:val="left"/>
            </w:pPr>
            <w:r>
              <w:rPr>
                <w:sz w:val="18"/>
              </w:rPr>
              <w:t xml:space="preserve">T1 complaint timers</w:t>
            </w:r>
          </w:p>
        </w:tc>
        <w:tc>
          <w:tcPr>
            <w:tcW w:w="1566" w:type="dxa"/>
          </w:tcPr>
          <w:p>
            <w:pPr>
              <w:pStyle w:val="Compact"/>
              <w:spacing w:after="40"/>
              <w:jc w:val="left"/>
            </w:pPr>
            <w:r>
              <w:rPr>
                <w:sz w:val="18"/>
              </w:rPr>
              <w:t xml:space="preserve">Platform</w:t>
            </w:r>
          </w:p>
        </w:tc>
        <w:tc>
          <w:tcPr>
            <w:tcW w:w="2839" w:type="dxa"/>
          </w:tcPr>
          <w:p>
            <w:pPr>
              <w:pStyle w:val="Compact"/>
              <w:spacing w:after="40"/>
              <w:jc w:val="left"/>
            </w:pPr>
            <w:r>
              <w:rPr>
                <w:sz w:val="18"/>
              </w:rPr>
              <w:t xml:space="preserve">Acknowledge 1 hour; resolve or forward 7 days</w:t>
            </w:r>
          </w:p>
        </w:tc>
        <w:tc>
          <w:tcPr>
            <w:tcW w:w="2841" w:type="dxa"/>
          </w:tcPr>
          <w:p>
            <w:pPr>
              <w:pStyle w:val="Compact"/>
              <w:spacing w:after="40"/>
              <w:jc w:val="left"/>
            </w:pPr>
            <w:r>
              <w:rPr>
                <w:sz w:val="18"/>
              </w:rPr>
              <w:t xml:space="preserve">Udofin default [REC]; may be shortened</w:t>
            </w:r>
          </w:p>
        </w:tc>
      </w:tr>
    </w:tbl>
    <w:bookmarkEnd w:id="315"/>
    <w:bookmarkStart w:id="316" w:name="menu-and-screens-13"/>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00"/>
        <w:gridCol w:w="5113"/>
        <w:gridCol w:w="2025"/>
      </w:tblGrid>
      <w:tr>
        <w:trPr>
          <w:tblHeader w:val="true"/>
          <w:tblHeader w:val="true"/>
        </w:trPr>
        <w:tc>
          <w:tcPr>
            <w:tcW w:w="2500" w:type="dxa"/>
            <w:shd w:val="clear" w:color="auto" w:fill="1F3A5F"/>
          </w:tcPr>
          <w:p>
            <w:pPr>
              <w:pStyle w:val="Compact"/>
              <w:spacing w:after="40"/>
              <w:jc w:val="left"/>
            </w:pPr>
            <w:r>
              <w:rPr>
                <w:b/>
                <w:color w:val="FFFFFF"/>
                <w:sz w:val="18"/>
              </w:rPr>
              <w:t xml:space="preserve">Channel and path</w:t>
            </w:r>
          </w:p>
        </w:tc>
        <w:tc>
          <w:tcPr>
            <w:tcW w:w="5113" w:type="dxa"/>
            <w:shd w:val="clear" w:color="auto" w:fill="1F3A5F"/>
          </w:tcPr>
          <w:p>
            <w:pPr>
              <w:pStyle w:val="Compact"/>
              <w:spacing w:after="40"/>
              <w:jc w:val="left"/>
            </w:pPr>
            <w:r>
              <w:rPr>
                <w:b/>
                <w:color w:val="FFFFFF"/>
                <w:sz w:val="18"/>
              </w:rPr>
              <w:t xml:space="preserve">Main screens and key actions</w:t>
            </w:r>
          </w:p>
        </w:tc>
        <w:tc>
          <w:tcPr>
            <w:tcW w:w="2025" w:type="dxa"/>
            <w:shd w:val="clear" w:color="auto" w:fill="1F3A5F"/>
          </w:tcPr>
          <w:p>
            <w:pPr>
              <w:pStyle w:val="Compact"/>
              <w:spacing w:after="40"/>
              <w:jc w:val="left"/>
            </w:pPr>
            <w:r>
              <w:rPr>
                <w:b/>
                <w:color w:val="FFFFFF"/>
                <w:sz w:val="18"/>
              </w:rPr>
              <w:t xml:space="preserve">Roles</w:t>
            </w:r>
          </w:p>
        </w:tc>
      </w:tr>
      <w:tr>
        <w:tc>
          <w:tcPr>
            <w:tcW w:w="2500" w:type="dxa"/>
          </w:tcPr>
          <w:p>
            <w:pPr>
              <w:pStyle w:val="Compact"/>
              <w:spacing w:after="40"/>
              <w:jc w:val="left"/>
            </w:pPr>
            <w:r>
              <w:rPr>
                <w:sz w:val="18"/>
              </w:rPr>
              <w:t xml:space="preserve">Borrower app and web (A, B):</w:t>
            </w:r>
            <w:r>
              <w:rPr>
                <w:sz w:val="18"/>
              </w:rPr>
              <w:t xml:space="preserve"> </w:t>
            </w:r>
            <w:r>
              <w:rPr>
                <w:rStyle w:val="VerbatimChar"/>
                <w:sz w:val="18"/>
              </w:rPr>
              <w:t xml:space="preserve">Account › Protect › Quotes</w:t>
            </w:r>
          </w:p>
        </w:tc>
        <w:tc>
          <w:tcPr>
            <w:tcW w:w="5113" w:type="dxa"/>
          </w:tcPr>
          <w:p>
            <w:pPr>
              <w:pStyle w:val="Compact"/>
              <w:spacing w:after="40"/>
              <w:jc w:val="left"/>
            </w:pPr>
            <w:r>
              <w:rPr>
                <w:sz w:val="18"/>
              </w:rPr>
              <w:t xml:space="preserve">Category chooser, needs questions with</w:t>
            </w:r>
            <w:r>
              <w:rPr>
                <w:sz w:val="18"/>
              </w:rPr>
              <w:t xml:space="preserve"> </w:t>
            </w:r>
            <w:r>
              <w:rPr>
                <w:sz w:val="18"/>
              </w:rPr>
              <w:t xml:space="preserve">“</w:t>
            </w:r>
            <w:r>
              <w:rPr>
                <w:sz w:val="18"/>
              </w:rPr>
              <w:t xml:space="preserve">why we ask</w:t>
            </w:r>
            <w:r>
              <w:rPr>
                <w:sz w:val="18"/>
              </w:rPr>
              <w:t xml:space="preserve">”</w:t>
            </w:r>
            <w:r>
              <w:rPr>
                <w:sz w:val="18"/>
              </w:rPr>
              <w:t xml:space="preserve">, quotes side by side with equal weight, summary sheet with acknowledgement, consent, hand-off to the insurer’s form and gateway, status tracker; resume banner for an open journey</w:t>
            </w:r>
          </w:p>
        </w:tc>
        <w:tc>
          <w:tcPr>
            <w:tcW w:w="2025" w:type="dxa"/>
          </w:tcPr>
          <w:p>
            <w:pPr>
              <w:pStyle w:val="Compact"/>
              <w:spacing w:after="40"/>
              <w:jc w:val="left"/>
            </w:pPr>
            <w:r>
              <w:rPr>
                <w:sz w:val="18"/>
              </w:rPr>
              <w:t xml:space="preserve">Consumer</w:t>
            </w:r>
          </w:p>
        </w:tc>
      </w:tr>
      <w:tr>
        <w:tc>
          <w:tcPr>
            <w:tcW w:w="2500" w:type="dxa"/>
          </w:tcPr>
          <w:p>
            <w:pPr>
              <w:pStyle w:val="Compact"/>
              <w:spacing w:after="40"/>
              <w:jc w:val="left"/>
            </w:pPr>
            <w:r>
              <w:rPr>
                <w:sz w:val="18"/>
              </w:rPr>
              <w:t xml:space="preserve">A, B:</w:t>
            </w:r>
            <w:r>
              <w:rPr>
                <w:sz w:val="18"/>
              </w:rPr>
              <w:t xml:space="preserve"> </w:t>
            </w:r>
            <w:r>
              <w:rPr>
                <w:rStyle w:val="VerbatimChar"/>
                <w:sz w:val="18"/>
              </w:rPr>
              <w:t xml:space="preserve">Account › Protect › My policies</w:t>
            </w:r>
          </w:p>
        </w:tc>
        <w:tc>
          <w:tcPr>
            <w:tcW w:w="5113" w:type="dxa"/>
          </w:tcPr>
          <w:p>
            <w:pPr>
              <w:pStyle w:val="Compact"/>
              <w:spacing w:after="40"/>
              <w:jc w:val="left"/>
            </w:pPr>
            <w:r>
              <w:rPr>
                <w:sz w:val="18"/>
              </w:rPr>
              <w:t xml:space="preserve">Policy list and detail (insurer, number, cover, premium, renewal, free-look countdown), insurer documents, endorsement and nominee requests, cancel within free-look</w:t>
            </w:r>
          </w:p>
        </w:tc>
        <w:tc>
          <w:tcPr>
            <w:tcW w:w="2025" w:type="dxa"/>
          </w:tcPr>
          <w:p>
            <w:pPr>
              <w:pStyle w:val="Compact"/>
              <w:spacing w:after="40"/>
              <w:jc w:val="left"/>
            </w:pPr>
            <w:r>
              <w:rPr>
                <w:sz w:val="18"/>
              </w:rPr>
              <w:t xml:space="preserve">Consumer; nominee after verification</w:t>
            </w:r>
          </w:p>
        </w:tc>
      </w:tr>
      <w:tr>
        <w:tc>
          <w:tcPr>
            <w:tcW w:w="2500" w:type="dxa"/>
          </w:tcPr>
          <w:p>
            <w:pPr>
              <w:pStyle w:val="Compact"/>
              <w:spacing w:after="40"/>
              <w:jc w:val="left"/>
            </w:pPr>
            <w:r>
              <w:rPr>
                <w:sz w:val="18"/>
              </w:rPr>
              <w:t xml:space="preserve">A, B:</w:t>
            </w:r>
            <w:r>
              <w:rPr>
                <w:sz w:val="18"/>
              </w:rPr>
              <w:t xml:space="preserve"> </w:t>
            </w:r>
            <w:r>
              <w:rPr>
                <w:rStyle w:val="VerbatimChar"/>
                <w:sz w:val="18"/>
              </w:rPr>
              <w:t xml:space="preserve">Account › Protect › Claims help</w:t>
            </w:r>
          </w:p>
        </w:tc>
        <w:tc>
          <w:tcPr>
            <w:tcW w:w="5113" w:type="dxa"/>
          </w:tcPr>
          <w:p>
            <w:pPr>
              <w:pStyle w:val="Compact"/>
              <w:spacing w:after="40"/>
              <w:jc w:val="left"/>
            </w:pPr>
            <w:r>
              <w:rPr>
                <w:sz w:val="18"/>
              </w:rPr>
              <w:t xml:space="preserve">Start a claim intimation, upload documents through the system picker, insurer claim number and status timeline, document requests as tasks</w:t>
            </w:r>
          </w:p>
        </w:tc>
        <w:tc>
          <w:tcPr>
            <w:tcW w:w="2025" w:type="dxa"/>
          </w:tcPr>
          <w:p>
            <w:pPr>
              <w:pStyle w:val="Compact"/>
              <w:spacing w:after="40"/>
              <w:jc w:val="left"/>
            </w:pPr>
            <w:r>
              <w:rPr>
                <w:sz w:val="18"/>
              </w:rPr>
              <w:t xml:space="preserve">Consumer; nominee</w:t>
            </w:r>
          </w:p>
        </w:tc>
      </w:tr>
      <w:tr>
        <w:tc>
          <w:tcPr>
            <w:tcW w:w="2500" w:type="dxa"/>
          </w:tcPr>
          <w:p>
            <w:pPr>
              <w:pStyle w:val="Compact"/>
              <w:spacing w:after="40"/>
              <w:jc w:val="left"/>
            </w:pPr>
            <w:r>
              <w:rPr>
                <w:sz w:val="18"/>
              </w:rPr>
              <w:t xml:space="preserve">A, B:</w:t>
            </w:r>
            <w:r>
              <w:rPr>
                <w:sz w:val="18"/>
              </w:rPr>
              <w:t xml:space="preserve"> </w:t>
            </w:r>
            <w:r>
              <w:rPr>
                <w:rStyle w:val="VerbatimChar"/>
                <w:sz w:val="18"/>
              </w:rPr>
              <w:t xml:space="preserve">Account › Protect › Complaints</w:t>
            </w:r>
          </w:p>
        </w:tc>
        <w:tc>
          <w:tcPr>
            <w:tcW w:w="5113" w:type="dxa"/>
          </w:tcPr>
          <w:p>
            <w:pPr>
              <w:pStyle w:val="Compact"/>
              <w:spacing w:after="40"/>
              <w:jc w:val="left"/>
            </w:pPr>
            <w:r>
              <w:rPr>
                <w:sz w:val="18"/>
              </w:rPr>
              <w:t xml:space="preserve">Raise a complaint, route card (Udofin GRO → insurer GRO → Bima Bharosa → Insurance Ombudsman) with the 1-year countdown, case-pack download</w:t>
            </w:r>
          </w:p>
        </w:tc>
        <w:tc>
          <w:tcPr>
            <w:tcW w:w="2025" w:type="dxa"/>
          </w:tcPr>
          <w:p>
            <w:pPr>
              <w:pStyle w:val="Compact"/>
              <w:spacing w:after="40"/>
              <w:jc w:val="left"/>
            </w:pPr>
            <w:r>
              <w:rPr>
                <w:sz w:val="18"/>
              </w:rPr>
              <w:t xml:space="preserve">Consumer</w:t>
            </w:r>
          </w:p>
        </w:tc>
      </w:tr>
      <w:tr>
        <w:tc>
          <w:tcPr>
            <w:tcW w:w="2500" w:type="dxa"/>
          </w:tcPr>
          <w:p>
            <w:pPr>
              <w:pStyle w:val="Compact"/>
              <w:spacing w:after="40"/>
              <w:jc w:val="left"/>
            </w:pPr>
            <w:r>
              <w:rPr>
                <w:sz w:val="18"/>
              </w:rPr>
              <w:t xml:space="preserve">Operations portal (C):</w:t>
            </w:r>
            <w:r>
              <w:rPr>
                <w:sz w:val="18"/>
              </w:rPr>
              <w:t xml:space="preserve"> </w:t>
            </w:r>
            <w:r>
              <w:rPr>
                <w:rStyle w:val="VerbatimChar"/>
                <w:sz w:val="18"/>
              </w:rPr>
              <w:t xml:space="preserve">Insurance › Journeys</w:t>
            </w:r>
          </w:p>
        </w:tc>
        <w:tc>
          <w:tcPr>
            <w:tcW w:w="5113" w:type="dxa"/>
          </w:tcPr>
          <w:p>
            <w:pPr>
              <w:pStyle w:val="Compact"/>
              <w:spacing w:after="40"/>
              <w:jc w:val="left"/>
            </w:pPr>
            <w:r>
              <w:rPr>
                <w:sz w:val="18"/>
              </w:rPr>
              <w:t xml:space="preserve">Journeys by state with stuck-item filters (payment pending, issuance overdue, insurer error), adapter error detail, retry an adapter call</w:t>
            </w:r>
          </w:p>
        </w:tc>
        <w:tc>
          <w:tcPr>
            <w:tcW w:w="2025" w:type="dxa"/>
          </w:tcPr>
          <w:p>
            <w:pPr>
              <w:pStyle w:val="Compact"/>
              <w:spacing w:after="40"/>
              <w:jc w:val="left"/>
            </w:pPr>
            <w:r>
              <w:rPr>
                <w:sz w:val="18"/>
              </w:rPr>
              <w:t xml:space="preserve">Insurance operations</w:t>
            </w:r>
          </w:p>
        </w:tc>
      </w:tr>
      <w:tr>
        <w:tc>
          <w:tcPr>
            <w:tcW w:w="2500" w:type="dxa"/>
          </w:tcPr>
          <w:p>
            <w:pPr>
              <w:pStyle w:val="Compact"/>
              <w:spacing w:after="40"/>
              <w:jc w:val="left"/>
            </w:pPr>
            <w:r>
              <w:rPr>
                <w:sz w:val="18"/>
              </w:rPr>
              <w:t xml:space="preserve">C:</w:t>
            </w:r>
            <w:r>
              <w:rPr>
                <w:sz w:val="18"/>
              </w:rPr>
              <w:t xml:space="preserve"> </w:t>
            </w:r>
            <w:r>
              <w:rPr>
                <w:rStyle w:val="VerbatimChar"/>
                <w:sz w:val="18"/>
              </w:rPr>
              <w:t xml:space="preserve">Insurance › Seller tagging and issuance</w:t>
            </w:r>
          </w:p>
        </w:tc>
        <w:tc>
          <w:tcPr>
            <w:tcW w:w="5113" w:type="dxa"/>
          </w:tcPr>
          <w:p>
            <w:pPr>
              <w:pStyle w:val="Compact"/>
              <w:spacing w:after="40"/>
              <w:jc w:val="left"/>
            </w:pPr>
            <w:r>
              <w:rPr>
                <w:sz w:val="18"/>
              </w:rPr>
              <w:t xml:space="preserve">Exceptions queue (missing or mismatched seller name, functional ID or principal-officer contact) with insurer follow-up</w:t>
            </w:r>
          </w:p>
        </w:tc>
        <w:tc>
          <w:tcPr>
            <w:tcW w:w="2025" w:type="dxa"/>
          </w:tcPr>
          <w:p>
            <w:pPr>
              <w:pStyle w:val="Compact"/>
              <w:spacing w:after="40"/>
              <w:jc w:val="left"/>
            </w:pPr>
            <w:r>
              <w:rPr>
                <w:sz w:val="18"/>
              </w:rPr>
              <w:t xml:space="preserve">Compliance</w:t>
            </w:r>
          </w:p>
        </w:tc>
      </w:tr>
      <w:tr>
        <w:tc>
          <w:tcPr>
            <w:tcW w:w="2500" w:type="dxa"/>
          </w:tcPr>
          <w:p>
            <w:pPr>
              <w:pStyle w:val="Compact"/>
              <w:spacing w:after="40"/>
              <w:jc w:val="left"/>
            </w:pPr>
            <w:r>
              <w:rPr>
                <w:sz w:val="18"/>
              </w:rPr>
              <w:t xml:space="preserve">C:</w:t>
            </w:r>
            <w:r>
              <w:rPr>
                <w:sz w:val="18"/>
              </w:rPr>
              <w:t xml:space="preserve"> </w:t>
            </w:r>
            <w:r>
              <w:rPr>
                <w:rStyle w:val="VerbatimChar"/>
                <w:sz w:val="18"/>
              </w:rPr>
              <w:t xml:space="preserve">Insurance › Claims and complaints</w:t>
            </w:r>
          </w:p>
        </w:tc>
        <w:tc>
          <w:tcPr>
            <w:tcW w:w="5113" w:type="dxa"/>
          </w:tcPr>
          <w:p>
            <w:pPr>
              <w:pStyle w:val="Compact"/>
              <w:spacing w:after="40"/>
              <w:jc w:val="left"/>
            </w:pPr>
            <w:r>
              <w:rPr>
                <w:sz w:val="18"/>
              </w:rPr>
              <w:t xml:space="preserve">Claim tickets (insurer status only; no approve or reject action exists), T1 complaints with timers, forwarding with case pack</w:t>
            </w:r>
          </w:p>
        </w:tc>
        <w:tc>
          <w:tcPr>
            <w:tcW w:w="2025" w:type="dxa"/>
          </w:tcPr>
          <w:p>
            <w:pPr>
              <w:pStyle w:val="Compact"/>
              <w:spacing w:after="40"/>
              <w:jc w:val="left"/>
            </w:pPr>
            <w:r>
              <w:rPr>
                <w:sz w:val="18"/>
              </w:rPr>
              <w:t xml:space="preserve">Insurance support, Udofin GRO</w:t>
            </w:r>
          </w:p>
        </w:tc>
      </w:tr>
    </w:tbl>
    <w:p>
      <w:pPr>
        <w:pStyle w:val="BodyText"/>
      </w:pPr>
      <w:r>
        <w:t xml:space="preserve">Empty states explain why an area is empty (</w:t>
      </w:r>
      <w:r>
        <w:t xml:space="preserve">“</w:t>
      </w:r>
      <w:r>
        <w:t xml:space="preserve">No insurer is available for this cover in your State</w:t>
      </w:r>
      <w:r>
        <w:t xml:space="preserve">”</w:t>
      </w:r>
      <w:r>
        <w:t xml:space="preserve">). On borrower web the same areas may appear in a left navigation under Account.</w:t>
      </w:r>
      <w:r>
        <w:t xml:space="preserve"> </w:t>
      </w:r>
      <w:r>
        <w:rPr>
          <w:rStyle w:val="VerbatimChar"/>
        </w:rPr>
        <w:t xml:space="preserve">Account › Protect</w:t>
      </w:r>
      <w:r>
        <w:t xml:space="preserve"> </w:t>
      </w:r>
      <w:r>
        <w:t xml:space="preserve">never links from any loan, offer, KFS, payment, overdue or grievance screen, nor from the Loans or Pay tabs.</w:t>
      </w:r>
    </w:p>
    <w:bookmarkEnd w:id="316"/>
    <w:bookmarkStart w:id="317" w:name="acceptance-tests-18"/>
    <w:p>
      <w:pPr>
        <w:pStyle w:val="Heading3"/>
      </w:pPr>
      <w:r>
        <w:t xml:space="preserve">Acceptance tests</w:t>
      </w:r>
    </w:p>
    <w:p>
      <w:pPr>
        <w:numPr>
          <w:ilvl w:val="0"/>
          <w:numId w:val="1193"/>
        </w:numPr>
        <w:pStyle w:val="Compact"/>
      </w:pPr>
      <w:r>
        <w:t xml:space="preserve">With no approved licence model, no insurance screen, route or API is reachable.</w:t>
      </w:r>
    </w:p>
    <w:p>
      <w:pPr>
        <w:numPr>
          <w:ilvl w:val="0"/>
          <w:numId w:val="1193"/>
        </w:numPr>
        <w:pStyle w:val="Compact"/>
      </w:pPr>
      <w:r>
        <w:t xml:space="preserve">No insurance component renders in the loan product chooser, offer view, KFS, signing, mandate, payment, loan dashboard, recovery or grievance screens (automated UI scan of every route).</w:t>
      </w:r>
    </w:p>
    <w:p>
      <w:pPr>
        <w:numPr>
          <w:ilvl w:val="0"/>
          <w:numId w:val="1193"/>
        </w:numPr>
        <w:pStyle w:val="Compact"/>
      </w:pPr>
      <w:r>
        <w:t xml:space="preserve">A premium payment can only be initiated to the insurer’s gateway; configuring a Udofin collection account fails validation.</w:t>
      </w:r>
    </w:p>
    <w:p>
      <w:pPr>
        <w:numPr>
          <w:ilvl w:val="0"/>
          <w:numId w:val="1193"/>
        </w:numPr>
        <w:pStyle w:val="Compact"/>
      </w:pPr>
      <w:r>
        <w:t xml:space="preserve">Quotes from two tied-up insurers render with equal weight and no default selection; sort uses only the disclosed metric.</w:t>
      </w:r>
    </w:p>
    <w:p>
      <w:pPr>
        <w:numPr>
          <w:ilvl w:val="0"/>
          <w:numId w:val="1193"/>
        </w:numPr>
        <w:pStyle w:val="Compact"/>
      </w:pPr>
      <w:r>
        <w:t xml:space="preserve">From 1 Jan 2027 an issued policy without the seller name and functional ID raises a compliance issue within one hour.</w:t>
      </w:r>
    </w:p>
    <w:p>
      <w:pPr>
        <w:numPr>
          <w:ilvl w:val="0"/>
          <w:numId w:val="1193"/>
        </w:numPr>
        <w:pStyle w:val="Compact"/>
      </w:pPr>
      <w:r>
        <w:t xml:space="preserve">The free-look reminder fires 5 days before expiry; a free-look cancellation is forwarded to the insurer and tracked.</w:t>
      </w:r>
    </w:p>
    <w:p>
      <w:pPr>
        <w:numPr>
          <w:ilvl w:val="0"/>
          <w:numId w:val="1193"/>
        </w:numPr>
        <w:pStyle w:val="Compact"/>
      </w:pPr>
      <w:r>
        <w:t xml:space="preserve">A claim ticket shows the insurer’s status only; no Udofin role can set</w:t>
      </w:r>
      <w:r>
        <w:t xml:space="preserve"> </w:t>
      </w:r>
      <w:r>
        <w:t xml:space="preserve">“</w:t>
      </w:r>
      <w:r>
        <w:t xml:space="preserve">approved</w:t>
      </w:r>
      <w:r>
        <w:t xml:space="preserve">”</w:t>
      </w:r>
      <w:r>
        <w:t xml:space="preserve"> </w:t>
      </w:r>
      <w:r>
        <w:t xml:space="preserve">or</w:t>
      </w:r>
      <w:r>
        <w:t xml:space="preserve"> </w:t>
      </w:r>
      <w:r>
        <w:t xml:space="preserve">“</w:t>
      </w:r>
      <w:r>
        <w:t xml:space="preserve">rejected</w:t>
      </w:r>
      <w:r>
        <w:t xml:space="preserve">”</w:t>
      </w:r>
      <w:r>
        <w:t xml:space="preserve">.</w:t>
      </w:r>
    </w:p>
    <w:p>
      <w:pPr>
        <w:numPr>
          <w:ilvl w:val="0"/>
          <w:numId w:val="1193"/>
        </w:numPr>
        <w:pStyle w:val="Compact"/>
      </w:pPr>
      <w:r>
        <w:t xml:space="preserve">An insurance complaint shows the insurer GRO → Bima Bharosa → Insurance Ombudsman route with a 1-year countdown and never the RBI Ombudsman route.</w:t>
      </w:r>
    </w:p>
    <w:p>
      <w:pPr>
        <w:numPr>
          <w:ilvl w:val="0"/>
          <w:numId w:val="1193"/>
        </w:numPr>
        <w:pStyle w:val="Compact"/>
      </w:pPr>
      <w:r>
        <w:t xml:space="preserve">No insurance offer is shown within 30 days of a microfinance loan disbursal or during any loan’s cooling-off period.</w:t>
      </w:r>
    </w:p>
    <w:p>
      <w:pPr>
        <w:numPr>
          <w:ilvl w:val="0"/>
          <w:numId w:val="1193"/>
        </w:numPr>
        <w:pStyle w:val="Compact"/>
      </w:pPr>
      <w:r>
        <w:t xml:space="preserve">A needs answer outside a product’s age band hides that product with its explain-why line; a quote past</w:t>
      </w:r>
      <w:r>
        <w:t xml:space="preserve"> </w:t>
      </w:r>
      <w:r>
        <w:rPr>
          <w:rStyle w:val="VerbatimChar"/>
        </w:rPr>
        <w:t xml:space="preserve">valid_until</w:t>
      </w:r>
      <w:r>
        <w:t xml:space="preserve"> </w:t>
      </w:r>
      <w:r>
        <w:t xml:space="preserve">cannot be submitted; a paid journey without</w:t>
      </w:r>
      <w:r>
        <w:t xml:space="preserve"> </w:t>
      </w:r>
      <w:r>
        <w:rPr>
          <w:rStyle w:val="VerbatimChar"/>
        </w:rPr>
        <w:t xml:space="preserve">PolicyIssued</w:t>
      </w:r>
      <w:r>
        <w:t xml:space="preserve"> </w:t>
      </w:r>
      <w:r>
        <w:t xml:space="preserve">after 48 hours opens an insurer task and shows</w:t>
      </w:r>
      <w:r>
        <w:t xml:space="preserve"> </w:t>
      </w:r>
      <w:r>
        <w:t xml:space="preserve">“</w:t>
      </w:r>
      <w:r>
        <w:t xml:space="preserve">policy pending</w:t>
      </w:r>
      <w:r>
        <w:t xml:space="preserve">”</w:t>
      </w:r>
      <w:r>
        <w:t xml:space="preserve">.</w:t>
      </w:r>
    </w:p>
    <w:p>
      <w:r>
        <w:pict>
          <v:rect style="width:0;height:1.5pt" o:hralign="center" o:hrstd="t" o:hr="t"/>
        </w:pict>
      </w:r>
    </w:p>
    <w:bookmarkEnd w:id="317"/>
    <w:bookmarkEnd w:id="318"/>
    <w:bookmarkStart w:id="323" w:name="xp3.-future-products-feasibility-gated"/>
    <w:p>
      <w:pPr>
        <w:pStyle w:val="Heading2"/>
      </w:pPr>
      <w:r>
        <w:t xml:space="preserve">XP3. Future products (feasibility-gated)</w:t>
      </w:r>
    </w:p>
    <w:bookmarkStart w:id="319" w:name="xp3.1-feasibility-gate"/>
    <w:p>
      <w:pPr>
        <w:pStyle w:val="Heading3"/>
      </w:pPr>
      <w:r>
        <w:t xml:space="preserve">XP3.1 Feasibility gate</w:t>
      </w:r>
    </w:p>
    <w:p>
      <w:pPr>
        <w:pStyle w:val="FirstParagraph"/>
      </w:pPr>
      <w:r>
        <w:t xml:space="preserve">No future product reaches</w:t>
      </w:r>
      <w:r>
        <w:t xml:space="preserve"> </w:t>
      </w:r>
      <w:r>
        <w:rPr>
          <w:rStyle w:val="VerbatimChar"/>
        </w:rPr>
        <w:t xml:space="preserve">FEASIBILITY_APPROVED</w:t>
      </w:r>
      <w:r>
        <w:t xml:space="preserve"> </w:t>
      </w:r>
      <w:r>
        <w:t xml:space="preserve">(XP1.3) without a feasibility note at</w:t>
      </w:r>
      <w:r>
        <w:t xml:space="preserve"> </w:t>
      </w:r>
      <w:r>
        <w:rPr>
          <w:rStyle w:val="VerbatimChar"/>
        </w:rPr>
        <w:t xml:space="preserve">docs/products/xp-[code].md</w:t>
      </w:r>
      <w:r>
        <w:t xml:space="preserve"> </w:t>
      </w:r>
      <w:r>
        <w:t xml:space="preserve">covering: legal permissibility and the exact licence (holder, regulator, instrument); whether Udofin’s LSP status or CF para 10(4) and 14(1) are affected; fund flows (no Udofin pool); conduct risks and dark-pattern exposure; data categories and separation from lending; the partner and the contract; revenue model and the RV1 legality-gate result; tax treatment; grievance route; an exit plan; and a pilot design with success measures. The project owner approves; counsel signs the legal section.</w:t>
      </w:r>
    </w:p>
    <w:bookmarkEnd w:id="319"/>
    <w:bookmarkStart w:id="320" w:name="xp3.2-candidate-products"/>
    <w:p>
      <w:pPr>
        <w:pStyle w:val="Heading3"/>
      </w:pPr>
      <w:r>
        <w:t xml:space="preserve">XP3.2 Candidate products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01"/>
        <w:gridCol w:w="2682"/>
        <w:gridCol w:w="1807"/>
        <w:gridCol w:w="3648"/>
      </w:tblGrid>
      <w:tr>
        <w:trPr>
          <w:tblHeader w:val="true"/>
          <w:tblHeader w:val="true"/>
        </w:trPr>
        <w:tc>
          <w:tcPr>
            <w:tcW w:w="1501" w:type="dxa"/>
            <w:shd w:val="clear" w:color="auto" w:fill="1F3A5F"/>
          </w:tcPr>
          <w:p>
            <w:pPr>
              <w:pStyle w:val="Compact"/>
              <w:spacing w:after="40"/>
              <w:jc w:val="left"/>
            </w:pPr>
            <w:r>
              <w:rPr>
                <w:b/>
                <w:color w:val="FFFFFF"/>
                <w:sz w:val="18"/>
              </w:rPr>
              <w:t xml:space="preserve">Product</w:t>
            </w:r>
          </w:p>
        </w:tc>
        <w:tc>
          <w:tcPr>
            <w:tcW w:w="2682" w:type="dxa"/>
            <w:shd w:val="clear" w:color="auto" w:fill="1F3A5F"/>
          </w:tcPr>
          <w:p>
            <w:pPr>
              <w:pStyle w:val="Compact"/>
              <w:spacing w:after="40"/>
              <w:jc w:val="left"/>
            </w:pPr>
            <w:r>
              <w:rPr>
                <w:b/>
                <w:color w:val="FFFFFF"/>
                <w:sz w:val="18"/>
              </w:rPr>
              <w:t xml:space="preserve">Licence check (gate)</w:t>
            </w:r>
          </w:p>
        </w:tc>
        <w:tc>
          <w:tcPr>
            <w:tcW w:w="1807" w:type="dxa"/>
            <w:shd w:val="clear" w:color="auto" w:fill="1F3A5F"/>
          </w:tcPr>
          <w:p>
            <w:pPr>
              <w:pStyle w:val="Compact"/>
              <w:spacing w:after="40"/>
              <w:jc w:val="left"/>
            </w:pPr>
            <w:r>
              <w:rPr>
                <w:b/>
                <w:color w:val="FFFFFF"/>
                <w:sz w:val="18"/>
              </w:rPr>
              <w:t xml:space="preserve">Udofin role if approved</w:t>
            </w:r>
          </w:p>
        </w:tc>
        <w:tc>
          <w:tcPr>
            <w:tcW w:w="3648" w:type="dxa"/>
            <w:shd w:val="clear" w:color="auto" w:fill="1F3A5F"/>
          </w:tcPr>
          <w:p>
            <w:pPr>
              <w:pStyle w:val="Compact"/>
              <w:spacing w:after="40"/>
              <w:jc w:val="left"/>
            </w:pPr>
            <w:r>
              <w:rPr>
                <w:b/>
                <w:color w:val="FFFFFF"/>
                <w:sz w:val="18"/>
              </w:rPr>
              <w:t xml:space="preserve">Hard rules</w:t>
            </w:r>
          </w:p>
        </w:tc>
      </w:tr>
      <w:tr>
        <w:tc>
          <w:tcPr>
            <w:tcW w:w="1501" w:type="dxa"/>
          </w:tcPr>
          <w:p>
            <w:pPr>
              <w:pStyle w:val="Compact"/>
              <w:spacing w:after="40"/>
              <w:jc w:val="left"/>
            </w:pPr>
            <w:r>
              <w:rPr>
                <w:sz w:val="18"/>
              </w:rPr>
              <w:t xml:space="preserve">Mutual-fund distribution</w:t>
            </w:r>
          </w:p>
        </w:tc>
        <w:tc>
          <w:tcPr>
            <w:tcW w:w="2682" w:type="dxa"/>
          </w:tcPr>
          <w:p>
            <w:pPr>
              <w:pStyle w:val="Compact"/>
              <w:spacing w:after="40"/>
              <w:jc w:val="left"/>
            </w:pPr>
            <w:r>
              <w:rPr>
                <w:sz w:val="18"/>
              </w:rPr>
              <w:t xml:space="preserve">AMFI registration (ARN) for the distributing entity and NISM Series V-A certified employees; or the SEBI execution-only platform framework [VERIFY: EOP framework status and eligibility]</w:t>
            </w:r>
          </w:p>
        </w:tc>
        <w:tc>
          <w:tcPr>
            <w:tcW w:w="1807" w:type="dxa"/>
          </w:tcPr>
          <w:p>
            <w:pPr>
              <w:pStyle w:val="Compact"/>
              <w:spacing w:after="40"/>
              <w:jc w:val="left"/>
            </w:pPr>
            <w:r>
              <w:rPr>
                <w:sz w:val="18"/>
              </w:rPr>
              <w:t xml:space="preserve">Distributor or EOP; orders through MF Central, BSE StAR MF or NSE platforms [VERIFY]</w:t>
            </w:r>
          </w:p>
        </w:tc>
        <w:tc>
          <w:tcPr>
            <w:tcW w:w="3648" w:type="dxa"/>
          </w:tcPr>
          <w:p>
            <w:pPr>
              <w:pStyle w:val="Compact"/>
              <w:spacing w:after="40"/>
              <w:jc w:val="left"/>
            </w:pPr>
            <w:r>
              <w:rPr>
                <w:sz w:val="18"/>
              </w:rPr>
              <w:t xml:space="preserve">No advice and no return claims without SEBI Investment Adviser registration; SEBI-regulated entities may not associate with unregistered persons giving advice or return claims (SEBI Board decision, 27 Jun 2024); education content only; no MF promotion inside loan journeys; payments from the investor’s own bank account to the AMC or platform</w:t>
            </w:r>
          </w:p>
        </w:tc>
      </w:tr>
      <w:tr>
        <w:tc>
          <w:tcPr>
            <w:tcW w:w="1501" w:type="dxa"/>
          </w:tcPr>
          <w:p>
            <w:pPr>
              <w:pStyle w:val="Compact"/>
              <w:spacing w:after="40"/>
              <w:jc w:val="left"/>
            </w:pPr>
            <w:r>
              <w:rPr>
                <w:sz w:val="18"/>
              </w:rPr>
              <w:t xml:space="preserve">Bill payments through Bharat Connect (BBPS)</w:t>
            </w:r>
          </w:p>
        </w:tc>
        <w:tc>
          <w:tcPr>
            <w:tcW w:w="2682" w:type="dxa"/>
          </w:tcPr>
          <w:p>
            <w:pPr>
              <w:pStyle w:val="Compact"/>
              <w:spacing w:after="40"/>
              <w:jc w:val="left"/>
            </w:pPr>
            <w:r>
              <w:rPr>
                <w:sz w:val="18"/>
              </w:rPr>
              <w:t xml:space="preserve">Agent institution of a BBPOU or COU under the BBPS Master Direction (29 Feb 2024)</w:t>
            </w:r>
          </w:p>
        </w:tc>
        <w:tc>
          <w:tcPr>
            <w:tcW w:w="1807" w:type="dxa"/>
          </w:tcPr>
          <w:p>
            <w:pPr>
              <w:pStyle w:val="Compact"/>
              <w:spacing w:after="40"/>
              <w:jc w:val="left"/>
            </w:pPr>
            <w:r>
              <w:rPr>
                <w:sz w:val="18"/>
              </w:rPr>
              <w:t xml:space="preserve">Customer interface as agent institution; the BBPOU is responsible for its agents</w:t>
            </w:r>
          </w:p>
        </w:tc>
        <w:tc>
          <w:tcPr>
            <w:tcW w:w="3648" w:type="dxa"/>
          </w:tcPr>
          <w:p>
            <w:pPr>
              <w:pStyle w:val="Compact"/>
              <w:spacing w:after="40"/>
              <w:jc w:val="left"/>
            </w:pPr>
            <w:r>
              <w:rPr>
                <w:sz w:val="18"/>
              </w:rPr>
              <w:t xml:space="preserve">Funds go straight to the COU or BBPOU escrow; Udofin never holds bill money; BBPS dispute system for complaints; no credit card bill nudges inside loan journeys</w:t>
            </w:r>
          </w:p>
        </w:tc>
      </w:tr>
      <w:tr>
        <w:tc>
          <w:tcPr>
            <w:tcW w:w="1501" w:type="dxa"/>
          </w:tcPr>
          <w:p>
            <w:pPr>
              <w:pStyle w:val="Compact"/>
              <w:spacing w:after="40"/>
              <w:jc w:val="left"/>
            </w:pPr>
            <w:r>
              <w:rPr>
                <w:sz w:val="18"/>
              </w:rPr>
              <w:t xml:space="preserve">Fixed-deposit marketplace (banks and deposit-taking NBFCs)</w:t>
            </w:r>
          </w:p>
        </w:tc>
        <w:tc>
          <w:tcPr>
            <w:tcW w:w="2682" w:type="dxa"/>
          </w:tcPr>
          <w:p>
            <w:pPr>
              <w:pStyle w:val="Compact"/>
              <w:spacing w:after="40"/>
              <w:jc w:val="left"/>
            </w:pPr>
            <w:r>
              <w:rPr>
                <w:sz w:val="18"/>
              </w:rPr>
              <w:t xml:space="preserve">Distribution agreement with each bank or NBFC; NBFC public-deposit agent conditions [VERIFY: 2025 NBFC deposit Directions]</w:t>
            </w:r>
          </w:p>
        </w:tc>
        <w:tc>
          <w:tcPr>
            <w:tcW w:w="1807" w:type="dxa"/>
          </w:tcPr>
          <w:p>
            <w:pPr>
              <w:pStyle w:val="Compact"/>
              <w:spacing w:after="40"/>
              <w:jc w:val="left"/>
            </w:pPr>
            <w:r>
              <w:rPr>
                <w:sz w:val="18"/>
              </w:rPr>
              <w:t xml:space="preserve">Distributor; the deposit contract is with the issuer</w:t>
            </w:r>
          </w:p>
        </w:tc>
        <w:tc>
          <w:tcPr>
            <w:tcW w:w="3648" w:type="dxa"/>
          </w:tcPr>
          <w:p>
            <w:pPr>
              <w:pStyle w:val="Compact"/>
              <w:spacing w:after="40"/>
              <w:jc w:val="left"/>
            </w:pPr>
            <w:r>
              <w:rPr>
                <w:sz w:val="18"/>
              </w:rPr>
              <w:t xml:space="preserve">Always show the issuer;</w:t>
            </w:r>
            <w:r>
              <w:rPr>
                <w:sz w:val="18"/>
              </w:rPr>
              <w:t xml:space="preserve"> </w:t>
            </w:r>
            <w:r>
              <w:rPr>
                <w:sz w:val="18"/>
              </w:rPr>
              <w:t xml:space="preserve">“</w:t>
            </w:r>
            <w:r>
              <w:rPr>
                <w:sz w:val="18"/>
              </w:rPr>
              <w:t xml:space="preserve">DICGC insurance up to ₹5 lakh per depositor per bank</w:t>
            </w:r>
            <w:r>
              <w:rPr>
                <w:sz w:val="18"/>
              </w:rPr>
              <w:t xml:space="preserve">”</w:t>
            </w:r>
            <w:r>
              <w:rPr>
                <w:sz w:val="18"/>
              </w:rPr>
              <w:t xml:space="preserve"> </w:t>
            </w:r>
            <w:r>
              <w:rPr>
                <w:sz w:val="18"/>
              </w:rPr>
              <w:t xml:space="preserve">for banks and</w:t>
            </w:r>
            <w:r>
              <w:rPr>
                <w:sz w:val="18"/>
              </w:rPr>
              <w:t xml:space="preserve"> </w:t>
            </w:r>
            <w:r>
              <w:rPr>
                <w:sz w:val="18"/>
              </w:rPr>
              <w:t xml:space="preserve">“</w:t>
            </w:r>
            <w:r>
              <w:rPr>
                <w:sz w:val="18"/>
              </w:rPr>
              <w:t xml:space="preserve">not insured by DICGC</w:t>
            </w:r>
            <w:r>
              <w:rPr>
                <w:sz w:val="18"/>
              </w:rPr>
              <w:t xml:space="preserve">”</w:t>
            </w:r>
            <w:r>
              <w:rPr>
                <w:sz w:val="18"/>
              </w:rPr>
              <w:t xml:space="preserve"> </w:t>
            </w:r>
            <w:r>
              <w:rPr>
                <w:sz w:val="18"/>
              </w:rPr>
              <w:t xml:space="preserve">for NBFCs [VERIFY: current DICGC limit]; credit rating of NBFC deposits;</w:t>
            </w:r>
            <w:r>
              <w:rPr>
                <w:sz w:val="18"/>
              </w:rPr>
              <w:t xml:space="preserve"> </w:t>
            </w:r>
            <w:r>
              <w:rPr>
                <w:bCs/>
                <w:b/>
                <w:sz w:val="18"/>
              </w:rPr>
              <w:t xml:space="preserve">never co-operative society deposits</w:t>
            </w:r>
            <w:r>
              <w:rPr>
                <w:sz w:val="18"/>
              </w:rPr>
              <w:t xml:space="preserve"> </w:t>
            </w:r>
            <w:r>
              <w:rPr>
                <w:sz w:val="18"/>
              </w:rPr>
              <w:t xml:space="preserve">(Part 7E); payment from the depositor’s own account to the issuer</w:t>
            </w:r>
          </w:p>
        </w:tc>
      </w:tr>
      <w:tr>
        <w:tc>
          <w:tcPr>
            <w:tcW w:w="1501" w:type="dxa"/>
          </w:tcPr>
          <w:p>
            <w:pPr>
              <w:pStyle w:val="Compact"/>
              <w:spacing w:after="40"/>
              <w:jc w:val="left"/>
            </w:pPr>
            <w:r>
              <w:rPr>
                <w:sz w:val="18"/>
              </w:rPr>
              <w:t xml:space="preserve">Credit lines on UPI</w:t>
            </w:r>
          </w:p>
        </w:tc>
        <w:tc>
          <w:tcPr>
            <w:tcW w:w="2682" w:type="dxa"/>
          </w:tcPr>
          <w:p>
            <w:pPr>
              <w:pStyle w:val="Compact"/>
              <w:spacing w:after="40"/>
              <w:jc w:val="left"/>
            </w:pPr>
            <w:r>
              <w:rPr>
                <w:sz w:val="18"/>
              </w:rPr>
              <w:t xml:space="preserve">Banks and SFBs only (RBI confirmation, Jun 2026; FIDC request of 23 Sep 2025 pending) [VERIFY]</w:t>
            </w:r>
          </w:p>
        </w:tc>
        <w:tc>
          <w:tcPr>
            <w:tcW w:w="1807" w:type="dxa"/>
          </w:tcPr>
          <w:p>
            <w:pPr>
              <w:pStyle w:val="Compact"/>
              <w:spacing w:after="40"/>
              <w:jc w:val="left"/>
            </w:pPr>
            <w:r>
              <w:rPr>
                <w:sz w:val="18"/>
              </w:rPr>
              <w:t xml:space="preserve">Only as a bank’s LSP where the bank engages Udofin</w:t>
            </w:r>
          </w:p>
        </w:tc>
        <w:tc>
          <w:tcPr>
            <w:tcW w:w="3648" w:type="dxa"/>
          </w:tcPr>
          <w:p>
            <w:pPr>
              <w:pStyle w:val="Compact"/>
              <w:spacing w:after="40"/>
              <w:jc w:val="left"/>
            </w:pPr>
            <w:r>
              <w:rPr>
                <w:sz w:val="18"/>
              </w:rPr>
              <w:t xml:space="preserve">Not built for NBFC REs; normal CF and bank Directions apply</w:t>
            </w:r>
          </w:p>
        </w:tc>
      </w:tr>
      <w:tr>
        <w:tc>
          <w:tcPr>
            <w:tcW w:w="1501" w:type="dxa"/>
          </w:tcPr>
          <w:p>
            <w:pPr>
              <w:pStyle w:val="Compact"/>
              <w:spacing w:after="40"/>
              <w:jc w:val="left"/>
            </w:pPr>
            <w:r>
              <w:rPr>
                <w:sz w:val="18"/>
              </w:rPr>
              <w:t xml:space="preserve">Gold</w:t>
            </w:r>
          </w:p>
        </w:tc>
        <w:tc>
          <w:tcPr>
            <w:tcW w:w="2682" w:type="dxa"/>
          </w:tcPr>
          <w:p>
            <w:pPr>
              <w:pStyle w:val="Compact"/>
              <w:spacing w:after="40"/>
              <w:jc w:val="left"/>
            </w:pPr>
            <w:r>
              <w:rPr>
                <w:sz w:val="18"/>
              </w:rPr>
              <w:t xml:space="preserve">Gold loans by REs only (Product 11)</w:t>
            </w:r>
          </w:p>
        </w:tc>
        <w:tc>
          <w:tcPr>
            <w:tcW w:w="1807" w:type="dxa"/>
          </w:tcPr>
          <w:p>
            <w:pPr>
              <w:pStyle w:val="Compact"/>
              <w:spacing w:after="40"/>
              <w:jc w:val="left"/>
            </w:pPr>
            <w:r>
              <w:rPr>
                <w:sz w:val="18"/>
              </w:rPr>
              <w:t xml:space="preserve">LSP for the RE’s gold loan</w:t>
            </w:r>
          </w:p>
        </w:tc>
        <w:tc>
          <w:tcPr>
            <w:tcW w:w="3648" w:type="dxa"/>
          </w:tcPr>
          <w:p>
            <w:pPr>
              <w:pStyle w:val="Compact"/>
              <w:spacing w:after="40"/>
              <w:jc w:val="left"/>
            </w:pPr>
            <w:r>
              <w:rPr>
                <w:sz w:val="18"/>
              </w:rPr>
              <w:t xml:space="preserve">No digital-gold sales, gold savings schemes or gold</w:t>
            </w:r>
            <w:r>
              <w:rPr>
                <w:sz w:val="18"/>
              </w:rPr>
              <w:t xml:space="preserve"> </w:t>
            </w:r>
            <w:r>
              <w:rPr>
                <w:sz w:val="18"/>
              </w:rPr>
              <w:t xml:space="preserve">“</w:t>
            </w:r>
            <w:r>
              <w:rPr>
                <w:sz w:val="18"/>
              </w:rPr>
              <w:t xml:space="preserve">investment</w:t>
            </w:r>
            <w:r>
              <w:rPr>
                <w:sz w:val="18"/>
              </w:rPr>
              <w:t xml:space="preserve">”</w:t>
            </w:r>
            <w:r>
              <w:rPr>
                <w:sz w:val="18"/>
              </w:rPr>
              <w:t xml:space="preserve"> </w:t>
            </w:r>
            <w:r>
              <w:rPr>
                <w:sz w:val="18"/>
              </w:rPr>
              <w:t xml:space="preserve">products (unregulated) [REC]</w:t>
            </w:r>
          </w:p>
        </w:tc>
      </w:tr>
      <w:tr>
        <w:tc>
          <w:tcPr>
            <w:tcW w:w="1501" w:type="dxa"/>
          </w:tcPr>
          <w:p>
            <w:pPr>
              <w:pStyle w:val="Compact"/>
              <w:spacing w:after="40"/>
              <w:jc w:val="left"/>
            </w:pPr>
            <w:r>
              <w:rPr>
                <w:sz w:val="18"/>
              </w:rPr>
              <w:t xml:space="preserve">BNPL or merchant credit</w:t>
            </w:r>
          </w:p>
        </w:tc>
        <w:tc>
          <w:tcPr>
            <w:tcW w:w="2682" w:type="dxa"/>
          </w:tcPr>
          <w:p>
            <w:pPr>
              <w:pStyle w:val="Compact"/>
              <w:spacing w:after="40"/>
              <w:jc w:val="left"/>
            </w:pPr>
            <w:r>
              <w:rPr>
                <w:sz w:val="18"/>
              </w:rPr>
              <w:t xml:space="preserve">RE product; CF para 17(2) CIC reporting by the RE</w:t>
            </w:r>
          </w:p>
        </w:tc>
        <w:tc>
          <w:tcPr>
            <w:tcW w:w="1807" w:type="dxa"/>
          </w:tcPr>
          <w:p>
            <w:pPr>
              <w:pStyle w:val="Compact"/>
              <w:spacing w:after="40"/>
              <w:jc w:val="left"/>
            </w:pPr>
            <w:r>
              <w:rPr>
                <w:sz w:val="18"/>
              </w:rPr>
              <w:t xml:space="preserve">LSP</w:t>
            </w:r>
          </w:p>
        </w:tc>
        <w:tc>
          <w:tcPr>
            <w:tcW w:w="3648" w:type="dxa"/>
          </w:tcPr>
          <w:p>
            <w:pPr>
              <w:pStyle w:val="Compact"/>
              <w:spacing w:after="40"/>
              <w:jc w:val="left"/>
            </w:pPr>
            <w:r>
              <w:rPr>
                <w:sz w:val="18"/>
              </w:rPr>
              <w:t xml:space="preserve">Term loans only while the revolving-credit draft is pending (Part 6.2)</w:t>
            </w:r>
          </w:p>
        </w:tc>
      </w:tr>
    </w:tbl>
    <w:bookmarkEnd w:id="320"/>
    <w:bookmarkStart w:id="321" w:name="xp3.3-gate-enforcement"/>
    <w:p>
      <w:pPr>
        <w:pStyle w:val="Heading3"/>
      </w:pPr>
      <w:r>
        <w:t xml:space="preserve">XP3.3 Gate enforcement</w:t>
      </w:r>
    </w:p>
    <w:p>
      <w:pPr>
        <w:numPr>
          <w:ilvl w:val="0"/>
          <w:numId w:val="1194"/>
        </w:numPr>
        <w:pStyle w:val="Compact"/>
      </w:pPr>
      <w:r>
        <w:t xml:space="preserve">Each candidate exists only as a</w:t>
      </w:r>
      <w:r>
        <w:t xml:space="preserve"> </w:t>
      </w:r>
      <w:r>
        <w:rPr>
          <w:rStyle w:val="VerbatimChar"/>
        </w:rPr>
        <w:t xml:space="preserve">PROPOSED</w:t>
      </w:r>
      <w:r>
        <w:t xml:space="preserve"> </w:t>
      </w:r>
      <w:r>
        <w:t xml:space="preserve">registry record; no routes, adapters or screens are built until</w:t>
      </w:r>
      <w:r>
        <w:t xml:space="preserve"> </w:t>
      </w:r>
      <w:r>
        <w:rPr>
          <w:rStyle w:val="VerbatimChar"/>
        </w:rPr>
        <w:t xml:space="preserve">FEASIBILITY_APPROVED</w:t>
      </w:r>
      <w:r>
        <w:t xml:space="preserve">, and no sale happens until</w:t>
      </w:r>
      <w:r>
        <w:t xml:space="preserve"> </w:t>
      </w:r>
      <w:r>
        <w:rPr>
          <w:rStyle w:val="VerbatimChar"/>
        </w:rPr>
        <w:t xml:space="preserve">ENABLED</w:t>
      </w:r>
      <w:r>
        <w:t xml:space="preserve">.</w:t>
      </w:r>
    </w:p>
    <w:p>
      <w:pPr>
        <w:numPr>
          <w:ilvl w:val="0"/>
          <w:numId w:val="1194"/>
        </w:numPr>
        <w:pStyle w:val="Compact"/>
      </w:pPr>
      <w:r>
        <w:t xml:space="preserve">The regulatory register (U18) holds one obligation set per approved product; the Operations Hub licence calendar tracks renewals.</w:t>
      </w:r>
    </w:p>
    <w:bookmarkEnd w:id="321"/>
    <w:bookmarkStart w:id="322" w:name="acceptance-tests-19"/>
    <w:p>
      <w:pPr>
        <w:pStyle w:val="Heading3"/>
      </w:pPr>
      <w:r>
        <w:t xml:space="preserve">Acceptance tests</w:t>
      </w:r>
    </w:p>
    <w:p>
      <w:pPr>
        <w:numPr>
          <w:ilvl w:val="0"/>
          <w:numId w:val="1195"/>
        </w:numPr>
        <w:pStyle w:val="Compact"/>
      </w:pPr>
      <w:r>
        <w:t xml:space="preserve">A</w:t>
      </w:r>
      <w:r>
        <w:t xml:space="preserve"> </w:t>
      </w:r>
      <w:r>
        <w:rPr>
          <w:rStyle w:val="VerbatimChar"/>
        </w:rPr>
        <w:t xml:space="preserve">PROPOSED</w:t>
      </w:r>
      <w:r>
        <w:t xml:space="preserve"> </w:t>
      </w:r>
      <w:r>
        <w:t xml:space="preserve">product has no reachable route, adapter or screen (route inventory test).</w:t>
      </w:r>
    </w:p>
    <w:p>
      <w:pPr>
        <w:numPr>
          <w:ilvl w:val="0"/>
          <w:numId w:val="1195"/>
        </w:numPr>
        <w:pStyle w:val="Compact"/>
      </w:pPr>
      <w:r>
        <w:t xml:space="preserve">An FD marketplace module cannot be configured with a co-operative society as issuer.</w:t>
      </w:r>
    </w:p>
    <w:p>
      <w:pPr>
        <w:numPr>
          <w:ilvl w:val="0"/>
          <w:numId w:val="1195"/>
        </w:numPr>
        <w:pStyle w:val="Compact"/>
      </w:pPr>
      <w:r>
        <w:t xml:space="preserve">An MF module cannot render free text containing return projections or the words</w:t>
      </w:r>
      <w:r>
        <w:t xml:space="preserve"> </w:t>
      </w:r>
      <w:r>
        <w:t xml:space="preserve">“</w:t>
      </w:r>
      <w:r>
        <w:t xml:space="preserve">guaranteed returns</w:t>
      </w:r>
      <w:r>
        <w:t xml:space="preserve">”</w:t>
      </w:r>
      <w:r>
        <w:t xml:space="preserve"> </w:t>
      </w:r>
      <w:r>
        <w:t xml:space="preserve">(content linter) and cannot be enabled without an ARN or EOP record.</w:t>
      </w:r>
    </w:p>
    <w:p>
      <w:pPr>
        <w:numPr>
          <w:ilvl w:val="0"/>
          <w:numId w:val="1195"/>
        </w:numPr>
        <w:pStyle w:val="Compact"/>
      </w:pPr>
      <w:r>
        <w:t xml:space="preserve">A credit-line-on-UPI module cannot be attached to an NBFC RE.</w:t>
      </w:r>
    </w:p>
    <w:p>
      <w:r>
        <w:pict>
          <v:rect style="width:0;height:1.5pt" o:hralign="center" o:hrstd="t" o:hr="t"/>
        </w:pict>
      </w:r>
    </w:p>
    <w:bookmarkEnd w:id="322"/>
    <w:bookmarkEnd w:id="323"/>
    <w:bookmarkStart w:id="331" w:name="Xc32d675939f98e564094ae52fbfd6d6dc623898"/>
    <w:p>
      <w:pPr>
        <w:pStyle w:val="Heading2"/>
      </w:pPr>
      <w:r>
        <w:t xml:space="preserve">XP4. Cross-sell consent and sales-practice controls</w:t>
      </w:r>
    </w:p>
    <w:bookmarkStart w:id="324" w:name="xp4.1-where-the-rules-come-from"/>
    <w:p>
      <w:pPr>
        <w:pStyle w:val="Heading3"/>
      </w:pPr>
      <w:r>
        <w:t xml:space="preserve">XP4.1 Where the rules come from</w:t>
      </w:r>
    </w:p>
    <w:p>
      <w:pPr>
        <w:numPr>
          <w:ilvl w:val="0"/>
          <w:numId w:val="1196"/>
        </w:numPr>
        <w:pStyle w:val="Compact"/>
      </w:pPr>
      <w:r>
        <w:rPr>
          <w:bCs/>
          <w:b/>
        </w:rPr>
        <w:t xml:space="preserve">For REs’ own products sold through Udofin</w:t>
      </w:r>
      <w:r>
        <w:t xml:space="preserve"> </w:t>
      </w:r>
      <w:r>
        <w:t xml:space="preserve">(for example model D cover, RE cross-sell campaigns), the RBC Second Amendment binds the RE from 1 Jan 2027 and reaches Udofin through the LSP agreement; whether an LSP is a DSA or DMA under those paragraphs is open [VERIFY].</w:t>
      </w:r>
    </w:p>
    <w:p>
      <w:pPr>
        <w:numPr>
          <w:ilvl w:val="0"/>
          <w:numId w:val="1196"/>
        </w:numPr>
        <w:pStyle w:val="Compact"/>
      </w:pPr>
      <w:r>
        <w:rPr>
          <w:bCs/>
          <w:b/>
        </w:rPr>
        <w:t xml:space="preserve">For Udofin’s own products</w:t>
      </w:r>
      <w:r>
        <w:t xml:space="preserve"> </w:t>
      </w:r>
      <w:r>
        <w:t xml:space="preserve">(insurance under model A or B, wellness add-ons in Part 7D), Udofin applies the same standards as policy and is directly bound by the CCPA Dark Patterns Guidelines 2023, the Consumer Protection Act 2019, DPDP and the sector regulator’s rules (IRDAI, SEBI, NPCI).</w:t>
      </w:r>
    </w:p>
    <w:p>
      <w:pPr>
        <w:numPr>
          <w:ilvl w:val="0"/>
          <w:numId w:val="1196"/>
        </w:numPr>
        <w:pStyle w:val="Compact"/>
      </w:pPr>
      <w:r>
        <w:rPr>
          <w:bCs/>
          <w:b/>
        </w:rPr>
        <w:t xml:space="preserve">Multi-lender view:</w:t>
      </w:r>
      <w:r>
        <w:t xml:space="preserve"> </w:t>
      </w:r>
      <w:r>
        <w:t xml:space="preserve">CF para 7(4) bars dark patterns that push a lender’s offer; nothing in XP4 relaxes Part 4.6.</w:t>
      </w:r>
    </w:p>
    <w:bookmarkEnd w:id="324"/>
    <w:bookmarkStart w:id="325" w:name="xp4.2-consent-and-contact-controls"/>
    <w:p>
      <w:pPr>
        <w:pStyle w:val="Heading3"/>
      </w:pPr>
      <w:r>
        <w:t xml:space="preserve">XP4.2 Consent and contact controls</w:t>
      </w:r>
    </w:p>
    <w:p>
      <w:pPr>
        <w:numPr>
          <w:ilvl w:val="0"/>
          <w:numId w:val="1197"/>
        </w:numPr>
        <w:pStyle w:val="Compact"/>
      </w:pPr>
      <w:r>
        <w:t xml:space="preserve">Product-specific, explicit, separate, default No (101G, 101I, 101Q); kept at least one year after the contract.</w:t>
      </w:r>
    </w:p>
    <w:p>
      <w:pPr>
        <w:numPr>
          <w:ilvl w:val="0"/>
          <w:numId w:val="1197"/>
        </w:numPr>
        <w:pStyle w:val="Compact"/>
      </w:pPr>
      <w:r>
        <w:t xml:space="preserve">Promotional contact only with promotional consent (draft 101L; TCCCPR); sales calls only 09:00–18:00 [VERIFY: final para 101O] and only from 140-series numbers through a registered telemarketer, enforced by the Phase 3b contact-policy engine and, once Phase 20d is live, by the RA5 routing engine; until then non-loan products use no outbound voice.</w:t>
      </w:r>
    </w:p>
    <w:p>
      <w:pPr>
        <w:numPr>
          <w:ilvl w:val="0"/>
          <w:numId w:val="1197"/>
        </w:numPr>
        <w:pStyle w:val="Compact"/>
      </w:pPr>
      <w:r>
        <w:t xml:space="preserve">No contact on sensitive occasions (bereavement, a death notification, a hardship request, an open grievance or dispute) [REC].</w:t>
      </w:r>
    </w:p>
    <w:p>
      <w:pPr>
        <w:numPr>
          <w:ilvl w:val="0"/>
          <w:numId w:val="1197"/>
        </w:numPr>
        <w:pStyle w:val="Compact"/>
      </w:pPr>
      <w:r>
        <w:t xml:space="preserve">No cross-sell to any borrower whose loan is overdue, in recovery or under a hardship request [REC].</w:t>
      </w:r>
    </w:p>
    <w:p>
      <w:pPr>
        <w:numPr>
          <w:ilvl w:val="0"/>
          <w:numId w:val="1197"/>
        </w:numPr>
        <w:pStyle w:val="Compact"/>
      </w:pPr>
      <w:r>
        <w:t xml:space="preserve">No third-party incentives for Udofin staff tied to product sales that conflict with suitability (draft 101U) [REC: staff incentives exclude per-policy commission; conduct metrics weigh at least 30% of any sales-related variable pay].</w:t>
      </w:r>
    </w:p>
    <w:bookmarkEnd w:id="325"/>
    <w:bookmarkStart w:id="326" w:name="xp4.3-dark-pattern-ban-and-ui-audit"/>
    <w:p>
      <w:pPr>
        <w:pStyle w:val="Heading3"/>
      </w:pPr>
      <w:r>
        <w:t xml:space="preserve">XP4.3 Dark-pattern ban and UI audit</w:t>
      </w:r>
    </w:p>
    <w:p>
      <w:pPr>
        <w:numPr>
          <w:ilvl w:val="0"/>
          <w:numId w:val="1198"/>
        </w:numPr>
        <w:pStyle w:val="Compact"/>
      </w:pPr>
      <w:r>
        <w:rPr>
          <w:bCs/>
          <w:b/>
        </w:rPr>
        <w:t xml:space="preserve">Banned patterns</w:t>
      </w:r>
      <w:r>
        <w:t xml:space="preserve"> </w:t>
      </w:r>
      <w:r>
        <w:t xml:space="preserve">(CCPA 2023 list, applied to every Udofin screen): false urgency, basket sneaking, confirm shaming, forced action, subscription trap, interface interference, bait and switch, drip pricing, disguised advertisement, nagging, trick question, SaaS billing, rogue malware.</w:t>
      </w:r>
    </w:p>
    <w:p>
      <w:pPr>
        <w:numPr>
          <w:ilvl w:val="0"/>
          <w:numId w:val="1198"/>
        </w:numPr>
        <w:pStyle w:val="Compact"/>
      </w:pPr>
      <w:r>
        <w:rPr>
          <w:bCs/>
          <w:b/>
        </w:rPr>
        <w:t xml:space="preserve">Build-time checks:</w:t>
      </w:r>
      <w:r>
        <w:t xml:space="preserve"> </w:t>
      </w:r>
      <w:r>
        <w:t xml:space="preserve">component library has no countdown timer, no pre-ticked checkbox, no asymmetric</w:t>
      </w:r>
      <w:r>
        <w:t xml:space="preserve"> </w:t>
      </w:r>
      <w:r>
        <w:t xml:space="preserve">“</w:t>
      </w:r>
      <w:r>
        <w:t xml:space="preserve">accept / decline</w:t>
      </w:r>
      <w:r>
        <w:t xml:space="preserve">”</w:t>
      </w:r>
      <w:r>
        <w:t xml:space="preserve"> </w:t>
      </w:r>
      <w:r>
        <w:t xml:space="preserve">styling, no hidden fees component; copy linter for urgency and shaming phrases in every language.</w:t>
      </w:r>
    </w:p>
    <w:p>
      <w:pPr>
        <w:numPr>
          <w:ilvl w:val="0"/>
          <w:numId w:val="1198"/>
        </w:numPr>
        <w:pStyle w:val="Compact"/>
      </w:pPr>
      <w:r>
        <w:rPr>
          <w:bCs/>
          <w:b/>
        </w:rPr>
        <w:t xml:space="preserve">UI audit</w:t>
      </w:r>
      <w:r>
        <w:t xml:space="preserve"> </w:t>
      </w:r>
      <w:r>
        <w:t xml:space="preserve">before a module is</w:t>
      </w:r>
      <w:r>
        <w:t xml:space="preserve"> </w:t>
      </w:r>
      <w:r>
        <w:rPr>
          <w:rStyle w:val="VerbatimChar"/>
        </w:rPr>
        <w:t xml:space="preserve">ENABLED</w:t>
      </w:r>
      <w:r>
        <w:t xml:space="preserve"> </w:t>
      </w:r>
      <w:r>
        <w:t xml:space="preserve">and after each material UI change: screenshot inventory of every step, checklist against the 13 patterns, sign-off by Compliance; evidence stored with the release (101X; RA4).</w:t>
      </w:r>
    </w:p>
    <w:p>
      <w:pPr>
        <w:numPr>
          <w:ilvl w:val="0"/>
          <w:numId w:val="1198"/>
        </w:numPr>
        <w:pStyle w:val="Compact"/>
      </w:pPr>
      <w:r>
        <w:rPr>
          <w:bCs/>
          <w:b/>
        </w:rPr>
        <w:t xml:space="preserve">Production monitoring:</w:t>
      </w:r>
      <w:r>
        <w:t xml:space="preserve"> </w:t>
      </w:r>
      <w:r>
        <w:t xml:space="preserve">take-up rate by screen variant; any A/B test on a non-loan product is pre-approved by Compliance and never tests a consent default.</w:t>
      </w:r>
    </w:p>
    <w:bookmarkEnd w:id="326"/>
    <w:bookmarkStart w:id="327" w:name="xp4.4-mis-selling-refunds-and-feedback"/>
    <w:p>
      <w:pPr>
        <w:pStyle w:val="Heading3"/>
      </w:pPr>
      <w:r>
        <w:t xml:space="preserve">XP4.4 Mis-selling, refunds and feedback</w:t>
      </w:r>
    </w:p>
    <w:p>
      <w:pPr>
        <w:numPr>
          <w:ilvl w:val="0"/>
          <w:numId w:val="1199"/>
        </w:numPr>
        <w:pStyle w:val="Compact"/>
      </w:pPr>
      <w:r>
        <w:rPr>
          <w:bCs/>
          <w:b/>
        </w:rPr>
        <w:t xml:space="preserve">Mis-selling review</w:t>
      </w:r>
      <w:r>
        <w:t xml:space="preserve"> </w:t>
      </w:r>
      <w:r>
        <w:t xml:space="preserve">opens on: a</w:t>
      </w:r>
      <w:r>
        <w:t xml:space="preserve"> </w:t>
      </w:r>
      <w:r>
        <w:t xml:space="preserve">“</w:t>
      </w:r>
      <w:r>
        <w:t xml:space="preserve">not wanted</w:t>
      </w:r>
      <w:r>
        <w:t xml:space="preserve">”</w:t>
      </w:r>
      <w:r>
        <w:t xml:space="preserve"> </w:t>
      </w:r>
      <w:r>
        <w:t xml:space="preserve">or</w:t>
      </w:r>
      <w:r>
        <w:t xml:space="preserve"> </w:t>
      </w:r>
      <w:r>
        <w:t xml:space="preserve">“</w:t>
      </w:r>
      <w:r>
        <w:t xml:space="preserve">not explained</w:t>
      </w:r>
      <w:r>
        <w:t xml:space="preserve">”</w:t>
      </w:r>
      <w:r>
        <w:t xml:space="preserve"> </w:t>
      </w:r>
      <w:r>
        <w:t xml:space="preserve">30-day feedback answer; a complaint alleging mis-selling; a cancellation within free-look citing the sale; a pattern alert (for example cover sold to borrowers above an age the product excludes).</w:t>
      </w:r>
    </w:p>
    <w:p>
      <w:pPr>
        <w:numPr>
          <w:ilvl w:val="0"/>
          <w:numId w:val="1199"/>
        </w:numPr>
        <w:pStyle w:val="Compact"/>
      </w:pPr>
      <w:r>
        <w:rPr>
          <w:bCs/>
          <w:b/>
        </w:rPr>
        <w:t xml:space="preserve">Outcome:</w:t>
      </w:r>
      <w:r>
        <w:t xml:space="preserve"> </w:t>
      </w:r>
      <w:r>
        <w:t xml:space="preserve">where the review finds mis-selling, Udofin (as the seller under model A or B) arranges cancellation and a full refund of the premium and any charges through the insurer, plus compensation under Udofin’s Board-approved policy (101Y–Z, applied as policy) [VERIFY: insurer refund mechanics]; staff accountability recorded; the root cause feeds RA1 risk R01.</w:t>
      </w:r>
    </w:p>
    <w:p>
      <w:pPr>
        <w:numPr>
          <w:ilvl w:val="0"/>
          <w:numId w:val="1199"/>
        </w:numPr>
        <w:pStyle w:val="Compact"/>
      </w:pPr>
      <w:r>
        <w:rPr>
          <w:bCs/>
          <w:b/>
        </w:rPr>
        <w:t xml:space="preserve">Feedback within 30 days</w:t>
      </w:r>
      <w:r>
        <w:t xml:space="preserve"> </w:t>
      </w:r>
      <w:r>
        <w:t xml:space="preserve">of every non-loan sale (XP2.3 step 10), with the results in the quarterly conduct report.</w:t>
      </w:r>
    </w:p>
    <w:p>
      <w:pPr>
        <w:numPr>
          <w:ilvl w:val="0"/>
          <w:numId w:val="1199"/>
        </w:numPr>
        <w:pStyle w:val="Compact"/>
      </w:pPr>
      <w:r>
        <w:rPr>
          <w:bCs/>
          <w:b/>
        </w:rPr>
        <w:t xml:space="preserve">Records:</w:t>
      </w:r>
      <w:r>
        <w:t xml:space="preserve"> </w:t>
      </w:r>
      <w:r>
        <w:t xml:space="preserve">consent, summary sheet, UI version, feedback, review and refund are linked in one sales-evidence record kept for the contract term plus the retention period.</w:t>
      </w:r>
    </w:p>
    <w:p>
      <w:pPr>
        <w:numPr>
          <w:ilvl w:val="0"/>
          <w:numId w:val="1199"/>
        </w:numPr>
        <w:pStyle w:val="Compact"/>
      </w:pPr>
      <w:r>
        <w:rPr>
          <w:bCs/>
          <w:b/>
        </w:rPr>
        <w:t xml:space="preserve">Review workflow:</w:t>
      </w:r>
      <w:r>
        <w:t xml:space="preserve"> </w:t>
      </w:r>
      <w:r>
        <w:rPr>
          <w:rStyle w:val="VerbatimChar"/>
        </w:rPr>
        <w:t xml:space="preserve">OPENED → EVIDENCE_GATHERED (sales-evidence record, call or chat log) → FINDING (maker) → APPROVED (Compliance checker) → {NO_MIS_SELLING, MIS_SELLING → REFUND_REQUESTED → REFUND_CONFIRMED_BY_INSURER → CLOSED}</w:t>
      </w:r>
      <w:r>
        <w:t xml:space="preserve">; target closure 30 days [REC]; the consumer is told the outcome and the complaint route; a refund the insurer has not confirmed in 15 days escalates to the partner manager.</w:t>
      </w:r>
    </w:p>
    <w:bookmarkEnd w:id="327"/>
    <w:bookmarkStart w:id="328" w:name="settings-and-options-xp4"/>
    <w:p>
      <w:pPr>
        <w:pStyle w:val="Heading3"/>
      </w:pPr>
      <w:r>
        <w:t xml:space="preserve">Settings and options (XP4)</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78"/>
        <w:gridCol w:w="1850"/>
        <w:gridCol w:w="3266"/>
        <w:gridCol w:w="2544"/>
      </w:tblGrid>
      <w:tr>
        <w:trPr>
          <w:tblHeader w:val="true"/>
          <w:tblHeader w:val="true"/>
        </w:trPr>
        <w:tc>
          <w:tcPr>
            <w:tcW w:w="1978" w:type="dxa"/>
            <w:shd w:val="clear" w:color="auto" w:fill="1F3A5F"/>
          </w:tcPr>
          <w:p>
            <w:pPr>
              <w:pStyle w:val="Compact"/>
              <w:spacing w:after="40"/>
              <w:jc w:val="left"/>
            </w:pPr>
            <w:r>
              <w:rPr>
                <w:b/>
                <w:color w:val="FFFFFF"/>
                <w:sz w:val="18"/>
              </w:rPr>
              <w:t xml:space="preserve">Setting</w:t>
            </w:r>
          </w:p>
        </w:tc>
        <w:tc>
          <w:tcPr>
            <w:tcW w:w="1850" w:type="dxa"/>
            <w:shd w:val="clear" w:color="auto" w:fill="1F3A5F"/>
          </w:tcPr>
          <w:p>
            <w:pPr>
              <w:pStyle w:val="Compact"/>
              <w:spacing w:after="40"/>
              <w:jc w:val="left"/>
            </w:pPr>
            <w:r>
              <w:rPr>
                <w:b/>
                <w:color w:val="FFFFFF"/>
                <w:sz w:val="18"/>
              </w:rPr>
              <w:t xml:space="preserve">Level</w:t>
            </w:r>
          </w:p>
        </w:tc>
        <w:tc>
          <w:tcPr>
            <w:tcW w:w="3266" w:type="dxa"/>
            <w:shd w:val="clear" w:color="auto" w:fill="1F3A5F"/>
          </w:tcPr>
          <w:p>
            <w:pPr>
              <w:pStyle w:val="Compact"/>
              <w:spacing w:after="40"/>
              <w:jc w:val="left"/>
            </w:pPr>
            <w:r>
              <w:rPr>
                <w:b/>
                <w:color w:val="FFFFFF"/>
                <w:sz w:val="18"/>
              </w:rPr>
              <w:t xml:space="preserve">Default</w:t>
            </w:r>
          </w:p>
        </w:tc>
        <w:tc>
          <w:tcPr>
            <w:tcW w:w="2544" w:type="dxa"/>
            <w:shd w:val="clear" w:color="auto" w:fill="1F3A5F"/>
          </w:tcPr>
          <w:p>
            <w:pPr>
              <w:pStyle w:val="Compact"/>
              <w:spacing w:after="40"/>
              <w:jc w:val="left"/>
            </w:pPr>
            <w:r>
              <w:rPr>
                <w:b/>
                <w:color w:val="FFFFFF"/>
                <w:sz w:val="18"/>
              </w:rPr>
              <w:t xml:space="preserve">Nature</w:t>
            </w:r>
          </w:p>
        </w:tc>
      </w:tr>
      <w:tr>
        <w:tc>
          <w:tcPr>
            <w:tcW w:w="1978" w:type="dxa"/>
          </w:tcPr>
          <w:p>
            <w:pPr>
              <w:pStyle w:val="Compact"/>
              <w:spacing w:after="40"/>
              <w:jc w:val="left"/>
            </w:pPr>
            <w:r>
              <w:rPr>
                <w:sz w:val="18"/>
              </w:rPr>
              <w:t xml:space="preserve">Promotional contact windows and channels</w:t>
            </w:r>
          </w:p>
        </w:tc>
        <w:tc>
          <w:tcPr>
            <w:tcW w:w="1850" w:type="dxa"/>
          </w:tcPr>
          <w:p>
            <w:pPr>
              <w:pStyle w:val="Compact"/>
              <w:spacing w:after="40"/>
              <w:jc w:val="left"/>
            </w:pPr>
            <w:r>
              <w:rPr>
                <w:sz w:val="18"/>
              </w:rPr>
              <w:t xml:space="preserve">Platform rule pack, effective-dated</w:t>
            </w:r>
          </w:p>
        </w:tc>
        <w:tc>
          <w:tcPr>
            <w:tcW w:w="3266" w:type="dxa"/>
          </w:tcPr>
          <w:p>
            <w:pPr>
              <w:pStyle w:val="Compact"/>
              <w:spacing w:after="40"/>
              <w:jc w:val="left"/>
            </w:pPr>
            <w:r>
              <w:rPr>
                <w:sz w:val="18"/>
              </w:rPr>
              <w:t xml:space="preserve">09:00–18:00; 140-series only; consent required</w:t>
            </w:r>
          </w:p>
        </w:tc>
        <w:tc>
          <w:tcPr>
            <w:tcW w:w="2544" w:type="dxa"/>
          </w:tcPr>
          <w:p>
            <w:pPr>
              <w:pStyle w:val="Compact"/>
              <w:spacing w:after="40"/>
              <w:jc w:val="left"/>
            </w:pPr>
            <w:r>
              <w:rPr>
                <w:sz w:val="18"/>
              </w:rPr>
              <w:t xml:space="preserve">Floor; may only be narrowed</w:t>
            </w:r>
          </w:p>
        </w:tc>
      </w:tr>
      <w:tr>
        <w:tc>
          <w:tcPr>
            <w:tcW w:w="1978" w:type="dxa"/>
          </w:tcPr>
          <w:p>
            <w:pPr>
              <w:pStyle w:val="Compact"/>
              <w:spacing w:after="40"/>
              <w:jc w:val="left"/>
            </w:pPr>
            <w:r>
              <w:rPr>
                <w:sz w:val="18"/>
              </w:rPr>
              <w:t xml:space="preserve">Suppression reasons</w:t>
            </w:r>
          </w:p>
        </w:tc>
        <w:tc>
          <w:tcPr>
            <w:tcW w:w="1850" w:type="dxa"/>
          </w:tcPr>
          <w:p>
            <w:pPr>
              <w:pStyle w:val="Compact"/>
              <w:spacing w:after="40"/>
              <w:jc w:val="left"/>
            </w:pPr>
            <w:r>
              <w:rPr>
                <w:sz w:val="18"/>
              </w:rPr>
              <w:t xml:space="preserve">Platform</w:t>
            </w:r>
          </w:p>
        </w:tc>
        <w:tc>
          <w:tcPr>
            <w:tcW w:w="3266" w:type="dxa"/>
          </w:tcPr>
          <w:p>
            <w:pPr>
              <w:pStyle w:val="Compact"/>
              <w:spacing w:after="40"/>
              <w:jc w:val="left"/>
            </w:pPr>
            <w:r>
              <w:rPr>
                <w:sz w:val="18"/>
              </w:rPr>
              <w:t xml:space="preserve">Overdue, recovery, hardship, open grievance or dispute, death notification, microfinance 30 days, cooling-off</w:t>
            </w:r>
          </w:p>
        </w:tc>
        <w:tc>
          <w:tcPr>
            <w:tcW w:w="2544" w:type="dxa"/>
          </w:tcPr>
          <w:p>
            <w:pPr>
              <w:pStyle w:val="Compact"/>
              <w:spacing w:after="40"/>
              <w:jc w:val="left"/>
            </w:pPr>
            <w:r>
              <w:rPr>
                <w:sz w:val="18"/>
              </w:rPr>
              <w:t xml:space="preserve">Floor; Compliance may add reasons</w:t>
            </w:r>
          </w:p>
        </w:tc>
      </w:tr>
      <w:tr>
        <w:tc>
          <w:tcPr>
            <w:tcW w:w="1978" w:type="dxa"/>
          </w:tcPr>
          <w:p>
            <w:pPr>
              <w:pStyle w:val="Compact"/>
              <w:spacing w:after="40"/>
              <w:jc w:val="left"/>
            </w:pPr>
            <w:r>
              <w:rPr>
                <w:sz w:val="18"/>
              </w:rPr>
              <w:t xml:space="preserve">Sales-related variable pay</w:t>
            </w:r>
          </w:p>
        </w:tc>
        <w:tc>
          <w:tcPr>
            <w:tcW w:w="1850" w:type="dxa"/>
          </w:tcPr>
          <w:p>
            <w:pPr>
              <w:pStyle w:val="Compact"/>
              <w:spacing w:after="40"/>
              <w:jc w:val="left"/>
            </w:pPr>
            <w:r>
              <w:rPr>
                <w:sz w:val="18"/>
              </w:rPr>
              <w:t xml:space="preserve">Platform</w:t>
            </w:r>
          </w:p>
        </w:tc>
        <w:tc>
          <w:tcPr>
            <w:tcW w:w="3266" w:type="dxa"/>
          </w:tcPr>
          <w:p>
            <w:pPr>
              <w:pStyle w:val="Compact"/>
              <w:spacing w:after="40"/>
              <w:jc w:val="left"/>
            </w:pPr>
            <w:r>
              <w:rPr>
                <w:sz w:val="18"/>
              </w:rPr>
              <w:t xml:space="preserve">No per-policy commission; conduct metrics at least 30%</w:t>
            </w:r>
          </w:p>
        </w:tc>
        <w:tc>
          <w:tcPr>
            <w:tcW w:w="2544" w:type="dxa"/>
          </w:tcPr>
          <w:p>
            <w:pPr>
              <w:pStyle w:val="Compact"/>
              <w:spacing w:after="40"/>
              <w:jc w:val="left"/>
            </w:pPr>
            <w:r>
              <w:rPr>
                <w:sz w:val="18"/>
              </w:rPr>
              <w:t xml:space="preserve">Udofin policy [REC]</w:t>
            </w:r>
          </w:p>
        </w:tc>
      </w:tr>
      <w:tr>
        <w:tc>
          <w:tcPr>
            <w:tcW w:w="1978" w:type="dxa"/>
          </w:tcPr>
          <w:p>
            <w:pPr>
              <w:pStyle w:val="Compact"/>
              <w:spacing w:after="40"/>
              <w:jc w:val="left"/>
            </w:pPr>
            <w:r>
              <w:rPr>
                <w:sz w:val="18"/>
              </w:rPr>
              <w:t xml:space="preserve">A/B tests on non-loan screens</w:t>
            </w:r>
          </w:p>
        </w:tc>
        <w:tc>
          <w:tcPr>
            <w:tcW w:w="1850" w:type="dxa"/>
          </w:tcPr>
          <w:p>
            <w:pPr>
              <w:pStyle w:val="Compact"/>
              <w:spacing w:after="40"/>
              <w:jc w:val="left"/>
            </w:pPr>
            <w:r>
              <w:rPr>
                <w:sz w:val="18"/>
              </w:rPr>
              <w:t xml:space="preserve">Platform</w:t>
            </w:r>
          </w:p>
        </w:tc>
        <w:tc>
          <w:tcPr>
            <w:tcW w:w="3266" w:type="dxa"/>
          </w:tcPr>
          <w:p>
            <w:pPr>
              <w:pStyle w:val="Compact"/>
              <w:spacing w:after="40"/>
              <w:jc w:val="left"/>
            </w:pPr>
            <w:r>
              <w:rPr>
                <w:sz w:val="18"/>
              </w:rPr>
              <w:t xml:space="preserve">Off; each test needs Compliance pre-approval; never on consent defaults</w:t>
            </w:r>
          </w:p>
        </w:tc>
        <w:tc>
          <w:tcPr>
            <w:tcW w:w="2544" w:type="dxa"/>
          </w:tcPr>
          <w:p>
            <w:pPr>
              <w:pStyle w:val="Compact"/>
              <w:spacing w:after="40"/>
              <w:jc w:val="left"/>
            </w:pPr>
            <w:r>
              <w:rPr>
                <w:sz w:val="18"/>
              </w:rPr>
              <w:t xml:space="preserve">Floor</w:t>
            </w:r>
          </w:p>
        </w:tc>
      </w:tr>
      <w:tr>
        <w:tc>
          <w:tcPr>
            <w:tcW w:w="1978" w:type="dxa"/>
          </w:tcPr>
          <w:p>
            <w:pPr>
              <w:pStyle w:val="Compact"/>
              <w:spacing w:after="40"/>
              <w:jc w:val="left"/>
            </w:pPr>
            <w:r>
              <w:rPr>
                <w:sz w:val="18"/>
              </w:rPr>
              <w:t xml:space="preserve">Consumer marketing preferences</w:t>
            </w:r>
          </w:p>
        </w:tc>
        <w:tc>
          <w:tcPr>
            <w:tcW w:w="1850" w:type="dxa"/>
          </w:tcPr>
          <w:p>
            <w:pPr>
              <w:pStyle w:val="Compact"/>
              <w:spacing w:after="40"/>
              <w:jc w:val="left"/>
            </w:pPr>
            <w:r>
              <w:rPr>
                <w:sz w:val="18"/>
              </w:rPr>
              <w:t xml:space="preserve">Consumer</w:t>
            </w:r>
          </w:p>
        </w:tc>
        <w:tc>
          <w:tcPr>
            <w:tcW w:w="3266" w:type="dxa"/>
          </w:tcPr>
          <w:p>
            <w:pPr>
              <w:pStyle w:val="Compact"/>
              <w:spacing w:after="40"/>
              <w:jc w:val="left"/>
            </w:pPr>
            <w:r>
              <w:rPr>
                <w:sz w:val="18"/>
              </w:rPr>
              <w:t xml:space="preserve">All off</w:t>
            </w:r>
          </w:p>
        </w:tc>
        <w:tc>
          <w:tcPr>
            <w:tcW w:w="2544" w:type="dxa"/>
          </w:tcPr>
          <w:p>
            <w:pPr>
              <w:pStyle w:val="Compact"/>
              <w:spacing w:after="40"/>
              <w:jc w:val="left"/>
            </w:pPr>
            <w:r>
              <w:rPr>
                <w:sz w:val="18"/>
              </w:rPr>
              <w:t xml:space="preserve">Consumer choice (</w:t>
            </w:r>
            <w:r>
              <w:rPr>
                <w:rStyle w:val="VerbatimChar"/>
                <w:sz w:val="18"/>
              </w:rPr>
              <w:t xml:space="preserve">Account › Settings › Notifications and marketing</w:t>
            </w:r>
            <w:r>
              <w:rPr>
                <w:sz w:val="18"/>
              </w:rPr>
              <w:t xml:space="preserve">)</w:t>
            </w:r>
          </w:p>
        </w:tc>
      </w:tr>
    </w:tbl>
    <w:bookmarkEnd w:id="328"/>
    <w:bookmarkStart w:id="329" w:name="X15613a7e3c4dbc60613d1c5602db33f8cf92aec"/>
    <w:p>
      <w:pPr>
        <w:pStyle w:val="Heading3"/>
      </w:pPr>
      <w:r>
        <w:t xml:space="preserve">Menu and screens (operations portal, channel C)</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98"/>
        <w:gridCol w:w="4441"/>
        <w:gridCol w:w="2599"/>
      </w:tblGrid>
      <w:tr>
        <w:trPr>
          <w:tblHeader w:val="true"/>
          <w:tblHeader w:val="true"/>
        </w:trPr>
        <w:tc>
          <w:tcPr>
            <w:tcW w:w="2598" w:type="dxa"/>
            <w:shd w:val="clear" w:color="auto" w:fill="1F3A5F"/>
          </w:tcPr>
          <w:p>
            <w:pPr>
              <w:pStyle w:val="Compact"/>
              <w:spacing w:after="40"/>
              <w:jc w:val="left"/>
            </w:pPr>
            <w:r>
              <w:rPr>
                <w:b/>
                <w:color w:val="FFFFFF"/>
                <w:sz w:val="18"/>
              </w:rPr>
              <w:t xml:space="preserve">Path</w:t>
            </w:r>
          </w:p>
        </w:tc>
        <w:tc>
          <w:tcPr>
            <w:tcW w:w="4441" w:type="dxa"/>
            <w:shd w:val="clear" w:color="auto" w:fill="1F3A5F"/>
          </w:tcPr>
          <w:p>
            <w:pPr>
              <w:pStyle w:val="Compact"/>
              <w:spacing w:after="40"/>
              <w:jc w:val="left"/>
            </w:pPr>
            <w:r>
              <w:rPr>
                <w:b/>
                <w:color w:val="FFFFFF"/>
                <w:sz w:val="18"/>
              </w:rPr>
              <w:t xml:space="preserve">Main screens and key actions</w:t>
            </w:r>
          </w:p>
        </w:tc>
        <w:tc>
          <w:tcPr>
            <w:tcW w:w="2599" w:type="dxa"/>
            <w:shd w:val="clear" w:color="auto" w:fill="1F3A5F"/>
          </w:tcPr>
          <w:p>
            <w:pPr>
              <w:pStyle w:val="Compact"/>
              <w:spacing w:after="40"/>
              <w:jc w:val="left"/>
            </w:pPr>
            <w:r>
              <w:rPr>
                <w:b/>
                <w:color w:val="FFFFFF"/>
                <w:sz w:val="18"/>
              </w:rPr>
              <w:t xml:space="preserve">Roles</w:t>
            </w:r>
          </w:p>
        </w:tc>
      </w:tr>
      <w:tr>
        <w:tc>
          <w:tcPr>
            <w:tcW w:w="2598" w:type="dxa"/>
          </w:tcPr>
          <w:p>
            <w:pPr>
              <w:pStyle w:val="Compact"/>
              <w:spacing w:after="40"/>
              <w:jc w:val="left"/>
            </w:pPr>
            <w:r>
              <w:rPr>
                <w:rStyle w:val="VerbatimChar"/>
                <w:sz w:val="18"/>
              </w:rPr>
              <w:t xml:space="preserve">Compliance › Sales practice › UI audits</w:t>
            </w:r>
          </w:p>
        </w:tc>
        <w:tc>
          <w:tcPr>
            <w:tcW w:w="4441" w:type="dxa"/>
          </w:tcPr>
          <w:p>
            <w:pPr>
              <w:pStyle w:val="Compact"/>
              <w:spacing w:after="40"/>
              <w:jc w:val="left"/>
            </w:pPr>
            <w:r>
              <w:rPr>
                <w:sz w:val="18"/>
              </w:rPr>
              <w:t xml:space="preserve">Audit per module and UI version: screenshot inventory, 13-pattern checklist, sign-off; blocks ENABLED when missing</w:t>
            </w:r>
          </w:p>
        </w:tc>
        <w:tc>
          <w:tcPr>
            <w:tcW w:w="2599" w:type="dxa"/>
          </w:tcPr>
          <w:p>
            <w:pPr>
              <w:pStyle w:val="Compact"/>
              <w:spacing w:after="40"/>
              <w:jc w:val="left"/>
            </w:pPr>
            <w:r>
              <w:rPr>
                <w:sz w:val="18"/>
              </w:rPr>
              <w:t xml:space="preserve">Compliance</w:t>
            </w:r>
          </w:p>
        </w:tc>
      </w:tr>
      <w:tr>
        <w:tc>
          <w:tcPr>
            <w:tcW w:w="2598" w:type="dxa"/>
          </w:tcPr>
          <w:p>
            <w:pPr>
              <w:pStyle w:val="Compact"/>
              <w:spacing w:after="40"/>
              <w:jc w:val="left"/>
            </w:pPr>
            <w:r>
              <w:rPr>
                <w:rStyle w:val="VerbatimChar"/>
                <w:sz w:val="18"/>
              </w:rPr>
              <w:t xml:space="preserve">… › Mis-selling reviews</w:t>
            </w:r>
          </w:p>
        </w:tc>
        <w:tc>
          <w:tcPr>
            <w:tcW w:w="4441" w:type="dxa"/>
          </w:tcPr>
          <w:p>
            <w:pPr>
              <w:pStyle w:val="Compact"/>
              <w:spacing w:after="40"/>
              <w:jc w:val="left"/>
            </w:pPr>
            <w:r>
              <w:rPr>
                <w:sz w:val="18"/>
              </w:rPr>
              <w:t xml:space="preserve">Queue by trigger and age, review detail with the sales-evidence record, finding and approval, refund tracker</w:t>
            </w:r>
          </w:p>
        </w:tc>
        <w:tc>
          <w:tcPr>
            <w:tcW w:w="2599" w:type="dxa"/>
          </w:tcPr>
          <w:p>
            <w:pPr>
              <w:pStyle w:val="Compact"/>
              <w:spacing w:after="40"/>
              <w:jc w:val="left"/>
            </w:pPr>
            <w:r>
              <w:rPr>
                <w:sz w:val="18"/>
              </w:rPr>
              <w:t xml:space="preserve">Compliance (maker and checker separate)</w:t>
            </w:r>
          </w:p>
        </w:tc>
      </w:tr>
      <w:tr>
        <w:tc>
          <w:tcPr>
            <w:tcW w:w="2598" w:type="dxa"/>
          </w:tcPr>
          <w:p>
            <w:pPr>
              <w:pStyle w:val="Compact"/>
              <w:spacing w:after="40"/>
              <w:jc w:val="left"/>
            </w:pPr>
            <w:r>
              <w:rPr>
                <w:rStyle w:val="VerbatimChar"/>
                <w:sz w:val="18"/>
              </w:rPr>
              <w:t xml:space="preserve">… › Feedback contacts</w:t>
            </w:r>
          </w:p>
        </w:tc>
        <w:tc>
          <w:tcPr>
            <w:tcW w:w="4441" w:type="dxa"/>
          </w:tcPr>
          <w:p>
            <w:pPr>
              <w:pStyle w:val="Compact"/>
              <w:spacing w:after="40"/>
              <w:jc w:val="left"/>
            </w:pPr>
            <w:r>
              <w:rPr>
                <w:sz w:val="18"/>
              </w:rPr>
              <w:t xml:space="preserve">Due and overdue contacts, outcomes,</w:t>
            </w:r>
            <w:r>
              <w:rPr>
                <w:sz w:val="18"/>
              </w:rPr>
              <w:t xml:space="preserve"> </w:t>
            </w:r>
            <w:r>
              <w:rPr>
                <w:sz w:val="18"/>
              </w:rPr>
              <w:t xml:space="preserve">“</w:t>
            </w:r>
            <w:r>
              <w:rPr>
                <w:sz w:val="18"/>
              </w:rPr>
              <w:t xml:space="preserve">not wanted</w:t>
            </w:r>
            <w:r>
              <w:rPr>
                <w:sz w:val="18"/>
              </w:rPr>
              <w:t xml:space="preserve">”</w:t>
            </w:r>
            <w:r>
              <w:rPr>
                <w:sz w:val="18"/>
              </w:rPr>
              <w:t xml:space="preserve"> </w:t>
            </w:r>
            <w:r>
              <w:rPr>
                <w:sz w:val="18"/>
              </w:rPr>
              <w:t xml:space="preserve">answers opening reviews</w:t>
            </w:r>
          </w:p>
        </w:tc>
        <w:tc>
          <w:tcPr>
            <w:tcW w:w="2599" w:type="dxa"/>
          </w:tcPr>
          <w:p>
            <w:pPr>
              <w:pStyle w:val="Compact"/>
              <w:spacing w:after="40"/>
              <w:jc w:val="left"/>
            </w:pPr>
            <w:r>
              <w:rPr>
                <w:sz w:val="18"/>
              </w:rPr>
              <w:t xml:space="preserve">Customer care</w:t>
            </w:r>
          </w:p>
        </w:tc>
      </w:tr>
      <w:tr>
        <w:tc>
          <w:tcPr>
            <w:tcW w:w="2598" w:type="dxa"/>
          </w:tcPr>
          <w:p>
            <w:pPr>
              <w:pStyle w:val="Compact"/>
              <w:spacing w:after="40"/>
              <w:jc w:val="left"/>
            </w:pPr>
            <w:r>
              <w:rPr>
                <w:rStyle w:val="VerbatimChar"/>
                <w:sz w:val="18"/>
              </w:rPr>
              <w:t xml:space="preserve">… › Suppression list</w:t>
            </w:r>
          </w:p>
        </w:tc>
        <w:tc>
          <w:tcPr>
            <w:tcW w:w="4441" w:type="dxa"/>
          </w:tcPr>
          <w:p>
            <w:pPr>
              <w:pStyle w:val="Compact"/>
              <w:spacing w:after="40"/>
              <w:jc w:val="left"/>
            </w:pPr>
            <w:r>
              <w:rPr>
                <w:sz w:val="18"/>
              </w:rPr>
              <w:t xml:space="preserve">Active suppressions by reason (counts and masked IDs), expiry dates</w:t>
            </w:r>
          </w:p>
        </w:tc>
        <w:tc>
          <w:tcPr>
            <w:tcW w:w="2599" w:type="dxa"/>
          </w:tcPr>
          <w:p>
            <w:pPr>
              <w:pStyle w:val="Compact"/>
              <w:spacing w:after="40"/>
              <w:jc w:val="left"/>
            </w:pPr>
            <w:r>
              <w:rPr>
                <w:sz w:val="18"/>
              </w:rPr>
              <w:t xml:space="preserve">Compliance; read-only for marketing</w:t>
            </w:r>
          </w:p>
        </w:tc>
      </w:tr>
    </w:tbl>
    <w:bookmarkEnd w:id="329"/>
    <w:bookmarkStart w:id="330" w:name="acceptance-tests-20"/>
    <w:p>
      <w:pPr>
        <w:pStyle w:val="Heading3"/>
      </w:pPr>
      <w:r>
        <w:t xml:space="preserve">Acceptance tests</w:t>
      </w:r>
    </w:p>
    <w:p>
      <w:pPr>
        <w:numPr>
          <w:ilvl w:val="0"/>
          <w:numId w:val="1200"/>
        </w:numPr>
        <w:pStyle w:val="Compact"/>
      </w:pPr>
      <w:r>
        <w:t xml:space="preserve">The component library build fails if a pre-ticked consent or a countdown timer is used on any non-loan screen.</w:t>
      </w:r>
    </w:p>
    <w:p>
      <w:pPr>
        <w:numPr>
          <w:ilvl w:val="0"/>
          <w:numId w:val="1200"/>
        </w:numPr>
        <w:pStyle w:val="Compact"/>
      </w:pPr>
      <w:r>
        <w:t xml:space="preserve">A promotional call request outside 09:00–18:00, from a non-140 number or without promotional consent is denied by the contact-policy engine (Phase 3b; the RA5 routing engine from Phase 20d).</w:t>
      </w:r>
    </w:p>
    <w:p>
      <w:pPr>
        <w:numPr>
          <w:ilvl w:val="0"/>
          <w:numId w:val="1200"/>
        </w:numPr>
        <w:pStyle w:val="Compact"/>
      </w:pPr>
      <w:r>
        <w:t xml:space="preserve">No cross-sell is shown to a borrower with an overdue loan, an open grievance or a recent death notification.</w:t>
      </w:r>
    </w:p>
    <w:p>
      <w:pPr>
        <w:numPr>
          <w:ilvl w:val="0"/>
          <w:numId w:val="1200"/>
        </w:numPr>
        <w:pStyle w:val="Compact"/>
      </w:pPr>
      <w:r>
        <w:t xml:space="preserve">A</w:t>
      </w:r>
      <w:r>
        <w:t xml:space="preserve"> </w:t>
      </w:r>
      <w:r>
        <w:t xml:space="preserve">“</w:t>
      </w:r>
      <w:r>
        <w:t xml:space="preserve">not wanted</w:t>
      </w:r>
      <w:r>
        <w:t xml:space="preserve">”</w:t>
      </w:r>
      <w:r>
        <w:t xml:space="preserve"> </w:t>
      </w:r>
      <w:r>
        <w:t xml:space="preserve">feedback answer opens a mis-selling review within one business day; a confirmed review triggers the refund workflow and a risk event.</w:t>
      </w:r>
    </w:p>
    <w:p>
      <w:pPr>
        <w:numPr>
          <w:ilvl w:val="0"/>
          <w:numId w:val="1200"/>
        </w:numPr>
        <w:pStyle w:val="Compact"/>
      </w:pPr>
      <w:r>
        <w:t xml:space="preserve">A module cannot be enabled without a UI audit record for its current UI version.</w:t>
      </w:r>
    </w:p>
    <w:p>
      <w:r>
        <w:pict>
          <v:rect style="width:0;height:1.5pt" o:hralign="center" o:hrstd="t" o:hr="t"/>
        </w:pict>
      </w:r>
    </w:p>
    <w:bookmarkEnd w:id="330"/>
    <w:bookmarkEnd w:id="331"/>
    <w:bookmarkEnd w:id="332"/>
    <w:bookmarkStart w:id="372" w:name="Xe4f405a2bbe9753af17e7944f682da7a92e4085"/>
    <w:p>
      <w:pPr>
        <w:pStyle w:val="Heading1"/>
      </w:pPr>
      <w:r>
        <w:t xml:space="preserve">PART 7G — PLANS, REVENUE STREAMS AND BILLING</w:t>
      </w:r>
    </w:p>
    <w:p>
      <w:pPr>
        <w:pStyle w:val="FirstParagraph"/>
      </w:pPr>
      <w:r>
        <w:rPr>
          <w:bCs/>
          <w:b/>
        </w:rPr>
        <w:t xml:space="preserve">Purpose.</w:t>
      </w:r>
      <w:r>
        <w:t xml:space="preserve"> </w:t>
      </w:r>
      <w:r>
        <w:t xml:space="preserve">Udofin earns money in ways that an LSP may lawfully earn it, and in no other way. This Part specifies (1) a</w:t>
      </w:r>
      <w:r>
        <w:t xml:space="preserve"> </w:t>
      </w:r>
      <w:r>
        <w:rPr>
          <w:bCs/>
          <w:b/>
        </w:rPr>
        <w:t xml:space="preserve">revenue-stream catalogue with a legality gate</w:t>
      </w:r>
      <w:r>
        <w:t xml:space="preserve"> </w:t>
      </w:r>
      <w:r>
        <w:t xml:space="preserve">that blocks any stream not cleared for its payer; (2) the</w:t>
      </w:r>
      <w:r>
        <w:t xml:space="preserve"> </w:t>
      </w:r>
      <w:r>
        <w:rPr>
          <w:bCs/>
          <w:b/>
        </w:rPr>
        <w:t xml:space="preserve">billing, plan and settings pages</w:t>
      </w:r>
      <w:r>
        <w:t xml:space="preserve"> </w:t>
      </w:r>
      <w:r>
        <w:t xml:space="preserve">for RE users and borrowers, with plain explanations of what each plan does and does not do; (3)</w:t>
      </w:r>
      <w:r>
        <w:t xml:space="preserve"> </w:t>
      </w:r>
      <w:r>
        <w:rPr>
          <w:bCs/>
          <w:b/>
        </w:rPr>
        <w:t xml:space="preserve">payments through Razorpay</w:t>
      </w:r>
      <w:r>
        <w:t xml:space="preserve"> </w:t>
      </w:r>
      <w:r>
        <w:t xml:space="preserve">for Udofin’s own revenue, kept completely separate from loan money; and (4)</w:t>
      </w:r>
      <w:r>
        <w:t xml:space="preserve"> </w:t>
      </w:r>
      <w:r>
        <w:rPr>
          <w:bCs/>
          <w:b/>
        </w:rPr>
        <w:t xml:space="preserve">advertising and sponsored-content rules</w:t>
      </w:r>
      <w:r>
        <w:t xml:space="preserve"> </w:t>
      </w:r>
      <w:r>
        <w:t xml:space="preserve">that keep advertising out of every credit decision and every loan screen.</w:t>
      </w:r>
    </w:p>
    <w:p>
      <w:pPr>
        <w:pStyle w:val="BodyText"/>
      </w:pPr>
      <w:r>
        <w:rPr>
          <w:bCs/>
          <w:b/>
        </w:rPr>
        <w:t xml:space="preserve">Applicability.</w:t>
      </w:r>
      <w:r>
        <w:t xml:space="preserve"> </w:t>
      </w:r>
      <w:r>
        <w:t xml:space="preserve">Udofin (the LSP company) and its customers: partner REs and non-RE lenders (B2B), borrowers who choose optional non-credit tools (B2C), advertisers and product partners. The Infrabyx Operations Hub (</w:t>
      </w:r>
      <w:r>
        <w:rPr>
          <w:rStyle w:val="VerbatimChar"/>
        </w:rPr>
        <w:t xml:space="preserve">OH</w:t>
      </w:r>
      <w:r>
        <w:t xml:space="preserve">) owns the group’s central revenue catalogue, plan definitions, RE invoicing and revenue-model review (OH8); Udofin consumes that catalogue, enforces entitlements, shows the tenant-facing pages and runs B2C billing for its own consumer plans (RV2.4). Finbyx’s equivalent is Finbyx Part 7K (CM1–CM5).</w:t>
      </w:r>
    </w:p>
    <w:p>
      <w:pPr>
        <w:pStyle w:val="BodyText"/>
      </w:pPr>
      <w:r>
        <w:rPr>
          <w:bCs/>
          <w:b/>
        </w:rPr>
        <w:t xml:space="preserve">Codes used.</w:t>
      </w:r>
      <w:r>
        <w:t xml:space="preserve"> </w:t>
      </w:r>
      <w:r>
        <w:t xml:space="preserve">RBI: CF (paras 7, 10, 20, 24), RBC, OUT (para 87), DPS; RBI E-mandate Directions 2026 (RBI/DPSS/2026-27/396, 21 Apr 2026) as</w:t>
      </w:r>
      <w:r>
        <w:t xml:space="preserve"> </w:t>
      </w:r>
      <w:r>
        <w:rPr>
          <w:rStyle w:val="VerbatimChar"/>
        </w:rPr>
        <w:t xml:space="preserve">EMD</w:t>
      </w:r>
      <w:r>
        <w:t xml:space="preserve">; RBI Payment Aggregators Directions 2025 (15 Sep 2025) as</w:t>
      </w:r>
      <w:r>
        <w:t xml:space="preserve"> </w:t>
      </w:r>
      <w:r>
        <w:rPr>
          <w:rStyle w:val="VerbatimChar"/>
        </w:rPr>
        <w:t xml:space="preserve">PA</w:t>
      </w:r>
      <w:r>
        <w:t xml:space="preserve">. Non-RBI:</w:t>
      </w:r>
      <w:r>
        <w:t xml:space="preserve"> </w:t>
      </w:r>
      <w:r>
        <w:rPr>
          <w:rStyle w:val="VerbatimChar"/>
        </w:rPr>
        <w:t xml:space="preserve">GST</w:t>
      </w:r>
      <w:r>
        <w:t xml:space="preserve"> </w:t>
      </w:r>
      <w:r>
        <w:t xml:space="preserve">(CGST Act 2017, IGST Act 2017 and rules),</w:t>
      </w:r>
      <w:r>
        <w:t xml:space="preserve"> </w:t>
      </w:r>
      <w:r>
        <w:rPr>
          <w:rStyle w:val="VerbatimChar"/>
        </w:rPr>
        <w:t xml:space="preserve">ITA25</w:t>
      </w:r>
      <w:r>
        <w:t xml:space="preserve">,</w:t>
      </w:r>
      <w:r>
        <w:t xml:space="preserve"> </w:t>
      </w:r>
      <w:r>
        <w:rPr>
          <w:rStyle w:val="VerbatimChar"/>
        </w:rPr>
        <w:t xml:space="preserve">DPDP</w:t>
      </w:r>
      <w:r>
        <w:t xml:space="preserve">,</w:t>
      </w:r>
      <w:r>
        <w:t xml:space="preserve"> </w:t>
      </w:r>
      <w:r>
        <w:rPr>
          <w:rStyle w:val="VerbatimChar"/>
        </w:rPr>
        <w:t xml:space="preserve">PCI</w:t>
      </w:r>
      <w:r>
        <w:t xml:space="preserve"> </w:t>
      </w:r>
      <w:r>
        <w:t xml:space="preserve">(PCI DSS v4.0.1),</w:t>
      </w:r>
      <w:r>
        <w:t xml:space="preserve"> </w:t>
      </w:r>
      <w:r>
        <w:rPr>
          <w:rStyle w:val="VerbatimChar"/>
        </w:rPr>
        <w:t xml:space="preserve">CCPA</w:t>
      </w:r>
      <w:r>
        <w:t xml:space="preserve"> </w:t>
      </w:r>
      <w:r>
        <w:t xml:space="preserve">(Dark Patterns Guidelines 2023; Misleading Advertisements Guidelines 2022),</w:t>
      </w:r>
      <w:r>
        <w:t xml:space="preserve"> </w:t>
      </w:r>
      <w:r>
        <w:rPr>
          <w:rStyle w:val="VerbatimChar"/>
        </w:rPr>
        <w:t xml:space="preserve">ASCI</w:t>
      </w:r>
      <w:r>
        <w:t xml:space="preserve"> </w:t>
      </w:r>
      <w:r>
        <w:t xml:space="preserve">(ASCI Code),</w:t>
      </w:r>
      <w:r>
        <w:t xml:space="preserve"> </w:t>
      </w:r>
      <w:r>
        <w:rPr>
          <w:rStyle w:val="VerbatimChar"/>
        </w:rPr>
        <w:t xml:space="preserve">IRDAI</w:t>
      </w:r>
      <w:r>
        <w:t xml:space="preserve">,</w:t>
      </w:r>
      <w:r>
        <w:t xml:space="preserve"> </w:t>
      </w:r>
      <w:r>
        <w:rPr>
          <w:rStyle w:val="VerbatimChar"/>
        </w:rPr>
        <w:t xml:space="preserve">SEBI-IA</w:t>
      </w:r>
      <w:r>
        <w:t xml:space="preserve">,</w:t>
      </w:r>
      <w:r>
        <w:t xml:space="preserve"> </w:t>
      </w:r>
      <w:r>
        <w:rPr>
          <w:rStyle w:val="VerbatimChar"/>
        </w:rPr>
        <w:t xml:space="preserve">SEBI-MF</w:t>
      </w:r>
      <w:r>
        <w:t xml:space="preserve">,</w:t>
      </w:r>
      <w:r>
        <w:t xml:space="preserve"> </w:t>
      </w:r>
      <w:r>
        <w:rPr>
          <w:rStyle w:val="VerbatimChar"/>
        </w:rPr>
        <w:t xml:space="preserve">AMFI</w:t>
      </w:r>
      <w:r>
        <w:t xml:space="preserve">,</w:t>
      </w:r>
      <w:r>
        <w:t xml:space="preserve"> </w:t>
      </w:r>
      <w:r>
        <w:rPr>
          <w:rStyle w:val="VerbatimChar"/>
        </w:rPr>
        <w:t xml:space="preserve">BCI</w:t>
      </w:r>
      <w:r>
        <w:t xml:space="preserve">.</w:t>
      </w:r>
    </w:p>
    <w:p>
      <w:pPr>
        <w:pStyle w:val="BodyText"/>
      </w:pPr>
      <w:r>
        <w:rPr>
          <w:bCs/>
          <w:b/>
        </w:rPr>
        <w:t xml:space="preserve">Data owned.</w:t>
      </w:r>
      <w:r>
        <w:t xml:space="preserve"> </w:t>
      </w:r>
      <w:r>
        <w:t xml:space="preserve">Udofin owns: its copy of the catalogue (versioned cache), entitlements per RE and per borrower, usage meters it records, B2C subscriptions, B2C invoices and credit notes, payment and refund records for its own revenue, advertiser contracts, ad creatives, placements, impressions and clicks (aggregated), and the legality-gate evidence for each stream it uses. OH owns the master catalogue, RE invoices, collections from REs and group revenue reporting. No billing table holds loan principal, interest, repayments or any RE money (Part 4.3).</w:t>
      </w:r>
    </w:p>
    <w:p>
      <w:pPr>
        <w:pStyle w:val="BodyText"/>
      </w:pPr>
      <w:r>
        <w:rPr>
          <w:bCs/>
          <w:b/>
        </w:rPr>
        <w:t xml:space="preserve">Non-negotiables (fail closed).</w:t>
      </w:r>
    </w:p>
    <w:p>
      <w:pPr>
        <w:numPr>
          <w:ilvl w:val="0"/>
          <w:numId w:val="1201"/>
        </w:numPr>
        <w:pStyle w:val="Compact"/>
      </w:pPr>
      <w:r>
        <w:t xml:space="preserve">No fee, subscription,</w:t>
      </w:r>
      <w:r>
        <w:t xml:space="preserve"> </w:t>
      </w:r>
      <w:r>
        <w:t xml:space="preserve">“</w:t>
      </w:r>
      <w:r>
        <w:t xml:space="preserve">priority</w:t>
      </w:r>
      <w:r>
        <w:t xml:space="preserve">”</w:t>
      </w:r>
      <w:r>
        <w:t xml:space="preserve">,</w:t>
      </w:r>
      <w:r>
        <w:t xml:space="preserve"> </w:t>
      </w:r>
      <w:r>
        <w:t xml:space="preserve">“</w:t>
      </w:r>
      <w:r>
        <w:t xml:space="preserve">membership</w:t>
      </w:r>
      <w:r>
        <w:t xml:space="preserve">”</w:t>
      </w:r>
      <w:r>
        <w:t xml:space="preserve"> </w:t>
      </w:r>
      <w:r>
        <w:t xml:space="preserve">or other charge linked to obtaining, pricing, processing, servicing or repaying a loan is charged to or collected from a borrower (CF para 10(4)), and no fee is taken from recovery proceeds (CF para 10(5)).</w:t>
      </w:r>
    </w:p>
    <w:p>
      <w:pPr>
        <w:numPr>
          <w:ilvl w:val="0"/>
          <w:numId w:val="1201"/>
        </w:numPr>
        <w:pStyle w:val="Compact"/>
      </w:pPr>
      <w:r>
        <w:t xml:space="preserve">Fee, DLG, plan, advertising and subscription data never reach the matching, ranking, routing or underwriting inputs (CF paras 7(2), 7(4), 20(2); Part 4.6).</w:t>
      </w:r>
    </w:p>
    <w:p>
      <w:pPr>
        <w:numPr>
          <w:ilvl w:val="0"/>
          <w:numId w:val="1201"/>
        </w:numPr>
        <w:pStyle w:val="Compact"/>
      </w:pPr>
      <w:r>
        <w:t xml:space="preserve">Udofin’s Razorpay account receives only Udofin’s own revenue. Loan disbursals and repayments never touch it; RE merchant accounts are used for loan payments (Part 4.3; CF para 10(1)–(3)).</w:t>
      </w:r>
    </w:p>
    <w:p>
      <w:pPr>
        <w:numPr>
          <w:ilvl w:val="0"/>
          <w:numId w:val="1201"/>
        </w:numPr>
        <w:pStyle w:val="Compact"/>
      </w:pPr>
      <w:r>
        <w:t xml:space="preserve">A borrower-paid stream can be activated only after an owner decision</w:t>
      </w:r>
      <w:r>
        <w:t xml:space="preserve"> </w:t>
      </w:r>
      <w:r>
        <w:rPr>
          <w:bCs/>
          <w:b/>
        </w:rPr>
        <w:t xml:space="preserve">and</w:t>
      </w:r>
      <w:r>
        <w:t xml:space="preserve"> </w:t>
      </w:r>
      <w:r>
        <w:t xml:space="preserve">a written legal opinion are recorded (RV1.3).</w:t>
      </w:r>
    </w:p>
    <w:p>
      <w:pPr>
        <w:numPr>
          <w:ilvl w:val="0"/>
          <w:numId w:val="1201"/>
        </w:numPr>
        <w:pStyle w:val="Compact"/>
      </w:pPr>
      <w:r>
        <w:t xml:space="preserve">No advertising or sponsored content inside the multi-lender offer view or any loan journey screen (CF para 7(4); RV4).</w:t>
      </w:r>
    </w:p>
    <w:p>
      <w:r>
        <w:pict>
          <v:rect style="width:0;height:1.5pt" o:hralign="center" o:hrstd="t" o:hr="t"/>
        </w:pict>
      </w:r>
    </w:p>
    <w:bookmarkStart w:id="342" w:name="X6e32feba17cfb2605f930707085f8b8526af119"/>
    <w:p>
      <w:pPr>
        <w:pStyle w:val="Heading2"/>
      </w:pPr>
      <w:r>
        <w:t xml:space="preserve">RV1. Revenue-stream catalogue and legality gate</w:t>
      </w:r>
    </w:p>
    <w:bookmarkStart w:id="333" w:name="rv1.1-catalogue"/>
    <w:p>
      <w:pPr>
        <w:pStyle w:val="Heading3"/>
      </w:pPr>
      <w:r>
        <w:t xml:space="preserve">RV1.1 Catalogue</w:t>
      </w:r>
    </w:p>
    <w:p>
      <w:pPr>
        <w:pStyle w:val="FirstParagraph"/>
      </w:pPr>
      <w:r>
        <w:t xml:space="preserve">Each stream is a record consumed from the OH8 catalogue (</w:t>
      </w:r>
      <w:r>
        <w:rPr>
          <w:rStyle w:val="VerbatimChar"/>
        </w:rPr>
        <w:t xml:space="preserve">revenue_stream</w:t>
      </w:r>
      <w:r>
        <w:t xml:space="preserve">) and mirrored in Udofin with its legality-gate status. Streams S01–S08 are the LSP business; S09–S13 are separate businesses run through the same app and need their own gates.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03"/>
        <w:gridCol w:w="2099"/>
        <w:gridCol w:w="1216"/>
        <w:gridCol w:w="1844"/>
        <w:gridCol w:w="2794"/>
        <w:gridCol w:w="1082"/>
      </w:tblGrid>
      <w:tr>
        <w:trPr>
          <w:tblHeader w:val="true"/>
          <w:tblHeader w:val="true"/>
        </w:trPr>
        <w:tc>
          <w:tcPr>
            <w:tcW w:w="603" w:type="dxa"/>
            <w:shd w:val="clear" w:color="auto" w:fill="1F3A5F"/>
          </w:tcPr>
          <w:p>
            <w:pPr>
              <w:pStyle w:val="Compact"/>
              <w:spacing w:after="40"/>
              <w:jc w:val="left"/>
            </w:pPr>
            <w:r>
              <w:rPr>
                <w:b/>
                <w:color w:val="FFFFFF"/>
                <w:sz w:val="18"/>
              </w:rPr>
              <w:t xml:space="preserve">ID</w:t>
            </w:r>
          </w:p>
        </w:tc>
        <w:tc>
          <w:tcPr>
            <w:tcW w:w="2099" w:type="dxa"/>
            <w:shd w:val="clear" w:color="auto" w:fill="1F3A5F"/>
          </w:tcPr>
          <w:p>
            <w:pPr>
              <w:pStyle w:val="Compact"/>
              <w:spacing w:after="40"/>
              <w:jc w:val="left"/>
            </w:pPr>
            <w:r>
              <w:rPr>
                <w:b/>
                <w:color w:val="FFFFFF"/>
                <w:sz w:val="18"/>
              </w:rPr>
              <w:t xml:space="preserve">Stream</w:t>
            </w:r>
          </w:p>
        </w:tc>
        <w:tc>
          <w:tcPr>
            <w:tcW w:w="1216" w:type="dxa"/>
            <w:shd w:val="clear" w:color="auto" w:fill="1F3A5F"/>
          </w:tcPr>
          <w:p>
            <w:pPr>
              <w:pStyle w:val="Compact"/>
              <w:spacing w:after="40"/>
              <w:jc w:val="left"/>
            </w:pPr>
            <w:r>
              <w:rPr>
                <w:b/>
                <w:color w:val="FFFFFF"/>
                <w:sz w:val="18"/>
              </w:rPr>
              <w:t xml:space="preserve">Payer</w:t>
            </w:r>
          </w:p>
        </w:tc>
        <w:tc>
          <w:tcPr>
            <w:tcW w:w="1844" w:type="dxa"/>
            <w:shd w:val="clear" w:color="auto" w:fill="1F3A5F"/>
          </w:tcPr>
          <w:p>
            <w:pPr>
              <w:pStyle w:val="Compact"/>
              <w:spacing w:after="40"/>
              <w:jc w:val="left"/>
            </w:pPr>
            <w:r>
              <w:rPr>
                <w:b/>
                <w:color w:val="FFFFFF"/>
                <w:sz w:val="18"/>
              </w:rPr>
              <w:t xml:space="preserve">Pricing models allowed</w:t>
            </w:r>
          </w:p>
        </w:tc>
        <w:tc>
          <w:tcPr>
            <w:tcW w:w="2794" w:type="dxa"/>
            <w:shd w:val="clear" w:color="auto" w:fill="1F3A5F"/>
          </w:tcPr>
          <w:p>
            <w:pPr>
              <w:pStyle w:val="Compact"/>
              <w:spacing w:after="40"/>
              <w:jc w:val="left"/>
            </w:pPr>
            <w:r>
              <w:rPr>
                <w:b/>
                <w:color w:val="FFFFFF"/>
                <w:sz w:val="18"/>
              </w:rPr>
              <w:t xml:space="preserve">Legal basis and conditions</w:t>
            </w:r>
          </w:p>
        </w:tc>
        <w:tc>
          <w:tcPr>
            <w:tcW w:w="1082" w:type="dxa"/>
            <w:shd w:val="clear" w:color="auto" w:fill="1F3A5F"/>
          </w:tcPr>
          <w:p>
            <w:pPr>
              <w:pStyle w:val="Compact"/>
              <w:spacing w:after="40"/>
              <w:jc w:val="left"/>
            </w:pPr>
            <w:r>
              <w:rPr>
                <w:b/>
                <w:color w:val="FFFFFF"/>
                <w:sz w:val="18"/>
              </w:rPr>
              <w:t xml:space="preserve">Default status</w:t>
            </w:r>
          </w:p>
        </w:tc>
      </w:tr>
      <w:tr>
        <w:tc>
          <w:tcPr>
            <w:tcW w:w="603" w:type="dxa"/>
          </w:tcPr>
          <w:p>
            <w:pPr>
              <w:pStyle w:val="Compact"/>
              <w:spacing w:after="40"/>
              <w:jc w:val="left"/>
            </w:pPr>
            <w:r>
              <w:rPr>
                <w:sz w:val="18"/>
              </w:rPr>
              <w:t xml:space="preserve">S01</w:t>
            </w:r>
          </w:p>
        </w:tc>
        <w:tc>
          <w:tcPr>
            <w:tcW w:w="2099" w:type="dxa"/>
          </w:tcPr>
          <w:p>
            <w:pPr>
              <w:pStyle w:val="Compact"/>
              <w:spacing w:after="40"/>
              <w:jc w:val="left"/>
            </w:pPr>
            <w:r>
              <w:rPr>
                <w:sz w:val="18"/>
              </w:rPr>
              <w:t xml:space="preserve">Sourcing fee per disbursed loan (or per application meeting the RE’s acceptance criteria)</w:t>
            </w:r>
          </w:p>
        </w:tc>
        <w:tc>
          <w:tcPr>
            <w:tcW w:w="1216" w:type="dxa"/>
          </w:tcPr>
          <w:p>
            <w:pPr>
              <w:pStyle w:val="Compact"/>
              <w:spacing w:after="40"/>
              <w:jc w:val="left"/>
            </w:pPr>
            <w:r>
              <w:rPr>
                <w:sz w:val="18"/>
              </w:rPr>
              <w:t xml:space="preserve">RE</w:t>
            </w:r>
          </w:p>
        </w:tc>
        <w:tc>
          <w:tcPr>
            <w:tcW w:w="1844" w:type="dxa"/>
          </w:tcPr>
          <w:p>
            <w:pPr>
              <w:pStyle w:val="Compact"/>
              <w:spacing w:after="40"/>
              <w:jc w:val="left"/>
            </w:pPr>
            <w:r>
              <w:rPr>
                <w:sz w:val="18"/>
              </w:rPr>
              <w:t xml:space="preserve">Per unit; tiered by volume</w:t>
            </w:r>
          </w:p>
        </w:tc>
        <w:tc>
          <w:tcPr>
            <w:tcW w:w="2794" w:type="dxa"/>
          </w:tcPr>
          <w:p>
            <w:pPr>
              <w:pStyle w:val="Compact"/>
              <w:spacing w:after="40"/>
              <w:jc w:val="left"/>
            </w:pPr>
            <w:r>
              <w:rPr>
                <w:sz w:val="18"/>
              </w:rPr>
              <w:t xml:space="preserve">CF para 10(4): paid by the RE directly; invisible to ranking (CF para 7(2), 7(4)); recorded in the deal (Part 7B UP2)</w:t>
            </w:r>
          </w:p>
        </w:tc>
        <w:tc>
          <w:tcPr>
            <w:tcW w:w="1082" w:type="dxa"/>
          </w:tcPr>
          <w:p>
            <w:pPr>
              <w:pStyle w:val="Compact"/>
              <w:spacing w:after="40"/>
              <w:jc w:val="left"/>
            </w:pPr>
            <w:r>
              <w:rPr>
                <w:sz w:val="18"/>
              </w:rPr>
              <w:t xml:space="preserve">ACTIVE</w:t>
            </w:r>
          </w:p>
        </w:tc>
      </w:tr>
      <w:tr>
        <w:tc>
          <w:tcPr>
            <w:tcW w:w="603" w:type="dxa"/>
          </w:tcPr>
          <w:p>
            <w:pPr>
              <w:pStyle w:val="Compact"/>
              <w:spacing w:after="40"/>
              <w:jc w:val="left"/>
            </w:pPr>
            <w:r>
              <w:rPr>
                <w:sz w:val="18"/>
              </w:rPr>
              <w:t xml:space="preserve">S02</w:t>
            </w:r>
          </w:p>
        </w:tc>
        <w:tc>
          <w:tcPr>
            <w:tcW w:w="2099" w:type="dxa"/>
          </w:tcPr>
          <w:p>
            <w:pPr>
              <w:pStyle w:val="Compact"/>
              <w:spacing w:after="40"/>
              <w:jc w:val="left"/>
            </w:pPr>
            <w:r>
              <w:rPr>
                <w:sz w:val="18"/>
              </w:rPr>
              <w:t xml:space="preserve">Platform subscription (monthly rental per RE, per product or per channel)</w:t>
            </w:r>
          </w:p>
        </w:tc>
        <w:tc>
          <w:tcPr>
            <w:tcW w:w="1216" w:type="dxa"/>
          </w:tcPr>
          <w:p>
            <w:pPr>
              <w:pStyle w:val="Compact"/>
              <w:spacing w:after="40"/>
              <w:jc w:val="left"/>
            </w:pPr>
            <w:r>
              <w:rPr>
                <w:sz w:val="18"/>
              </w:rPr>
              <w:t xml:space="preserve">RE</w:t>
            </w:r>
          </w:p>
        </w:tc>
        <w:tc>
          <w:tcPr>
            <w:tcW w:w="1844" w:type="dxa"/>
          </w:tcPr>
          <w:p>
            <w:pPr>
              <w:pStyle w:val="Compact"/>
              <w:spacing w:after="40"/>
              <w:jc w:val="left"/>
            </w:pPr>
            <w:r>
              <w:rPr>
                <w:sz w:val="18"/>
              </w:rPr>
              <w:t xml:space="preserve">Monthly or annual subscription; minimum commitment</w:t>
            </w:r>
          </w:p>
        </w:tc>
        <w:tc>
          <w:tcPr>
            <w:tcW w:w="2794" w:type="dxa"/>
          </w:tcPr>
          <w:p>
            <w:pPr>
              <w:pStyle w:val="Compact"/>
              <w:spacing w:after="40"/>
              <w:jc w:val="left"/>
            </w:pPr>
            <w:r>
              <w:rPr>
                <w:sz w:val="18"/>
              </w:rPr>
              <w:t xml:space="preserve">Contract; OUT para 34 clauses in the LSP agreement</w:t>
            </w:r>
          </w:p>
        </w:tc>
        <w:tc>
          <w:tcPr>
            <w:tcW w:w="1082" w:type="dxa"/>
          </w:tcPr>
          <w:p>
            <w:pPr>
              <w:pStyle w:val="Compact"/>
              <w:spacing w:after="40"/>
              <w:jc w:val="left"/>
            </w:pPr>
            <w:r>
              <w:rPr>
                <w:sz w:val="18"/>
              </w:rPr>
              <w:t xml:space="preserve">ACTIVE</w:t>
            </w:r>
          </w:p>
        </w:tc>
      </w:tr>
      <w:tr>
        <w:tc>
          <w:tcPr>
            <w:tcW w:w="603" w:type="dxa"/>
          </w:tcPr>
          <w:p>
            <w:pPr>
              <w:pStyle w:val="Compact"/>
              <w:spacing w:after="40"/>
              <w:jc w:val="left"/>
            </w:pPr>
            <w:r>
              <w:rPr>
                <w:sz w:val="18"/>
              </w:rPr>
              <w:t xml:space="preserve">S03</w:t>
            </w:r>
          </w:p>
        </w:tc>
        <w:tc>
          <w:tcPr>
            <w:tcW w:w="2099" w:type="dxa"/>
          </w:tcPr>
          <w:p>
            <w:pPr>
              <w:pStyle w:val="Compact"/>
              <w:spacing w:after="40"/>
              <w:jc w:val="left"/>
            </w:pPr>
            <w:r>
              <w:rPr>
                <w:sz w:val="18"/>
              </w:rPr>
              <w:t xml:space="preserve">Servicing fee per active loan per month</w:t>
            </w:r>
          </w:p>
        </w:tc>
        <w:tc>
          <w:tcPr>
            <w:tcW w:w="1216" w:type="dxa"/>
          </w:tcPr>
          <w:p>
            <w:pPr>
              <w:pStyle w:val="Compact"/>
              <w:spacing w:after="40"/>
              <w:jc w:val="left"/>
            </w:pPr>
            <w:r>
              <w:rPr>
                <w:sz w:val="18"/>
              </w:rPr>
              <w:t xml:space="preserve">RE</w:t>
            </w:r>
          </w:p>
        </w:tc>
        <w:tc>
          <w:tcPr>
            <w:tcW w:w="1844" w:type="dxa"/>
          </w:tcPr>
          <w:p>
            <w:pPr>
              <w:pStyle w:val="Compact"/>
              <w:spacing w:after="40"/>
              <w:jc w:val="left"/>
            </w:pPr>
            <w:r>
              <w:rPr>
                <w:sz w:val="18"/>
              </w:rPr>
              <w:t xml:space="preserve">Per unit per month</w:t>
            </w:r>
          </w:p>
        </w:tc>
        <w:tc>
          <w:tcPr>
            <w:tcW w:w="2794" w:type="dxa"/>
          </w:tcPr>
          <w:p>
            <w:pPr>
              <w:pStyle w:val="Compact"/>
              <w:spacing w:after="40"/>
              <w:jc w:val="left"/>
            </w:pPr>
            <w:r>
              <w:rPr>
                <w:sz w:val="18"/>
              </w:rPr>
              <w:t xml:space="preserve">Contract; servicing scope in U1</w:t>
            </w:r>
          </w:p>
        </w:tc>
        <w:tc>
          <w:tcPr>
            <w:tcW w:w="1082" w:type="dxa"/>
          </w:tcPr>
          <w:p>
            <w:pPr>
              <w:pStyle w:val="Compact"/>
              <w:spacing w:after="40"/>
              <w:jc w:val="left"/>
            </w:pPr>
            <w:r>
              <w:rPr>
                <w:sz w:val="18"/>
              </w:rPr>
              <w:t xml:space="preserve">ACTIVE</w:t>
            </w:r>
          </w:p>
        </w:tc>
      </w:tr>
      <w:tr>
        <w:tc>
          <w:tcPr>
            <w:tcW w:w="603" w:type="dxa"/>
          </w:tcPr>
          <w:p>
            <w:pPr>
              <w:pStyle w:val="Compact"/>
              <w:spacing w:after="40"/>
              <w:jc w:val="left"/>
            </w:pPr>
            <w:r>
              <w:rPr>
                <w:sz w:val="18"/>
              </w:rPr>
              <w:t xml:space="preserve">S04</w:t>
            </w:r>
          </w:p>
        </w:tc>
        <w:tc>
          <w:tcPr>
            <w:tcW w:w="2099" w:type="dxa"/>
          </w:tcPr>
          <w:p>
            <w:pPr>
              <w:pStyle w:val="Compact"/>
              <w:spacing w:after="40"/>
              <w:jc w:val="left"/>
            </w:pPr>
            <w:r>
              <w:rPr>
                <w:sz w:val="18"/>
              </w:rPr>
              <w:t xml:space="preserve">Collection support: reminders (all REs); tele-calling, field and cash where appointed (Part 7A UR4)</w:t>
            </w:r>
          </w:p>
        </w:tc>
        <w:tc>
          <w:tcPr>
            <w:tcW w:w="1216" w:type="dxa"/>
          </w:tcPr>
          <w:p>
            <w:pPr>
              <w:pStyle w:val="Compact"/>
              <w:spacing w:after="40"/>
              <w:jc w:val="left"/>
            </w:pPr>
            <w:r>
              <w:rPr>
                <w:sz w:val="18"/>
              </w:rPr>
              <w:t xml:space="preserve">RE</w:t>
            </w:r>
          </w:p>
        </w:tc>
        <w:tc>
          <w:tcPr>
            <w:tcW w:w="1844" w:type="dxa"/>
          </w:tcPr>
          <w:p>
            <w:pPr>
              <w:pStyle w:val="Compact"/>
              <w:spacing w:after="40"/>
              <w:jc w:val="left"/>
            </w:pPr>
            <w:r>
              <w:rPr>
                <w:sz w:val="18"/>
              </w:rPr>
              <w:t xml:space="preserve">Per account per month; flat per allocation; any success component capped and paired with conduct gates [REC]</w:t>
            </w:r>
          </w:p>
        </w:tc>
        <w:tc>
          <w:tcPr>
            <w:tcW w:w="2794" w:type="dxa"/>
          </w:tcPr>
          <w:p>
            <w:pPr>
              <w:pStyle w:val="Compact"/>
              <w:spacing w:after="40"/>
              <w:jc w:val="left"/>
            </w:pPr>
            <w:r>
              <w:rPr>
                <w:sz w:val="18"/>
              </w:rPr>
              <w:t xml:space="preserve">CF para 10(5): never from recovery proceeds; RBC Third Amendment para 100Q (no incentives for harsh methods) from 1 Jan 2027 [VERIFY]</w:t>
            </w:r>
          </w:p>
        </w:tc>
        <w:tc>
          <w:tcPr>
            <w:tcW w:w="1082" w:type="dxa"/>
          </w:tcPr>
          <w:p>
            <w:pPr>
              <w:pStyle w:val="Compact"/>
              <w:spacing w:after="40"/>
              <w:jc w:val="left"/>
            </w:pPr>
            <w:r>
              <w:rPr>
                <w:sz w:val="18"/>
              </w:rPr>
              <w:t xml:space="preserve">ACTIVE where appointed</w:t>
            </w:r>
          </w:p>
        </w:tc>
      </w:tr>
      <w:tr>
        <w:tc>
          <w:tcPr>
            <w:tcW w:w="603" w:type="dxa"/>
          </w:tcPr>
          <w:p>
            <w:pPr>
              <w:pStyle w:val="Compact"/>
              <w:spacing w:after="40"/>
              <w:jc w:val="left"/>
            </w:pPr>
            <w:r>
              <w:rPr>
                <w:sz w:val="18"/>
              </w:rPr>
              <w:t xml:space="preserve">S05</w:t>
            </w:r>
          </w:p>
        </w:tc>
        <w:tc>
          <w:tcPr>
            <w:tcW w:w="2099" w:type="dxa"/>
          </w:tcPr>
          <w:p>
            <w:pPr>
              <w:pStyle w:val="Compact"/>
              <w:spacing w:after="40"/>
              <w:jc w:val="left"/>
            </w:pPr>
            <w:r>
              <w:rPr>
                <w:sz w:val="18"/>
              </w:rPr>
              <w:t xml:space="preserve">Recovery-support module pack (Part 7A UR1–UR6) and other attachable modules</w:t>
            </w:r>
          </w:p>
        </w:tc>
        <w:tc>
          <w:tcPr>
            <w:tcW w:w="1216" w:type="dxa"/>
          </w:tcPr>
          <w:p>
            <w:pPr>
              <w:pStyle w:val="Compact"/>
              <w:spacing w:after="40"/>
              <w:jc w:val="left"/>
            </w:pPr>
            <w:r>
              <w:rPr>
                <w:sz w:val="18"/>
              </w:rPr>
              <w:t xml:space="preserve">RE</w:t>
            </w:r>
          </w:p>
        </w:tc>
        <w:tc>
          <w:tcPr>
            <w:tcW w:w="1844" w:type="dxa"/>
          </w:tcPr>
          <w:p>
            <w:pPr>
              <w:pStyle w:val="Compact"/>
              <w:spacing w:after="40"/>
              <w:jc w:val="left"/>
            </w:pPr>
            <w:r>
              <w:rPr>
                <w:sz w:val="18"/>
              </w:rPr>
              <w:t xml:space="preserve">Licence SKU per module per month</w:t>
            </w:r>
          </w:p>
        </w:tc>
        <w:tc>
          <w:tcPr>
            <w:tcW w:w="2794" w:type="dxa"/>
          </w:tcPr>
          <w:p>
            <w:pPr>
              <w:pStyle w:val="Compact"/>
              <w:spacing w:after="40"/>
              <w:jc w:val="left"/>
            </w:pPr>
            <w:r>
              <w:rPr>
                <w:sz w:val="18"/>
              </w:rPr>
              <w:t xml:space="preserve">Module entitlement (Part 7A.0.3)</w:t>
            </w:r>
          </w:p>
        </w:tc>
        <w:tc>
          <w:tcPr>
            <w:tcW w:w="1082" w:type="dxa"/>
          </w:tcPr>
          <w:p>
            <w:pPr>
              <w:pStyle w:val="Compact"/>
              <w:spacing w:after="40"/>
              <w:jc w:val="left"/>
            </w:pPr>
            <w:r>
              <w:rPr>
                <w:sz w:val="18"/>
              </w:rPr>
              <w:t xml:space="preserve">ACTIVE</w:t>
            </w:r>
          </w:p>
        </w:tc>
      </w:tr>
      <w:tr>
        <w:tc>
          <w:tcPr>
            <w:tcW w:w="603" w:type="dxa"/>
          </w:tcPr>
          <w:p>
            <w:pPr>
              <w:pStyle w:val="Compact"/>
              <w:spacing w:after="40"/>
              <w:jc w:val="left"/>
            </w:pPr>
            <w:r>
              <w:rPr>
                <w:sz w:val="18"/>
              </w:rPr>
              <w:t xml:space="preserve">S06</w:t>
            </w:r>
          </w:p>
        </w:tc>
        <w:tc>
          <w:tcPr>
            <w:tcW w:w="2099" w:type="dxa"/>
          </w:tcPr>
          <w:p>
            <w:pPr>
              <w:pStyle w:val="Compact"/>
              <w:spacing w:after="40"/>
              <w:jc w:val="left"/>
            </w:pPr>
            <w:r>
              <w:rPr>
                <w:sz w:val="18"/>
              </w:rPr>
              <w:t xml:space="preserve">DLG fee</w:t>
            </w:r>
          </w:p>
        </w:tc>
        <w:tc>
          <w:tcPr>
            <w:tcW w:w="1216" w:type="dxa"/>
          </w:tcPr>
          <w:p>
            <w:pPr>
              <w:pStyle w:val="Compact"/>
              <w:spacing w:after="40"/>
              <w:jc w:val="left"/>
            </w:pPr>
            <w:r>
              <w:rPr>
                <w:sz w:val="18"/>
              </w:rPr>
              <w:t xml:space="preserve">RE</w:t>
            </w:r>
          </w:p>
        </w:tc>
        <w:tc>
          <w:tcPr>
            <w:tcW w:w="1844" w:type="dxa"/>
          </w:tcPr>
          <w:p>
            <w:pPr>
              <w:pStyle w:val="Compact"/>
              <w:spacing w:after="40"/>
              <w:jc w:val="left"/>
            </w:pPr>
            <w:r>
              <w:rPr>
                <w:sz w:val="18"/>
              </w:rPr>
              <w:t xml:space="preserve">Percentage of the DLG set or of cover, per the DLG arrangement</w:t>
            </w:r>
          </w:p>
        </w:tc>
        <w:tc>
          <w:tcPr>
            <w:tcW w:w="2794" w:type="dxa"/>
          </w:tcPr>
          <w:p>
            <w:pPr>
              <w:pStyle w:val="Compact"/>
              <w:spacing w:after="40"/>
              <w:jc w:val="left"/>
            </w:pPr>
            <w:r>
              <w:rPr>
                <w:sz w:val="18"/>
              </w:rPr>
              <w:t xml:space="preserve">CF para 20(1) (fees in the RE’s DLG policy); cap 5% of amount disbursed (CF para 24); forms in CF para 23; DLG data isolated from ranking (CF para 20(2))</w:t>
            </w:r>
          </w:p>
        </w:tc>
        <w:tc>
          <w:tcPr>
            <w:tcW w:w="1082" w:type="dxa"/>
          </w:tcPr>
          <w:p>
            <w:pPr>
              <w:pStyle w:val="Compact"/>
              <w:spacing w:after="40"/>
              <w:jc w:val="left"/>
            </w:pPr>
            <w:r>
              <w:rPr>
                <w:sz w:val="18"/>
              </w:rPr>
              <w:t xml:space="preserve">ACTIVE where Udofin provides DLG</w:t>
            </w:r>
          </w:p>
        </w:tc>
      </w:tr>
      <w:tr>
        <w:tc>
          <w:tcPr>
            <w:tcW w:w="603" w:type="dxa"/>
          </w:tcPr>
          <w:p>
            <w:pPr>
              <w:pStyle w:val="Compact"/>
              <w:spacing w:after="40"/>
              <w:jc w:val="left"/>
            </w:pPr>
            <w:r>
              <w:rPr>
                <w:sz w:val="18"/>
              </w:rPr>
              <w:t xml:space="preserve">S07</w:t>
            </w:r>
          </w:p>
        </w:tc>
        <w:tc>
          <w:tcPr>
            <w:tcW w:w="2099" w:type="dxa"/>
          </w:tcPr>
          <w:p>
            <w:pPr>
              <w:pStyle w:val="Compact"/>
              <w:spacing w:after="40"/>
              <w:jc w:val="left"/>
            </w:pPr>
            <w:r>
              <w:rPr>
                <w:sz w:val="18"/>
              </w:rPr>
              <w:t xml:space="preserve">Pay-as-you-go usage: verification orchestration, eSign, eStamp, messaging and connector calls passed through at cost plus a disclosed margin</w:t>
            </w:r>
          </w:p>
        </w:tc>
        <w:tc>
          <w:tcPr>
            <w:tcW w:w="1216" w:type="dxa"/>
          </w:tcPr>
          <w:p>
            <w:pPr>
              <w:pStyle w:val="Compact"/>
              <w:spacing w:after="40"/>
              <w:jc w:val="left"/>
            </w:pPr>
            <w:r>
              <w:rPr>
                <w:sz w:val="18"/>
              </w:rPr>
              <w:t xml:space="preserve">RE</w:t>
            </w:r>
          </w:p>
        </w:tc>
        <w:tc>
          <w:tcPr>
            <w:tcW w:w="1844" w:type="dxa"/>
          </w:tcPr>
          <w:p>
            <w:pPr>
              <w:pStyle w:val="Compact"/>
              <w:spacing w:after="40"/>
              <w:jc w:val="left"/>
            </w:pPr>
            <w:r>
              <w:rPr>
                <w:sz w:val="18"/>
              </w:rPr>
              <w:t xml:space="preserve">Metered</w:t>
            </w:r>
          </w:p>
        </w:tc>
        <w:tc>
          <w:tcPr>
            <w:tcW w:w="2794" w:type="dxa"/>
          </w:tcPr>
          <w:p>
            <w:pPr>
              <w:pStyle w:val="Compact"/>
              <w:spacing w:after="40"/>
              <w:jc w:val="left"/>
            </w:pPr>
            <w:r>
              <w:rPr>
                <w:sz w:val="18"/>
              </w:rPr>
              <w:t xml:space="preserve">Contract; bureau charges are the RE’s own CIC charges passed through at cost only; no resale of credit information (CIR; CICRA)</w:t>
            </w:r>
          </w:p>
        </w:tc>
        <w:tc>
          <w:tcPr>
            <w:tcW w:w="1082" w:type="dxa"/>
          </w:tcPr>
          <w:p>
            <w:pPr>
              <w:pStyle w:val="Compact"/>
              <w:spacing w:after="40"/>
              <w:jc w:val="left"/>
            </w:pPr>
            <w:r>
              <w:rPr>
                <w:sz w:val="18"/>
              </w:rPr>
              <w:t xml:space="preserve">ACTIVE</w:t>
            </w:r>
          </w:p>
        </w:tc>
      </w:tr>
      <w:tr>
        <w:tc>
          <w:tcPr>
            <w:tcW w:w="603" w:type="dxa"/>
          </w:tcPr>
          <w:p>
            <w:pPr>
              <w:pStyle w:val="Compact"/>
              <w:spacing w:after="40"/>
              <w:jc w:val="left"/>
            </w:pPr>
            <w:r>
              <w:rPr>
                <w:sz w:val="18"/>
              </w:rPr>
              <w:t xml:space="preserve">S08</w:t>
            </w:r>
          </w:p>
        </w:tc>
        <w:tc>
          <w:tcPr>
            <w:tcW w:w="2099" w:type="dxa"/>
          </w:tcPr>
          <w:p>
            <w:pPr>
              <w:pStyle w:val="Compact"/>
              <w:spacing w:after="40"/>
              <w:jc w:val="left"/>
            </w:pPr>
            <w:r>
              <w:rPr>
                <w:sz w:val="18"/>
              </w:rPr>
              <w:t xml:space="preserve">One-time services: implementation, connector certification, white-label build, custom reports, training</w:t>
            </w:r>
          </w:p>
        </w:tc>
        <w:tc>
          <w:tcPr>
            <w:tcW w:w="1216" w:type="dxa"/>
          </w:tcPr>
          <w:p>
            <w:pPr>
              <w:pStyle w:val="Compact"/>
              <w:spacing w:after="40"/>
              <w:jc w:val="left"/>
            </w:pPr>
            <w:r>
              <w:rPr>
                <w:sz w:val="18"/>
              </w:rPr>
              <w:t xml:space="preserve">RE or non-RE lender</w:t>
            </w:r>
          </w:p>
        </w:tc>
        <w:tc>
          <w:tcPr>
            <w:tcW w:w="1844" w:type="dxa"/>
          </w:tcPr>
          <w:p>
            <w:pPr>
              <w:pStyle w:val="Compact"/>
              <w:spacing w:after="40"/>
              <w:jc w:val="left"/>
            </w:pPr>
            <w:r>
              <w:rPr>
                <w:sz w:val="18"/>
              </w:rPr>
              <w:t xml:space="preserve">One-time; milestone-based</w:t>
            </w:r>
          </w:p>
        </w:tc>
        <w:tc>
          <w:tcPr>
            <w:tcW w:w="2794" w:type="dxa"/>
          </w:tcPr>
          <w:p>
            <w:pPr>
              <w:pStyle w:val="Compact"/>
              <w:spacing w:after="40"/>
              <w:jc w:val="left"/>
            </w:pPr>
            <w:r>
              <w:rPr>
                <w:sz w:val="18"/>
              </w:rPr>
              <w:t xml:space="preserve">Contract; white-label needs the Part 3.1 ADR and legal note</w:t>
            </w:r>
          </w:p>
        </w:tc>
        <w:tc>
          <w:tcPr>
            <w:tcW w:w="1082" w:type="dxa"/>
          </w:tcPr>
          <w:p>
            <w:pPr>
              <w:pStyle w:val="Compact"/>
              <w:spacing w:after="40"/>
              <w:jc w:val="left"/>
            </w:pPr>
            <w:r>
              <w:rPr>
                <w:sz w:val="18"/>
              </w:rPr>
              <w:t xml:space="preserve">ACTIVE</w:t>
            </w:r>
          </w:p>
        </w:tc>
      </w:tr>
      <w:tr>
        <w:tc>
          <w:tcPr>
            <w:tcW w:w="603" w:type="dxa"/>
          </w:tcPr>
          <w:p>
            <w:pPr>
              <w:pStyle w:val="Compact"/>
              <w:spacing w:after="40"/>
              <w:jc w:val="left"/>
            </w:pPr>
            <w:r>
              <w:rPr>
                <w:sz w:val="18"/>
              </w:rPr>
              <w:t xml:space="preserve">S09</w:t>
            </w:r>
          </w:p>
        </w:tc>
        <w:tc>
          <w:tcPr>
            <w:tcW w:w="2099" w:type="dxa"/>
          </w:tcPr>
          <w:p>
            <w:pPr>
              <w:pStyle w:val="Compact"/>
              <w:spacing w:after="40"/>
              <w:jc w:val="left"/>
            </w:pPr>
            <w:r>
              <w:rPr>
                <w:sz w:val="18"/>
              </w:rPr>
              <w:t xml:space="preserve">Wellness add-ons: credit-report tracking premium tier (Part 7D FW1–FW2), expense tracker and budget planner premium tier (FW3)</w:t>
            </w:r>
          </w:p>
        </w:tc>
        <w:tc>
          <w:tcPr>
            <w:tcW w:w="1216" w:type="dxa"/>
          </w:tcPr>
          <w:p>
            <w:pPr>
              <w:pStyle w:val="Compact"/>
              <w:spacing w:after="40"/>
              <w:jc w:val="left"/>
            </w:pPr>
            <w:r>
              <w:rPr>
                <w:sz w:val="18"/>
              </w:rPr>
              <w:t xml:space="preserve">Consumer (borrower or not; same price for both)</w:t>
            </w:r>
          </w:p>
        </w:tc>
        <w:tc>
          <w:tcPr>
            <w:tcW w:w="1844" w:type="dxa"/>
          </w:tcPr>
          <w:p>
            <w:pPr>
              <w:pStyle w:val="Compact"/>
              <w:spacing w:after="40"/>
              <w:jc w:val="left"/>
            </w:pPr>
            <w:r>
              <w:rPr>
                <w:sz w:val="18"/>
              </w:rPr>
              <w:t xml:space="preserve">Freemium; monthly or annual subscription</w:t>
            </w:r>
          </w:p>
        </w:tc>
        <w:tc>
          <w:tcPr>
            <w:tcW w:w="2794" w:type="dxa"/>
          </w:tcPr>
          <w:p>
            <w:pPr>
              <w:pStyle w:val="Compact"/>
              <w:spacing w:after="40"/>
              <w:jc w:val="left"/>
            </w:pPr>
            <w:r>
              <w:rPr>
                <w:bCs/>
                <w:b/>
                <w:sz w:val="18"/>
              </w:rPr>
              <w:t xml:space="preserve">Only</w:t>
            </w:r>
            <w:r>
              <w:rPr>
                <w:sz w:val="18"/>
              </w:rPr>
              <w:t xml:space="preserve"> </w:t>
            </w:r>
            <w:r>
              <w:rPr>
                <w:sz w:val="18"/>
              </w:rPr>
              <w:t xml:space="preserve">if fully separate from any loan, open to non-borrowers, never a condition of or priced against a loan, absent from the offer and KFS flow, earning no RE fee, after an owner decision and a legal opinion on CF paras 10(4) and 14(1) (Part 7D FW4)</w:t>
            </w:r>
          </w:p>
        </w:tc>
        <w:tc>
          <w:tcPr>
            <w:tcW w:w="1082" w:type="dxa"/>
          </w:tcPr>
          <w:p>
            <w:pPr>
              <w:pStyle w:val="Compact"/>
              <w:spacing w:after="40"/>
              <w:jc w:val="left"/>
            </w:pPr>
            <w:r>
              <w:rPr>
                <w:sz w:val="18"/>
              </w:rPr>
              <w:t xml:space="preserve">LEGAL_REVIEW (inactive)</w:t>
            </w:r>
          </w:p>
        </w:tc>
      </w:tr>
      <w:tr>
        <w:tc>
          <w:tcPr>
            <w:tcW w:w="603" w:type="dxa"/>
          </w:tcPr>
          <w:p>
            <w:pPr>
              <w:pStyle w:val="Compact"/>
              <w:spacing w:after="40"/>
              <w:jc w:val="left"/>
            </w:pPr>
            <w:r>
              <w:rPr>
                <w:sz w:val="18"/>
              </w:rPr>
              <w:t xml:space="preserve">S10</w:t>
            </w:r>
          </w:p>
        </w:tc>
        <w:tc>
          <w:tcPr>
            <w:tcW w:w="2099" w:type="dxa"/>
          </w:tcPr>
          <w:p>
            <w:pPr>
              <w:pStyle w:val="Compact"/>
              <w:spacing w:after="40"/>
              <w:jc w:val="left"/>
            </w:pPr>
            <w:r>
              <w:rPr>
                <w:sz w:val="18"/>
              </w:rPr>
              <w:t xml:space="preserve">Advertising and sponsored content (RV4)</w:t>
            </w:r>
          </w:p>
        </w:tc>
        <w:tc>
          <w:tcPr>
            <w:tcW w:w="1216" w:type="dxa"/>
          </w:tcPr>
          <w:p>
            <w:pPr>
              <w:pStyle w:val="Compact"/>
              <w:spacing w:after="40"/>
              <w:jc w:val="left"/>
            </w:pPr>
            <w:r>
              <w:rPr>
                <w:sz w:val="18"/>
              </w:rPr>
              <w:t xml:space="preserve">Advertisers</w:t>
            </w:r>
          </w:p>
        </w:tc>
        <w:tc>
          <w:tcPr>
            <w:tcW w:w="1844" w:type="dxa"/>
          </w:tcPr>
          <w:p>
            <w:pPr>
              <w:pStyle w:val="Compact"/>
              <w:spacing w:after="40"/>
              <w:jc w:val="left"/>
            </w:pPr>
            <w:r>
              <w:rPr>
                <w:sz w:val="18"/>
              </w:rPr>
              <w:t xml:space="preserve">CPM, CPC or flat sponsorship</w:t>
            </w:r>
          </w:p>
        </w:tc>
        <w:tc>
          <w:tcPr>
            <w:tcW w:w="2794" w:type="dxa"/>
          </w:tcPr>
          <w:p>
            <w:pPr>
              <w:pStyle w:val="Compact"/>
              <w:spacing w:after="40"/>
              <w:jc w:val="left"/>
            </w:pPr>
            <w:r>
              <w:rPr>
                <w:sz w:val="18"/>
              </w:rPr>
              <w:t xml:space="preserve">RV4 rules; ASCI; CCPA</w:t>
            </w:r>
          </w:p>
        </w:tc>
        <w:tc>
          <w:tcPr>
            <w:tcW w:w="1082" w:type="dxa"/>
          </w:tcPr>
          <w:p>
            <w:pPr>
              <w:pStyle w:val="Compact"/>
              <w:spacing w:after="40"/>
              <w:jc w:val="left"/>
            </w:pPr>
            <w:r>
              <w:rPr>
                <w:sz w:val="18"/>
              </w:rPr>
              <w:t xml:space="preserve">DRAFT until RV4 is built and approved</w:t>
            </w:r>
          </w:p>
        </w:tc>
      </w:tr>
      <w:tr>
        <w:tc>
          <w:tcPr>
            <w:tcW w:w="603" w:type="dxa"/>
          </w:tcPr>
          <w:p>
            <w:pPr>
              <w:pStyle w:val="Compact"/>
              <w:spacing w:after="40"/>
              <w:jc w:val="left"/>
            </w:pPr>
            <w:r>
              <w:rPr>
                <w:sz w:val="18"/>
              </w:rPr>
              <w:t xml:space="preserve">S11</w:t>
            </w:r>
          </w:p>
        </w:tc>
        <w:tc>
          <w:tcPr>
            <w:tcW w:w="2099" w:type="dxa"/>
          </w:tcPr>
          <w:p>
            <w:pPr>
              <w:pStyle w:val="Compact"/>
              <w:spacing w:after="40"/>
              <w:jc w:val="left"/>
            </w:pPr>
            <w:r>
              <w:rPr>
                <w:sz w:val="18"/>
              </w:rPr>
              <w:t xml:space="preserve">Insurance commission or web-aggregator fees</w:t>
            </w:r>
          </w:p>
        </w:tc>
        <w:tc>
          <w:tcPr>
            <w:tcW w:w="1216" w:type="dxa"/>
          </w:tcPr>
          <w:p>
            <w:pPr>
              <w:pStyle w:val="Compact"/>
              <w:spacing w:after="40"/>
              <w:jc w:val="left"/>
            </w:pPr>
            <w:r>
              <w:rPr>
                <w:sz w:val="18"/>
              </w:rPr>
              <w:t xml:space="preserve">Insurers</w:t>
            </w:r>
          </w:p>
        </w:tc>
        <w:tc>
          <w:tcPr>
            <w:tcW w:w="1844" w:type="dxa"/>
          </w:tcPr>
          <w:p>
            <w:pPr>
              <w:pStyle w:val="Compact"/>
              <w:spacing w:after="40"/>
              <w:jc w:val="left"/>
            </w:pPr>
            <w:r>
              <w:rPr>
                <w:sz w:val="18"/>
              </w:rPr>
              <w:t xml:space="preserve">Commission per IRDAI rules</w:t>
            </w:r>
          </w:p>
        </w:tc>
        <w:tc>
          <w:tcPr>
            <w:tcW w:w="2794" w:type="dxa"/>
          </w:tcPr>
          <w:p>
            <w:pPr>
              <w:pStyle w:val="Compact"/>
              <w:spacing w:after="40"/>
              <w:jc w:val="left"/>
            </w:pPr>
            <w:r>
              <w:rPr>
                <w:sz w:val="18"/>
              </w:rPr>
              <w:t xml:space="preserve">Udofin’s own IRDAI registration (Part 7F XP2.1 models A or B)</w:t>
            </w:r>
          </w:p>
        </w:tc>
        <w:tc>
          <w:tcPr>
            <w:tcW w:w="1082" w:type="dxa"/>
          </w:tcPr>
          <w:p>
            <w:pPr>
              <w:pStyle w:val="Compact"/>
              <w:spacing w:after="40"/>
              <w:jc w:val="left"/>
            </w:pPr>
            <w:r>
              <w:rPr>
                <w:sz w:val="18"/>
              </w:rPr>
              <w:t xml:space="preserve">LICENCE_PENDING</w:t>
            </w:r>
          </w:p>
        </w:tc>
      </w:tr>
      <w:tr>
        <w:tc>
          <w:tcPr>
            <w:tcW w:w="603" w:type="dxa"/>
          </w:tcPr>
          <w:p>
            <w:pPr>
              <w:pStyle w:val="Compact"/>
              <w:spacing w:after="40"/>
              <w:jc w:val="left"/>
            </w:pPr>
            <w:r>
              <w:rPr>
                <w:sz w:val="18"/>
              </w:rPr>
              <w:t xml:space="preserve">S12</w:t>
            </w:r>
          </w:p>
        </w:tc>
        <w:tc>
          <w:tcPr>
            <w:tcW w:w="2099" w:type="dxa"/>
          </w:tcPr>
          <w:p>
            <w:pPr>
              <w:pStyle w:val="Compact"/>
              <w:spacing w:after="40"/>
              <w:jc w:val="left"/>
            </w:pPr>
            <w:r>
              <w:rPr>
                <w:sz w:val="18"/>
              </w:rPr>
              <w:t xml:space="preserve">Insurance technology fee</w:t>
            </w:r>
          </w:p>
        </w:tc>
        <w:tc>
          <w:tcPr>
            <w:tcW w:w="1216" w:type="dxa"/>
          </w:tcPr>
          <w:p>
            <w:pPr>
              <w:pStyle w:val="Compact"/>
              <w:spacing w:after="40"/>
              <w:jc w:val="left"/>
            </w:pPr>
            <w:r>
              <w:rPr>
                <w:sz w:val="18"/>
              </w:rPr>
              <w:t xml:space="preserve">RE that is a Corporate Agent</w:t>
            </w:r>
          </w:p>
        </w:tc>
        <w:tc>
          <w:tcPr>
            <w:tcW w:w="1844" w:type="dxa"/>
          </w:tcPr>
          <w:p>
            <w:pPr>
              <w:pStyle w:val="Compact"/>
              <w:spacing w:after="40"/>
              <w:jc w:val="left"/>
            </w:pPr>
            <w:r>
              <w:rPr>
                <w:sz w:val="18"/>
              </w:rPr>
              <w:t xml:space="preserve">Fixed fee unrelated to policies sold</w:t>
            </w:r>
          </w:p>
        </w:tc>
        <w:tc>
          <w:tcPr>
            <w:tcW w:w="2794" w:type="dxa"/>
          </w:tcPr>
          <w:p>
            <w:pPr>
              <w:pStyle w:val="Compact"/>
              <w:spacing w:after="40"/>
              <w:jc w:val="left"/>
            </w:pPr>
            <w:r>
              <w:rPr>
                <w:sz w:val="18"/>
              </w:rPr>
              <w:t xml:space="preserve">Part 7F XP2.1 model C legal note</w:t>
            </w:r>
          </w:p>
        </w:tc>
        <w:tc>
          <w:tcPr>
            <w:tcW w:w="1082" w:type="dxa"/>
          </w:tcPr>
          <w:p>
            <w:pPr>
              <w:pStyle w:val="Compact"/>
              <w:spacing w:after="40"/>
              <w:jc w:val="left"/>
            </w:pPr>
            <w:r>
              <w:rPr>
                <w:sz w:val="18"/>
              </w:rPr>
              <w:t xml:space="preserve">LEGAL_REVIEW</w:t>
            </w:r>
          </w:p>
        </w:tc>
      </w:tr>
      <w:tr>
        <w:tc>
          <w:tcPr>
            <w:tcW w:w="603" w:type="dxa"/>
          </w:tcPr>
          <w:p>
            <w:pPr>
              <w:pStyle w:val="Compact"/>
              <w:spacing w:after="40"/>
              <w:jc w:val="left"/>
            </w:pPr>
            <w:r>
              <w:rPr>
                <w:sz w:val="18"/>
              </w:rPr>
              <w:t xml:space="preserve">S13</w:t>
            </w:r>
          </w:p>
        </w:tc>
        <w:tc>
          <w:tcPr>
            <w:tcW w:w="2099" w:type="dxa"/>
          </w:tcPr>
          <w:p>
            <w:pPr>
              <w:pStyle w:val="Compact"/>
              <w:spacing w:after="40"/>
              <w:jc w:val="left"/>
            </w:pPr>
            <w:r>
              <w:rPr>
                <w:sz w:val="18"/>
              </w:rPr>
              <w:t xml:space="preserve">Future regulated distribution (MF, BBPS agent, FD marketplace)</w:t>
            </w:r>
          </w:p>
        </w:tc>
        <w:tc>
          <w:tcPr>
            <w:tcW w:w="1216" w:type="dxa"/>
          </w:tcPr>
          <w:p>
            <w:pPr>
              <w:pStyle w:val="Compact"/>
              <w:spacing w:after="40"/>
              <w:jc w:val="left"/>
            </w:pPr>
            <w:r>
              <w:rPr>
                <w:sz w:val="18"/>
              </w:rPr>
              <w:t xml:space="preserve">Partner</w:t>
            </w:r>
          </w:p>
        </w:tc>
        <w:tc>
          <w:tcPr>
            <w:tcW w:w="1844" w:type="dxa"/>
          </w:tcPr>
          <w:p>
            <w:pPr>
              <w:pStyle w:val="Compact"/>
              <w:spacing w:after="40"/>
              <w:jc w:val="left"/>
            </w:pPr>
            <w:r>
              <w:rPr>
                <w:sz w:val="18"/>
              </w:rPr>
              <w:t xml:space="preserve">Per the partner’s regulated remuneration</w:t>
            </w:r>
          </w:p>
        </w:tc>
        <w:tc>
          <w:tcPr>
            <w:tcW w:w="2794" w:type="dxa"/>
          </w:tcPr>
          <w:p>
            <w:pPr>
              <w:pStyle w:val="Compact"/>
              <w:spacing w:after="40"/>
              <w:jc w:val="left"/>
            </w:pPr>
            <w:r>
              <w:rPr>
                <w:sz w:val="18"/>
              </w:rPr>
              <w:t xml:space="preserve">Part 7F XP3 feasibility and licence gates</w:t>
            </w:r>
          </w:p>
        </w:tc>
        <w:tc>
          <w:tcPr>
            <w:tcW w:w="1082" w:type="dxa"/>
          </w:tcPr>
          <w:p>
            <w:pPr>
              <w:pStyle w:val="Compact"/>
              <w:spacing w:after="40"/>
              <w:jc w:val="left"/>
            </w:pPr>
            <w:r>
              <w:rPr>
                <w:sz w:val="18"/>
              </w:rPr>
              <w:t xml:space="preserve">PROPOSED</w:t>
            </w:r>
          </w:p>
        </w:tc>
      </w:tr>
    </w:tbl>
    <w:p>
      <w:pPr>
        <w:pStyle w:val="BodyText"/>
      </w:pPr>
      <w:r>
        <w:rPr>
          <w:bCs/>
          <w:b/>
        </w:rPr>
        <w:t xml:space="preserve">Prohibited streams (hard-coded deny list; cannot be created in OH or Udofin):</w:t>
      </w:r>
    </w:p>
    <w:p>
      <w:pPr>
        <w:numPr>
          <w:ilvl w:val="0"/>
          <w:numId w:val="1202"/>
        </w:numPr>
        <w:pStyle w:val="Compact"/>
      </w:pPr>
      <w:r>
        <w:t xml:space="preserve">any borrower charge for loan processing, faster approval,</w:t>
      </w:r>
      <w:r>
        <w:t xml:space="preserve"> </w:t>
      </w:r>
      <w:r>
        <w:t xml:space="preserve">“</w:t>
      </w:r>
      <w:r>
        <w:t xml:space="preserve">priority</w:t>
      </w:r>
      <w:r>
        <w:t xml:space="preserve">”</w:t>
      </w:r>
      <w:r>
        <w:t xml:space="preserve">, better offers, loan-linked</w:t>
      </w:r>
      <w:r>
        <w:t xml:space="preserve"> </w:t>
      </w:r>
      <w:r>
        <w:t xml:space="preserve">“</w:t>
      </w:r>
      <w:r>
        <w:t xml:space="preserve">membership</w:t>
      </w:r>
      <w:r>
        <w:t xml:space="preserve">”</w:t>
      </w:r>
      <w:r>
        <w:t xml:space="preserve">, document handling, mandate set-up or payment (CF para 10(4); EMD para 10(a) for mandate charges);</w:t>
      </w:r>
    </w:p>
    <w:p>
      <w:pPr>
        <w:numPr>
          <w:ilvl w:val="0"/>
          <w:numId w:val="1202"/>
        </w:numPr>
        <w:pStyle w:val="Compact"/>
      </w:pPr>
      <w:r>
        <w:t xml:space="preserve">any deduction from a disbursal or from recovery proceeds (CF para 10(1), 10(5));</w:t>
      </w:r>
    </w:p>
    <w:p>
      <w:pPr>
        <w:numPr>
          <w:ilvl w:val="0"/>
          <w:numId w:val="1202"/>
        </w:numPr>
        <w:pStyle w:val="Compact"/>
      </w:pPr>
      <w:r>
        <w:t xml:space="preserve">interest spread, lending income or any share of the borrower’s interest (Udofin is not a lender; Part 4.1);</w:t>
      </w:r>
    </w:p>
    <w:p>
      <w:pPr>
        <w:numPr>
          <w:ilvl w:val="0"/>
          <w:numId w:val="1202"/>
        </w:numPr>
        <w:pStyle w:val="Compact"/>
      </w:pPr>
      <w:r>
        <w:t xml:space="preserve">sponsored ranking, paid placement or lender-paid prominence in the offer view (CF para 7(4));</w:t>
      </w:r>
    </w:p>
    <w:p>
      <w:pPr>
        <w:numPr>
          <w:ilvl w:val="0"/>
          <w:numId w:val="1202"/>
        </w:numPr>
        <w:pStyle w:val="Compact"/>
      </w:pPr>
      <w:r>
        <w:t xml:space="preserve">sale or licensing of personal data, credit reports or derived scores to anyone (CF paras 13(4), 14(1); CICRA; DPDP);</w:t>
      </w:r>
    </w:p>
    <w:p>
      <w:pPr>
        <w:numPr>
          <w:ilvl w:val="0"/>
          <w:numId w:val="1202"/>
        </w:numPr>
        <w:pStyle w:val="Compact"/>
      </w:pPr>
      <w:r>
        <w:t xml:space="preserve">referral commissions for deposits of any kind with credit co-operative societies (Part 7E);</w:t>
      </w:r>
    </w:p>
    <w:p>
      <w:pPr>
        <w:numPr>
          <w:ilvl w:val="0"/>
          <w:numId w:val="1202"/>
        </w:numPr>
        <w:pStyle w:val="Compact"/>
      </w:pPr>
      <w:r>
        <w:t xml:space="preserve">commissions for insurance or other regulated distribution without Udofin’s own registration (Part 7F);</w:t>
      </w:r>
    </w:p>
    <w:p>
      <w:pPr>
        <w:numPr>
          <w:ilvl w:val="0"/>
          <w:numId w:val="1202"/>
        </w:numPr>
        <w:pStyle w:val="Compact"/>
      </w:pPr>
      <w:r>
        <w:t xml:space="preserve">referral fees from or to advocates or other professionals (BCI Rules, Part VI, Ch II, Rules 36–37 [VERIFY rule numbers]).</w:t>
      </w:r>
    </w:p>
    <w:bookmarkEnd w:id="333"/>
    <w:bookmarkStart w:id="334" w:name="rv1.2-switchable-pricing-models"/>
    <w:p>
      <w:pPr>
        <w:pStyle w:val="Heading3"/>
      </w:pPr>
      <w:r>
        <w:t xml:space="preserve">RV1.2 Switchable pricing models</w:t>
      </w:r>
    </w:p>
    <w:p>
      <w:pPr>
        <w:numPr>
          <w:ilvl w:val="0"/>
          <w:numId w:val="1203"/>
        </w:numPr>
        <w:pStyle w:val="Compact"/>
      </w:pPr>
      <w:r>
        <w:rPr>
          <w:bCs/>
          <w:b/>
        </w:rPr>
        <w:t xml:space="preserve">Models:</w:t>
      </w:r>
      <w:r>
        <w:t xml:space="preserve"> </w:t>
      </w:r>
      <w:r>
        <w:rPr>
          <w:rStyle w:val="VerbatimChar"/>
        </w:rPr>
        <w:t xml:space="preserve">ONE_TIME</w:t>
      </w:r>
      <w:r>
        <w:t xml:space="preserve">,</w:t>
      </w:r>
      <w:r>
        <w:t xml:space="preserve"> </w:t>
      </w:r>
      <w:r>
        <w:rPr>
          <w:rStyle w:val="VerbatimChar"/>
        </w:rPr>
        <w:t xml:space="preserve">SUBSCRIPTION</w:t>
      </w:r>
      <w:r>
        <w:t xml:space="preserve"> </w:t>
      </w:r>
      <w:r>
        <w:t xml:space="preserve">(monthly, quarterly, annual),</w:t>
      </w:r>
      <w:r>
        <w:t xml:space="preserve"> </w:t>
      </w:r>
      <w:r>
        <w:rPr>
          <w:rStyle w:val="VerbatimChar"/>
        </w:rPr>
        <w:t xml:space="preserve">MONTHLY_RENTAL</w:t>
      </w:r>
      <w:r>
        <w:t xml:space="preserve">,</w:t>
      </w:r>
      <w:r>
        <w:t xml:space="preserve"> </w:t>
      </w:r>
      <w:r>
        <w:rPr>
          <w:rStyle w:val="VerbatimChar"/>
        </w:rPr>
        <w:t xml:space="preserve">PAY_AS_YOU_GO</w:t>
      </w:r>
      <w:r>
        <w:t xml:space="preserve"> </w:t>
      </w:r>
      <w:r>
        <w:t xml:space="preserve">(metered),</w:t>
      </w:r>
      <w:r>
        <w:t xml:space="preserve"> </w:t>
      </w:r>
      <w:r>
        <w:rPr>
          <w:rStyle w:val="VerbatimChar"/>
        </w:rPr>
        <w:t xml:space="preserve">TIERED</w:t>
      </w:r>
      <w:r>
        <w:t xml:space="preserve"> </w:t>
      </w:r>
      <w:r>
        <w:t xml:space="preserve">(volume bands),</w:t>
      </w:r>
      <w:r>
        <w:t xml:space="preserve"> </w:t>
      </w:r>
      <w:r>
        <w:rPr>
          <w:rStyle w:val="VerbatimChar"/>
        </w:rPr>
        <w:t xml:space="preserve">FREEMIUM</w:t>
      </w:r>
      <w:r>
        <w:t xml:space="preserve">,</w:t>
      </w:r>
      <w:r>
        <w:t xml:space="preserve"> </w:t>
      </w:r>
      <w:r>
        <w:rPr>
          <w:rStyle w:val="VerbatimChar"/>
        </w:rPr>
        <w:t xml:space="preserve">ADVERTISING</w:t>
      </w:r>
      <w:r>
        <w:t xml:space="preserve">,</w:t>
      </w:r>
      <w:r>
        <w:t xml:space="preserve"> </w:t>
      </w:r>
      <w:r>
        <w:rPr>
          <w:rStyle w:val="VerbatimChar"/>
        </w:rPr>
        <w:t xml:space="preserve">COMMISSION</w:t>
      </w:r>
      <w:r>
        <w:t xml:space="preserve">.</w:t>
      </w:r>
    </w:p>
    <w:p>
      <w:pPr>
        <w:numPr>
          <w:ilvl w:val="0"/>
          <w:numId w:val="1203"/>
        </w:numPr>
        <w:pStyle w:val="Compact"/>
      </w:pPr>
      <w:r>
        <w:rPr>
          <w:bCs/>
          <w:b/>
        </w:rPr>
        <w:t xml:space="preserve">Per RE deal:</w:t>
      </w:r>
      <w:r>
        <w:t xml:space="preserve"> </w:t>
      </w:r>
      <w:r>
        <w:t xml:space="preserve">the deal configurator (Part 7B UP2) picks one or more allowed models per stream with effective dates; a switch creates a new deal version (maker-checker on both sides) and is sent to OH8 through the catalogue API; OH8 prorates and publishes</w:t>
      </w:r>
      <w:r>
        <w:t xml:space="preserve"> </w:t>
      </w:r>
      <w:r>
        <w:rPr>
          <w:rStyle w:val="VerbatimChar"/>
        </w:rPr>
        <w:t xml:space="preserve">PlanChanged</w:t>
      </w:r>
      <w:r>
        <w:t xml:space="preserve"> </w:t>
      </w:r>
      <w:r>
        <w:t xml:space="preserve">(with the proration reference) and the signed</w:t>
      </w:r>
      <w:r>
        <w:t xml:space="preserve"> </w:t>
      </w:r>
      <w:r>
        <w:rPr>
          <w:rStyle w:val="VerbatimChar"/>
        </w:rPr>
        <w:t xml:space="preserve">EntitlementChanged</w:t>
      </w:r>
      <w:r>
        <w:t xml:space="preserve">, which Udofin consumes and verifies against the pinned Hub key before changing any entitlement (RV2.5).</w:t>
      </w:r>
    </w:p>
    <w:p>
      <w:pPr>
        <w:numPr>
          <w:ilvl w:val="0"/>
          <w:numId w:val="1203"/>
        </w:numPr>
        <w:pStyle w:val="Compact"/>
      </w:pPr>
      <w:r>
        <w:rPr>
          <w:bCs/>
          <w:b/>
        </w:rPr>
        <w:t xml:space="preserve">Per borrower plan:</w:t>
      </w:r>
      <w:r>
        <w:t xml:space="preserve"> </w:t>
      </w:r>
      <w:r>
        <w:t xml:space="preserve">only</w:t>
      </w:r>
      <w:r>
        <w:t xml:space="preserve"> </w:t>
      </w:r>
      <w:r>
        <w:rPr>
          <w:rStyle w:val="VerbatimChar"/>
        </w:rPr>
        <w:t xml:space="preserve">FREEMIUM</w:t>
      </w:r>
      <w:r>
        <w:t xml:space="preserve"> </w:t>
      </w:r>
      <w:r>
        <w:t xml:space="preserve">and</w:t>
      </w:r>
      <w:r>
        <w:t xml:space="preserve"> </w:t>
      </w:r>
      <w:r>
        <w:rPr>
          <w:rStyle w:val="VerbatimChar"/>
        </w:rPr>
        <w:t xml:space="preserve">SUBSCRIPTION</w:t>
      </w:r>
      <w:r>
        <w:t xml:space="preserve"> </w:t>
      </w:r>
      <w:r>
        <w:t xml:space="preserve">for S09, and only once S09 is</w:t>
      </w:r>
      <w:r>
        <w:t xml:space="preserve"> </w:t>
      </w:r>
      <w:r>
        <w:rPr>
          <w:rStyle w:val="VerbatimChar"/>
        </w:rPr>
        <w:t xml:space="preserve">ACTIVE</w:t>
      </w:r>
      <w:r>
        <w:t xml:space="preserve">.</w:t>
      </w:r>
    </w:p>
    <w:p>
      <w:pPr>
        <w:numPr>
          <w:ilvl w:val="0"/>
          <w:numId w:val="1203"/>
        </w:numPr>
        <w:pStyle w:val="Compact"/>
      </w:pPr>
      <w:r>
        <w:rPr>
          <w:bCs/>
          <w:b/>
        </w:rPr>
        <w:t xml:space="preserve">Meters Udofin records:</w:t>
      </w:r>
      <w:r>
        <w:t xml:space="preserve"> </w:t>
      </w:r>
      <w:r>
        <w:t xml:space="preserve">applications submitted per RE, loans sourced (on the RE’s</w:t>
      </w:r>
      <w:r>
        <w:t xml:space="preserve"> </w:t>
      </w:r>
      <w:r>
        <w:rPr>
          <w:rStyle w:val="VerbatimChar"/>
        </w:rPr>
        <w:t xml:space="preserve">LoanDisbursed</w:t>
      </w:r>
      <w:r>
        <w:t xml:space="preserve">), active serviced loans per month, verification and eSign calls, messages sent, connector calls, module seats. Internal meter events are idempotent per source event and reconciled monthly with the RE’s</w:t>
      </w:r>
      <w:r>
        <w:t xml:space="preserve"> </w:t>
      </w:r>
      <w:r>
        <w:rPr>
          <w:rStyle w:val="VerbatimChar"/>
        </w:rPr>
        <w:t xml:space="preserve">DailyReconciliationFile</w:t>
      </w:r>
      <w:r>
        <w:t xml:space="preserve">; OH receives only the closed monthly statement as</w:t>
      </w:r>
      <w:r>
        <w:t xml:space="preserve"> </w:t>
      </w:r>
      <w:r>
        <w:rPr>
          <w:rStyle w:val="VerbatimChar"/>
        </w:rPr>
        <w:t xml:space="preserve">UsageRecorded</w:t>
      </w:r>
      <w:r>
        <w:t xml:space="preserve"> </w:t>
      </w:r>
      <w:r>
        <w:t xml:space="preserve">(</w:t>
      </w:r>
      <w:r>
        <w:rPr>
          <w:rStyle w:val="VerbatimChar"/>
        </w:rPr>
        <w:t xml:space="preserve">meter_kind = USAGE</w:t>
      </w:r>
      <w:r>
        <w:t xml:space="preserve">; daily provisional, final by working day 3), with totals per RE and meter and never a loan, borrower, member, user or record ID (Integration Spec 6.27).</w:t>
      </w:r>
    </w:p>
    <w:bookmarkEnd w:id="334"/>
    <w:bookmarkStart w:id="335" w:name="rv1.3-legality-gate"/>
    <w:p>
      <w:pPr>
        <w:pStyle w:val="Heading3"/>
      </w:pPr>
      <w:r>
        <w:t xml:space="preserve">RV1.3 Legality gate</w:t>
      </w:r>
    </w:p>
    <w:p>
      <w:pPr>
        <w:numPr>
          <w:ilvl w:val="0"/>
          <w:numId w:val="1204"/>
        </w:numPr>
        <w:pStyle w:val="Compact"/>
      </w:pPr>
      <w:r>
        <w:rPr>
          <w:bCs/>
          <w:b/>
        </w:rPr>
        <w:t xml:space="preserve">States:</w:t>
      </w:r>
      <w:r>
        <w:t xml:space="preserve"> </w:t>
      </w:r>
      <w:r>
        <w:rPr>
          <w:rStyle w:val="VerbatimChar"/>
        </w:rPr>
        <w:t xml:space="preserve">DRAFT → LEGAL_REVIEW → OWNER_DECISION → APPROVED → ACTIVE → {SUSPENDED, RETIRED}</w:t>
      </w:r>
      <w:r>
        <w:t xml:space="preserve">;</w:t>
      </w:r>
      <w:r>
        <w:t xml:space="preserve"> </w:t>
      </w:r>
      <w:r>
        <w:rPr>
          <w:rStyle w:val="VerbatimChar"/>
        </w:rPr>
        <w:t xml:space="preserve">LICENCE_PENDING</w:t>
      </w:r>
      <w:r>
        <w:t xml:space="preserve"> </w:t>
      </w:r>
      <w:r>
        <w:t xml:space="preserve">and</w:t>
      </w:r>
      <w:r>
        <w:t xml:space="preserve"> </w:t>
      </w:r>
      <w:r>
        <w:rPr>
          <w:rStyle w:val="VerbatimChar"/>
        </w:rPr>
        <w:t xml:space="preserve">PROPOSED</w:t>
      </w:r>
      <w:r>
        <w:t xml:space="preserve"> </w:t>
      </w:r>
      <w:r>
        <w:t xml:space="preserve">for streams that wait on a licence or feasibility note.</w:t>
      </w:r>
    </w:p>
    <w:p>
      <w:pPr>
        <w:numPr>
          <w:ilvl w:val="0"/>
          <w:numId w:val="1204"/>
        </w:numPr>
        <w:pStyle w:val="Compact"/>
      </w:pPr>
      <w:r>
        <w:rPr>
          <w:bCs/>
          <w:b/>
        </w:rPr>
        <w:t xml:space="preserve">Required to reach</w:t>
      </w:r>
      <w:r>
        <w:rPr>
          <w:bCs/>
          <w:b/>
        </w:rPr>
        <w:t xml:space="preserve"> </w:t>
      </w:r>
      <w:r>
        <w:rPr>
          <w:rStyle w:val="VerbatimChar"/>
          <w:bCs/>
          <w:b/>
        </w:rPr>
        <w:t xml:space="preserve">APPROVED</w:t>
      </w:r>
      <w:r>
        <w:rPr>
          <w:bCs/>
          <w:b/>
        </w:rPr>
        <w:t xml:space="preserve">:</w:t>
      </w:r>
      <w:r>
        <w:t xml:space="preserve"> </w:t>
      </w:r>
      <w:r>
        <w:t xml:space="preserve">payer; legal basis with citations; regulatory refs; a legal-opinion reference for any borrower-paid or regulated stream; an owner-decision reference for any borrower-paid stream (Appendix B); tax treatment (GST rate and SAC [VERIFY], TDS position under ITA25); revenue-recognition note for U17; refund and cancellation rules; disclosure text; entitlement behaviour; unit-economics model; conflict check (does it create an incentive to steer borrowers, push products or collect harshly? if yes, the mitigating control).</w:t>
      </w:r>
    </w:p>
    <w:p>
      <w:pPr>
        <w:numPr>
          <w:ilvl w:val="0"/>
          <w:numId w:val="1204"/>
        </w:numPr>
        <w:pStyle w:val="Compact"/>
      </w:pPr>
      <w:r>
        <w:rPr>
          <w:bCs/>
          <w:b/>
        </w:rPr>
        <w:t xml:space="preserve">Defence in depth:</w:t>
      </w:r>
      <w:r>
        <w:t xml:space="preserve"> </w:t>
      </w:r>
      <w:r>
        <w:t xml:space="preserve">Udofin refuses to activate an entitlement whose stream is not</w:t>
      </w:r>
      <w:r>
        <w:t xml:space="preserve"> </w:t>
      </w:r>
      <w:r>
        <w:rPr>
          <w:rStyle w:val="VerbatimChar"/>
        </w:rPr>
        <w:t xml:space="preserve">ACTIVE</w:t>
      </w:r>
      <w:r>
        <w:t xml:space="preserve"> </w:t>
      </w:r>
      <w:r>
        <w:t xml:space="preserve">in its own mirror, even if OH publishes it; a mismatch raises</w:t>
      </w:r>
      <w:r>
        <w:t xml:space="preserve"> </w:t>
      </w:r>
      <w:r>
        <w:rPr>
          <w:rStyle w:val="VerbatimChar"/>
        </w:rPr>
        <w:t xml:space="preserve">ComplianceIssueRaised</w:t>
      </w:r>
      <w:r>
        <w:t xml:space="preserve">.</w:t>
      </w:r>
    </w:p>
    <w:p>
      <w:pPr>
        <w:numPr>
          <w:ilvl w:val="0"/>
          <w:numId w:val="1204"/>
        </w:numPr>
        <w:pStyle w:val="Compact"/>
      </w:pPr>
      <w:r>
        <w:rPr>
          <w:bCs/>
          <w:b/>
        </w:rPr>
        <w:t xml:space="preserve">Review:</w:t>
      </w:r>
      <w:r>
        <w:t xml:space="preserve"> </w:t>
      </w:r>
      <w:r>
        <w:t xml:space="preserve">every</w:t>
      </w:r>
      <w:r>
        <w:t xml:space="preserve"> </w:t>
      </w:r>
      <w:r>
        <w:rPr>
          <w:rStyle w:val="VerbatimChar"/>
        </w:rPr>
        <w:t xml:space="preserve">ACTIVE</w:t>
      </w:r>
      <w:r>
        <w:t xml:space="preserve"> </w:t>
      </w:r>
      <w:r>
        <w:t xml:space="preserve">stream is re-reviewed annually and on any change in law; a change in CF, RBC, IRDAI or CCPA rules moves affected streams to</w:t>
      </w:r>
      <w:r>
        <w:t xml:space="preserve"> </w:t>
      </w:r>
      <w:r>
        <w:rPr>
          <w:rStyle w:val="VerbatimChar"/>
        </w:rPr>
        <w:t xml:space="preserve">LEGAL_REVIEW</w:t>
      </w:r>
      <w:r>
        <w:t xml:space="preserve"> </w:t>
      </w:r>
      <w:r>
        <w:t xml:space="preserve">until cleared.</w:t>
      </w:r>
    </w:p>
    <w:bookmarkEnd w:id="335"/>
    <w:bookmarkStart w:id="336" w:name="rv1.4-dlg-economics"/>
    <w:p>
      <w:pPr>
        <w:pStyle w:val="Heading3"/>
      </w:pPr>
      <w:r>
        <w:t xml:space="preserve">RV1.4 DLG economics</w:t>
      </w:r>
    </w:p>
    <w:p>
      <w:pPr>
        <w:numPr>
          <w:ilvl w:val="0"/>
          <w:numId w:val="1205"/>
        </w:numPr>
        <w:pStyle w:val="Compact"/>
      </w:pPr>
      <w:r>
        <w:rPr>
          <w:bCs/>
          <w:b/>
        </w:rPr>
        <w:t xml:space="preserve">Model per arrangement:</w:t>
      </w:r>
      <w:r>
        <w:t xml:space="preserve"> </w:t>
      </w:r>
      <w:r>
        <w:t xml:space="preserve">fee income (S06); expected loss = Σ(cover × PD × LGD) per DLG set using the RE’s reported performance; capital committed (cash, FD lien or BG margin); invocations; recoveries shared (CF para 25(3)); net margin.</w:t>
      </w:r>
    </w:p>
    <w:p>
      <w:pPr>
        <w:numPr>
          <w:ilvl w:val="0"/>
          <w:numId w:val="1205"/>
        </w:numPr>
        <w:pStyle w:val="Compact"/>
      </w:pPr>
      <w:r>
        <w:rPr>
          <w:bCs/>
          <w:b/>
        </w:rPr>
        <w:t xml:space="preserve">Cap monitoring:</w:t>
      </w:r>
      <w:r>
        <w:t xml:space="preserve"> </w:t>
      </w:r>
      <w:r>
        <w:t xml:space="preserve">cover ≤ 5% of the total amount disbursed out of each DLG set at all times (CF para 24(1)); the denominator is cumulative disbursal from the fixed set, so repayments do not reduce it, and invoked cover is never reinstated (CF para 25(4)); headroom shown to Udofin Finance and Risk (RA1.4); entry into a new or renewed arrangement requires the statutory auditor’s declaration (CF para 20(3)).</w:t>
      </w:r>
    </w:p>
    <w:p>
      <w:pPr>
        <w:numPr>
          <w:ilvl w:val="0"/>
          <w:numId w:val="1205"/>
        </w:numPr>
        <w:pStyle w:val="Compact"/>
      </w:pPr>
      <w:r>
        <w:rPr>
          <w:bCs/>
          <w:b/>
        </w:rPr>
        <w:t xml:space="preserve">Isolation:</w:t>
      </w:r>
      <w:r>
        <w:t xml:space="preserve"> </w:t>
      </w:r>
      <w:r>
        <w:t xml:space="preserve">DLG economics appear only in Udofin Finance, Risk and the Board pack; never in matching, ranking, routing, collections prioritisation or agent screens (Part 4.4).</w:t>
      </w:r>
    </w:p>
    <w:p>
      <w:pPr>
        <w:numPr>
          <w:ilvl w:val="0"/>
          <w:numId w:val="1205"/>
        </w:numPr>
        <w:pStyle w:val="Compact"/>
      </w:pPr>
      <w:r>
        <w:rPr>
          <w:bCs/>
          <w:b/>
        </w:rPr>
        <w:t xml:space="preserve">Accounting:</w:t>
      </w:r>
      <w:r>
        <w:t xml:space="preserve"> </w:t>
      </w:r>
      <w:r>
        <w:t xml:space="preserve">U17 (deposits, guarantees as contingent exposures, invocations, recoveries, fees).</w:t>
      </w:r>
    </w:p>
    <w:bookmarkEnd w:id="336"/>
    <w:bookmarkStart w:id="337" w:name="X4164d6021a2e9d82d74acc5d3162e6495f75998"/>
    <w:p>
      <w:pPr>
        <w:pStyle w:val="Heading3"/>
      </w:pPr>
      <w:r>
        <w:t xml:space="preserve">RV1.5 Self-serve and automation (what</w:t>
      </w:r>
      <w:r>
        <w:t xml:space="preserve"> </w:t>
      </w:r>
      <w:r>
        <w:t xml:space="preserve">“</w:t>
      </w:r>
      <w:r>
        <w:t xml:space="preserve">autopilot</w:t>
      </w:r>
      <w:r>
        <w:t xml:space="preserve">”</w:t>
      </w:r>
      <w:r>
        <w:t xml:space="preserve"> </w:t>
      </w:r>
      <w:r>
        <w:t xml:space="preserve">may mean)</w:t>
      </w:r>
    </w:p>
    <w:p>
      <w:pPr>
        <w:numPr>
          <w:ilvl w:val="0"/>
          <w:numId w:val="1206"/>
        </w:numPr>
        <w:pStyle w:val="Compact"/>
      </w:pPr>
      <w:r>
        <w:rPr>
          <w:bCs/>
          <w:b/>
        </w:rPr>
        <w:t xml:space="preserve">B2C:</w:t>
      </w:r>
      <w:r>
        <w:t xml:space="preserve"> </w:t>
      </w:r>
      <w:r>
        <w:t xml:space="preserve">self-serve sign-up, upgrade, downgrade and cancellation for S09 plans; automated receipts, renewal notices and dunning.</w:t>
      </w:r>
    </w:p>
    <w:p>
      <w:pPr>
        <w:numPr>
          <w:ilvl w:val="0"/>
          <w:numId w:val="1206"/>
        </w:numPr>
        <w:pStyle w:val="Compact"/>
      </w:pPr>
      <w:r>
        <w:rPr>
          <w:bCs/>
          <w:b/>
        </w:rPr>
        <w:t xml:space="preserve">B2B:</w:t>
      </w:r>
      <w:r>
        <w:t xml:space="preserve"> </w:t>
      </w:r>
      <w:r>
        <w:t xml:space="preserve">RE onboarding cannot be self-serve to production because each RE runs enhanced due diligence on Udofin (CF para 6(2)) and signs an LSP agreement (Part 7B UP1). Automate the legitimate parts: a public product and pricing-basis page, sandbox access on request, a document checklist, scheduled follow-ups through the OH CRM, webinars with disclosures, in-product activation guides.</w:t>
      </w:r>
    </w:p>
    <w:p>
      <w:pPr>
        <w:numPr>
          <w:ilvl w:val="0"/>
          <w:numId w:val="1206"/>
        </w:numPr>
        <w:pStyle w:val="Compact"/>
      </w:pPr>
      <w:r>
        <w:rPr>
          <w:bCs/>
          <w:b/>
        </w:rPr>
        <w:t xml:space="preserve">Never:</w:t>
      </w:r>
      <w:r>
        <w:t xml:space="preserve"> </w:t>
      </w:r>
      <w:r>
        <w:t xml:space="preserve">fake scarcity, countdown offers, inflated</w:t>
      </w:r>
      <w:r>
        <w:t xml:space="preserve"> </w:t>
      </w:r>
      <w:r>
        <w:t xml:space="preserve">“</w:t>
      </w:r>
      <w:r>
        <w:t xml:space="preserve">value</w:t>
      </w:r>
      <w:r>
        <w:t xml:space="preserve">”</w:t>
      </w:r>
      <w:r>
        <w:t xml:space="preserve"> </w:t>
      </w:r>
      <w:r>
        <w:t xml:space="preserve">figures, unverifiable testimonials or earnings claims in any funnel (CCPA; ASCI).</w:t>
      </w:r>
    </w:p>
    <w:bookmarkEnd w:id="337"/>
    <w:bookmarkStart w:id="338" w:name="rv1.6-revenue-analytics"/>
    <w:p>
      <w:pPr>
        <w:pStyle w:val="Heading3"/>
      </w:pPr>
      <w:r>
        <w:t xml:space="preserve">RV1.6 Revenue analytics</w:t>
      </w:r>
    </w:p>
    <w:p>
      <w:pPr>
        <w:pStyle w:val="FirstParagraph"/>
      </w:pPr>
      <w:r>
        <w:t xml:space="preserve">Revenue by stream, RE, product and channel; unit economics per application and per disbursed loan (Part 3.1); S09 conversion and churn; ad yield; DLG margin. Delivered to OH8 for the group revenue-model review as aggregates; no borrower-level data leaves Udofin for this purpose.</w:t>
      </w:r>
    </w:p>
    <w:bookmarkEnd w:id="338"/>
    <w:bookmarkStart w:id="339" w:name="settings-and-options-rv1"/>
    <w:p>
      <w:pPr>
        <w:pStyle w:val="Heading3"/>
      </w:pPr>
      <w:r>
        <w:t xml:space="preserve">Settings and options (RV1)</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10"/>
        <w:gridCol w:w="1813"/>
        <w:gridCol w:w="1923"/>
        <w:gridCol w:w="3392"/>
      </w:tblGrid>
      <w:tr>
        <w:trPr>
          <w:tblHeader w:val="true"/>
          <w:tblHeader w:val="true"/>
        </w:trPr>
        <w:tc>
          <w:tcPr>
            <w:tcW w:w="2510" w:type="dxa"/>
            <w:shd w:val="clear" w:color="auto" w:fill="1F3A5F"/>
          </w:tcPr>
          <w:p>
            <w:pPr>
              <w:pStyle w:val="Compact"/>
              <w:spacing w:after="40"/>
              <w:jc w:val="left"/>
            </w:pPr>
            <w:r>
              <w:rPr>
                <w:b/>
                <w:color w:val="FFFFFF"/>
                <w:sz w:val="18"/>
              </w:rPr>
              <w:t xml:space="preserve">Setting</w:t>
            </w:r>
          </w:p>
        </w:tc>
        <w:tc>
          <w:tcPr>
            <w:tcW w:w="1813" w:type="dxa"/>
            <w:shd w:val="clear" w:color="auto" w:fill="1F3A5F"/>
          </w:tcPr>
          <w:p>
            <w:pPr>
              <w:pStyle w:val="Compact"/>
              <w:spacing w:after="40"/>
              <w:jc w:val="left"/>
            </w:pPr>
            <w:r>
              <w:rPr>
                <w:b/>
                <w:color w:val="FFFFFF"/>
                <w:sz w:val="18"/>
              </w:rPr>
              <w:t xml:space="preserve">Level</w:t>
            </w:r>
          </w:p>
        </w:tc>
        <w:tc>
          <w:tcPr>
            <w:tcW w:w="1923" w:type="dxa"/>
            <w:shd w:val="clear" w:color="auto" w:fill="1F3A5F"/>
          </w:tcPr>
          <w:p>
            <w:pPr>
              <w:pStyle w:val="Compact"/>
              <w:spacing w:after="40"/>
              <w:jc w:val="left"/>
            </w:pPr>
            <w:r>
              <w:rPr>
                <w:b/>
                <w:color w:val="FFFFFF"/>
                <w:sz w:val="18"/>
              </w:rPr>
              <w:t xml:space="preserve">Default</w:t>
            </w:r>
          </w:p>
        </w:tc>
        <w:tc>
          <w:tcPr>
            <w:tcW w:w="3392" w:type="dxa"/>
            <w:shd w:val="clear" w:color="auto" w:fill="1F3A5F"/>
          </w:tcPr>
          <w:p>
            <w:pPr>
              <w:pStyle w:val="Compact"/>
              <w:spacing w:after="40"/>
              <w:jc w:val="left"/>
            </w:pPr>
            <w:r>
              <w:rPr>
                <w:b/>
                <w:color w:val="FFFFFF"/>
                <w:sz w:val="18"/>
              </w:rPr>
              <w:t xml:space="preserve">Nature</w:t>
            </w:r>
          </w:p>
        </w:tc>
      </w:tr>
      <w:tr>
        <w:tc>
          <w:tcPr>
            <w:tcW w:w="2510" w:type="dxa"/>
          </w:tcPr>
          <w:p>
            <w:pPr>
              <w:pStyle w:val="Compact"/>
              <w:spacing w:after="40"/>
              <w:jc w:val="left"/>
            </w:pPr>
            <w:r>
              <w:rPr>
                <w:sz w:val="18"/>
              </w:rPr>
              <w:t xml:space="preserve">Stream status S01–S13</w:t>
            </w:r>
          </w:p>
        </w:tc>
        <w:tc>
          <w:tcPr>
            <w:tcW w:w="1813" w:type="dxa"/>
          </w:tcPr>
          <w:p>
            <w:pPr>
              <w:pStyle w:val="Compact"/>
              <w:spacing w:after="40"/>
              <w:jc w:val="left"/>
            </w:pPr>
            <w:r>
              <w:rPr>
                <w:sz w:val="18"/>
              </w:rPr>
              <w:t xml:space="preserve">Platform (mirror of OH8)</w:t>
            </w:r>
          </w:p>
        </w:tc>
        <w:tc>
          <w:tcPr>
            <w:tcW w:w="1923" w:type="dxa"/>
          </w:tcPr>
          <w:p>
            <w:pPr>
              <w:pStyle w:val="Compact"/>
              <w:spacing w:after="40"/>
              <w:jc w:val="left"/>
            </w:pPr>
            <w:r>
              <w:rPr>
                <w:sz w:val="18"/>
              </w:rPr>
              <w:t xml:space="preserve">As in the RV1.1 table</w:t>
            </w:r>
          </w:p>
        </w:tc>
        <w:tc>
          <w:tcPr>
            <w:tcW w:w="3392" w:type="dxa"/>
          </w:tcPr>
          <w:p>
            <w:pPr>
              <w:pStyle w:val="Compact"/>
              <w:spacing w:after="40"/>
              <w:jc w:val="left"/>
            </w:pPr>
            <w:r>
              <w:rPr>
                <w:sz w:val="18"/>
              </w:rPr>
              <w:t xml:space="preserve">Changes only through the RV1.3 gate; Udofin may refuse an OH status, never exceed it</w:t>
            </w:r>
          </w:p>
        </w:tc>
      </w:tr>
      <w:tr>
        <w:tc>
          <w:tcPr>
            <w:tcW w:w="2510" w:type="dxa"/>
          </w:tcPr>
          <w:p>
            <w:pPr>
              <w:pStyle w:val="Compact"/>
              <w:spacing w:after="40"/>
              <w:jc w:val="left"/>
            </w:pPr>
            <w:r>
              <w:rPr>
                <w:sz w:val="18"/>
              </w:rPr>
              <w:t xml:space="preserve">Prohibited-stream deny list</w:t>
            </w:r>
          </w:p>
        </w:tc>
        <w:tc>
          <w:tcPr>
            <w:tcW w:w="1813" w:type="dxa"/>
          </w:tcPr>
          <w:p>
            <w:pPr>
              <w:pStyle w:val="Compact"/>
              <w:spacing w:after="40"/>
              <w:jc w:val="left"/>
            </w:pPr>
            <w:r>
              <w:rPr>
                <w:sz w:val="18"/>
              </w:rPr>
              <w:t xml:space="preserve">Platform</w:t>
            </w:r>
          </w:p>
        </w:tc>
        <w:tc>
          <w:tcPr>
            <w:tcW w:w="1923" w:type="dxa"/>
          </w:tcPr>
          <w:p>
            <w:pPr>
              <w:pStyle w:val="Compact"/>
              <w:spacing w:after="40"/>
              <w:jc w:val="left"/>
            </w:pPr>
            <w:r>
              <w:rPr>
                <w:sz w:val="18"/>
              </w:rPr>
              <w:t xml:space="preserve">RV1.1 list</w:t>
            </w:r>
          </w:p>
        </w:tc>
        <w:tc>
          <w:tcPr>
            <w:tcW w:w="3392" w:type="dxa"/>
          </w:tcPr>
          <w:p>
            <w:pPr>
              <w:pStyle w:val="Compact"/>
              <w:spacing w:after="40"/>
              <w:jc w:val="left"/>
            </w:pPr>
            <w:r>
              <w:rPr>
                <w:sz w:val="18"/>
              </w:rPr>
              <w:t xml:space="preserve">Hard-coded; not configurable</w:t>
            </w:r>
          </w:p>
        </w:tc>
      </w:tr>
      <w:tr>
        <w:tc>
          <w:tcPr>
            <w:tcW w:w="2510" w:type="dxa"/>
          </w:tcPr>
          <w:p>
            <w:pPr>
              <w:pStyle w:val="Compact"/>
              <w:spacing w:after="40"/>
              <w:jc w:val="left"/>
            </w:pPr>
            <w:r>
              <w:rPr>
                <w:sz w:val="18"/>
              </w:rPr>
              <w:t xml:space="preserve">Pricing models per stream and deal</w:t>
            </w:r>
          </w:p>
        </w:tc>
        <w:tc>
          <w:tcPr>
            <w:tcW w:w="1813" w:type="dxa"/>
          </w:tcPr>
          <w:p>
            <w:pPr>
              <w:pStyle w:val="Compact"/>
              <w:spacing w:after="40"/>
              <w:jc w:val="left"/>
            </w:pPr>
            <w:r>
              <w:rPr>
                <w:sz w:val="18"/>
              </w:rPr>
              <w:t xml:space="preserve">RE deal (UP2)</w:t>
            </w:r>
          </w:p>
        </w:tc>
        <w:tc>
          <w:tcPr>
            <w:tcW w:w="1923" w:type="dxa"/>
          </w:tcPr>
          <w:p>
            <w:pPr>
              <w:pStyle w:val="Compact"/>
              <w:spacing w:after="40"/>
              <w:jc w:val="left"/>
            </w:pPr>
            <w:r>
              <w:rPr>
                <w:sz w:val="18"/>
              </w:rPr>
              <w:t xml:space="preserve">Per-unit sourcing fee</w:t>
            </w:r>
          </w:p>
        </w:tc>
        <w:tc>
          <w:tcPr>
            <w:tcW w:w="3392" w:type="dxa"/>
          </w:tcPr>
          <w:p>
            <w:pPr>
              <w:pStyle w:val="Compact"/>
              <w:spacing w:after="40"/>
              <w:jc w:val="left"/>
            </w:pPr>
            <w:r>
              <w:rPr>
                <w:sz w:val="18"/>
              </w:rPr>
              <w:t xml:space="preserve">Commercial choice within the allowed models</w:t>
            </w:r>
          </w:p>
        </w:tc>
      </w:tr>
      <w:tr>
        <w:tc>
          <w:tcPr>
            <w:tcW w:w="2510" w:type="dxa"/>
          </w:tcPr>
          <w:p>
            <w:pPr>
              <w:pStyle w:val="Compact"/>
              <w:spacing w:after="40"/>
              <w:jc w:val="left"/>
            </w:pPr>
            <w:r>
              <w:rPr>
                <w:sz w:val="18"/>
              </w:rPr>
              <w:t xml:space="preserve">Meter definitions and reconciliation tolerance</w:t>
            </w:r>
          </w:p>
        </w:tc>
        <w:tc>
          <w:tcPr>
            <w:tcW w:w="1813" w:type="dxa"/>
          </w:tcPr>
          <w:p>
            <w:pPr>
              <w:pStyle w:val="Compact"/>
              <w:spacing w:after="40"/>
              <w:jc w:val="left"/>
            </w:pPr>
            <w:r>
              <w:rPr>
                <w:sz w:val="18"/>
              </w:rPr>
              <w:t xml:space="preserve">Platform</w:t>
            </w:r>
          </w:p>
        </w:tc>
        <w:tc>
          <w:tcPr>
            <w:tcW w:w="1923" w:type="dxa"/>
          </w:tcPr>
          <w:p>
            <w:pPr>
              <w:pStyle w:val="Compact"/>
              <w:spacing w:after="40"/>
              <w:jc w:val="left"/>
            </w:pPr>
            <w:r>
              <w:rPr>
                <w:sz w:val="18"/>
              </w:rPr>
              <w:t xml:space="preserve">Zero unexplained difference</w:t>
            </w:r>
          </w:p>
        </w:tc>
        <w:tc>
          <w:tcPr>
            <w:tcW w:w="3392" w:type="dxa"/>
          </w:tcPr>
          <w:p>
            <w:pPr>
              <w:pStyle w:val="Compact"/>
              <w:spacing w:after="40"/>
              <w:jc w:val="left"/>
            </w:pPr>
            <w:r>
              <w:rPr>
                <w:sz w:val="18"/>
              </w:rPr>
              <w:t xml:space="preserve">Floor</w:t>
            </w:r>
          </w:p>
        </w:tc>
      </w:tr>
      <w:tr>
        <w:tc>
          <w:tcPr>
            <w:tcW w:w="2510" w:type="dxa"/>
          </w:tcPr>
          <w:p>
            <w:pPr>
              <w:pStyle w:val="Compact"/>
              <w:spacing w:after="40"/>
              <w:jc w:val="left"/>
            </w:pPr>
            <w:r>
              <w:rPr>
                <w:sz w:val="18"/>
              </w:rPr>
              <w:t xml:space="preserve">Annual stream re-review date</w:t>
            </w:r>
          </w:p>
        </w:tc>
        <w:tc>
          <w:tcPr>
            <w:tcW w:w="1813" w:type="dxa"/>
          </w:tcPr>
          <w:p>
            <w:pPr>
              <w:pStyle w:val="Compact"/>
              <w:spacing w:after="40"/>
              <w:jc w:val="left"/>
            </w:pPr>
            <w:r>
              <w:rPr>
                <w:sz w:val="18"/>
              </w:rPr>
              <w:t xml:space="preserve">Platform, per stream</w:t>
            </w:r>
          </w:p>
        </w:tc>
        <w:tc>
          <w:tcPr>
            <w:tcW w:w="1923" w:type="dxa"/>
          </w:tcPr>
          <w:p>
            <w:pPr>
              <w:pStyle w:val="Compact"/>
              <w:spacing w:after="40"/>
              <w:jc w:val="left"/>
            </w:pPr>
            <w:r>
              <w:rPr>
                <w:sz w:val="18"/>
              </w:rPr>
              <w:t xml:space="preserve">12 months after approval</w:t>
            </w:r>
          </w:p>
        </w:tc>
        <w:tc>
          <w:tcPr>
            <w:tcW w:w="3392" w:type="dxa"/>
          </w:tcPr>
          <w:p>
            <w:pPr>
              <w:pStyle w:val="Compact"/>
              <w:spacing w:after="40"/>
              <w:jc w:val="left"/>
            </w:pPr>
            <w:r>
              <w:rPr>
                <w:sz w:val="18"/>
              </w:rPr>
              <w:t xml:space="preserve">Floor; a change in law triggers an earlier review</w:t>
            </w:r>
          </w:p>
        </w:tc>
      </w:tr>
      <w:tr>
        <w:tc>
          <w:tcPr>
            <w:tcW w:w="2510" w:type="dxa"/>
          </w:tcPr>
          <w:p>
            <w:pPr>
              <w:pStyle w:val="Compact"/>
              <w:spacing w:after="40"/>
              <w:jc w:val="left"/>
            </w:pPr>
            <w:r>
              <w:rPr>
                <w:sz w:val="18"/>
              </w:rPr>
              <w:t xml:space="preserve">DLG headroom alert</w:t>
            </w:r>
          </w:p>
        </w:tc>
        <w:tc>
          <w:tcPr>
            <w:tcW w:w="1813" w:type="dxa"/>
          </w:tcPr>
          <w:p>
            <w:pPr>
              <w:pStyle w:val="Compact"/>
              <w:spacing w:after="40"/>
              <w:jc w:val="left"/>
            </w:pPr>
            <w:r>
              <w:rPr>
                <w:sz w:val="18"/>
              </w:rPr>
              <w:t xml:space="preserve">Platform, per DLG set</w:t>
            </w:r>
          </w:p>
        </w:tc>
        <w:tc>
          <w:tcPr>
            <w:tcW w:w="1923" w:type="dxa"/>
          </w:tcPr>
          <w:p>
            <w:pPr>
              <w:pStyle w:val="Compact"/>
              <w:spacing w:after="40"/>
              <w:jc w:val="left"/>
            </w:pPr>
            <w:r>
              <w:rPr>
                <w:sz w:val="18"/>
              </w:rPr>
              <w:t xml:space="preserve">Amber at 4.5%</w:t>
            </w:r>
          </w:p>
        </w:tc>
        <w:tc>
          <w:tcPr>
            <w:tcW w:w="3392" w:type="dxa"/>
          </w:tcPr>
          <w:p>
            <w:pPr>
              <w:pStyle w:val="Compact"/>
              <w:spacing w:after="40"/>
              <w:jc w:val="left"/>
            </w:pPr>
            <w:r>
              <w:rPr>
                <w:sz w:val="18"/>
              </w:rPr>
              <w:t xml:space="preserve">May be tightened per deal</w:t>
            </w:r>
          </w:p>
        </w:tc>
      </w:tr>
    </w:tbl>
    <w:bookmarkEnd w:id="339"/>
    <w:bookmarkStart w:id="340" w:name="X2fdd84593a996334dd7eb333b055291fc95a26f"/>
    <w:p>
      <w:pPr>
        <w:pStyle w:val="Heading3"/>
      </w:pPr>
      <w:r>
        <w:t xml:space="preserve">Menu and screens (operations portal, channel C)</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65"/>
        <w:gridCol w:w="5050"/>
        <w:gridCol w:w="2823"/>
      </w:tblGrid>
      <w:tr>
        <w:trPr>
          <w:tblHeader w:val="true"/>
          <w:tblHeader w:val="true"/>
        </w:trPr>
        <w:tc>
          <w:tcPr>
            <w:tcW w:w="1765" w:type="dxa"/>
            <w:shd w:val="clear" w:color="auto" w:fill="1F3A5F"/>
          </w:tcPr>
          <w:p>
            <w:pPr>
              <w:pStyle w:val="Compact"/>
              <w:spacing w:after="40"/>
              <w:jc w:val="left"/>
            </w:pPr>
            <w:r>
              <w:rPr>
                <w:b/>
                <w:color w:val="FFFFFF"/>
                <w:sz w:val="18"/>
              </w:rPr>
              <w:t xml:space="preserve">Path</w:t>
            </w:r>
          </w:p>
        </w:tc>
        <w:tc>
          <w:tcPr>
            <w:tcW w:w="5050" w:type="dxa"/>
            <w:shd w:val="clear" w:color="auto" w:fill="1F3A5F"/>
          </w:tcPr>
          <w:p>
            <w:pPr>
              <w:pStyle w:val="Compact"/>
              <w:spacing w:after="40"/>
              <w:jc w:val="left"/>
            </w:pPr>
            <w:r>
              <w:rPr>
                <w:b/>
                <w:color w:val="FFFFFF"/>
                <w:sz w:val="18"/>
              </w:rPr>
              <w:t xml:space="preserve">Main screens and key actions</w:t>
            </w:r>
          </w:p>
        </w:tc>
        <w:tc>
          <w:tcPr>
            <w:tcW w:w="2823" w:type="dxa"/>
            <w:shd w:val="clear" w:color="auto" w:fill="1F3A5F"/>
          </w:tcPr>
          <w:p>
            <w:pPr>
              <w:pStyle w:val="Compact"/>
              <w:spacing w:after="40"/>
              <w:jc w:val="left"/>
            </w:pPr>
            <w:r>
              <w:rPr>
                <w:b/>
                <w:color w:val="FFFFFF"/>
                <w:sz w:val="18"/>
              </w:rPr>
              <w:t xml:space="preserve">Roles</w:t>
            </w:r>
          </w:p>
        </w:tc>
      </w:tr>
      <w:tr>
        <w:tc>
          <w:tcPr>
            <w:tcW w:w="1765" w:type="dxa"/>
          </w:tcPr>
          <w:p>
            <w:pPr>
              <w:pStyle w:val="Compact"/>
              <w:spacing w:after="40"/>
              <w:jc w:val="left"/>
            </w:pPr>
            <w:r>
              <w:rPr>
                <w:rStyle w:val="VerbatimChar"/>
                <w:sz w:val="18"/>
              </w:rPr>
              <w:t xml:space="preserve">Finance › Revenue streams</w:t>
            </w:r>
          </w:p>
        </w:tc>
        <w:tc>
          <w:tcPr>
            <w:tcW w:w="5050" w:type="dxa"/>
          </w:tcPr>
          <w:p>
            <w:pPr>
              <w:pStyle w:val="Compact"/>
              <w:spacing w:after="40"/>
              <w:jc w:val="left"/>
            </w:pPr>
            <w:r>
              <w:rPr>
                <w:sz w:val="18"/>
              </w:rPr>
              <w:t xml:space="preserve">Stream list with gate state and next review; stream detail with legal basis, opinion and owner-decision references, tax treatment, conflict check; gate actions with maker-checker; mismatch alerts against the OH8 catalogue</w:t>
            </w:r>
          </w:p>
        </w:tc>
        <w:tc>
          <w:tcPr>
            <w:tcW w:w="2823" w:type="dxa"/>
          </w:tcPr>
          <w:p>
            <w:pPr>
              <w:pStyle w:val="Compact"/>
              <w:spacing w:after="40"/>
              <w:jc w:val="left"/>
            </w:pPr>
            <w:r>
              <w:rPr>
                <w:sz w:val="18"/>
              </w:rPr>
              <w:t xml:space="preserve">Finance (maker), Legal and Compliance (checker)</w:t>
            </w:r>
          </w:p>
        </w:tc>
      </w:tr>
      <w:tr>
        <w:tc>
          <w:tcPr>
            <w:tcW w:w="1765" w:type="dxa"/>
          </w:tcPr>
          <w:p>
            <w:pPr>
              <w:pStyle w:val="Compact"/>
              <w:spacing w:after="40"/>
              <w:jc w:val="left"/>
            </w:pPr>
            <w:r>
              <w:rPr>
                <w:rStyle w:val="VerbatimChar"/>
                <w:sz w:val="18"/>
              </w:rPr>
              <w:t xml:space="preserve">Finance › Meters</w:t>
            </w:r>
          </w:p>
        </w:tc>
        <w:tc>
          <w:tcPr>
            <w:tcW w:w="5050" w:type="dxa"/>
          </w:tcPr>
          <w:p>
            <w:pPr>
              <w:pStyle w:val="Compact"/>
              <w:spacing w:after="40"/>
              <w:jc w:val="left"/>
            </w:pPr>
            <w:r>
              <w:rPr>
                <w:sz w:val="18"/>
              </w:rPr>
              <w:t xml:space="preserve">Monthly statements per RE and meter, drill-down to source events with masked IDs, reconciliation breaks,</w:t>
            </w:r>
            <w:r>
              <w:rPr>
                <w:sz w:val="18"/>
              </w:rPr>
              <w:t xml:space="preserve"> </w:t>
            </w:r>
            <w:r>
              <w:rPr>
                <w:sz w:val="18"/>
              </w:rPr>
              <w:t xml:space="preserve">“</w:t>
            </w:r>
            <w:r>
              <w:rPr>
                <w:sz w:val="18"/>
              </w:rPr>
              <w:t xml:space="preserve">send statement to OH8</w:t>
            </w:r>
            <w:r>
              <w:rPr>
                <w:sz w:val="18"/>
              </w:rPr>
              <w:t xml:space="preserve">”</w:t>
            </w:r>
            <w:r>
              <w:rPr>
                <w:sz w:val="18"/>
              </w:rPr>
              <w:t xml:space="preserve"> </w:t>
            </w:r>
            <w:r>
              <w:rPr>
                <w:sz w:val="18"/>
              </w:rPr>
              <w:t xml:space="preserve">with preview</w:t>
            </w:r>
          </w:p>
        </w:tc>
        <w:tc>
          <w:tcPr>
            <w:tcW w:w="2823" w:type="dxa"/>
          </w:tcPr>
          <w:p>
            <w:pPr>
              <w:pStyle w:val="Compact"/>
              <w:spacing w:after="40"/>
              <w:jc w:val="left"/>
            </w:pPr>
            <w:r>
              <w:rPr>
                <w:sz w:val="18"/>
              </w:rPr>
              <w:t xml:space="preserve">Finance operations</w:t>
            </w:r>
          </w:p>
        </w:tc>
      </w:tr>
      <w:tr>
        <w:tc>
          <w:tcPr>
            <w:tcW w:w="1765" w:type="dxa"/>
          </w:tcPr>
          <w:p>
            <w:pPr>
              <w:pStyle w:val="Compact"/>
              <w:spacing w:after="40"/>
              <w:jc w:val="left"/>
            </w:pPr>
            <w:r>
              <w:rPr>
                <w:rStyle w:val="VerbatimChar"/>
                <w:sz w:val="18"/>
              </w:rPr>
              <w:t xml:space="preserve">Finance › DLG economics</w:t>
            </w:r>
          </w:p>
        </w:tc>
        <w:tc>
          <w:tcPr>
            <w:tcW w:w="5050" w:type="dxa"/>
          </w:tcPr>
          <w:p>
            <w:pPr>
              <w:pStyle w:val="Compact"/>
              <w:spacing w:after="40"/>
              <w:jc w:val="left"/>
            </w:pPr>
            <w:r>
              <w:rPr>
                <w:sz w:val="18"/>
              </w:rPr>
              <w:t xml:space="preserve">Per arrangement and set: fee income, expected loss, capital committed, invocations, recoveries, margin, headroom</w:t>
            </w:r>
          </w:p>
        </w:tc>
        <w:tc>
          <w:tcPr>
            <w:tcW w:w="2823" w:type="dxa"/>
          </w:tcPr>
          <w:p>
            <w:pPr>
              <w:pStyle w:val="Compact"/>
              <w:spacing w:after="40"/>
              <w:jc w:val="left"/>
            </w:pPr>
            <w:r>
              <w:rPr>
                <w:sz w:val="18"/>
              </w:rPr>
              <w:t xml:space="preserve">Finance, Risk and Board pack only (no product, ranking or agent role)</w:t>
            </w:r>
          </w:p>
        </w:tc>
      </w:tr>
      <w:tr>
        <w:tc>
          <w:tcPr>
            <w:tcW w:w="1765" w:type="dxa"/>
          </w:tcPr>
          <w:p>
            <w:pPr>
              <w:pStyle w:val="Compact"/>
              <w:spacing w:after="40"/>
              <w:jc w:val="left"/>
            </w:pPr>
            <w:r>
              <w:rPr>
                <w:rStyle w:val="VerbatimChar"/>
                <w:sz w:val="18"/>
              </w:rPr>
              <w:t xml:space="preserve">Finance › Revenue analytics</w:t>
            </w:r>
          </w:p>
        </w:tc>
        <w:tc>
          <w:tcPr>
            <w:tcW w:w="5050" w:type="dxa"/>
          </w:tcPr>
          <w:p>
            <w:pPr>
              <w:pStyle w:val="Compact"/>
              <w:spacing w:after="40"/>
              <w:jc w:val="left"/>
            </w:pPr>
            <w:r>
              <w:rPr>
                <w:sz w:val="18"/>
              </w:rPr>
              <w:t xml:space="preserve">RV1.6 dashboards and exports (aggregates)</w:t>
            </w:r>
          </w:p>
        </w:tc>
        <w:tc>
          <w:tcPr>
            <w:tcW w:w="2823" w:type="dxa"/>
          </w:tcPr>
          <w:p>
            <w:pPr>
              <w:pStyle w:val="Compact"/>
              <w:spacing w:after="40"/>
              <w:jc w:val="left"/>
            </w:pPr>
            <w:r>
              <w:rPr>
                <w:sz w:val="18"/>
              </w:rPr>
              <w:t xml:space="preserve">Finance, management</w:t>
            </w:r>
          </w:p>
        </w:tc>
      </w:tr>
    </w:tbl>
    <w:bookmarkEnd w:id="340"/>
    <w:bookmarkStart w:id="341" w:name="acceptance-tests-21"/>
    <w:p>
      <w:pPr>
        <w:pStyle w:val="Heading3"/>
      </w:pPr>
      <w:r>
        <w:t xml:space="preserve">Acceptance tests</w:t>
      </w:r>
    </w:p>
    <w:p>
      <w:pPr>
        <w:numPr>
          <w:ilvl w:val="0"/>
          <w:numId w:val="1207"/>
        </w:numPr>
        <w:pStyle w:val="Compact"/>
      </w:pPr>
      <w:r>
        <w:t xml:space="preserve">Creating a borrower-paid stream with a loan-linked trigger (application, offer, KFS, disbursal, repayment) is rejected by the deny list in OH and in Udofin.</w:t>
      </w:r>
    </w:p>
    <w:p>
      <w:pPr>
        <w:numPr>
          <w:ilvl w:val="0"/>
          <w:numId w:val="1207"/>
        </w:numPr>
        <w:pStyle w:val="Compact"/>
      </w:pPr>
      <w:r>
        <w:t xml:space="preserve">S09 cannot become</w:t>
      </w:r>
      <w:r>
        <w:t xml:space="preserve"> </w:t>
      </w:r>
      <w:r>
        <w:rPr>
          <w:rStyle w:val="VerbatimChar"/>
        </w:rPr>
        <w:t xml:space="preserve">ACTIVE</w:t>
      </w:r>
      <w:r>
        <w:t xml:space="preserve"> </w:t>
      </w:r>
      <w:r>
        <w:t xml:space="preserve">without both an owner-decision reference and a legal-opinion reference; with S09 inactive, no borrower plan page or checkout route exists.</w:t>
      </w:r>
    </w:p>
    <w:p>
      <w:pPr>
        <w:numPr>
          <w:ilvl w:val="0"/>
          <w:numId w:val="1207"/>
        </w:numPr>
        <w:pStyle w:val="Compact"/>
      </w:pPr>
      <w:r>
        <w:t xml:space="preserve">The ranking and routing services have no read access to</w:t>
      </w:r>
      <w:r>
        <w:t xml:space="preserve"> </w:t>
      </w:r>
      <w:r>
        <w:rPr>
          <w:rStyle w:val="VerbatimChar"/>
        </w:rPr>
        <w:t xml:space="preserve">revenue_stream</w:t>
      </w:r>
      <w:r>
        <w:t xml:space="preserve">,</w:t>
      </w:r>
      <w:r>
        <w:t xml:space="preserve"> </w:t>
      </w:r>
      <w:r>
        <w:rPr>
          <w:rStyle w:val="VerbatimChar"/>
        </w:rPr>
        <w:t xml:space="preserve">deal_commercials</w:t>
      </w:r>
      <w:r>
        <w:t xml:space="preserve">,</w:t>
      </w:r>
      <w:r>
        <w:t xml:space="preserve"> </w:t>
      </w:r>
      <w:r>
        <w:rPr>
          <w:rStyle w:val="VerbatimChar"/>
        </w:rPr>
        <w:t xml:space="preserve">dlg_*</w:t>
      </w:r>
      <w:r>
        <w:t xml:space="preserve"> </w:t>
      </w:r>
      <w:r>
        <w:t xml:space="preserve">or</w:t>
      </w:r>
      <w:r>
        <w:t xml:space="preserve"> </w:t>
      </w:r>
      <w:r>
        <w:rPr>
          <w:rStyle w:val="VerbatimChar"/>
        </w:rPr>
        <w:t xml:space="preserve">subscription</w:t>
      </w:r>
      <w:r>
        <w:t xml:space="preserve"> </w:t>
      </w:r>
      <w:r>
        <w:t xml:space="preserve">tables (permission test).</w:t>
      </w:r>
    </w:p>
    <w:p>
      <w:pPr>
        <w:numPr>
          <w:ilvl w:val="0"/>
          <w:numId w:val="1207"/>
        </w:numPr>
        <w:pStyle w:val="Compact"/>
      </w:pPr>
      <w:r>
        <w:t xml:space="preserve">A deal switch from per-unit to subscription creates a new deal version, needs approval on both sides, reaches OH8 once, and changes Udofin entitlements only after the signed</w:t>
      </w:r>
      <w:r>
        <w:t xml:space="preserve"> </w:t>
      </w:r>
      <w:r>
        <w:rPr>
          <w:rStyle w:val="VerbatimChar"/>
        </w:rPr>
        <w:t xml:space="preserve">EntitlementChanged</w:t>
      </w:r>
      <w:r>
        <w:t xml:space="preserve"> </w:t>
      </w:r>
      <w:r>
        <w:t xml:space="preserve">verifies; an unsigned or wrongly signed entitlement is rejected.</w:t>
      </w:r>
    </w:p>
    <w:p>
      <w:pPr>
        <w:numPr>
          <w:ilvl w:val="0"/>
          <w:numId w:val="1207"/>
        </w:numPr>
        <w:pStyle w:val="Compact"/>
      </w:pPr>
      <w:r>
        <w:t xml:space="preserve">A metered event replayed three times is counted once; monthly meters reconcile with the RE’s reconciliation file.</w:t>
      </w:r>
    </w:p>
    <w:p>
      <w:pPr>
        <w:numPr>
          <w:ilvl w:val="0"/>
          <w:numId w:val="1207"/>
        </w:numPr>
        <w:pStyle w:val="Compact"/>
      </w:pPr>
      <w:r>
        <w:t xml:space="preserve">A DLG cover deposit or top-up that would take a set above 5.0% of its total amount disbursed is blocked and raises</w:t>
      </w:r>
      <w:r>
        <w:t xml:space="preserve"> </w:t>
      </w:r>
      <w:r>
        <w:rPr>
          <w:rStyle w:val="VerbatimChar"/>
        </w:rPr>
        <w:t xml:space="preserve">LimitBreached</w:t>
      </w:r>
      <w:r>
        <w:t xml:space="preserve">; a loan repayment never frees headroom.</w:t>
      </w:r>
    </w:p>
    <w:p>
      <w:r>
        <w:pict>
          <v:rect style="width:0;height:1.5pt" o:hralign="center" o:hrstd="t" o:hr="t"/>
        </w:pict>
      </w:r>
    </w:p>
    <w:bookmarkEnd w:id="341"/>
    <w:bookmarkEnd w:id="342"/>
    <w:bookmarkStart w:id="351" w:name="rv2.-billing-plan-and-settings-pages"/>
    <w:p>
      <w:pPr>
        <w:pStyle w:val="Heading2"/>
      </w:pPr>
      <w:r>
        <w:t xml:space="preserve">RV2. Billing, plan and settings pages</w:t>
      </w:r>
    </w:p>
    <w:bookmarkStart w:id="343" w:name="rv2.1-naming"/>
    <w:p>
      <w:pPr>
        <w:pStyle w:val="Heading3"/>
      </w:pPr>
      <w:r>
        <w:t xml:space="preserve">RV2.1 Naming</w:t>
      </w:r>
    </w:p>
    <w:p>
      <w:pPr>
        <w:numPr>
          <w:ilvl w:val="0"/>
          <w:numId w:val="1208"/>
        </w:numPr>
        <w:pStyle w:val="Compact"/>
      </w:pPr>
      <w:r>
        <w:t xml:space="preserve">“</w:t>
      </w:r>
      <w:r>
        <w:t xml:space="preserve">Plan</w:t>
      </w:r>
      <w:r>
        <w:t xml:space="preserve">”</w:t>
      </w:r>
      <w:r>
        <w:t xml:space="preserve"> </w:t>
      </w:r>
      <w:r>
        <w:t xml:space="preserve">is used for Udofin’s commercial plans.</w:t>
      </w:r>
      <w:r>
        <w:t xml:space="preserve"> </w:t>
      </w:r>
      <w:r>
        <w:t xml:space="preserve">“</w:t>
      </w:r>
      <w:r>
        <w:t xml:space="preserve">Membership</w:t>
      </w:r>
      <w:r>
        <w:t xml:space="preserve">”</w:t>
      </w:r>
      <w:r>
        <w:t xml:space="preserve"> </w:t>
      </w:r>
      <w:r>
        <w:t xml:space="preserve">in Udofin means only membership of a co-operative society (Part 7E); a consumer plan is never called a membership [REC], so a borrower cannot confuse a paid Udofin plan with society membership or with a loan benefit.</w:t>
      </w:r>
    </w:p>
    <w:bookmarkEnd w:id="343"/>
    <w:bookmarkStart w:id="344" w:name="Xbdb2f81c6303d85390e8ea0cabcd1f55c19e675"/>
    <w:p>
      <w:pPr>
        <w:pStyle w:val="Heading3"/>
      </w:pPr>
      <w:r>
        <w:t xml:space="preserve">RV2.2 RE and non-RE lender users (lender portal:</w:t>
      </w:r>
      <w:r>
        <w:t xml:space="preserve"> </w:t>
      </w:r>
      <w:r>
        <w:rPr>
          <w:rStyle w:val="VerbatimChar"/>
        </w:rPr>
        <w:t xml:space="preserve">Billing and plan</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39"/>
        <w:gridCol w:w="5993"/>
        <w:gridCol w:w="1906"/>
      </w:tblGrid>
      <w:tr>
        <w:trPr>
          <w:tblHeader w:val="true"/>
          <w:tblHeader w:val="true"/>
        </w:trPr>
        <w:tc>
          <w:tcPr>
            <w:tcW w:w="1739" w:type="dxa"/>
            <w:shd w:val="clear" w:color="auto" w:fill="1F3A5F"/>
          </w:tcPr>
          <w:p>
            <w:pPr>
              <w:pStyle w:val="Compact"/>
              <w:spacing w:after="40"/>
              <w:jc w:val="left"/>
            </w:pPr>
            <w:r>
              <w:rPr>
                <w:b/>
                <w:color w:val="FFFFFF"/>
                <w:sz w:val="18"/>
              </w:rPr>
              <w:t xml:space="preserve">Page</w:t>
            </w:r>
          </w:p>
        </w:tc>
        <w:tc>
          <w:tcPr>
            <w:tcW w:w="5993" w:type="dxa"/>
            <w:shd w:val="clear" w:color="auto" w:fill="1F3A5F"/>
          </w:tcPr>
          <w:p>
            <w:pPr>
              <w:pStyle w:val="Compact"/>
              <w:spacing w:after="40"/>
              <w:jc w:val="left"/>
            </w:pPr>
            <w:r>
              <w:rPr>
                <w:b/>
                <w:color w:val="FFFFFF"/>
                <w:sz w:val="18"/>
              </w:rPr>
              <w:t xml:space="preserve">Content</w:t>
            </w:r>
          </w:p>
        </w:tc>
        <w:tc>
          <w:tcPr>
            <w:tcW w:w="1906" w:type="dxa"/>
            <w:shd w:val="clear" w:color="auto" w:fill="1F3A5F"/>
          </w:tcPr>
          <w:p>
            <w:pPr>
              <w:pStyle w:val="Compact"/>
              <w:spacing w:after="40"/>
              <w:jc w:val="left"/>
            </w:pPr>
            <w:r>
              <w:rPr>
                <w:b/>
                <w:color w:val="FFFFFF"/>
                <w:sz w:val="18"/>
              </w:rPr>
              <w:t xml:space="preserve">Who</w:t>
            </w:r>
          </w:p>
        </w:tc>
      </w:tr>
      <w:tr>
        <w:tc>
          <w:tcPr>
            <w:tcW w:w="1739" w:type="dxa"/>
          </w:tcPr>
          <w:p>
            <w:pPr>
              <w:pStyle w:val="Compact"/>
              <w:spacing w:after="40"/>
              <w:jc w:val="left"/>
            </w:pPr>
            <w:r>
              <w:rPr>
                <w:sz w:val="18"/>
              </w:rPr>
              <w:t xml:space="preserve">Plan and deal summary</w:t>
            </w:r>
          </w:p>
        </w:tc>
        <w:tc>
          <w:tcPr>
            <w:tcW w:w="5993" w:type="dxa"/>
          </w:tcPr>
          <w:p>
            <w:pPr>
              <w:pStyle w:val="Compact"/>
              <w:spacing w:after="40"/>
              <w:jc w:val="left"/>
            </w:pPr>
            <w:r>
              <w:rPr>
                <w:sz w:val="18"/>
              </w:rPr>
              <w:t xml:space="preserve">Current deal version (Part 7B UP2): streams, pricing models, rates, minimums, effective dates; attached modules and seats; DLG arrangement summary</w:t>
            </w:r>
          </w:p>
        </w:tc>
        <w:tc>
          <w:tcPr>
            <w:tcW w:w="1906" w:type="dxa"/>
          </w:tcPr>
          <w:p>
            <w:pPr>
              <w:pStyle w:val="Compact"/>
              <w:spacing w:after="40"/>
              <w:jc w:val="left"/>
            </w:pPr>
            <w:r>
              <w:rPr>
                <w:sz w:val="18"/>
              </w:rPr>
              <w:t xml:space="preserve">RE finance and admin roles</w:t>
            </w:r>
          </w:p>
        </w:tc>
      </w:tr>
      <w:tr>
        <w:tc>
          <w:tcPr>
            <w:tcW w:w="1739" w:type="dxa"/>
          </w:tcPr>
          <w:p>
            <w:pPr>
              <w:pStyle w:val="Compact"/>
              <w:spacing w:after="40"/>
              <w:jc w:val="left"/>
            </w:pPr>
            <w:r>
              <w:rPr>
                <w:sz w:val="18"/>
              </w:rPr>
              <w:t xml:space="preserve">Plan explainer</w:t>
            </w:r>
          </w:p>
        </w:tc>
        <w:tc>
          <w:tcPr>
            <w:tcW w:w="5993" w:type="dxa"/>
          </w:tcPr>
          <w:p>
            <w:pPr>
              <w:pStyle w:val="Compact"/>
              <w:spacing w:after="40"/>
              <w:jc w:val="left"/>
            </w:pPr>
            <w:r>
              <w:rPr>
                <w:sz w:val="18"/>
              </w:rPr>
              <w:t xml:space="preserve">For each stream: what Udofin does, what the RE pays, how it is measured, what changes when switching models; the fixed statement</w:t>
            </w:r>
            <w:r>
              <w:rPr>
                <w:sz w:val="18"/>
              </w:rPr>
              <w:t xml:space="preserve"> </w:t>
            </w:r>
            <w:r>
              <w:rPr>
                <w:sz w:val="18"/>
              </w:rPr>
              <w:t xml:space="preserve">“</w:t>
            </w:r>
            <w:r>
              <w:rPr>
                <w:sz w:val="18"/>
              </w:rPr>
              <w:t xml:space="preserve">Fees are paid by [RE] to Udofin and are never charged to borrowers (RBI Credit Facilities Directions, para 10(4)). Fees never affect how offers are matched or ranked.</w:t>
            </w:r>
            <w:r>
              <w:rPr>
                <w:sz w:val="18"/>
              </w:rPr>
              <w:t xml:space="preserve">”</w:t>
            </w:r>
          </w:p>
        </w:tc>
        <w:tc>
          <w:tcPr>
            <w:tcW w:w="1906" w:type="dxa"/>
          </w:tcPr>
          <w:p>
            <w:pPr>
              <w:pStyle w:val="Compact"/>
              <w:spacing w:after="40"/>
              <w:jc w:val="left"/>
            </w:pPr>
            <w:r>
              <w:rPr>
                <w:sz w:val="18"/>
              </w:rPr>
              <w:t xml:space="preserve">All RE users with billing view</w:t>
            </w:r>
          </w:p>
        </w:tc>
      </w:tr>
      <w:tr>
        <w:tc>
          <w:tcPr>
            <w:tcW w:w="1739" w:type="dxa"/>
          </w:tcPr>
          <w:p>
            <w:pPr>
              <w:pStyle w:val="Compact"/>
              <w:spacing w:after="40"/>
              <w:jc w:val="left"/>
            </w:pPr>
            <w:r>
              <w:rPr>
                <w:sz w:val="18"/>
              </w:rPr>
              <w:t xml:space="preserve">Usage</w:t>
            </w:r>
          </w:p>
        </w:tc>
        <w:tc>
          <w:tcPr>
            <w:tcW w:w="5993" w:type="dxa"/>
          </w:tcPr>
          <w:p>
            <w:pPr>
              <w:pStyle w:val="Compact"/>
              <w:spacing w:after="40"/>
              <w:jc w:val="left"/>
            </w:pPr>
            <w:r>
              <w:rPr>
                <w:sz w:val="18"/>
              </w:rPr>
              <w:t xml:space="preserve">Meters by month with drill-down to source events (masked IDs); export CSV and XLSX</w:t>
            </w:r>
          </w:p>
        </w:tc>
        <w:tc>
          <w:tcPr>
            <w:tcW w:w="1906" w:type="dxa"/>
          </w:tcPr>
          <w:p>
            <w:pPr>
              <w:pStyle w:val="Compact"/>
              <w:spacing w:after="40"/>
              <w:jc w:val="left"/>
            </w:pPr>
            <w:r>
              <w:rPr>
                <w:sz w:val="18"/>
              </w:rPr>
              <w:t xml:space="preserve">RE finance</w:t>
            </w:r>
          </w:p>
        </w:tc>
      </w:tr>
      <w:tr>
        <w:tc>
          <w:tcPr>
            <w:tcW w:w="1739" w:type="dxa"/>
          </w:tcPr>
          <w:p>
            <w:pPr>
              <w:pStyle w:val="Compact"/>
              <w:spacing w:after="40"/>
              <w:jc w:val="left"/>
            </w:pPr>
            <w:r>
              <w:rPr>
                <w:sz w:val="18"/>
              </w:rPr>
              <w:t xml:space="preserve">Invoices and credit notes</w:t>
            </w:r>
          </w:p>
        </w:tc>
        <w:tc>
          <w:tcPr>
            <w:tcW w:w="5993" w:type="dxa"/>
          </w:tcPr>
          <w:p>
            <w:pPr>
              <w:pStyle w:val="Compact"/>
              <w:spacing w:after="40"/>
              <w:jc w:val="left"/>
            </w:pPr>
            <w:r>
              <w:rPr>
                <w:sz w:val="18"/>
              </w:rPr>
              <w:t xml:space="preserve">From OH8 (</w:t>
            </w:r>
            <w:r>
              <w:rPr>
                <w:rStyle w:val="VerbatimChar"/>
                <w:sz w:val="18"/>
              </w:rPr>
              <w:t xml:space="preserve">InvoiceIssued</w:t>
            </w:r>
            <w:r>
              <w:rPr>
                <w:sz w:val="18"/>
              </w:rPr>
              <w:t xml:space="preserve">): PDF, e-invoice IRN and QR where applicable, GSTIN details, TDS deducted fields; dispute button opening an OH support ticket</w:t>
            </w:r>
          </w:p>
        </w:tc>
        <w:tc>
          <w:tcPr>
            <w:tcW w:w="1906" w:type="dxa"/>
          </w:tcPr>
          <w:p>
            <w:pPr>
              <w:pStyle w:val="Compact"/>
              <w:spacing w:after="40"/>
              <w:jc w:val="left"/>
            </w:pPr>
            <w:r>
              <w:rPr>
                <w:sz w:val="18"/>
              </w:rPr>
              <w:t xml:space="preserve">RE finance</w:t>
            </w:r>
          </w:p>
        </w:tc>
      </w:tr>
      <w:tr>
        <w:tc>
          <w:tcPr>
            <w:tcW w:w="1739" w:type="dxa"/>
          </w:tcPr>
          <w:p>
            <w:pPr>
              <w:pStyle w:val="Compact"/>
              <w:spacing w:after="40"/>
              <w:jc w:val="left"/>
            </w:pPr>
            <w:r>
              <w:rPr>
                <w:sz w:val="18"/>
              </w:rPr>
              <w:t xml:space="preserve">Payment methods</w:t>
            </w:r>
          </w:p>
        </w:tc>
        <w:tc>
          <w:tcPr>
            <w:tcW w:w="5993" w:type="dxa"/>
          </w:tcPr>
          <w:p>
            <w:pPr>
              <w:pStyle w:val="Compact"/>
              <w:spacing w:after="40"/>
              <w:jc w:val="left"/>
            </w:pPr>
            <w:r>
              <w:rPr>
                <w:sz w:val="18"/>
              </w:rPr>
              <w:t xml:space="preserve">eNACH or bank-transfer virtual account (via OH); card or UPI for small one-time items</w:t>
            </w:r>
          </w:p>
        </w:tc>
        <w:tc>
          <w:tcPr>
            <w:tcW w:w="1906" w:type="dxa"/>
          </w:tcPr>
          <w:p>
            <w:pPr>
              <w:pStyle w:val="Compact"/>
              <w:spacing w:after="40"/>
              <w:jc w:val="left"/>
            </w:pPr>
            <w:r>
              <w:rPr>
                <w:sz w:val="18"/>
              </w:rPr>
              <w:t xml:space="preserve">RE finance with maker-checker</w:t>
            </w:r>
          </w:p>
        </w:tc>
      </w:tr>
      <w:tr>
        <w:tc>
          <w:tcPr>
            <w:tcW w:w="1739" w:type="dxa"/>
          </w:tcPr>
          <w:p>
            <w:pPr>
              <w:pStyle w:val="Compact"/>
              <w:spacing w:after="40"/>
              <w:jc w:val="left"/>
            </w:pPr>
            <w:r>
              <w:rPr>
                <w:sz w:val="18"/>
              </w:rPr>
              <w:t xml:space="preserve">Change requests</w:t>
            </w:r>
          </w:p>
        </w:tc>
        <w:tc>
          <w:tcPr>
            <w:tcW w:w="5993" w:type="dxa"/>
          </w:tcPr>
          <w:p>
            <w:pPr>
              <w:pStyle w:val="Compact"/>
              <w:spacing w:after="40"/>
              <w:jc w:val="left"/>
            </w:pPr>
            <w:r>
              <w:rPr>
                <w:sz w:val="18"/>
              </w:rPr>
              <w:t xml:space="preserve">Plan, module or seat change; downgrade or termination notice; maker-checker inside the RE and approval in Udofin</w:t>
            </w:r>
          </w:p>
        </w:tc>
        <w:tc>
          <w:tcPr>
            <w:tcW w:w="1906" w:type="dxa"/>
          </w:tcPr>
          <w:p>
            <w:pPr>
              <w:pStyle w:val="Compact"/>
              <w:spacing w:after="40"/>
              <w:jc w:val="left"/>
            </w:pPr>
            <w:r>
              <w:rPr>
                <w:sz w:val="18"/>
              </w:rPr>
              <w:t xml:space="preserve">RE admin</w:t>
            </w:r>
          </w:p>
        </w:tc>
      </w:tr>
      <w:tr>
        <w:tc>
          <w:tcPr>
            <w:tcW w:w="1739" w:type="dxa"/>
          </w:tcPr>
          <w:p>
            <w:pPr>
              <w:pStyle w:val="Compact"/>
              <w:spacing w:after="40"/>
              <w:jc w:val="left"/>
            </w:pPr>
            <w:r>
              <w:rPr>
                <w:sz w:val="18"/>
              </w:rPr>
              <w:t xml:space="preserve">Billing settings</w:t>
            </w:r>
          </w:p>
        </w:tc>
        <w:tc>
          <w:tcPr>
            <w:tcW w:w="5993" w:type="dxa"/>
          </w:tcPr>
          <w:p>
            <w:pPr>
              <w:pStyle w:val="Compact"/>
              <w:spacing w:after="40"/>
              <w:jc w:val="left"/>
            </w:pPr>
            <w:r>
              <w:rPr>
                <w:sz w:val="18"/>
              </w:rPr>
              <w:t xml:space="preserve">Billing contacts, GSTIN, PAN, place of supply, PO numbers, TDS certificate upload (Form 131) [VERIFY: ITA25 form number]</w:t>
            </w:r>
          </w:p>
        </w:tc>
        <w:tc>
          <w:tcPr>
            <w:tcW w:w="1906" w:type="dxa"/>
          </w:tcPr>
          <w:p>
            <w:pPr>
              <w:pStyle w:val="Compact"/>
              <w:spacing w:after="40"/>
              <w:jc w:val="left"/>
            </w:pPr>
            <w:r>
              <w:rPr>
                <w:sz w:val="18"/>
              </w:rPr>
              <w:t xml:space="preserve">RE finance</w:t>
            </w:r>
          </w:p>
        </w:tc>
      </w:tr>
    </w:tbl>
    <w:p>
      <w:pPr>
        <w:numPr>
          <w:ilvl w:val="0"/>
          <w:numId w:val="1209"/>
        </w:numPr>
        <w:pStyle w:val="Compact"/>
      </w:pPr>
      <w:r>
        <w:rPr>
          <w:bCs/>
          <w:b/>
        </w:rPr>
        <w:t xml:space="preserve">Non-payment never cuts an RE off from its data:</w:t>
      </w:r>
      <w:r>
        <w:t xml:space="preserve"> </w:t>
      </w:r>
      <w:r>
        <w:t xml:space="preserve">during dunning, read access and exports stay available to the RE (OUT paras 34(ii), 87) and borrower-facing servicing for existing loans continues; only new sourcing can be paused, with notice under the agreement [REC]. Continued non-payment ends only in a termination notice that starts the Part 7B UP5 exit (OH</w:t>
      </w:r>
      <w:r>
        <w:t xml:space="preserve"> </w:t>
      </w:r>
      <w:r>
        <w:rPr>
          <w:rStyle w:val="VerbatimChar"/>
        </w:rPr>
        <w:t xml:space="preserve">SubscriptionCancelled</w:t>
      </w:r>
      <w:r>
        <w:t xml:space="preserve"> </w:t>
      </w:r>
      <w:r>
        <w:t xml:space="preserve">carries exit path UP5); there is never a hard cancel.</w:t>
      </w:r>
    </w:p>
    <w:bookmarkEnd w:id="344"/>
    <w:bookmarkStart w:id="345" w:name="X329b475dca5832b556e76e9ba83293171bb3107"/>
    <w:p>
      <w:pPr>
        <w:pStyle w:val="Heading3"/>
      </w:pPr>
      <w:r>
        <w:t xml:space="preserve">RV2.3 Consumers (app and web:</w:t>
      </w:r>
      <w:r>
        <w:t xml:space="preserve"> </w:t>
      </w:r>
      <w:r>
        <w:rPr>
          <w:rStyle w:val="VerbatimChar"/>
        </w:rPr>
        <w:t xml:space="preserve">Account › Plans and billing</w:t>
      </w:r>
      <w:r>
        <w:t xml:space="preserve">)</w:t>
      </w:r>
    </w:p>
    <w:p>
      <w:pPr>
        <w:pStyle w:val="FirstParagraph"/>
      </w:pPr>
      <w:r>
        <w:t xml:space="preserve">Exists only when S09 is</w:t>
      </w:r>
      <w:r>
        <w:t xml:space="preserve"> </w:t>
      </w:r>
      <w:r>
        <w:rPr>
          <w:rStyle w:val="VerbatimChar"/>
        </w:rPr>
        <w:t xml:space="preserve">ACTIVE</w:t>
      </w:r>
      <w:r>
        <w:t xml:space="preserve">.</w:t>
      </w:r>
    </w:p>
    <w:p>
      <w:pPr>
        <w:numPr>
          <w:ilvl w:val="0"/>
          <w:numId w:val="1210"/>
        </w:numPr>
        <w:pStyle w:val="Compact"/>
      </w:pPr>
      <w:r>
        <w:rPr>
          <w:bCs/>
          <w:b/>
        </w:rPr>
        <w:t xml:space="preserve">Plans page:</w:t>
      </w:r>
      <w:r>
        <w:t xml:space="preserve"> </w:t>
      </w:r>
      <w:r>
        <w:t xml:space="preserve">Free plan first, with what it includes (for example one credit-report refresh a quarter and the CIC free annual report link; Part 7D FW1); paid plan(s) with price including GST, billing period, renewal date, what is added; a comparison table with identical styling for every plan; no pre-selection.</w:t>
      </w:r>
    </w:p>
    <w:p>
      <w:pPr>
        <w:numPr>
          <w:ilvl w:val="0"/>
          <w:numId w:val="1210"/>
        </w:numPr>
        <w:pStyle w:val="Compact"/>
      </w:pPr>
      <w:r>
        <w:rPr>
          <w:bCs/>
          <w:b/>
        </w:rPr>
        <w:t xml:space="preserve">Fixed statements</w:t>
      </w:r>
      <w:r>
        <w:t xml:space="preserve"> </w:t>
      </w:r>
      <w:r>
        <w:t xml:space="preserve">on every plan screen and in the plan’s terms:</w:t>
      </w:r>
      <w:r>
        <w:t xml:space="preserve"> </w:t>
      </w:r>
      <w:r>
        <w:t xml:space="preserve">“</w:t>
      </w:r>
      <w:r>
        <w:t xml:space="preserve">Plans are optional tools. Buying or not buying a plan has no effect on any loan application, offer, approval, price or service. Lenders do not see whether you have a plan.</w:t>
      </w:r>
      <w:r>
        <w:t xml:space="preserve">”</w:t>
      </w:r>
      <w:r>
        <w:t xml:space="preserve"> </w:t>
      </w:r>
      <w:r>
        <w:t xml:space="preserve">and</w:t>
      </w:r>
      <w:r>
        <w:t xml:space="preserve"> </w:t>
      </w:r>
      <w:r>
        <w:t xml:space="preserve">“</w:t>
      </w:r>
      <w:r>
        <w:t xml:space="preserve">Udofin is paid by lenders for loan services; you never pay Udofin for anything to do with a loan.</w:t>
      </w:r>
      <w:r>
        <w:t xml:space="preserve">”</w:t>
      </w:r>
    </w:p>
    <w:p>
      <w:pPr>
        <w:numPr>
          <w:ilvl w:val="0"/>
          <w:numId w:val="1210"/>
        </w:numPr>
        <w:pStyle w:val="Compact"/>
      </w:pPr>
      <w:r>
        <w:rPr>
          <w:bCs/>
          <w:b/>
        </w:rPr>
        <w:t xml:space="preserve">Purchase:</w:t>
      </w:r>
      <w:r>
        <w:t xml:space="preserve"> </w:t>
      </w:r>
      <w:r>
        <w:t xml:space="preserve">explicit, separate consent to the plan terms (default No); total price shown before payment; no drip pricing; mandate details (amount cap, frequency, validity) shown before authorisation.</w:t>
      </w:r>
    </w:p>
    <w:p>
      <w:pPr>
        <w:numPr>
          <w:ilvl w:val="0"/>
          <w:numId w:val="1210"/>
        </w:numPr>
        <w:pStyle w:val="Compact"/>
      </w:pPr>
      <w:r>
        <w:rPr>
          <w:bCs/>
          <w:b/>
        </w:rPr>
        <w:t xml:space="preserve">Free trials</w:t>
      </w:r>
      <w:r>
        <w:t xml:space="preserve"> </w:t>
      </w:r>
      <w:r>
        <w:t xml:space="preserve">do not auto-convert to paid; at trial end the user is asked to choose [REC; avoids the subscription-trap pattern].</w:t>
      </w:r>
    </w:p>
    <w:p>
      <w:pPr>
        <w:numPr>
          <w:ilvl w:val="0"/>
          <w:numId w:val="1210"/>
        </w:numPr>
        <w:pStyle w:val="Compact"/>
      </w:pPr>
      <w:r>
        <w:rPr>
          <w:bCs/>
          <w:b/>
        </w:rPr>
        <w:t xml:space="preserve">Manage:</w:t>
      </w:r>
      <w:r>
        <w:t xml:space="preserve"> </w:t>
      </w:r>
      <w:r>
        <w:t xml:space="preserve">cancel in one tap from the same page (no retention maze; one optional</w:t>
      </w:r>
      <w:r>
        <w:t xml:space="preserve"> </w:t>
      </w:r>
      <w:r>
        <w:t xml:space="preserve">“</w:t>
      </w:r>
      <w:r>
        <w:t xml:space="preserve">tell us why</w:t>
      </w:r>
      <w:r>
        <w:t xml:space="preserve">”</w:t>
      </w:r>
      <w:r>
        <w:t xml:space="preserve"> </w:t>
      </w:r>
      <w:r>
        <w:t xml:space="preserve">question that can be skipped); downgrade at term end; refund request; invoices and credit notes; change payment method; pause [REC].</w:t>
      </w:r>
    </w:p>
    <w:p>
      <w:pPr>
        <w:numPr>
          <w:ilvl w:val="0"/>
          <w:numId w:val="1210"/>
        </w:numPr>
        <w:pStyle w:val="Compact"/>
      </w:pPr>
      <w:r>
        <w:rPr>
          <w:bCs/>
          <w:b/>
        </w:rPr>
        <w:t xml:space="preserve">Settings</w:t>
      </w:r>
      <w:r>
        <w:t xml:space="preserve"> </w:t>
      </w:r>
      <w:r>
        <w:t xml:space="preserve">(</w:t>
      </w:r>
      <w:r>
        <w:rPr>
          <w:rStyle w:val="VerbatimChar"/>
        </w:rPr>
        <w:t xml:space="preserve">Account › Settings</w:t>
      </w:r>
      <w:r>
        <w:t xml:space="preserve">): language; notification and marketing preferences (U16); privacy dashboard (U4); devices; plan-related data export (Part 7C UB1).</w:t>
      </w:r>
    </w:p>
    <w:p>
      <w:pPr>
        <w:numPr>
          <w:ilvl w:val="0"/>
          <w:numId w:val="1210"/>
        </w:numPr>
        <w:pStyle w:val="Compact"/>
      </w:pPr>
      <w:r>
        <w:rPr>
          <w:bCs/>
          <w:b/>
        </w:rPr>
        <w:t xml:space="preserve">Entry points:</w:t>
      </w:r>
      <w:r>
        <w:t xml:space="preserve"> </w:t>
      </w:r>
      <w:r>
        <w:rPr>
          <w:rStyle w:val="VerbatimChar"/>
        </w:rPr>
        <w:t xml:space="preserve">Account › Plans and billing</w:t>
      </w:r>
      <w:r>
        <w:t xml:space="preserve"> </w:t>
      </w:r>
      <w:r>
        <w:t xml:space="preserve">and the</w:t>
      </w:r>
      <w:r>
        <w:t xml:space="preserve"> </w:t>
      </w:r>
      <w:r>
        <w:rPr>
          <w:rStyle w:val="VerbatimChar"/>
        </w:rPr>
        <w:t xml:space="preserve">Account › Money tools</w:t>
      </w:r>
      <w:r>
        <w:t xml:space="preserve"> </w:t>
      </w:r>
      <w:r>
        <w:t xml:space="preserve">pages only (never a bottom tab; on web, the left navigation under Account); never from loan screens, offers, KFS, payment, overdue or grievance screens.</w:t>
      </w:r>
    </w:p>
    <w:bookmarkEnd w:id="345"/>
    <w:bookmarkStart w:id="346" w:name="rv2.4-where-b2c-billing-runs"/>
    <w:p>
      <w:pPr>
        <w:pStyle w:val="Heading3"/>
      </w:pPr>
      <w:r>
        <w:t xml:space="preserve">RV2.4 Where B2C billing runs</w:t>
      </w:r>
    </w:p>
    <w:p>
      <w:pPr>
        <w:numPr>
          <w:ilvl w:val="0"/>
          <w:numId w:val="1211"/>
        </w:numPr>
        <w:pStyle w:val="Compact"/>
      </w:pPr>
      <w:r>
        <w:t xml:space="preserve">B2C plans are billed by Udofin’s own billing service on Udofin’s Razorpay account (RV3). Their plan, entitlement, invoice and payment events are Udofin-internal. OH8 remains the catalogue owner and receives B2C revenue only as a monthly</w:t>
      </w:r>
      <w:r>
        <w:t xml:space="preserve"> </w:t>
      </w:r>
      <w:r>
        <w:rPr>
          <w:rStyle w:val="VerbatimChar"/>
        </w:rPr>
        <w:t xml:space="preserve">UsageRecorded</w:t>
      </w:r>
      <w:r>
        <w:t xml:space="preserve"> </w:t>
      </w:r>
      <w:r>
        <w:t xml:space="preserve">with</w:t>
      </w:r>
      <w:r>
        <w:t xml:space="preserve"> </w:t>
      </w:r>
      <w:r>
        <w:rPr>
          <w:rStyle w:val="VerbatimChar"/>
        </w:rPr>
        <w:t xml:space="preserve">meter_kind = REVENUE_AGGREGATE</w:t>
      </w:r>
      <w:r>
        <w:t xml:space="preserve"> </w:t>
      </w:r>
      <w:r>
        <w:t xml:space="preserve">per plan (subscriber count, gross, GST; no subscriber key), so no borrower identity or wellness data enters the Operations Hub (Integration Spec 6.27).</w:t>
      </w:r>
    </w:p>
    <w:p>
      <w:pPr>
        <w:numPr>
          <w:ilvl w:val="0"/>
          <w:numId w:val="1211"/>
        </w:numPr>
        <w:pStyle w:val="Compact"/>
      </w:pPr>
      <w:r>
        <w:t xml:space="preserve">B2B (RE) invoicing runs in OH8; Udofin’s lender portal displays OH’s invoices through the Integration Specification billing APIs.</w:t>
      </w:r>
    </w:p>
    <w:bookmarkEnd w:id="346"/>
    <w:bookmarkStart w:id="347" w:name="rv2.5-plan-changes-and-proration"/>
    <w:p>
      <w:pPr>
        <w:pStyle w:val="Heading3"/>
      </w:pPr>
      <w:r>
        <w:t xml:space="preserve">RV2.5 Plan changes and proration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68"/>
        <w:gridCol w:w="3775"/>
        <w:gridCol w:w="4495"/>
      </w:tblGrid>
      <w:tr>
        <w:trPr>
          <w:tblHeader w:val="true"/>
          <w:tblHeader w:val="true"/>
        </w:trPr>
        <w:tc>
          <w:tcPr>
            <w:tcW w:w="1368" w:type="dxa"/>
            <w:shd w:val="clear" w:color="auto" w:fill="1F3A5F"/>
          </w:tcPr>
          <w:p>
            <w:pPr>
              <w:pStyle w:val="Compact"/>
              <w:spacing w:after="40"/>
              <w:jc w:val="left"/>
            </w:pPr>
            <w:r>
              <w:rPr>
                <w:b/>
                <w:color w:val="FFFFFF"/>
                <w:sz w:val="18"/>
              </w:rPr>
              <w:t xml:space="preserve">Step</w:t>
            </w:r>
          </w:p>
        </w:tc>
        <w:tc>
          <w:tcPr>
            <w:tcW w:w="3775" w:type="dxa"/>
            <w:shd w:val="clear" w:color="auto" w:fill="1F3A5F"/>
          </w:tcPr>
          <w:p>
            <w:pPr>
              <w:pStyle w:val="Compact"/>
              <w:spacing w:after="40"/>
              <w:jc w:val="left"/>
            </w:pPr>
            <w:r>
              <w:rPr>
                <w:b/>
                <w:color w:val="FFFFFF"/>
                <w:sz w:val="18"/>
              </w:rPr>
              <w:t xml:space="preserve">RE plan or deal change (B2B)</w:t>
            </w:r>
          </w:p>
        </w:tc>
        <w:tc>
          <w:tcPr>
            <w:tcW w:w="4495" w:type="dxa"/>
            <w:shd w:val="clear" w:color="auto" w:fill="1F3A5F"/>
          </w:tcPr>
          <w:p>
            <w:pPr>
              <w:pStyle w:val="Compact"/>
              <w:spacing w:after="40"/>
              <w:jc w:val="left"/>
            </w:pPr>
            <w:r>
              <w:rPr>
                <w:b/>
                <w:color w:val="FFFFFF"/>
                <w:sz w:val="18"/>
              </w:rPr>
              <w:t xml:space="preserve">Consumer plan change (B2C, only while S09 is</w:t>
            </w:r>
            <w:r>
              <w:rPr>
                <w:b/>
                <w:color w:val="FFFFFF"/>
                <w:sz w:val="18"/>
              </w:rPr>
              <w:t xml:space="preserve"> </w:t>
            </w:r>
            <w:r>
              <w:rPr>
                <w:rStyle w:val="VerbatimChar"/>
                <w:b/>
                <w:color w:val="FFFFFF"/>
                <w:sz w:val="18"/>
              </w:rPr>
              <w:t xml:space="preserve">ACTIVE</w:t>
            </w:r>
            <w:r>
              <w:rPr>
                <w:b/>
                <w:color w:val="FFFFFF"/>
                <w:sz w:val="18"/>
              </w:rPr>
              <w:t xml:space="preserve">)</w:t>
            </w:r>
          </w:p>
        </w:tc>
      </w:tr>
      <w:tr>
        <w:tc>
          <w:tcPr>
            <w:tcW w:w="1368" w:type="dxa"/>
          </w:tcPr>
          <w:p>
            <w:pPr>
              <w:pStyle w:val="Compact"/>
              <w:spacing w:after="40"/>
              <w:jc w:val="left"/>
            </w:pPr>
            <w:r>
              <w:rPr>
                <w:sz w:val="18"/>
              </w:rPr>
              <w:t xml:space="preserve">Request</w:t>
            </w:r>
          </w:p>
        </w:tc>
        <w:tc>
          <w:tcPr>
            <w:tcW w:w="3775" w:type="dxa"/>
          </w:tcPr>
          <w:p>
            <w:pPr>
              <w:pStyle w:val="Compact"/>
              <w:spacing w:after="40"/>
              <w:jc w:val="left"/>
            </w:pPr>
            <w:r>
              <w:rPr>
                <w:sz w:val="18"/>
              </w:rPr>
              <w:t xml:space="preserve">RE admin (maker) in</w:t>
            </w:r>
            <w:r>
              <w:rPr>
                <w:sz w:val="18"/>
              </w:rPr>
              <w:t xml:space="preserve"> </w:t>
            </w:r>
            <w:r>
              <w:rPr>
                <w:rStyle w:val="VerbatimChar"/>
                <w:sz w:val="18"/>
              </w:rPr>
              <w:t xml:space="preserve">Billing and plan › Change requests</w:t>
            </w:r>
            <w:r>
              <w:rPr>
                <w:sz w:val="18"/>
              </w:rPr>
              <w:t xml:space="preserve">, or Udofin partnerships; idempotency key per request</w:t>
            </w:r>
          </w:p>
        </w:tc>
        <w:tc>
          <w:tcPr>
            <w:tcW w:w="4495" w:type="dxa"/>
          </w:tcPr>
          <w:p>
            <w:pPr>
              <w:pStyle w:val="Compact"/>
              <w:spacing w:after="40"/>
              <w:jc w:val="left"/>
            </w:pPr>
            <w:r>
              <w:rPr>
                <w:sz w:val="18"/>
              </w:rPr>
              <w:t xml:space="preserve">Consumer in</w:t>
            </w:r>
            <w:r>
              <w:rPr>
                <w:sz w:val="18"/>
              </w:rPr>
              <w:t xml:space="preserve"> </w:t>
            </w:r>
            <w:r>
              <w:rPr>
                <w:rStyle w:val="VerbatimChar"/>
                <w:sz w:val="18"/>
              </w:rPr>
              <w:t xml:space="preserve">Account › Plans and billing › Change plan</w:t>
            </w:r>
          </w:p>
        </w:tc>
      </w:tr>
      <w:tr>
        <w:tc>
          <w:tcPr>
            <w:tcW w:w="1368" w:type="dxa"/>
          </w:tcPr>
          <w:p>
            <w:pPr>
              <w:pStyle w:val="Compact"/>
              <w:spacing w:after="40"/>
              <w:jc w:val="left"/>
            </w:pPr>
            <w:r>
              <w:rPr>
                <w:sz w:val="18"/>
              </w:rPr>
              <w:t xml:space="preserve">Preview</w:t>
            </w:r>
          </w:p>
        </w:tc>
        <w:tc>
          <w:tcPr>
            <w:tcW w:w="3775" w:type="dxa"/>
          </w:tcPr>
          <w:p>
            <w:pPr>
              <w:pStyle w:val="Compact"/>
              <w:spacing w:after="40"/>
              <w:jc w:val="left"/>
            </w:pPr>
            <w:r>
              <w:rPr>
                <w:sz w:val="18"/>
              </w:rPr>
              <w:t xml:space="preserve">Proration preview from OH8: credit for the unused current period, charge for the new plan from the effective date, GST, next invoice date</w:t>
            </w:r>
          </w:p>
        </w:tc>
        <w:tc>
          <w:tcPr>
            <w:tcW w:w="4495" w:type="dxa"/>
          </w:tcPr>
          <w:p>
            <w:pPr>
              <w:pStyle w:val="Compact"/>
              <w:spacing w:after="40"/>
              <w:jc w:val="left"/>
            </w:pPr>
            <w:r>
              <w:rPr>
                <w:sz w:val="18"/>
              </w:rPr>
              <w:t xml:space="preserve">Upgrade: (new price − current price) × remaining days ÷ days in period, in paise, rounded half up, plus GST, shown as one total before confirmation; downgrade: effective at period end, no charge</w:t>
            </w:r>
          </w:p>
        </w:tc>
      </w:tr>
      <w:tr>
        <w:tc>
          <w:tcPr>
            <w:tcW w:w="1368" w:type="dxa"/>
          </w:tcPr>
          <w:p>
            <w:pPr>
              <w:pStyle w:val="Compact"/>
              <w:spacing w:after="40"/>
              <w:jc w:val="left"/>
            </w:pPr>
            <w:r>
              <w:rPr>
                <w:sz w:val="18"/>
              </w:rPr>
              <w:t xml:space="preserve">Approve or consent</w:t>
            </w:r>
          </w:p>
        </w:tc>
        <w:tc>
          <w:tcPr>
            <w:tcW w:w="3775" w:type="dxa"/>
          </w:tcPr>
          <w:p>
            <w:pPr>
              <w:pStyle w:val="Compact"/>
              <w:spacing w:after="40"/>
              <w:jc w:val="left"/>
            </w:pPr>
            <w:r>
              <w:rPr>
                <w:sz w:val="18"/>
              </w:rPr>
              <w:t xml:space="preserve">RE checker, then Udofin approver (maker-checker on both sides); a new deal version (UP2)</w:t>
            </w:r>
          </w:p>
        </w:tc>
        <w:tc>
          <w:tcPr>
            <w:tcW w:w="4495" w:type="dxa"/>
          </w:tcPr>
          <w:p>
            <w:pPr>
              <w:pStyle w:val="Compact"/>
              <w:spacing w:after="40"/>
              <w:jc w:val="left"/>
            </w:pPr>
            <w:r>
              <w:rPr>
                <w:sz w:val="18"/>
              </w:rPr>
              <w:t xml:space="preserve">Explicit consent to the new plan terms (default No)</w:t>
            </w:r>
          </w:p>
        </w:tc>
      </w:tr>
      <w:tr>
        <w:tc>
          <w:tcPr>
            <w:tcW w:w="1368" w:type="dxa"/>
          </w:tcPr>
          <w:p>
            <w:pPr>
              <w:pStyle w:val="Compact"/>
              <w:spacing w:after="40"/>
              <w:jc w:val="left"/>
            </w:pPr>
            <w:r>
              <w:rPr>
                <w:sz w:val="18"/>
              </w:rPr>
              <w:t xml:space="preserve">Mandate</w:t>
            </w:r>
          </w:p>
        </w:tc>
        <w:tc>
          <w:tcPr>
            <w:tcW w:w="3775" w:type="dxa"/>
          </w:tcPr>
          <w:p>
            <w:pPr>
              <w:pStyle w:val="Compact"/>
              <w:spacing w:after="40"/>
              <w:jc w:val="left"/>
            </w:pPr>
            <w:r>
              <w:rPr>
                <w:sz w:val="18"/>
              </w:rPr>
              <w:t xml:space="preserve">RE payment method unchanged unless the RE edits it</w:t>
            </w:r>
          </w:p>
        </w:tc>
        <w:tc>
          <w:tcPr>
            <w:tcW w:w="4495" w:type="dxa"/>
          </w:tcPr>
          <w:p>
            <w:pPr>
              <w:pStyle w:val="Compact"/>
              <w:spacing w:after="40"/>
              <w:jc w:val="left"/>
            </w:pPr>
            <w:r>
              <w:rPr>
                <w:sz w:val="18"/>
              </w:rPr>
              <w:t xml:space="preserve">If the new price exceeds the mandate cap (RV3.3), a fresh mandate is authorised first; the old mandate is cancelled only after the new one is active</w:t>
            </w:r>
          </w:p>
        </w:tc>
      </w:tr>
      <w:tr>
        <w:tc>
          <w:tcPr>
            <w:tcW w:w="1368" w:type="dxa"/>
          </w:tcPr>
          <w:p>
            <w:pPr>
              <w:pStyle w:val="Compact"/>
              <w:spacing w:after="40"/>
              <w:jc w:val="left"/>
            </w:pPr>
            <w:r>
              <w:rPr>
                <w:sz w:val="18"/>
              </w:rPr>
              <w:t xml:space="preserve">Effective</w:t>
            </w:r>
          </w:p>
        </w:tc>
        <w:tc>
          <w:tcPr>
            <w:tcW w:w="3775" w:type="dxa"/>
          </w:tcPr>
          <w:p>
            <w:pPr>
              <w:pStyle w:val="Compact"/>
              <w:spacing w:after="40"/>
              <w:jc w:val="left"/>
            </w:pPr>
            <w:r>
              <w:rPr>
                <w:sz w:val="18"/>
              </w:rPr>
              <w:t xml:space="preserve">On OH8’s signed</w:t>
            </w:r>
            <w:r>
              <w:rPr>
                <w:sz w:val="18"/>
              </w:rPr>
              <w:t xml:space="preserve"> </w:t>
            </w:r>
            <w:r>
              <w:rPr>
                <w:rStyle w:val="VerbatimChar"/>
                <w:sz w:val="18"/>
              </w:rPr>
              <w:t xml:space="preserve">EntitlementChanged</w:t>
            </w:r>
            <w:r>
              <w:rPr>
                <w:sz w:val="18"/>
              </w:rPr>
              <w:t xml:space="preserve">; default effective date is the first day of the next billing period, mid-period only if the RE asks</w:t>
            </w:r>
          </w:p>
        </w:tc>
        <w:tc>
          <w:tcPr>
            <w:tcW w:w="4495" w:type="dxa"/>
          </w:tcPr>
          <w:p>
            <w:pPr>
              <w:pStyle w:val="Compact"/>
              <w:spacing w:after="40"/>
              <w:jc w:val="left"/>
            </w:pPr>
            <w:r>
              <w:rPr>
                <w:sz w:val="18"/>
              </w:rPr>
              <w:t xml:space="preserve">Upgrade immediately after the prorated charge is captured; downgrade at period end</w:t>
            </w:r>
          </w:p>
        </w:tc>
      </w:tr>
      <w:tr>
        <w:tc>
          <w:tcPr>
            <w:tcW w:w="1368" w:type="dxa"/>
          </w:tcPr>
          <w:p>
            <w:pPr>
              <w:pStyle w:val="Compact"/>
              <w:spacing w:after="40"/>
              <w:jc w:val="left"/>
            </w:pPr>
            <w:r>
              <w:rPr>
                <w:sz w:val="18"/>
              </w:rPr>
              <w:t xml:space="preserve">Failure</w:t>
            </w:r>
          </w:p>
        </w:tc>
        <w:tc>
          <w:tcPr>
            <w:tcW w:w="3775" w:type="dxa"/>
          </w:tcPr>
          <w:p>
            <w:pPr>
              <w:pStyle w:val="Compact"/>
              <w:spacing w:after="40"/>
              <w:jc w:val="left"/>
            </w:pPr>
            <w:r>
              <w:rPr>
                <w:sz w:val="18"/>
              </w:rPr>
              <w:t xml:space="preserve">OH8 rejection or signature failure: request returns to</w:t>
            </w:r>
            <w:r>
              <w:rPr>
                <w:sz w:val="18"/>
              </w:rPr>
              <w:t xml:space="preserve"> </w:t>
            </w:r>
            <w:r>
              <w:rPr>
                <w:rStyle w:val="VerbatimChar"/>
                <w:sz w:val="18"/>
              </w:rPr>
              <w:t xml:space="preserve">REQUESTED</w:t>
            </w:r>
            <w:r>
              <w:rPr>
                <w:sz w:val="18"/>
              </w:rPr>
              <w:t xml:space="preserve"> </w:t>
            </w:r>
            <w:r>
              <w:rPr>
                <w:sz w:val="18"/>
              </w:rPr>
              <w:t xml:space="preserve">with the reason; entitlements unchanged</w:t>
            </w:r>
          </w:p>
        </w:tc>
        <w:tc>
          <w:tcPr>
            <w:tcW w:w="4495" w:type="dxa"/>
          </w:tcPr>
          <w:p>
            <w:pPr>
              <w:pStyle w:val="Compact"/>
              <w:spacing w:after="40"/>
              <w:jc w:val="left"/>
            </w:pPr>
            <w:r>
              <w:rPr>
                <w:sz w:val="18"/>
              </w:rPr>
              <w:t xml:space="preserve">Mandate authorisation or prorated charge fails: the consumer stays on the current plan, no partial change, retry offered; a credit note issues for any captured amount later reversed</w:t>
            </w:r>
          </w:p>
        </w:tc>
      </w:tr>
    </w:tbl>
    <w:p>
      <w:pPr>
        <w:pStyle w:val="BodyText"/>
      </w:pPr>
      <w:r>
        <w:rPr>
          <w:bCs/>
          <w:b/>
        </w:rPr>
        <w:t xml:space="preserve">States:</w:t>
      </w:r>
      <w:r>
        <w:t xml:space="preserve"> </w:t>
      </w:r>
      <w:r>
        <w:rPr>
          <w:rStyle w:val="VerbatimChar"/>
        </w:rPr>
        <w:t xml:space="preserve">REQUESTED → PRICED → APPROVED</w:t>
      </w:r>
      <w:r>
        <w:t xml:space="preserve"> </w:t>
      </w:r>
      <w:r>
        <w:t xml:space="preserve">(B2B) or</w:t>
      </w:r>
      <w:r>
        <w:t xml:space="preserve"> </w:t>
      </w:r>
      <w:r>
        <w:rPr>
          <w:rStyle w:val="VerbatimChar"/>
        </w:rPr>
        <w:t xml:space="preserve">CONSENTED</w:t>
      </w:r>
      <w:r>
        <w:t xml:space="preserve"> </w:t>
      </w:r>
      <w:r>
        <w:t xml:space="preserve">(B2C)</w:t>
      </w:r>
      <w:r>
        <w:t xml:space="preserve"> </w:t>
      </w:r>
      <w:r>
        <w:rPr>
          <w:rStyle w:val="VerbatimChar"/>
        </w:rPr>
        <w:t xml:space="preserve">→ MANDATE_UPDATED</w:t>
      </w:r>
      <w:r>
        <w:t xml:space="preserve"> </w:t>
      </w:r>
      <w:r>
        <w:t xml:space="preserve">(where needed)</w:t>
      </w:r>
      <w:r>
        <w:t xml:space="preserve"> </w:t>
      </w:r>
      <w:r>
        <w:rPr>
          <w:rStyle w:val="VerbatimChar"/>
        </w:rPr>
        <w:t xml:space="preserve">→ EFFECTIVE</w:t>
      </w:r>
      <w:r>
        <w:t xml:space="preserve">, with</w:t>
      </w:r>
      <w:r>
        <w:t xml:space="preserve"> </w:t>
      </w:r>
      <w:r>
        <w:rPr>
          <w:rStyle w:val="VerbatimChar"/>
        </w:rPr>
        <w:t xml:space="preserve">REJECTED</w:t>
      </w:r>
      <w:r>
        <w:t xml:space="preserve">,</w:t>
      </w:r>
      <w:r>
        <w:t xml:space="preserve"> </w:t>
      </w:r>
      <w:r>
        <w:rPr>
          <w:rStyle w:val="VerbatimChar"/>
        </w:rPr>
        <w:t xml:space="preserve">WITHDRAWN</w:t>
      </w:r>
      <w:r>
        <w:t xml:space="preserve"> </w:t>
      </w:r>
      <w:r>
        <w:t xml:space="preserve">and</w:t>
      </w:r>
      <w:r>
        <w:t xml:space="preserve"> </w:t>
      </w:r>
      <w:r>
        <w:rPr>
          <w:rStyle w:val="VerbatimChar"/>
        </w:rPr>
        <w:t xml:space="preserve">FAILED</w:t>
      </w:r>
      <w:r>
        <w:t xml:space="preserve">; a priced preview expires at its</w:t>
      </w:r>
      <w:r>
        <w:t xml:space="preserve"> </w:t>
      </w:r>
      <w:r>
        <w:rPr>
          <w:rStyle w:val="VerbatimChar"/>
        </w:rPr>
        <w:t xml:space="preserve">valid_until</w:t>
      </w:r>
      <w:r>
        <w:t xml:space="preserve"> </w:t>
      </w:r>
      <w:r>
        <w:t xml:space="preserve">(Integration Spec 6.27: default 7 days for RE quotes priced by OH8; 24 hours for borrower plans priced by Udofin’s own billing) and must then be recomputed.</w:t>
      </w:r>
    </w:p>
    <w:bookmarkEnd w:id="347"/>
    <w:bookmarkStart w:id="348" w:name="settings-and-options-rv2"/>
    <w:p>
      <w:pPr>
        <w:pStyle w:val="Heading3"/>
      </w:pPr>
      <w:r>
        <w:t xml:space="preserve">Settings and options (RV2)</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66"/>
        <w:gridCol w:w="1291"/>
        <w:gridCol w:w="2490"/>
        <w:gridCol w:w="2991"/>
      </w:tblGrid>
      <w:tr>
        <w:trPr>
          <w:tblHeader w:val="true"/>
          <w:tblHeader w:val="true"/>
        </w:trPr>
        <w:tc>
          <w:tcPr>
            <w:tcW w:w="2866" w:type="dxa"/>
            <w:shd w:val="clear" w:color="auto" w:fill="1F3A5F"/>
          </w:tcPr>
          <w:p>
            <w:pPr>
              <w:pStyle w:val="Compact"/>
              <w:spacing w:after="40"/>
              <w:jc w:val="left"/>
            </w:pPr>
            <w:r>
              <w:rPr>
                <w:b/>
                <w:color w:val="FFFFFF"/>
                <w:sz w:val="18"/>
              </w:rPr>
              <w:t xml:space="preserve">Setting</w:t>
            </w:r>
          </w:p>
        </w:tc>
        <w:tc>
          <w:tcPr>
            <w:tcW w:w="1291" w:type="dxa"/>
            <w:shd w:val="clear" w:color="auto" w:fill="1F3A5F"/>
          </w:tcPr>
          <w:p>
            <w:pPr>
              <w:pStyle w:val="Compact"/>
              <w:spacing w:after="40"/>
              <w:jc w:val="left"/>
            </w:pPr>
            <w:r>
              <w:rPr>
                <w:b/>
                <w:color w:val="FFFFFF"/>
                <w:sz w:val="18"/>
              </w:rPr>
              <w:t xml:space="preserve">Level</w:t>
            </w:r>
          </w:p>
        </w:tc>
        <w:tc>
          <w:tcPr>
            <w:tcW w:w="2490" w:type="dxa"/>
            <w:shd w:val="clear" w:color="auto" w:fill="1F3A5F"/>
          </w:tcPr>
          <w:p>
            <w:pPr>
              <w:pStyle w:val="Compact"/>
              <w:spacing w:after="40"/>
              <w:jc w:val="left"/>
            </w:pPr>
            <w:r>
              <w:rPr>
                <w:b/>
                <w:color w:val="FFFFFF"/>
                <w:sz w:val="18"/>
              </w:rPr>
              <w:t xml:space="preserve">Default</w:t>
            </w:r>
          </w:p>
        </w:tc>
        <w:tc>
          <w:tcPr>
            <w:tcW w:w="2991" w:type="dxa"/>
            <w:shd w:val="clear" w:color="auto" w:fill="1F3A5F"/>
          </w:tcPr>
          <w:p>
            <w:pPr>
              <w:pStyle w:val="Compact"/>
              <w:spacing w:after="40"/>
              <w:jc w:val="left"/>
            </w:pPr>
            <w:r>
              <w:rPr>
                <w:b/>
                <w:color w:val="FFFFFF"/>
                <w:sz w:val="18"/>
              </w:rPr>
              <w:t xml:space="preserve">Nature</w:t>
            </w:r>
          </w:p>
        </w:tc>
      </w:tr>
      <w:tr>
        <w:tc>
          <w:tcPr>
            <w:tcW w:w="2866" w:type="dxa"/>
          </w:tcPr>
          <w:p>
            <w:pPr>
              <w:pStyle w:val="Compact"/>
              <w:spacing w:after="40"/>
              <w:jc w:val="left"/>
            </w:pPr>
            <w:r>
              <w:rPr>
                <w:sz w:val="18"/>
              </w:rPr>
              <w:t xml:space="preserve">Fixed statements on billing and plan screens</w:t>
            </w:r>
          </w:p>
        </w:tc>
        <w:tc>
          <w:tcPr>
            <w:tcW w:w="1291" w:type="dxa"/>
          </w:tcPr>
          <w:p>
            <w:pPr>
              <w:pStyle w:val="Compact"/>
              <w:spacing w:after="40"/>
              <w:jc w:val="left"/>
            </w:pPr>
            <w:r>
              <w:rPr>
                <w:sz w:val="18"/>
              </w:rPr>
              <w:t xml:space="preserve">Platform</w:t>
            </w:r>
          </w:p>
        </w:tc>
        <w:tc>
          <w:tcPr>
            <w:tcW w:w="2490" w:type="dxa"/>
          </w:tcPr>
          <w:p>
            <w:pPr>
              <w:pStyle w:val="Compact"/>
              <w:spacing w:after="40"/>
              <w:jc w:val="left"/>
            </w:pPr>
            <w:r>
              <w:rPr>
                <w:sz w:val="18"/>
              </w:rPr>
              <w:t xml:space="preserve">RV2.2 and RV2.3 texts</w:t>
            </w:r>
          </w:p>
        </w:tc>
        <w:tc>
          <w:tcPr>
            <w:tcW w:w="2991" w:type="dxa"/>
          </w:tcPr>
          <w:p>
            <w:pPr>
              <w:pStyle w:val="Compact"/>
              <w:spacing w:after="40"/>
              <w:jc w:val="left"/>
            </w:pPr>
            <w:r>
              <w:rPr>
                <w:sz w:val="18"/>
              </w:rPr>
              <w:t xml:space="preserve">Floor; a theme cannot hide or restyle them</w:t>
            </w:r>
          </w:p>
        </w:tc>
      </w:tr>
      <w:tr>
        <w:tc>
          <w:tcPr>
            <w:tcW w:w="2866" w:type="dxa"/>
          </w:tcPr>
          <w:p>
            <w:pPr>
              <w:pStyle w:val="Compact"/>
              <w:spacing w:after="40"/>
              <w:jc w:val="left"/>
            </w:pPr>
            <w:r>
              <w:rPr>
                <w:sz w:val="18"/>
              </w:rPr>
              <w:t xml:space="preserve">Billing contacts, GSTIN, PAN, place of supply, PO numbers</w:t>
            </w:r>
          </w:p>
        </w:tc>
        <w:tc>
          <w:tcPr>
            <w:tcW w:w="1291" w:type="dxa"/>
          </w:tcPr>
          <w:p>
            <w:pPr>
              <w:pStyle w:val="Compact"/>
              <w:spacing w:after="40"/>
              <w:jc w:val="left"/>
            </w:pPr>
            <w:r>
              <w:rPr>
                <w:sz w:val="18"/>
              </w:rPr>
              <w:t xml:space="preserve">RE</w:t>
            </w:r>
          </w:p>
        </w:tc>
        <w:tc>
          <w:tcPr>
            <w:tcW w:w="2490" w:type="dxa"/>
          </w:tcPr>
          <w:p>
            <w:pPr>
              <w:pStyle w:val="Compact"/>
              <w:spacing w:after="40"/>
              <w:jc w:val="left"/>
            </w:pPr>
            <w:r>
              <w:rPr>
                <w:sz w:val="18"/>
              </w:rPr>
              <w:t xml:space="preserve">From onboarding</w:t>
            </w:r>
          </w:p>
        </w:tc>
        <w:tc>
          <w:tcPr>
            <w:tcW w:w="2991" w:type="dxa"/>
          </w:tcPr>
          <w:p>
            <w:pPr>
              <w:pStyle w:val="Compact"/>
              <w:spacing w:after="40"/>
              <w:jc w:val="left"/>
            </w:pPr>
            <w:r>
              <w:rPr>
                <w:sz w:val="18"/>
              </w:rPr>
              <w:t xml:space="preserve">RE choice with maker-checker</w:t>
            </w:r>
          </w:p>
        </w:tc>
      </w:tr>
      <w:tr>
        <w:tc>
          <w:tcPr>
            <w:tcW w:w="2866" w:type="dxa"/>
          </w:tcPr>
          <w:p>
            <w:pPr>
              <w:pStyle w:val="Compact"/>
              <w:spacing w:after="40"/>
              <w:jc w:val="left"/>
            </w:pPr>
            <w:r>
              <w:rPr>
                <w:sz w:val="18"/>
              </w:rPr>
              <w:t xml:space="preserve">Invoice delivery</w:t>
            </w:r>
          </w:p>
        </w:tc>
        <w:tc>
          <w:tcPr>
            <w:tcW w:w="1291" w:type="dxa"/>
          </w:tcPr>
          <w:p>
            <w:pPr>
              <w:pStyle w:val="Compact"/>
              <w:spacing w:after="40"/>
              <w:jc w:val="left"/>
            </w:pPr>
            <w:r>
              <w:rPr>
                <w:sz w:val="18"/>
              </w:rPr>
              <w:t xml:space="preserve">RE</w:t>
            </w:r>
          </w:p>
        </w:tc>
        <w:tc>
          <w:tcPr>
            <w:tcW w:w="2490" w:type="dxa"/>
          </w:tcPr>
          <w:p>
            <w:pPr>
              <w:pStyle w:val="Compact"/>
              <w:spacing w:after="40"/>
              <w:jc w:val="left"/>
            </w:pPr>
            <w:r>
              <w:rPr>
                <w:sz w:val="18"/>
              </w:rPr>
              <w:t xml:space="preserve">Lender portal and email to billing contacts</w:t>
            </w:r>
          </w:p>
        </w:tc>
        <w:tc>
          <w:tcPr>
            <w:tcW w:w="2991" w:type="dxa"/>
          </w:tcPr>
          <w:p>
            <w:pPr>
              <w:pStyle w:val="Compact"/>
              <w:spacing w:after="40"/>
              <w:jc w:val="left"/>
            </w:pPr>
            <w:r>
              <w:rPr>
                <w:sz w:val="18"/>
              </w:rPr>
              <w:t xml:space="preserve">RE choice</w:t>
            </w:r>
          </w:p>
        </w:tc>
      </w:tr>
      <w:tr>
        <w:tc>
          <w:tcPr>
            <w:tcW w:w="2866" w:type="dxa"/>
          </w:tcPr>
          <w:p>
            <w:pPr>
              <w:pStyle w:val="Compact"/>
              <w:spacing w:after="40"/>
              <w:jc w:val="left"/>
            </w:pPr>
            <w:r>
              <w:rPr>
                <w:sz w:val="18"/>
              </w:rPr>
              <w:t xml:space="preserve">Plan-change effective date</w:t>
            </w:r>
          </w:p>
        </w:tc>
        <w:tc>
          <w:tcPr>
            <w:tcW w:w="1291" w:type="dxa"/>
          </w:tcPr>
          <w:p>
            <w:pPr>
              <w:pStyle w:val="Compact"/>
              <w:spacing w:after="40"/>
              <w:jc w:val="left"/>
            </w:pPr>
            <w:r>
              <w:rPr>
                <w:sz w:val="18"/>
              </w:rPr>
              <w:t xml:space="preserve">RE</w:t>
            </w:r>
          </w:p>
        </w:tc>
        <w:tc>
          <w:tcPr>
            <w:tcW w:w="2490" w:type="dxa"/>
          </w:tcPr>
          <w:p>
            <w:pPr>
              <w:pStyle w:val="Compact"/>
              <w:spacing w:after="40"/>
              <w:jc w:val="left"/>
            </w:pPr>
            <w:r>
              <w:rPr>
                <w:sz w:val="18"/>
              </w:rPr>
              <w:t xml:space="preserve">Next billing period</w:t>
            </w:r>
          </w:p>
        </w:tc>
        <w:tc>
          <w:tcPr>
            <w:tcW w:w="2991" w:type="dxa"/>
          </w:tcPr>
          <w:p>
            <w:pPr>
              <w:pStyle w:val="Compact"/>
              <w:spacing w:after="40"/>
              <w:jc w:val="left"/>
            </w:pPr>
            <w:r>
              <w:rPr>
                <w:sz w:val="18"/>
              </w:rPr>
              <w:t xml:space="preserve">RE may request mid-period</w:t>
            </w:r>
          </w:p>
        </w:tc>
      </w:tr>
      <w:tr>
        <w:tc>
          <w:tcPr>
            <w:tcW w:w="2866" w:type="dxa"/>
          </w:tcPr>
          <w:p>
            <w:pPr>
              <w:pStyle w:val="Compact"/>
              <w:spacing w:after="40"/>
              <w:jc w:val="left"/>
            </w:pPr>
            <w:r>
              <w:rPr>
                <w:sz w:val="18"/>
              </w:rPr>
              <w:t xml:space="preserve">Consumer trial end</w:t>
            </w:r>
          </w:p>
        </w:tc>
        <w:tc>
          <w:tcPr>
            <w:tcW w:w="1291" w:type="dxa"/>
          </w:tcPr>
          <w:p>
            <w:pPr>
              <w:pStyle w:val="Compact"/>
              <w:spacing w:after="40"/>
              <w:jc w:val="left"/>
            </w:pPr>
            <w:r>
              <w:rPr>
                <w:sz w:val="18"/>
              </w:rPr>
              <w:t xml:space="preserve">Platform</w:t>
            </w:r>
          </w:p>
        </w:tc>
        <w:tc>
          <w:tcPr>
            <w:tcW w:w="2490" w:type="dxa"/>
          </w:tcPr>
          <w:p>
            <w:pPr>
              <w:pStyle w:val="Compact"/>
              <w:spacing w:after="40"/>
              <w:jc w:val="left"/>
            </w:pPr>
            <w:r>
              <w:rPr>
                <w:sz w:val="18"/>
              </w:rPr>
              <w:t xml:space="preserve">Ask the consumer; never auto-convert</w:t>
            </w:r>
          </w:p>
        </w:tc>
        <w:tc>
          <w:tcPr>
            <w:tcW w:w="2991" w:type="dxa"/>
          </w:tcPr>
          <w:p>
            <w:pPr>
              <w:pStyle w:val="Compact"/>
              <w:spacing w:after="40"/>
              <w:jc w:val="left"/>
            </w:pPr>
            <w:r>
              <w:rPr>
                <w:sz w:val="18"/>
              </w:rPr>
              <w:t xml:space="preserve">Floor</w:t>
            </w:r>
          </w:p>
        </w:tc>
      </w:tr>
      <w:tr>
        <w:tc>
          <w:tcPr>
            <w:tcW w:w="2866" w:type="dxa"/>
          </w:tcPr>
          <w:p>
            <w:pPr>
              <w:pStyle w:val="Compact"/>
              <w:spacing w:after="40"/>
              <w:jc w:val="left"/>
            </w:pPr>
            <w:r>
              <w:rPr>
                <w:sz w:val="18"/>
              </w:rPr>
              <w:t xml:space="preserve">Consumer renewal reminders</w:t>
            </w:r>
          </w:p>
        </w:tc>
        <w:tc>
          <w:tcPr>
            <w:tcW w:w="1291" w:type="dxa"/>
          </w:tcPr>
          <w:p>
            <w:pPr>
              <w:pStyle w:val="Compact"/>
              <w:spacing w:after="40"/>
              <w:jc w:val="left"/>
            </w:pPr>
            <w:r>
              <w:rPr>
                <w:sz w:val="18"/>
              </w:rPr>
              <w:t xml:space="preserve">Consumer</w:t>
            </w:r>
          </w:p>
        </w:tc>
        <w:tc>
          <w:tcPr>
            <w:tcW w:w="2490" w:type="dxa"/>
          </w:tcPr>
          <w:p>
            <w:pPr>
              <w:pStyle w:val="Compact"/>
              <w:spacing w:after="40"/>
              <w:jc w:val="left"/>
            </w:pPr>
            <w:r>
              <w:rPr>
                <w:sz w:val="18"/>
              </w:rPr>
              <w:t xml:space="preserve">7 days and 1 day before renewal</w:t>
            </w:r>
          </w:p>
        </w:tc>
        <w:tc>
          <w:tcPr>
            <w:tcW w:w="2991" w:type="dxa"/>
          </w:tcPr>
          <w:p>
            <w:pPr>
              <w:pStyle w:val="Compact"/>
              <w:spacing w:after="40"/>
              <w:jc w:val="left"/>
            </w:pPr>
            <w:r>
              <w:rPr>
                <w:sz w:val="18"/>
              </w:rPr>
              <w:t xml:space="preserve">Consumer may add channels, not switch off the pre-debit notice</w:t>
            </w:r>
          </w:p>
        </w:tc>
      </w:tr>
      <w:tr>
        <w:tc>
          <w:tcPr>
            <w:tcW w:w="2866" w:type="dxa"/>
          </w:tcPr>
          <w:p>
            <w:pPr>
              <w:pStyle w:val="Compact"/>
              <w:spacing w:after="40"/>
              <w:jc w:val="left"/>
            </w:pPr>
            <w:r>
              <w:rPr>
                <w:sz w:val="18"/>
              </w:rPr>
              <w:t xml:space="preserve">Pause plan</w:t>
            </w:r>
          </w:p>
        </w:tc>
        <w:tc>
          <w:tcPr>
            <w:tcW w:w="1291" w:type="dxa"/>
          </w:tcPr>
          <w:p>
            <w:pPr>
              <w:pStyle w:val="Compact"/>
              <w:spacing w:after="40"/>
              <w:jc w:val="left"/>
            </w:pPr>
            <w:r>
              <w:rPr>
                <w:sz w:val="18"/>
              </w:rPr>
              <w:t xml:space="preserve">Consumer</w:t>
            </w:r>
          </w:p>
        </w:tc>
        <w:tc>
          <w:tcPr>
            <w:tcW w:w="2490" w:type="dxa"/>
          </w:tcPr>
          <w:p>
            <w:pPr>
              <w:pStyle w:val="Compact"/>
              <w:spacing w:after="40"/>
              <w:jc w:val="left"/>
            </w:pPr>
            <w:r>
              <w:rPr>
                <w:sz w:val="18"/>
              </w:rPr>
              <w:t xml:space="preserve">Up to 2 months a year [REC]</w:t>
            </w:r>
          </w:p>
        </w:tc>
        <w:tc>
          <w:tcPr>
            <w:tcW w:w="2991" w:type="dxa"/>
          </w:tcPr>
          <w:p>
            <w:pPr>
              <w:pStyle w:val="Compact"/>
              <w:spacing w:after="40"/>
              <w:jc w:val="left"/>
            </w:pPr>
            <w:r>
              <w:rPr>
                <w:sz w:val="18"/>
              </w:rPr>
              <w:t xml:space="preserve">Commercial choice</w:t>
            </w:r>
          </w:p>
        </w:tc>
      </w:tr>
    </w:tbl>
    <w:bookmarkEnd w:id="348"/>
    <w:bookmarkStart w:id="349" w:name="menu-and-screens-14"/>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625"/>
        <w:gridCol w:w="4547"/>
        <w:gridCol w:w="2466"/>
      </w:tblGrid>
      <w:tr>
        <w:trPr>
          <w:tblHeader w:val="true"/>
          <w:tblHeader w:val="true"/>
        </w:trPr>
        <w:tc>
          <w:tcPr>
            <w:tcW w:w="2625" w:type="dxa"/>
            <w:shd w:val="clear" w:color="auto" w:fill="1F3A5F"/>
          </w:tcPr>
          <w:p>
            <w:pPr>
              <w:pStyle w:val="Compact"/>
              <w:spacing w:after="40"/>
              <w:jc w:val="left"/>
            </w:pPr>
            <w:r>
              <w:rPr>
                <w:b/>
                <w:color w:val="FFFFFF"/>
                <w:sz w:val="18"/>
              </w:rPr>
              <w:t xml:space="preserve">Channel and path</w:t>
            </w:r>
          </w:p>
        </w:tc>
        <w:tc>
          <w:tcPr>
            <w:tcW w:w="4547" w:type="dxa"/>
            <w:shd w:val="clear" w:color="auto" w:fill="1F3A5F"/>
          </w:tcPr>
          <w:p>
            <w:pPr>
              <w:pStyle w:val="Compact"/>
              <w:spacing w:after="40"/>
              <w:jc w:val="left"/>
            </w:pPr>
            <w:r>
              <w:rPr>
                <w:b/>
                <w:color w:val="FFFFFF"/>
                <w:sz w:val="18"/>
              </w:rPr>
              <w:t xml:space="preserve">Main screens and key actions</w:t>
            </w:r>
          </w:p>
        </w:tc>
        <w:tc>
          <w:tcPr>
            <w:tcW w:w="2466" w:type="dxa"/>
            <w:shd w:val="clear" w:color="auto" w:fill="1F3A5F"/>
          </w:tcPr>
          <w:p>
            <w:pPr>
              <w:pStyle w:val="Compact"/>
              <w:spacing w:after="40"/>
              <w:jc w:val="left"/>
            </w:pPr>
            <w:r>
              <w:rPr>
                <w:b/>
                <w:color w:val="FFFFFF"/>
                <w:sz w:val="18"/>
              </w:rPr>
              <w:t xml:space="preserve">Roles</w:t>
            </w:r>
          </w:p>
        </w:tc>
      </w:tr>
      <w:tr>
        <w:tc>
          <w:tcPr>
            <w:tcW w:w="2625" w:type="dxa"/>
          </w:tcPr>
          <w:p>
            <w:pPr>
              <w:pStyle w:val="Compact"/>
              <w:spacing w:after="40"/>
              <w:jc w:val="left"/>
            </w:pPr>
            <w:r>
              <w:rPr>
                <w:sz w:val="18"/>
              </w:rPr>
              <w:t xml:space="preserve">Lender portal (D):</w:t>
            </w:r>
            <w:r>
              <w:rPr>
                <w:sz w:val="18"/>
              </w:rPr>
              <w:t xml:space="preserve"> </w:t>
            </w:r>
            <w:r>
              <w:rPr>
                <w:rStyle w:val="VerbatimChar"/>
                <w:sz w:val="18"/>
              </w:rPr>
              <w:t xml:space="preserve">Billing and plan › Plan and deal</w:t>
            </w:r>
          </w:p>
        </w:tc>
        <w:tc>
          <w:tcPr>
            <w:tcW w:w="4547" w:type="dxa"/>
          </w:tcPr>
          <w:p>
            <w:pPr>
              <w:pStyle w:val="Compact"/>
              <w:spacing w:after="40"/>
              <w:jc w:val="left"/>
            </w:pPr>
            <w:r>
              <w:rPr>
                <w:sz w:val="18"/>
              </w:rPr>
              <w:t xml:space="preserve">Current deal version, streams, rates, modules and seats; plan explainer with the fixed statement</w:t>
            </w:r>
          </w:p>
        </w:tc>
        <w:tc>
          <w:tcPr>
            <w:tcW w:w="2466" w:type="dxa"/>
          </w:tcPr>
          <w:p>
            <w:pPr>
              <w:pStyle w:val="Compact"/>
              <w:spacing w:after="40"/>
              <w:jc w:val="left"/>
            </w:pPr>
            <w:r>
              <w:rPr>
                <w:sz w:val="18"/>
              </w:rPr>
              <w:t xml:space="preserve">RE finance and admin; all RE users with billing view</w:t>
            </w:r>
          </w:p>
        </w:tc>
      </w:tr>
      <w:tr>
        <w:tc>
          <w:tcPr>
            <w:tcW w:w="2625" w:type="dxa"/>
          </w:tcPr>
          <w:p>
            <w:pPr>
              <w:pStyle w:val="Compact"/>
              <w:spacing w:after="40"/>
              <w:jc w:val="left"/>
            </w:pPr>
            <w:r>
              <w:rPr>
                <w:sz w:val="18"/>
              </w:rPr>
              <w:t xml:space="preserve">D:</w:t>
            </w:r>
            <w:r>
              <w:rPr>
                <w:sz w:val="18"/>
              </w:rPr>
              <w:t xml:space="preserve"> </w:t>
            </w:r>
            <w:r>
              <w:rPr>
                <w:rStyle w:val="VerbatimChar"/>
                <w:sz w:val="18"/>
              </w:rPr>
              <w:t xml:space="preserve">Billing and plan › Usage</w:t>
            </w:r>
          </w:p>
        </w:tc>
        <w:tc>
          <w:tcPr>
            <w:tcW w:w="4547" w:type="dxa"/>
          </w:tcPr>
          <w:p>
            <w:pPr>
              <w:pStyle w:val="Compact"/>
              <w:spacing w:after="40"/>
              <w:jc w:val="left"/>
            </w:pPr>
            <w:r>
              <w:rPr>
                <w:sz w:val="18"/>
              </w:rPr>
              <w:t xml:space="preserve">Meters by month, drill-down with masked IDs, CSV and XLSX export</w:t>
            </w:r>
          </w:p>
        </w:tc>
        <w:tc>
          <w:tcPr>
            <w:tcW w:w="2466" w:type="dxa"/>
          </w:tcPr>
          <w:p>
            <w:pPr>
              <w:pStyle w:val="Compact"/>
              <w:spacing w:after="40"/>
              <w:jc w:val="left"/>
            </w:pPr>
            <w:r>
              <w:rPr>
                <w:sz w:val="18"/>
              </w:rPr>
              <w:t xml:space="preserve">RE finance</w:t>
            </w:r>
          </w:p>
        </w:tc>
      </w:tr>
      <w:tr>
        <w:tc>
          <w:tcPr>
            <w:tcW w:w="2625" w:type="dxa"/>
          </w:tcPr>
          <w:p>
            <w:pPr>
              <w:pStyle w:val="Compact"/>
              <w:spacing w:after="40"/>
              <w:jc w:val="left"/>
            </w:pPr>
            <w:r>
              <w:rPr>
                <w:sz w:val="18"/>
              </w:rPr>
              <w:t xml:space="preserve">D:</w:t>
            </w:r>
            <w:r>
              <w:rPr>
                <w:sz w:val="18"/>
              </w:rPr>
              <w:t xml:space="preserve"> </w:t>
            </w:r>
            <w:r>
              <w:rPr>
                <w:rStyle w:val="VerbatimChar"/>
                <w:sz w:val="18"/>
              </w:rPr>
              <w:t xml:space="preserve">Billing and plan › Invoices</w:t>
            </w:r>
          </w:p>
        </w:tc>
        <w:tc>
          <w:tcPr>
            <w:tcW w:w="4547" w:type="dxa"/>
          </w:tcPr>
          <w:p>
            <w:pPr>
              <w:pStyle w:val="Compact"/>
              <w:spacing w:after="40"/>
              <w:jc w:val="left"/>
            </w:pPr>
            <w:r>
              <w:rPr>
                <w:sz w:val="18"/>
              </w:rPr>
              <w:t xml:space="preserve">OH8 invoices and credit notes (PDF, IRN and QR), TDS fields,</w:t>
            </w:r>
            <w:r>
              <w:rPr>
                <w:sz w:val="18"/>
              </w:rPr>
              <w:t xml:space="preserve"> </w:t>
            </w:r>
            <w:r>
              <w:rPr>
                <w:sz w:val="18"/>
              </w:rPr>
              <w:t xml:space="preserve">“</w:t>
            </w:r>
            <w:r>
              <w:rPr>
                <w:sz w:val="18"/>
              </w:rPr>
              <w:t xml:space="preserve">dispute this invoice</w:t>
            </w:r>
            <w:r>
              <w:rPr>
                <w:sz w:val="18"/>
              </w:rPr>
              <w:t xml:space="preserve">”</w:t>
            </w:r>
            <w:r>
              <w:rPr>
                <w:sz w:val="18"/>
              </w:rPr>
              <w:t xml:space="preserve"> </w:t>
            </w:r>
            <w:r>
              <w:rPr>
                <w:sz w:val="18"/>
              </w:rPr>
              <w:t xml:space="preserve">opening an OH support ticket; filters by period and status</w:t>
            </w:r>
          </w:p>
        </w:tc>
        <w:tc>
          <w:tcPr>
            <w:tcW w:w="2466" w:type="dxa"/>
          </w:tcPr>
          <w:p>
            <w:pPr>
              <w:pStyle w:val="Compact"/>
              <w:spacing w:after="40"/>
              <w:jc w:val="left"/>
            </w:pPr>
            <w:r>
              <w:rPr>
                <w:sz w:val="18"/>
              </w:rPr>
              <w:t xml:space="preserve">RE finance</w:t>
            </w:r>
          </w:p>
        </w:tc>
      </w:tr>
      <w:tr>
        <w:tc>
          <w:tcPr>
            <w:tcW w:w="2625" w:type="dxa"/>
          </w:tcPr>
          <w:p>
            <w:pPr>
              <w:pStyle w:val="Compact"/>
              <w:spacing w:after="40"/>
              <w:jc w:val="left"/>
            </w:pPr>
            <w:r>
              <w:rPr>
                <w:sz w:val="18"/>
              </w:rPr>
              <w:t xml:space="preserve">D:</w:t>
            </w:r>
            <w:r>
              <w:rPr>
                <w:sz w:val="18"/>
              </w:rPr>
              <w:t xml:space="preserve"> </w:t>
            </w:r>
            <w:r>
              <w:rPr>
                <w:rStyle w:val="VerbatimChar"/>
                <w:sz w:val="18"/>
              </w:rPr>
              <w:t xml:space="preserve">Billing and plan › Payment methods</w:t>
            </w:r>
            <w:r>
              <w:rPr>
                <w:sz w:val="18"/>
              </w:rPr>
              <w:t xml:space="preserve"> </w:t>
            </w:r>
            <w:r>
              <w:rPr>
                <w:sz w:val="18"/>
              </w:rPr>
              <w:t xml:space="preserve">and</w:t>
            </w:r>
            <w:r>
              <w:rPr>
                <w:sz w:val="18"/>
              </w:rPr>
              <w:t xml:space="preserve"> </w:t>
            </w:r>
            <w:r>
              <w:rPr>
                <w:rStyle w:val="VerbatimChar"/>
                <w:sz w:val="18"/>
              </w:rPr>
              <w:t xml:space="preserve">› Change requests</w:t>
            </w:r>
          </w:p>
        </w:tc>
        <w:tc>
          <w:tcPr>
            <w:tcW w:w="4547" w:type="dxa"/>
          </w:tcPr>
          <w:p>
            <w:pPr>
              <w:pStyle w:val="Compact"/>
              <w:spacing w:after="40"/>
              <w:jc w:val="left"/>
            </w:pPr>
            <w:r>
              <w:rPr>
                <w:sz w:val="18"/>
              </w:rPr>
              <w:t xml:space="preserve">eNACH or virtual account set-up (via OH), change wizard with proration preview, approval queue, request history</w:t>
            </w:r>
          </w:p>
        </w:tc>
        <w:tc>
          <w:tcPr>
            <w:tcW w:w="2466" w:type="dxa"/>
          </w:tcPr>
          <w:p>
            <w:pPr>
              <w:pStyle w:val="Compact"/>
              <w:spacing w:after="40"/>
              <w:jc w:val="left"/>
            </w:pPr>
            <w:r>
              <w:rPr>
                <w:sz w:val="18"/>
              </w:rPr>
              <w:t xml:space="preserve">RE finance and admin (maker-checker)</w:t>
            </w:r>
          </w:p>
        </w:tc>
      </w:tr>
      <w:tr>
        <w:tc>
          <w:tcPr>
            <w:tcW w:w="2625" w:type="dxa"/>
          </w:tcPr>
          <w:p>
            <w:pPr>
              <w:pStyle w:val="Compact"/>
              <w:spacing w:after="40"/>
              <w:jc w:val="left"/>
            </w:pPr>
            <w:r>
              <w:rPr>
                <w:sz w:val="18"/>
              </w:rPr>
              <w:t xml:space="preserve">D:</w:t>
            </w:r>
            <w:r>
              <w:rPr>
                <w:sz w:val="18"/>
              </w:rPr>
              <w:t xml:space="preserve"> </w:t>
            </w:r>
            <w:r>
              <w:rPr>
                <w:rStyle w:val="VerbatimChar"/>
                <w:sz w:val="18"/>
              </w:rPr>
              <w:t xml:space="preserve">Billing and plan › Settings</w:t>
            </w:r>
          </w:p>
        </w:tc>
        <w:tc>
          <w:tcPr>
            <w:tcW w:w="4547" w:type="dxa"/>
          </w:tcPr>
          <w:p>
            <w:pPr>
              <w:pStyle w:val="Compact"/>
              <w:spacing w:after="40"/>
              <w:jc w:val="left"/>
            </w:pPr>
            <w:r>
              <w:rPr>
                <w:sz w:val="18"/>
              </w:rPr>
              <w:t xml:space="preserve">Billing contacts, GSTIN, PAN, place of supply, PO numbers, TDS certificate upload</w:t>
            </w:r>
          </w:p>
        </w:tc>
        <w:tc>
          <w:tcPr>
            <w:tcW w:w="2466" w:type="dxa"/>
          </w:tcPr>
          <w:p>
            <w:pPr>
              <w:pStyle w:val="Compact"/>
              <w:spacing w:after="40"/>
              <w:jc w:val="left"/>
            </w:pPr>
            <w:r>
              <w:rPr>
                <w:sz w:val="18"/>
              </w:rPr>
              <w:t xml:space="preserve">RE finance</w:t>
            </w:r>
          </w:p>
        </w:tc>
      </w:tr>
      <w:tr>
        <w:tc>
          <w:tcPr>
            <w:tcW w:w="2625" w:type="dxa"/>
          </w:tcPr>
          <w:p>
            <w:pPr>
              <w:pStyle w:val="Compact"/>
              <w:spacing w:after="40"/>
              <w:jc w:val="left"/>
            </w:pPr>
            <w:r>
              <w:rPr>
                <w:sz w:val="18"/>
              </w:rPr>
              <w:t xml:space="preserve">Borrower app and web (A, B):</w:t>
            </w:r>
            <w:r>
              <w:rPr>
                <w:sz w:val="18"/>
              </w:rPr>
              <w:t xml:space="preserve"> </w:t>
            </w:r>
            <w:r>
              <w:rPr>
                <w:rStyle w:val="VerbatimChar"/>
                <w:sz w:val="18"/>
              </w:rPr>
              <w:t xml:space="preserve">Account › Plans and billing</w:t>
            </w:r>
          </w:p>
        </w:tc>
        <w:tc>
          <w:tcPr>
            <w:tcW w:w="4547" w:type="dxa"/>
          </w:tcPr>
          <w:p>
            <w:pPr>
              <w:pStyle w:val="Compact"/>
              <w:spacing w:after="40"/>
              <w:jc w:val="left"/>
            </w:pPr>
            <w:r>
              <w:rPr>
                <w:sz w:val="18"/>
              </w:rPr>
              <w:t xml:space="preserve">Plans comparison (Free first), current plan, change plan with preview, cancel in one tap, invoices and credit notes, payment method, refund request; absent while S09 is inactive</w:t>
            </w:r>
          </w:p>
        </w:tc>
        <w:tc>
          <w:tcPr>
            <w:tcW w:w="2466" w:type="dxa"/>
          </w:tcPr>
          <w:p>
            <w:pPr>
              <w:pStyle w:val="Compact"/>
              <w:spacing w:after="40"/>
              <w:jc w:val="left"/>
            </w:pPr>
            <w:r>
              <w:rPr>
                <w:sz w:val="18"/>
              </w:rPr>
              <w:t xml:space="preserve">Consumer</w:t>
            </w:r>
          </w:p>
        </w:tc>
      </w:tr>
      <w:tr>
        <w:tc>
          <w:tcPr>
            <w:tcW w:w="2625" w:type="dxa"/>
          </w:tcPr>
          <w:p>
            <w:pPr>
              <w:pStyle w:val="Compact"/>
              <w:spacing w:after="40"/>
              <w:jc w:val="left"/>
            </w:pPr>
            <w:r>
              <w:rPr>
                <w:sz w:val="18"/>
              </w:rPr>
              <w:t xml:space="preserve">Operations portal (C):</w:t>
            </w:r>
            <w:r>
              <w:rPr>
                <w:sz w:val="18"/>
              </w:rPr>
              <w:t xml:space="preserve"> </w:t>
            </w:r>
            <w:r>
              <w:rPr>
                <w:rStyle w:val="VerbatimChar"/>
                <w:sz w:val="18"/>
              </w:rPr>
              <w:t xml:space="preserve">Finance › Billing operations</w:t>
            </w:r>
          </w:p>
        </w:tc>
        <w:tc>
          <w:tcPr>
            <w:tcW w:w="4547" w:type="dxa"/>
          </w:tcPr>
          <w:p>
            <w:pPr>
              <w:pStyle w:val="Compact"/>
              <w:spacing w:after="40"/>
              <w:jc w:val="left"/>
            </w:pPr>
            <w:r>
              <w:rPr>
                <w:sz w:val="18"/>
              </w:rPr>
              <w:t xml:space="preserve">Consumer subscriptions (masked), RE change requests awaiting Udofin approval, dunning status per RE (read access never affected)</w:t>
            </w:r>
          </w:p>
        </w:tc>
        <w:tc>
          <w:tcPr>
            <w:tcW w:w="2466" w:type="dxa"/>
          </w:tcPr>
          <w:p>
            <w:pPr>
              <w:pStyle w:val="Compact"/>
              <w:spacing w:after="40"/>
              <w:jc w:val="left"/>
            </w:pPr>
            <w:r>
              <w:rPr>
                <w:sz w:val="18"/>
              </w:rPr>
              <w:t xml:space="preserve">Finance operations</w:t>
            </w:r>
          </w:p>
        </w:tc>
      </w:tr>
    </w:tbl>
    <w:p>
      <w:pPr>
        <w:pStyle w:val="BodyText"/>
      </w:pPr>
      <w:r>
        <w:t xml:space="preserve">Empty and error states: a failed payment shows what happened, that the plan has not changed and what to do next; an RE in dunning sees a banner with the outstanding invoice and the statement that data access and borrower servicing continue.</w:t>
      </w:r>
    </w:p>
    <w:bookmarkEnd w:id="349"/>
    <w:bookmarkStart w:id="350" w:name="acceptance-tests-22"/>
    <w:p>
      <w:pPr>
        <w:pStyle w:val="Heading3"/>
      </w:pPr>
      <w:r>
        <w:t xml:space="preserve">Acceptance tests</w:t>
      </w:r>
    </w:p>
    <w:p>
      <w:pPr>
        <w:numPr>
          <w:ilvl w:val="0"/>
          <w:numId w:val="1212"/>
        </w:numPr>
        <w:pStyle w:val="Compact"/>
      </w:pPr>
      <w:r>
        <w:t xml:space="preserve">The borrower plan pages and checkout are unreachable while S09 is inactive.</w:t>
      </w:r>
    </w:p>
    <w:p>
      <w:pPr>
        <w:numPr>
          <w:ilvl w:val="0"/>
          <w:numId w:val="1212"/>
        </w:numPr>
        <w:pStyle w:val="Compact"/>
      </w:pPr>
      <w:r>
        <w:t xml:space="preserve">Every plan screen shows both fixed statements; a theme cannot hide them.</w:t>
      </w:r>
    </w:p>
    <w:p>
      <w:pPr>
        <w:numPr>
          <w:ilvl w:val="0"/>
          <w:numId w:val="1212"/>
        </w:numPr>
        <w:pStyle w:val="Compact"/>
      </w:pPr>
      <w:r>
        <w:t xml:space="preserve">Cancellation takes no more taps than purchase; the cancel flow has at most one skippable question.</w:t>
      </w:r>
    </w:p>
    <w:p>
      <w:pPr>
        <w:numPr>
          <w:ilvl w:val="0"/>
          <w:numId w:val="1212"/>
        </w:numPr>
        <w:pStyle w:val="Compact"/>
      </w:pPr>
      <w:r>
        <w:t xml:space="preserve">A trial ends without a charge unless the user actively chooses a paid plan.</w:t>
      </w:r>
    </w:p>
    <w:p>
      <w:pPr>
        <w:numPr>
          <w:ilvl w:val="0"/>
          <w:numId w:val="1212"/>
        </w:numPr>
        <w:pStyle w:val="Compact"/>
      </w:pPr>
      <w:r>
        <w:t xml:space="preserve">An RE in dunning can still view and export all its data and its borrowers can still service existing loans.</w:t>
      </w:r>
    </w:p>
    <w:p>
      <w:pPr>
        <w:numPr>
          <w:ilvl w:val="0"/>
          <w:numId w:val="1212"/>
        </w:numPr>
        <w:pStyle w:val="Compact"/>
      </w:pPr>
      <w:r>
        <w:t xml:space="preserve">No plan or billing entry point renders on any loan, offer, KFS, payment, overdue or grievance screen (route scan).</w:t>
      </w:r>
    </w:p>
    <w:p>
      <w:pPr>
        <w:numPr>
          <w:ilvl w:val="0"/>
          <w:numId w:val="1212"/>
        </w:numPr>
        <w:pStyle w:val="Compact"/>
      </w:pPr>
      <w:r>
        <w:t xml:space="preserve">An upgrade on day 10 of a 30-day ₹300 plan to a ₹600 plan previews and charges ₹200.00 plus GST once (replay of the request charges nothing more); a failed mandate authorisation leaves the old plan and mandate in force.</w:t>
      </w:r>
    </w:p>
    <w:p>
      <w:pPr>
        <w:numPr>
          <w:ilvl w:val="0"/>
          <w:numId w:val="1212"/>
        </w:numPr>
        <w:pStyle w:val="Compact"/>
      </w:pPr>
      <w:r>
        <w:t xml:space="preserve">An RE plan change takes effect only on a verified</w:t>
      </w:r>
      <w:r>
        <w:t xml:space="preserve"> </w:t>
      </w:r>
      <w:r>
        <w:rPr>
          <w:rStyle w:val="VerbatimChar"/>
        </w:rPr>
        <w:t xml:space="preserve">EntitlementChanged</w:t>
      </w:r>
      <w:r>
        <w:t xml:space="preserve">; RE non-payment produces a termination notice and a UP5 exit, never a hard cancel.</w:t>
      </w:r>
    </w:p>
    <w:p>
      <w:r>
        <w:pict>
          <v:rect style="width:0;height:1.5pt" o:hralign="center" o:hrstd="t" o:hr="t"/>
        </w:pict>
      </w:r>
    </w:p>
    <w:bookmarkEnd w:id="350"/>
    <w:bookmarkEnd w:id="351"/>
    <w:bookmarkStart w:id="362" w:name="rv3.-payments-via-razorpay"/>
    <w:p>
      <w:pPr>
        <w:pStyle w:val="Heading2"/>
      </w:pPr>
      <w:r>
        <w:t xml:space="preserve">RV3. Payments via Razorpay</w:t>
      </w:r>
    </w:p>
    <w:bookmarkStart w:id="352" w:name="rv3.1-separation-of-money"/>
    <w:p>
      <w:pPr>
        <w:pStyle w:val="Heading3"/>
      </w:pPr>
      <w:r>
        <w:t xml:space="preserve">RV3.1 Separation of money</w:t>
      </w:r>
    </w:p>
    <w:p>
      <w:pPr>
        <w:numPr>
          <w:ilvl w:val="0"/>
          <w:numId w:val="1213"/>
        </w:numPr>
        <w:pStyle w:val="Compact"/>
      </w:pPr>
      <w:r>
        <w:rPr>
          <w:bCs/>
          <w:b/>
        </w:rPr>
        <w:t xml:space="preserve">Two configurations, never mixed:</w:t>
      </w:r>
      <w:r>
        <w:t xml:space="preserve"> </w:t>
      </w:r>
      <w:r>
        <w:t xml:space="preserve">(a) Udofin’s own Razorpay merchant account for Udofin revenue (S09 subscriptions; any small B2B one-time items not invoiced through OH); (b) each RE’s merchant account for loan repayments, set up and owned by the RE (Part 4.3; U11). The configuration validator tags every gateway credential with</w:t>
      </w:r>
      <w:r>
        <w:t xml:space="preserve"> </w:t>
      </w:r>
      <w:r>
        <w:rPr>
          <w:rStyle w:val="VerbatimChar"/>
        </w:rPr>
        <w:t xml:space="preserve">purpose</w:t>
      </w:r>
      <w:r>
        <w:t xml:space="preserve"> </w:t>
      </w:r>
      <w:r>
        <w:t xml:space="preserve">(</w:t>
      </w:r>
      <w:r>
        <w:rPr>
          <w:rStyle w:val="VerbatimChar"/>
        </w:rPr>
        <w:t xml:space="preserve">UDOFIN_REVENUE</w:t>
      </w:r>
      <w:r>
        <w:t xml:space="preserve"> </w:t>
      </w:r>
      <w:r>
        <w:t xml:space="preserve">or</w:t>
      </w:r>
      <w:r>
        <w:t xml:space="preserve"> </w:t>
      </w:r>
      <w:r>
        <w:rPr>
          <w:rStyle w:val="VerbatimChar"/>
        </w:rPr>
        <w:t xml:space="preserve">RE_LOAN:[re_id]</w:t>
      </w:r>
      <w:r>
        <w:t xml:space="preserve">) and rejects any flow that uses the wrong purpose.</w:t>
      </w:r>
    </w:p>
    <w:p>
      <w:pPr>
        <w:numPr>
          <w:ilvl w:val="0"/>
          <w:numId w:val="1213"/>
        </w:numPr>
        <w:pStyle w:val="Compact"/>
      </w:pPr>
      <w:r>
        <w:rPr>
          <w:bCs/>
          <w:b/>
        </w:rPr>
        <w:t xml:space="preserve">Never:</w:t>
      </w:r>
      <w:r>
        <w:t xml:space="preserve"> </w:t>
      </w:r>
      <w:r>
        <w:t xml:space="preserve">Razorpay Route, split settlements, Smart Collect or any pooled or nodal mechanism for loan money (CF para 10(2)–(3)). Society share money and repayments use the society’s own gateway account (Part 7E).</w:t>
      </w:r>
    </w:p>
    <w:bookmarkEnd w:id="352"/>
    <w:bookmarkStart w:id="353" w:name="rv3.2-checkout-and-card-data-scope"/>
    <w:p>
      <w:pPr>
        <w:pStyle w:val="Heading3"/>
      </w:pPr>
      <w:r>
        <w:t xml:space="preserve">RV3.2 Checkout and card-data scope</w:t>
      </w:r>
    </w:p>
    <w:p>
      <w:pPr>
        <w:numPr>
          <w:ilvl w:val="0"/>
          <w:numId w:val="1214"/>
        </w:numPr>
        <w:pStyle w:val="Compact"/>
      </w:pPr>
      <w:r>
        <w:rPr>
          <w:bCs/>
          <w:b/>
        </w:rPr>
        <w:t xml:space="preserve">Hosted or redirect checkout</w:t>
      </w:r>
      <w:r>
        <w:t xml:space="preserve"> </w:t>
      </w:r>
      <w:r>
        <w:t xml:space="preserve">(Razorpay Standard Checkout in redirect mode, or Payment Links) so that card entry happens on Razorpay’s page; Udofin never sees, stores or logs a card number (RBI card-on-file tokenisation circular, 7 Sep 2021: only issuers and networks store card data) (</w:t>
      </w:r>
      <w:r>
        <w:rPr>
          <w:rStyle w:val="VerbatimChar"/>
        </w:rPr>
        <w:t xml:space="preserve">PCI</w:t>
      </w:r>
      <w:r>
        <w:t xml:space="preserve">: target SAQ A for Udofin’s own billing).</w:t>
      </w:r>
    </w:p>
    <w:p>
      <w:pPr>
        <w:numPr>
          <w:ilvl w:val="0"/>
          <w:numId w:val="1214"/>
        </w:numPr>
        <w:pStyle w:val="Compact"/>
      </w:pPr>
      <w:r>
        <w:rPr>
          <w:bCs/>
          <w:b/>
        </w:rPr>
        <w:t xml:space="preserve">Client-side script control</w:t>
      </w:r>
      <w:r>
        <w:t xml:space="preserve"> </w:t>
      </w:r>
      <w:r>
        <w:t xml:space="preserve">on any page that launches checkout: strict CSP with nonces, script inventory, Subresource Integrity where possible; meets the SAQ A eligibility criterion that the page</w:t>
      </w:r>
      <w:r>
        <w:t xml:space="preserve"> </w:t>
      </w:r>
      <w:r>
        <w:t xml:space="preserve">“</w:t>
      </w:r>
      <w:r>
        <w:t xml:space="preserve">is not susceptible to attacks from scripts</w:t>
      </w:r>
      <w:r>
        <w:t xml:space="preserve">”</w:t>
      </w:r>
      <w:r>
        <w:t xml:space="preserve"> </w:t>
      </w:r>
      <w:r>
        <w:t xml:space="preserve">(PCI DSS v4.0.1 SAQ A, revised Jan 2025) [VERIFY: current SAQ A wording].</w:t>
      </w:r>
    </w:p>
    <w:p>
      <w:pPr>
        <w:numPr>
          <w:ilvl w:val="0"/>
          <w:numId w:val="1214"/>
        </w:numPr>
        <w:pStyle w:val="Compact"/>
      </w:pPr>
      <w:r>
        <w:rPr>
          <w:bCs/>
          <w:b/>
        </w:rPr>
        <w:t xml:space="preserve">Razorpay’s assurance:</w:t>
      </w:r>
      <w:r>
        <w:t xml:space="preserve"> </w:t>
      </w:r>
      <w:r>
        <w:t xml:space="preserve">obtain and file Razorpay’s PCI DSS Attestation of Compliance and its PA authorisation status annually (PA Directions 2025); Razorpay’s certification is not Udofin’s (RA4).</w:t>
      </w:r>
    </w:p>
    <w:bookmarkEnd w:id="353"/>
    <w:bookmarkStart w:id="354" w:name="rv3.3-subscriptions-and-mandates"/>
    <w:p>
      <w:pPr>
        <w:pStyle w:val="Heading3"/>
      </w:pPr>
      <w:r>
        <w:t xml:space="preserve">RV3.3 Subscriptions and mandates</w:t>
      </w:r>
    </w:p>
    <w:p>
      <w:pPr>
        <w:numPr>
          <w:ilvl w:val="0"/>
          <w:numId w:val="1215"/>
        </w:numPr>
        <w:pStyle w:val="Compact"/>
      </w:pPr>
      <w:r>
        <w:rPr>
          <w:bCs/>
          <w:b/>
        </w:rPr>
        <w:t xml:space="preserve">Razorpay Subscriptions</w:t>
      </w:r>
      <w:r>
        <w:t xml:space="preserve"> </w:t>
      </w:r>
      <w:r>
        <w:t xml:space="preserve">for S09 plans: plan objects mirrored from the catalogue; subscription with an authorisation transaction; recurring charges by UPI AutoPay, card e-mandate or eNACH (eNACH under NPCI rules).</w:t>
      </w:r>
    </w:p>
    <w:p>
      <w:pPr>
        <w:numPr>
          <w:ilvl w:val="0"/>
          <w:numId w:val="1215"/>
        </w:numPr>
        <w:pStyle w:val="Compact"/>
      </w:pPr>
      <w:r>
        <w:rPr>
          <w:bCs/>
          <w:b/>
        </w:rPr>
        <w:t xml:space="preserve">E-mandate rules</w:t>
      </w:r>
      <w:r>
        <w:t xml:space="preserve"> </w:t>
      </w:r>
      <w:r>
        <w:t xml:space="preserve">(EMD): mandate validity stated (para 4(b)); pre-debit notice at least 24 hours before each debit with merchant, amount, date and time, reference and reason (paras 6(a)–(b)), sent by the issuer; Udofin also sends a courtesy notice 48 hours before [REC]; opt-out at any time with additional factor of authentication (para 6(c)), and Udofin’s one-tap cancel also cancels the mandate through the API; no additional factor for debits up to ₹15,000 (para 8(a));</w:t>
      </w:r>
      <w:r>
        <w:t xml:space="preserve"> </w:t>
      </w:r>
      <w:r>
        <w:rPr>
          <w:bCs/>
          <w:b/>
        </w:rPr>
        <w:t xml:space="preserve">no charge to the customer</w:t>
      </w:r>
      <w:r>
        <w:t xml:space="preserve"> </w:t>
      </w:r>
      <w:r>
        <w:t xml:space="preserve">for the mandate (para 10(a)).</w:t>
      </w:r>
    </w:p>
    <w:p>
      <w:pPr>
        <w:numPr>
          <w:ilvl w:val="0"/>
          <w:numId w:val="1215"/>
        </w:numPr>
        <w:pStyle w:val="Compact"/>
      </w:pPr>
      <w:r>
        <w:rPr>
          <w:bCs/>
          <w:b/>
        </w:rPr>
        <w:t xml:space="preserve">Amount caps:</w:t>
      </w:r>
      <w:r>
        <w:t xml:space="preserve"> </w:t>
      </w:r>
      <w:r>
        <w:t xml:space="preserve">the mandate’s maximum equals the plan price including GST, so a price increase needs a fresh mandate and consent [REC].</w:t>
      </w:r>
    </w:p>
    <w:bookmarkEnd w:id="354"/>
    <w:bookmarkStart w:id="355" w:name="rv3.4-webhooks-and-reconciliation"/>
    <w:p>
      <w:pPr>
        <w:pStyle w:val="Heading3"/>
      </w:pPr>
      <w:r>
        <w:t xml:space="preserve">RV3.4 Webhooks and reconciliation</w:t>
      </w:r>
    </w:p>
    <w:p>
      <w:pPr>
        <w:numPr>
          <w:ilvl w:val="0"/>
          <w:numId w:val="1216"/>
        </w:numPr>
        <w:pStyle w:val="Compact"/>
      </w:pPr>
      <w:r>
        <w:rPr>
          <w:bCs/>
          <w:b/>
        </w:rPr>
        <w:t xml:space="preserve">Verification:</w:t>
      </w:r>
      <w:r>
        <w:t xml:space="preserve"> </w:t>
      </w:r>
      <w:r>
        <w:rPr>
          <w:rStyle w:val="VerbatimChar"/>
        </w:rPr>
        <w:t xml:space="preserve">X-Razorpay-Signature</w:t>
      </w:r>
      <w:r>
        <w:t xml:space="preserve"> </w:t>
      </w:r>
      <w:r>
        <w:t xml:space="preserve">is the HMAC-SHA256 of the raw request body with the webhook secret; verify before parsing; reject on mismatch.</w:t>
      </w:r>
    </w:p>
    <w:p>
      <w:pPr>
        <w:numPr>
          <w:ilvl w:val="0"/>
          <w:numId w:val="1216"/>
        </w:numPr>
        <w:pStyle w:val="Compact"/>
      </w:pPr>
      <w:r>
        <w:rPr>
          <w:bCs/>
          <w:b/>
        </w:rPr>
        <w:t xml:space="preserve">Idempotency and ordering:</w:t>
      </w:r>
      <w:r>
        <w:t xml:space="preserve"> </w:t>
      </w:r>
      <w:r>
        <w:t xml:space="preserve">de-duplicate on the</w:t>
      </w:r>
      <w:r>
        <w:t xml:space="preserve"> </w:t>
      </w:r>
      <w:r>
        <w:rPr>
          <w:rStyle w:val="VerbatimChar"/>
        </w:rPr>
        <w:t xml:space="preserve">x-razorpay-event-id</w:t>
      </w:r>
      <w:r>
        <w:t xml:space="preserve"> </w:t>
      </w:r>
      <w:r>
        <w:t xml:space="preserve">header; events can arrive out of order, so apply them as upserts against a status precedence (for example captured beats authorised; refunded beats captured); never treat a client-side success as final.</w:t>
      </w:r>
    </w:p>
    <w:p>
      <w:pPr>
        <w:numPr>
          <w:ilvl w:val="0"/>
          <w:numId w:val="1216"/>
        </w:numPr>
        <w:pStyle w:val="Compact"/>
      </w:pPr>
      <w:r>
        <w:rPr>
          <w:bCs/>
          <w:b/>
        </w:rPr>
        <w:t xml:space="preserve">Secret rotation:</w:t>
      </w:r>
      <w:r>
        <w:t xml:space="preserve"> </w:t>
      </w:r>
      <w:r>
        <w:t xml:space="preserve">dual-secret window so retries signed with the old secret still validate during rotation.</w:t>
      </w:r>
    </w:p>
    <w:p>
      <w:pPr>
        <w:numPr>
          <w:ilvl w:val="0"/>
          <w:numId w:val="1216"/>
        </w:numPr>
        <w:pStyle w:val="Compact"/>
      </w:pPr>
      <w:r>
        <w:rPr>
          <w:bCs/>
          <w:b/>
        </w:rPr>
        <w:t xml:space="preserve">Events handled</w:t>
      </w:r>
      <w:r>
        <w:t xml:space="preserve"> </w:t>
      </w:r>
      <w:r>
        <w:t xml:space="preserve">(names per Razorpay documentation at build time [VERIFY]): payment authorised, captured, failed; subscription authenticated, activated, charged, pending, halted, cancelled, completed; refund created, processed, failed; invoice paid; settlement processed.</w:t>
      </w:r>
    </w:p>
    <w:p>
      <w:pPr>
        <w:numPr>
          <w:ilvl w:val="0"/>
          <w:numId w:val="1216"/>
        </w:numPr>
        <w:pStyle w:val="Compact"/>
      </w:pPr>
      <w:r>
        <w:rPr>
          <w:bCs/>
          <w:b/>
        </w:rPr>
        <w:t xml:space="preserve">Daily reconciliation:</w:t>
      </w:r>
      <w:r>
        <w:t xml:space="preserve"> </w:t>
      </w:r>
      <w:r>
        <w:t xml:space="preserve">Razorpay settlement report ↔ Udofin billing ledger ↔ U17 journals; breaks queue in the operations portal; settlement to Udofin’s bank account only.</w:t>
      </w:r>
    </w:p>
    <w:bookmarkEnd w:id="355"/>
    <w:bookmarkStart w:id="356" w:name="rv3.5-refunds-and-dunning"/>
    <w:p>
      <w:pPr>
        <w:pStyle w:val="Heading3"/>
      </w:pPr>
      <w:r>
        <w:t xml:space="preserve">RV3.5 Refunds and dunning</w:t>
      </w:r>
    </w:p>
    <w:p>
      <w:pPr>
        <w:numPr>
          <w:ilvl w:val="0"/>
          <w:numId w:val="1217"/>
        </w:numPr>
        <w:pStyle w:val="Compact"/>
      </w:pPr>
      <w:r>
        <w:rPr>
          <w:bCs/>
          <w:b/>
        </w:rPr>
        <w:t xml:space="preserve">Refunds:</w:t>
      </w:r>
      <w:r>
        <w:t xml:space="preserve"> </w:t>
      </w:r>
      <w:r>
        <w:t xml:space="preserve">full or partial, to the original source; reasons (cancellation within the refund window, duplicate, service failure, mis-selling review under Part 7F XP4.4, goodwill); maker-checker above a threshold; a GST credit note for each refund of an invoiced amount (CGST Act s.34).</w:t>
      </w:r>
    </w:p>
    <w:p>
      <w:pPr>
        <w:numPr>
          <w:ilvl w:val="0"/>
          <w:numId w:val="1217"/>
        </w:numPr>
        <w:pStyle w:val="Compact"/>
      </w:pPr>
      <w:r>
        <w:rPr>
          <w:bCs/>
          <w:b/>
        </w:rPr>
        <w:t xml:space="preserve">Refund window:</w:t>
      </w:r>
      <w:r>
        <w:t xml:space="preserve"> </w:t>
      </w:r>
      <w:r>
        <w:t xml:space="preserve">pro-rata refund on cancellation of an annual plan; full refund within 7 days of first purchase [REC].</w:t>
      </w:r>
    </w:p>
    <w:p>
      <w:pPr>
        <w:numPr>
          <w:ilvl w:val="0"/>
          <w:numId w:val="1217"/>
        </w:numPr>
        <w:pStyle w:val="Compact"/>
      </w:pPr>
      <w:r>
        <w:rPr>
          <w:bCs/>
          <w:b/>
        </w:rPr>
        <w:t xml:space="preserve">B2C dunning:</w:t>
      </w:r>
      <w:r>
        <w:t xml:space="preserve"> </w:t>
      </w:r>
      <w:r>
        <w:t xml:space="preserve">retry at D+1 and D+3; on final failure the user moves to the Free plan at period end. An unpaid consumer subscription is</w:t>
      </w:r>
      <w:r>
        <w:t xml:space="preserve"> </w:t>
      </w:r>
      <w:r>
        <w:rPr>
          <w:bCs/>
          <w:b/>
        </w:rPr>
        <w:t xml:space="preserve">never</w:t>
      </w:r>
      <w:r>
        <w:t xml:space="preserve"> </w:t>
      </w:r>
      <w:r>
        <w:t xml:space="preserve">treated as a debt: no collection calls, no CIC reporting, no effect on loans, no legal notices.</w:t>
      </w:r>
    </w:p>
    <w:p>
      <w:pPr>
        <w:numPr>
          <w:ilvl w:val="0"/>
          <w:numId w:val="1217"/>
        </w:numPr>
        <w:pStyle w:val="Compact"/>
      </w:pPr>
      <w:r>
        <w:rPr>
          <w:bCs/>
          <w:b/>
        </w:rPr>
        <w:t xml:space="preserve">B2B dunning</w:t>
      </w:r>
      <w:r>
        <w:t xml:space="preserve"> </w:t>
      </w:r>
      <w:r>
        <w:t xml:space="preserve">runs in OH8 with the RV2.2 data-access protection.</w:t>
      </w:r>
    </w:p>
    <w:bookmarkEnd w:id="356"/>
    <w:bookmarkStart w:id="357" w:name="rv3.6-gst-invoices"/>
    <w:p>
      <w:pPr>
        <w:pStyle w:val="Heading3"/>
      </w:pPr>
      <w:r>
        <w:t xml:space="preserve">RV3.6 GST invoices</w:t>
      </w:r>
    </w:p>
    <w:p>
      <w:pPr>
        <w:numPr>
          <w:ilvl w:val="0"/>
          <w:numId w:val="1218"/>
        </w:numPr>
        <w:pStyle w:val="Compact"/>
      </w:pPr>
      <w:r>
        <w:rPr>
          <w:bCs/>
          <w:b/>
        </w:rPr>
        <w:t xml:space="preserve">B2C invoice</w:t>
      </w:r>
      <w:r>
        <w:t xml:space="preserve"> </w:t>
      </w:r>
      <w:r>
        <w:t xml:space="preserve">for every charge: Udofin’s legal name, GSTIN and address; invoice number in a financial-year series of at most 16 characters (CGST Rules r.46) [VERIFY]; date; customer name; place of supply (customer’s State); SAC [VERIFY]; taxable value; CGST and SGST or IGST at 18% [VERIFY rate]; total.</w:t>
      </w:r>
    </w:p>
    <w:p>
      <w:pPr>
        <w:numPr>
          <w:ilvl w:val="0"/>
          <w:numId w:val="1218"/>
        </w:numPr>
        <w:pStyle w:val="Compact"/>
      </w:pPr>
      <w:r>
        <w:rPr>
          <w:bCs/>
          <w:b/>
        </w:rPr>
        <w:t xml:space="preserve">B2B</w:t>
      </w:r>
      <w:r>
        <w:t xml:space="preserve"> </w:t>
      </w:r>
      <w:r>
        <w:t xml:space="preserve">(where a consumer supplies a GSTIN, or a one-time RE item billed by Udofin): buyer GSTIN validated by checksum; e-invoice with IRN and QR where Udofin’s aggregate turnover exceeds the e-invoicing threshold (₹5 crore) [VERIFY].</w:t>
      </w:r>
    </w:p>
    <w:p>
      <w:pPr>
        <w:numPr>
          <w:ilvl w:val="0"/>
          <w:numId w:val="1218"/>
        </w:numPr>
        <w:pStyle w:val="Compact"/>
      </w:pPr>
      <w:r>
        <w:t xml:space="preserve">Invoices and credit notes appear in the user’s Plans and billing page and in My documents; U17 books them.</w:t>
      </w:r>
    </w:p>
    <w:bookmarkEnd w:id="357"/>
    <w:bookmarkStart w:id="358" w:name="rv3.7-events"/>
    <w:p>
      <w:pPr>
        <w:pStyle w:val="Heading3"/>
      </w:pPr>
      <w:r>
        <w:t xml:space="preserve">RV3.7 Events</w:t>
      </w:r>
    </w:p>
    <w:p>
      <w:pPr>
        <w:numPr>
          <w:ilvl w:val="0"/>
          <w:numId w:val="1219"/>
        </w:numPr>
        <w:pStyle w:val="Compact"/>
      </w:pPr>
      <w:r>
        <w:rPr>
          <w:bCs/>
          <w:b/>
        </w:rPr>
        <w:t xml:space="preserve">Produced by Udofin to OH8 (billing domain,</w:t>
      </w:r>
      <w:r>
        <w:rPr>
          <w:bCs/>
          <w:b/>
        </w:rPr>
        <w:t xml:space="preserve"> </w:t>
      </w:r>
      <w:r>
        <w:rPr>
          <w:rStyle w:val="VerbatimChar"/>
          <w:bCs/>
          <w:b/>
        </w:rPr>
        <w:t xml:space="preserve">in.infrabyx.billing.*</w:t>
      </w:r>
      <w:r>
        <w:rPr>
          <w:bCs/>
          <w:b/>
        </w:rPr>
        <w:t xml:space="preserve">):</w:t>
      </w:r>
      <w:r>
        <w:t xml:space="preserve"> </w:t>
      </w:r>
      <w:r>
        <w:rPr>
          <w:rStyle w:val="VerbatimChar"/>
        </w:rPr>
        <w:t xml:space="preserve">UsageRecorded</w:t>
      </w:r>
      <w:r>
        <w:t xml:space="preserve"> </w:t>
      </w:r>
      <w:r>
        <w:t xml:space="preserve">only:</w:t>
      </w:r>
      <w:r>
        <w:t xml:space="preserve"> </w:t>
      </w:r>
      <w:r>
        <w:rPr>
          <w:rStyle w:val="VerbatimChar"/>
        </w:rPr>
        <w:t xml:space="preserve">meter_kind = USAGE</w:t>
      </w:r>
      <w:r>
        <w:t xml:space="preserve"> </w:t>
      </w:r>
      <w:r>
        <w:t xml:space="preserve">for RE meters (RV1.2) and</w:t>
      </w:r>
      <w:r>
        <w:t xml:space="preserve"> </w:t>
      </w:r>
      <w:r>
        <w:rPr>
          <w:rStyle w:val="VerbatimChar"/>
        </w:rPr>
        <w:t xml:space="preserve">meter_kind = REVENUE_AGGREGATE</w:t>
      </w:r>
      <w:r>
        <w:t xml:space="preserve"> </w:t>
      </w:r>
      <w:r>
        <w:t xml:space="preserve">for B2C plan revenue (RV2.4).</w:t>
      </w:r>
    </w:p>
    <w:p>
      <w:pPr>
        <w:numPr>
          <w:ilvl w:val="0"/>
          <w:numId w:val="1219"/>
        </w:numPr>
        <w:pStyle w:val="Compact"/>
      </w:pPr>
      <w:r>
        <w:rPr>
          <w:bCs/>
          <w:b/>
        </w:rPr>
        <w:t xml:space="preserve">Consumed from OH8 (RE commercial relationship):</w:t>
      </w:r>
      <w:r>
        <w:t xml:space="preserve"> </w:t>
      </w:r>
      <w:r>
        <w:rPr>
          <w:rStyle w:val="VerbatimChar"/>
        </w:rPr>
        <w:t xml:space="preserve">PlanChanged</w:t>
      </w:r>
      <w:r>
        <w:t xml:space="preserve">,</w:t>
      </w:r>
      <w:r>
        <w:t xml:space="preserve"> </w:t>
      </w:r>
      <w:r>
        <w:rPr>
          <w:rStyle w:val="VerbatimChar"/>
        </w:rPr>
        <w:t xml:space="preserve">EntitlementChanged</w:t>
      </w:r>
      <w:r>
        <w:t xml:space="preserve"> </w:t>
      </w:r>
      <w:r>
        <w:t xml:space="preserve">(signed; verified against the pinned Hub key),</w:t>
      </w:r>
      <w:r>
        <w:t xml:space="preserve"> </w:t>
      </w:r>
      <w:r>
        <w:rPr>
          <w:rStyle w:val="VerbatimChar"/>
        </w:rPr>
        <w:t xml:space="preserve">InvoiceIssued</w:t>
      </w:r>
      <w:r>
        <w:t xml:space="preserve"> </w:t>
      </w:r>
      <w:r>
        <w:t xml:space="preserve">(RE invoices),</w:t>
      </w:r>
      <w:r>
        <w:t xml:space="preserve"> </w:t>
      </w:r>
      <w:r>
        <w:rPr>
          <w:rStyle w:val="VerbatimChar"/>
        </w:rPr>
        <w:t xml:space="preserve">SubscriptionPaymentReceived</w:t>
      </w:r>
      <w:r>
        <w:t xml:space="preserve"> </w:t>
      </w:r>
      <w:r>
        <w:t xml:space="preserve">and</w:t>
      </w:r>
      <w:r>
        <w:t xml:space="preserve"> </w:t>
      </w:r>
      <w:r>
        <w:rPr>
          <w:rStyle w:val="VerbatimChar"/>
        </w:rPr>
        <w:t xml:space="preserve">SubscriptionPaymentFailed</w:t>
      </w:r>
      <w:r>
        <w:t xml:space="preserve"> </w:t>
      </w:r>
      <w:r>
        <w:t xml:space="preserve">(RE fee payments),</w:t>
      </w:r>
      <w:r>
        <w:t xml:space="preserve"> </w:t>
      </w:r>
      <w:r>
        <w:rPr>
          <w:rStyle w:val="VerbatimChar"/>
        </w:rPr>
        <w:t xml:space="preserve">SubscriptionCancelled</w:t>
      </w:r>
      <w:r>
        <w:t xml:space="preserve"> </w:t>
      </w:r>
      <w:r>
        <w:t xml:space="preserve">(exit path UP5 for an RE).</w:t>
      </w:r>
    </w:p>
    <w:p>
      <w:pPr>
        <w:numPr>
          <w:ilvl w:val="0"/>
          <w:numId w:val="1219"/>
        </w:numPr>
        <w:pStyle w:val="Compact"/>
      </w:pPr>
      <w:r>
        <w:rPr>
          <w:bCs/>
          <w:b/>
        </w:rPr>
        <w:t xml:space="preserve">Udofin-internal (not cross-product subjects):</w:t>
      </w:r>
      <w:r>
        <w:t xml:space="preserve"> </w:t>
      </w:r>
      <w:r>
        <w:t xml:space="preserve">B2C plan changes, entitlements, invoices, credit notes, payments, refunds and cancellations. Internal handlers key on the full internal event type; the loan-repayment</w:t>
      </w:r>
      <w:r>
        <w:t xml:space="preserve"> </w:t>
      </w:r>
      <w:r>
        <w:rPr>
          <w:rStyle w:val="VerbatimChar"/>
        </w:rPr>
        <w:t xml:space="preserve">PaymentReceived</w:t>
      </w:r>
      <w:r>
        <w:t xml:space="preserve"> </w:t>
      </w:r>
      <w:r>
        <w:t xml:space="preserve">(payments domain) is never reused for billing.</w:t>
      </w:r>
    </w:p>
    <w:p>
      <w:pPr>
        <w:numPr>
          <w:ilvl w:val="0"/>
          <w:numId w:val="1219"/>
        </w:numPr>
        <w:pStyle w:val="Compact"/>
      </w:pPr>
      <w:r>
        <w:t xml:space="preserve">Billing events carry</w:t>
      </w:r>
      <w:r>
        <w:t xml:space="preserve"> </w:t>
      </w:r>
      <w:r>
        <w:rPr>
          <w:rStyle w:val="VerbatimChar"/>
        </w:rPr>
        <w:t xml:space="preserve">productfamily = na</w:t>
      </w:r>
      <w:r>
        <w:t xml:space="preserve"> </w:t>
      </w:r>
      <w:r>
        <w:t xml:space="preserve">and never contain loan references.</w:t>
      </w:r>
    </w:p>
    <w:bookmarkEnd w:id="358"/>
    <w:bookmarkStart w:id="359" w:name="settings-and-options-rv3"/>
    <w:p>
      <w:pPr>
        <w:pStyle w:val="Heading3"/>
      </w:pPr>
      <w:r>
        <w:t xml:space="preserve">Settings and options (RV3)</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58"/>
        <w:gridCol w:w="1252"/>
        <w:gridCol w:w="3103"/>
        <w:gridCol w:w="2925"/>
      </w:tblGrid>
      <w:tr>
        <w:trPr>
          <w:tblHeader w:val="true"/>
          <w:tblHeader w:val="true"/>
        </w:trPr>
        <w:tc>
          <w:tcPr>
            <w:tcW w:w="2358" w:type="dxa"/>
            <w:shd w:val="clear" w:color="auto" w:fill="1F3A5F"/>
          </w:tcPr>
          <w:p>
            <w:pPr>
              <w:pStyle w:val="Compact"/>
              <w:spacing w:after="40"/>
              <w:jc w:val="left"/>
            </w:pPr>
            <w:r>
              <w:rPr>
                <w:b/>
                <w:color w:val="FFFFFF"/>
                <w:sz w:val="18"/>
              </w:rPr>
              <w:t xml:space="preserve">Setting</w:t>
            </w:r>
          </w:p>
        </w:tc>
        <w:tc>
          <w:tcPr>
            <w:tcW w:w="1252" w:type="dxa"/>
            <w:shd w:val="clear" w:color="auto" w:fill="1F3A5F"/>
          </w:tcPr>
          <w:p>
            <w:pPr>
              <w:pStyle w:val="Compact"/>
              <w:spacing w:after="40"/>
              <w:jc w:val="left"/>
            </w:pPr>
            <w:r>
              <w:rPr>
                <w:b/>
                <w:color w:val="FFFFFF"/>
                <w:sz w:val="18"/>
              </w:rPr>
              <w:t xml:space="preserve">Level</w:t>
            </w:r>
          </w:p>
        </w:tc>
        <w:tc>
          <w:tcPr>
            <w:tcW w:w="3103" w:type="dxa"/>
            <w:shd w:val="clear" w:color="auto" w:fill="1F3A5F"/>
          </w:tcPr>
          <w:p>
            <w:pPr>
              <w:pStyle w:val="Compact"/>
              <w:spacing w:after="40"/>
              <w:jc w:val="left"/>
            </w:pPr>
            <w:r>
              <w:rPr>
                <w:b/>
                <w:color w:val="FFFFFF"/>
                <w:sz w:val="18"/>
              </w:rPr>
              <w:t xml:space="preserve">Default</w:t>
            </w:r>
          </w:p>
        </w:tc>
        <w:tc>
          <w:tcPr>
            <w:tcW w:w="2925" w:type="dxa"/>
            <w:shd w:val="clear" w:color="auto" w:fill="1F3A5F"/>
          </w:tcPr>
          <w:p>
            <w:pPr>
              <w:pStyle w:val="Compact"/>
              <w:spacing w:after="40"/>
              <w:jc w:val="left"/>
            </w:pPr>
            <w:r>
              <w:rPr>
                <w:b/>
                <w:color w:val="FFFFFF"/>
                <w:sz w:val="18"/>
              </w:rPr>
              <w:t xml:space="preserve">Nature</w:t>
            </w:r>
          </w:p>
        </w:tc>
      </w:tr>
      <w:tr>
        <w:tc>
          <w:tcPr>
            <w:tcW w:w="2358" w:type="dxa"/>
          </w:tcPr>
          <w:p>
            <w:pPr>
              <w:pStyle w:val="Compact"/>
              <w:spacing w:after="40"/>
              <w:jc w:val="left"/>
            </w:pPr>
            <w:r>
              <w:rPr>
                <w:sz w:val="18"/>
              </w:rPr>
              <w:t xml:space="preserve">Gateway credentials and purpose tags</w:t>
            </w:r>
          </w:p>
        </w:tc>
        <w:tc>
          <w:tcPr>
            <w:tcW w:w="1252" w:type="dxa"/>
          </w:tcPr>
          <w:p>
            <w:pPr>
              <w:pStyle w:val="Compact"/>
              <w:spacing w:after="40"/>
              <w:jc w:val="left"/>
            </w:pPr>
            <w:r>
              <w:rPr>
                <w:sz w:val="18"/>
              </w:rPr>
              <w:t xml:space="preserve">Platform</w:t>
            </w:r>
          </w:p>
        </w:tc>
        <w:tc>
          <w:tcPr>
            <w:tcW w:w="3103" w:type="dxa"/>
          </w:tcPr>
          <w:p>
            <w:pPr>
              <w:pStyle w:val="Compact"/>
              <w:spacing w:after="40"/>
              <w:jc w:val="left"/>
            </w:pPr>
            <w:r>
              <w:rPr>
                <w:rStyle w:val="VerbatimChar"/>
                <w:sz w:val="18"/>
              </w:rPr>
              <w:t xml:space="preserve">UDOFIN_REVENUE</w:t>
            </w:r>
            <w:r>
              <w:rPr>
                <w:sz w:val="18"/>
              </w:rPr>
              <w:t xml:space="preserve"> </w:t>
            </w:r>
            <w:r>
              <w:rPr>
                <w:sz w:val="18"/>
              </w:rPr>
              <w:t xml:space="preserve">for Udofin billing;</w:t>
            </w:r>
            <w:r>
              <w:rPr>
                <w:sz w:val="18"/>
              </w:rPr>
              <w:t xml:space="preserve"> </w:t>
            </w:r>
            <w:r>
              <w:rPr>
                <w:rStyle w:val="VerbatimChar"/>
                <w:sz w:val="18"/>
              </w:rPr>
              <w:t xml:space="preserve">RE_LOAN:[re_id]</w:t>
            </w:r>
            <w:r>
              <w:rPr>
                <w:sz w:val="18"/>
              </w:rPr>
              <w:t xml:space="preserve"> </w:t>
            </w:r>
            <w:r>
              <w:rPr>
                <w:sz w:val="18"/>
              </w:rPr>
              <w:t xml:space="preserve">per RE</w:t>
            </w:r>
          </w:p>
        </w:tc>
        <w:tc>
          <w:tcPr>
            <w:tcW w:w="2925" w:type="dxa"/>
          </w:tcPr>
          <w:p>
            <w:pPr>
              <w:pStyle w:val="Compact"/>
              <w:spacing w:after="40"/>
              <w:jc w:val="left"/>
            </w:pPr>
            <w:r>
              <w:rPr>
                <w:sz w:val="18"/>
              </w:rPr>
              <w:t xml:space="preserve">Floor; a purpose can never be changed on an existing credential</w:t>
            </w:r>
          </w:p>
        </w:tc>
      </w:tr>
      <w:tr>
        <w:tc>
          <w:tcPr>
            <w:tcW w:w="2358" w:type="dxa"/>
          </w:tcPr>
          <w:p>
            <w:pPr>
              <w:pStyle w:val="Compact"/>
              <w:spacing w:after="40"/>
              <w:jc w:val="left"/>
            </w:pPr>
            <w:r>
              <w:rPr>
                <w:sz w:val="18"/>
              </w:rPr>
              <w:t xml:space="preserve">Webhook secret rotation</w:t>
            </w:r>
          </w:p>
        </w:tc>
        <w:tc>
          <w:tcPr>
            <w:tcW w:w="1252" w:type="dxa"/>
          </w:tcPr>
          <w:p>
            <w:pPr>
              <w:pStyle w:val="Compact"/>
              <w:spacing w:after="40"/>
              <w:jc w:val="left"/>
            </w:pPr>
            <w:r>
              <w:rPr>
                <w:sz w:val="18"/>
              </w:rPr>
              <w:t xml:space="preserve">Platform</w:t>
            </w:r>
          </w:p>
        </w:tc>
        <w:tc>
          <w:tcPr>
            <w:tcW w:w="3103" w:type="dxa"/>
          </w:tcPr>
          <w:p>
            <w:pPr>
              <w:pStyle w:val="Compact"/>
              <w:spacing w:after="40"/>
              <w:jc w:val="left"/>
            </w:pPr>
            <w:r>
              <w:rPr>
                <w:sz w:val="18"/>
              </w:rPr>
              <w:t xml:space="preserve">Every 90 days with a dual-secret window [REC]</w:t>
            </w:r>
          </w:p>
        </w:tc>
        <w:tc>
          <w:tcPr>
            <w:tcW w:w="2925" w:type="dxa"/>
          </w:tcPr>
          <w:p>
            <w:pPr>
              <w:pStyle w:val="Compact"/>
              <w:spacing w:after="40"/>
              <w:jc w:val="left"/>
            </w:pPr>
            <w:r>
              <w:rPr>
                <w:sz w:val="18"/>
              </w:rPr>
              <w:t xml:space="preserve">Floor</w:t>
            </w:r>
          </w:p>
        </w:tc>
      </w:tr>
      <w:tr>
        <w:tc>
          <w:tcPr>
            <w:tcW w:w="2358" w:type="dxa"/>
          </w:tcPr>
          <w:p>
            <w:pPr>
              <w:pStyle w:val="Compact"/>
              <w:spacing w:after="40"/>
              <w:jc w:val="left"/>
            </w:pPr>
            <w:r>
              <w:rPr>
                <w:sz w:val="18"/>
              </w:rPr>
              <w:t xml:space="preserve">B2C retry schedule</w:t>
            </w:r>
          </w:p>
        </w:tc>
        <w:tc>
          <w:tcPr>
            <w:tcW w:w="1252" w:type="dxa"/>
          </w:tcPr>
          <w:p>
            <w:pPr>
              <w:pStyle w:val="Compact"/>
              <w:spacing w:after="40"/>
              <w:jc w:val="left"/>
            </w:pPr>
            <w:r>
              <w:rPr>
                <w:sz w:val="18"/>
              </w:rPr>
              <w:t xml:space="preserve">Platform</w:t>
            </w:r>
          </w:p>
        </w:tc>
        <w:tc>
          <w:tcPr>
            <w:tcW w:w="3103" w:type="dxa"/>
          </w:tcPr>
          <w:p>
            <w:pPr>
              <w:pStyle w:val="Compact"/>
              <w:spacing w:after="40"/>
              <w:jc w:val="left"/>
            </w:pPr>
            <w:r>
              <w:rPr>
                <w:sz w:val="18"/>
              </w:rPr>
              <w:t xml:space="preserve">D+1 and D+3, then Free plan at period end</w:t>
            </w:r>
          </w:p>
        </w:tc>
        <w:tc>
          <w:tcPr>
            <w:tcW w:w="2925" w:type="dxa"/>
          </w:tcPr>
          <w:p>
            <w:pPr>
              <w:pStyle w:val="Compact"/>
              <w:spacing w:after="40"/>
              <w:jc w:val="left"/>
            </w:pPr>
            <w:r>
              <w:rPr>
                <w:sz w:val="18"/>
              </w:rPr>
              <w:t xml:space="preserve">Commercial choice; never collection activity</w:t>
            </w:r>
          </w:p>
        </w:tc>
      </w:tr>
      <w:tr>
        <w:tc>
          <w:tcPr>
            <w:tcW w:w="2358" w:type="dxa"/>
          </w:tcPr>
          <w:p>
            <w:pPr>
              <w:pStyle w:val="Compact"/>
              <w:spacing w:after="40"/>
              <w:jc w:val="left"/>
            </w:pPr>
            <w:r>
              <w:rPr>
                <w:sz w:val="18"/>
              </w:rPr>
              <w:t xml:space="preserve">Courtesy notice before each debit</w:t>
            </w:r>
          </w:p>
        </w:tc>
        <w:tc>
          <w:tcPr>
            <w:tcW w:w="1252" w:type="dxa"/>
          </w:tcPr>
          <w:p>
            <w:pPr>
              <w:pStyle w:val="Compact"/>
              <w:spacing w:after="40"/>
              <w:jc w:val="left"/>
            </w:pPr>
            <w:r>
              <w:rPr>
                <w:sz w:val="18"/>
              </w:rPr>
              <w:t xml:space="preserve">Platform</w:t>
            </w:r>
          </w:p>
        </w:tc>
        <w:tc>
          <w:tcPr>
            <w:tcW w:w="3103" w:type="dxa"/>
          </w:tcPr>
          <w:p>
            <w:pPr>
              <w:pStyle w:val="Compact"/>
              <w:spacing w:after="40"/>
              <w:jc w:val="left"/>
            </w:pPr>
            <w:r>
              <w:rPr>
                <w:sz w:val="18"/>
              </w:rPr>
              <w:t xml:space="preserve">48 hours (in addition to the issuer’s 24-hour notice)</w:t>
            </w:r>
          </w:p>
        </w:tc>
        <w:tc>
          <w:tcPr>
            <w:tcW w:w="2925" w:type="dxa"/>
          </w:tcPr>
          <w:p>
            <w:pPr>
              <w:pStyle w:val="Compact"/>
              <w:spacing w:after="40"/>
              <w:jc w:val="left"/>
            </w:pPr>
            <w:r>
              <w:rPr>
                <w:sz w:val="18"/>
              </w:rPr>
              <w:t xml:space="preserve">Udofin default [REC]</w:t>
            </w:r>
          </w:p>
        </w:tc>
      </w:tr>
      <w:tr>
        <w:tc>
          <w:tcPr>
            <w:tcW w:w="2358" w:type="dxa"/>
          </w:tcPr>
          <w:p>
            <w:pPr>
              <w:pStyle w:val="Compact"/>
              <w:spacing w:after="40"/>
              <w:jc w:val="left"/>
            </w:pPr>
            <w:r>
              <w:rPr>
                <w:sz w:val="18"/>
              </w:rPr>
              <w:t xml:space="preserve">Refund window and maker-checker threshold</w:t>
            </w:r>
          </w:p>
        </w:tc>
        <w:tc>
          <w:tcPr>
            <w:tcW w:w="1252" w:type="dxa"/>
          </w:tcPr>
          <w:p>
            <w:pPr>
              <w:pStyle w:val="Compact"/>
              <w:spacing w:after="40"/>
              <w:jc w:val="left"/>
            </w:pPr>
            <w:r>
              <w:rPr>
                <w:sz w:val="18"/>
              </w:rPr>
              <w:t xml:space="preserve">Platform</w:t>
            </w:r>
          </w:p>
        </w:tc>
        <w:tc>
          <w:tcPr>
            <w:tcW w:w="3103" w:type="dxa"/>
          </w:tcPr>
          <w:p>
            <w:pPr>
              <w:pStyle w:val="Compact"/>
              <w:spacing w:after="40"/>
              <w:jc w:val="left"/>
            </w:pPr>
            <w:r>
              <w:rPr>
                <w:sz w:val="18"/>
              </w:rPr>
              <w:t xml:space="preserve">Full refund within 7 days of first purchase; checker above ₹5,000 [REC]</w:t>
            </w:r>
          </w:p>
        </w:tc>
        <w:tc>
          <w:tcPr>
            <w:tcW w:w="2925" w:type="dxa"/>
          </w:tcPr>
          <w:p>
            <w:pPr>
              <w:pStyle w:val="Compact"/>
              <w:spacing w:after="40"/>
              <w:jc w:val="left"/>
            </w:pPr>
            <w:r>
              <w:rPr>
                <w:sz w:val="18"/>
              </w:rPr>
              <w:t xml:space="preserve">Commercial choice</w:t>
            </w:r>
          </w:p>
        </w:tc>
      </w:tr>
      <w:tr>
        <w:tc>
          <w:tcPr>
            <w:tcW w:w="2358" w:type="dxa"/>
          </w:tcPr>
          <w:p>
            <w:pPr>
              <w:pStyle w:val="Compact"/>
              <w:spacing w:after="40"/>
              <w:jc w:val="left"/>
            </w:pPr>
            <w:r>
              <w:rPr>
                <w:sz w:val="18"/>
              </w:rPr>
              <w:t xml:space="preserve">Invoice series and SAC</w:t>
            </w:r>
          </w:p>
        </w:tc>
        <w:tc>
          <w:tcPr>
            <w:tcW w:w="1252" w:type="dxa"/>
          </w:tcPr>
          <w:p>
            <w:pPr>
              <w:pStyle w:val="Compact"/>
              <w:spacing w:after="40"/>
              <w:jc w:val="left"/>
            </w:pPr>
            <w:r>
              <w:rPr>
                <w:sz w:val="18"/>
              </w:rPr>
              <w:t xml:space="preserve">Platform</w:t>
            </w:r>
          </w:p>
        </w:tc>
        <w:tc>
          <w:tcPr>
            <w:tcW w:w="3103" w:type="dxa"/>
          </w:tcPr>
          <w:p>
            <w:pPr>
              <w:pStyle w:val="Compact"/>
              <w:spacing w:after="40"/>
              <w:jc w:val="left"/>
            </w:pPr>
            <w:r>
              <w:rPr>
                <w:sz w:val="18"/>
              </w:rPr>
              <w:t xml:space="preserve">One series per financial year</w:t>
            </w:r>
          </w:p>
        </w:tc>
        <w:tc>
          <w:tcPr>
            <w:tcW w:w="2925" w:type="dxa"/>
          </w:tcPr>
          <w:p>
            <w:pPr>
              <w:pStyle w:val="Compact"/>
              <w:spacing w:after="40"/>
              <w:jc w:val="left"/>
            </w:pPr>
            <w:r>
              <w:rPr>
                <w:sz w:val="18"/>
              </w:rPr>
              <w:t xml:space="preserve">Regulatory floor (CGST r.46) [VERIFY]</w:t>
            </w:r>
          </w:p>
        </w:tc>
      </w:tr>
    </w:tbl>
    <w:bookmarkEnd w:id="359"/>
    <w:bookmarkStart w:id="360" w:name="X3ce403bbf8f0ff07a63650054edfaa91a6dbd68"/>
    <w:p>
      <w:pPr>
        <w:pStyle w:val="Heading3"/>
      </w:pPr>
      <w:r>
        <w:t xml:space="preserve">Menu and screens (operations portal, channel C)</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32"/>
        <w:gridCol w:w="4478"/>
        <w:gridCol w:w="2628"/>
      </w:tblGrid>
      <w:tr>
        <w:trPr>
          <w:tblHeader w:val="true"/>
          <w:tblHeader w:val="true"/>
        </w:trPr>
        <w:tc>
          <w:tcPr>
            <w:tcW w:w="2532" w:type="dxa"/>
            <w:shd w:val="clear" w:color="auto" w:fill="1F3A5F"/>
          </w:tcPr>
          <w:p>
            <w:pPr>
              <w:pStyle w:val="Compact"/>
              <w:spacing w:after="40"/>
              <w:jc w:val="left"/>
            </w:pPr>
            <w:r>
              <w:rPr>
                <w:b/>
                <w:color w:val="FFFFFF"/>
                <w:sz w:val="18"/>
              </w:rPr>
              <w:t xml:space="preserve">Path</w:t>
            </w:r>
          </w:p>
        </w:tc>
        <w:tc>
          <w:tcPr>
            <w:tcW w:w="4478" w:type="dxa"/>
            <w:shd w:val="clear" w:color="auto" w:fill="1F3A5F"/>
          </w:tcPr>
          <w:p>
            <w:pPr>
              <w:pStyle w:val="Compact"/>
              <w:spacing w:after="40"/>
              <w:jc w:val="left"/>
            </w:pPr>
            <w:r>
              <w:rPr>
                <w:b/>
                <w:color w:val="FFFFFF"/>
                <w:sz w:val="18"/>
              </w:rPr>
              <w:t xml:space="preserve">Main screens and key actions</w:t>
            </w:r>
          </w:p>
        </w:tc>
        <w:tc>
          <w:tcPr>
            <w:tcW w:w="2628" w:type="dxa"/>
            <w:shd w:val="clear" w:color="auto" w:fill="1F3A5F"/>
          </w:tcPr>
          <w:p>
            <w:pPr>
              <w:pStyle w:val="Compact"/>
              <w:spacing w:after="40"/>
              <w:jc w:val="left"/>
            </w:pPr>
            <w:r>
              <w:rPr>
                <w:b/>
                <w:color w:val="FFFFFF"/>
                <w:sz w:val="18"/>
              </w:rPr>
              <w:t xml:space="preserve">Roles</w:t>
            </w:r>
          </w:p>
        </w:tc>
      </w:tr>
      <w:tr>
        <w:tc>
          <w:tcPr>
            <w:tcW w:w="2532" w:type="dxa"/>
          </w:tcPr>
          <w:p>
            <w:pPr>
              <w:pStyle w:val="Compact"/>
              <w:spacing w:after="40"/>
              <w:jc w:val="left"/>
            </w:pPr>
            <w:r>
              <w:rPr>
                <w:rStyle w:val="VerbatimChar"/>
                <w:sz w:val="18"/>
              </w:rPr>
              <w:t xml:space="preserve">Finance › Billing operations › Payments</w:t>
            </w:r>
          </w:p>
        </w:tc>
        <w:tc>
          <w:tcPr>
            <w:tcW w:w="4478" w:type="dxa"/>
          </w:tcPr>
          <w:p>
            <w:pPr>
              <w:pStyle w:val="Compact"/>
              <w:spacing w:after="40"/>
              <w:jc w:val="left"/>
            </w:pPr>
            <w:r>
              <w:rPr>
                <w:sz w:val="18"/>
              </w:rPr>
              <w:t xml:space="preserve">Payments by status with precedence history; no card data anywhere</w:t>
            </w:r>
          </w:p>
        </w:tc>
        <w:tc>
          <w:tcPr>
            <w:tcW w:w="2628" w:type="dxa"/>
          </w:tcPr>
          <w:p>
            <w:pPr>
              <w:pStyle w:val="Compact"/>
              <w:spacing w:after="40"/>
              <w:jc w:val="left"/>
            </w:pPr>
            <w:r>
              <w:rPr>
                <w:sz w:val="18"/>
              </w:rPr>
              <w:t xml:space="preserve">Finance operations</w:t>
            </w:r>
          </w:p>
        </w:tc>
      </w:tr>
      <w:tr>
        <w:tc>
          <w:tcPr>
            <w:tcW w:w="2532" w:type="dxa"/>
          </w:tcPr>
          <w:p>
            <w:pPr>
              <w:pStyle w:val="Compact"/>
              <w:spacing w:after="40"/>
              <w:jc w:val="left"/>
            </w:pPr>
            <w:r>
              <w:rPr>
                <w:rStyle w:val="VerbatimChar"/>
                <w:sz w:val="18"/>
              </w:rPr>
              <w:t xml:space="preserve">… › Refunds</w:t>
            </w:r>
          </w:p>
        </w:tc>
        <w:tc>
          <w:tcPr>
            <w:tcW w:w="4478" w:type="dxa"/>
          </w:tcPr>
          <w:p>
            <w:pPr>
              <w:pStyle w:val="Compact"/>
              <w:spacing w:after="40"/>
              <w:jc w:val="left"/>
            </w:pPr>
            <w:r>
              <w:rPr>
                <w:sz w:val="18"/>
              </w:rPr>
              <w:t xml:space="preserve">Refund requests with reason, maker-checker above the threshold, credit-note link</w:t>
            </w:r>
          </w:p>
        </w:tc>
        <w:tc>
          <w:tcPr>
            <w:tcW w:w="2628" w:type="dxa"/>
          </w:tcPr>
          <w:p>
            <w:pPr>
              <w:pStyle w:val="Compact"/>
              <w:spacing w:after="40"/>
              <w:jc w:val="left"/>
            </w:pPr>
            <w:r>
              <w:rPr>
                <w:sz w:val="18"/>
              </w:rPr>
              <w:t xml:space="preserve">Finance (maker), Finance lead (checker)</w:t>
            </w:r>
          </w:p>
        </w:tc>
      </w:tr>
      <w:tr>
        <w:tc>
          <w:tcPr>
            <w:tcW w:w="2532" w:type="dxa"/>
          </w:tcPr>
          <w:p>
            <w:pPr>
              <w:pStyle w:val="Compact"/>
              <w:spacing w:after="40"/>
              <w:jc w:val="left"/>
            </w:pPr>
            <w:r>
              <w:rPr>
                <w:rStyle w:val="VerbatimChar"/>
                <w:sz w:val="18"/>
              </w:rPr>
              <w:t xml:space="preserve">… › Reconciliation</w:t>
            </w:r>
          </w:p>
        </w:tc>
        <w:tc>
          <w:tcPr>
            <w:tcW w:w="4478" w:type="dxa"/>
          </w:tcPr>
          <w:p>
            <w:pPr>
              <w:pStyle w:val="Compact"/>
              <w:spacing w:after="40"/>
              <w:jc w:val="left"/>
            </w:pPr>
            <w:r>
              <w:rPr>
                <w:sz w:val="18"/>
              </w:rPr>
              <w:t xml:space="preserve">Daily run (Razorpay settlement ↔ billing ledger ↔ U17), breaks queue with ageing, resolve with note</w:t>
            </w:r>
          </w:p>
        </w:tc>
        <w:tc>
          <w:tcPr>
            <w:tcW w:w="2628" w:type="dxa"/>
          </w:tcPr>
          <w:p>
            <w:pPr>
              <w:pStyle w:val="Compact"/>
              <w:spacing w:after="40"/>
              <w:jc w:val="left"/>
            </w:pPr>
            <w:r>
              <w:rPr>
                <w:sz w:val="18"/>
              </w:rPr>
              <w:t xml:space="preserve">Finance operations</w:t>
            </w:r>
          </w:p>
        </w:tc>
      </w:tr>
      <w:tr>
        <w:tc>
          <w:tcPr>
            <w:tcW w:w="2532" w:type="dxa"/>
          </w:tcPr>
          <w:p>
            <w:pPr>
              <w:pStyle w:val="Compact"/>
              <w:spacing w:after="40"/>
              <w:jc w:val="left"/>
            </w:pPr>
            <w:r>
              <w:rPr>
                <w:rStyle w:val="VerbatimChar"/>
                <w:sz w:val="18"/>
              </w:rPr>
              <w:t xml:space="preserve">… › Webhooks</w:t>
            </w:r>
          </w:p>
        </w:tc>
        <w:tc>
          <w:tcPr>
            <w:tcW w:w="4478" w:type="dxa"/>
          </w:tcPr>
          <w:p>
            <w:pPr>
              <w:pStyle w:val="Compact"/>
              <w:spacing w:after="40"/>
              <w:jc w:val="left"/>
            </w:pPr>
            <w:r>
              <w:rPr>
                <w:sz w:val="18"/>
              </w:rPr>
              <w:t xml:space="preserve">Received events, signature result, duplicates suppressed, out-of-order applications, replay of a stored event (idempotent)</w:t>
            </w:r>
          </w:p>
        </w:tc>
        <w:tc>
          <w:tcPr>
            <w:tcW w:w="2628" w:type="dxa"/>
          </w:tcPr>
          <w:p>
            <w:pPr>
              <w:pStyle w:val="Compact"/>
              <w:spacing w:after="40"/>
              <w:jc w:val="left"/>
            </w:pPr>
            <w:r>
              <w:rPr>
                <w:sz w:val="18"/>
              </w:rPr>
              <w:t xml:space="preserve">Engineering on-call (read), Finance (read)</w:t>
            </w:r>
          </w:p>
        </w:tc>
      </w:tr>
    </w:tbl>
    <w:bookmarkEnd w:id="360"/>
    <w:bookmarkStart w:id="361" w:name="acceptance-tests-23"/>
    <w:p>
      <w:pPr>
        <w:pStyle w:val="Heading3"/>
      </w:pPr>
      <w:r>
        <w:t xml:space="preserve">Acceptance tests</w:t>
      </w:r>
    </w:p>
    <w:p>
      <w:pPr>
        <w:numPr>
          <w:ilvl w:val="0"/>
          <w:numId w:val="1220"/>
        </w:numPr>
        <w:pStyle w:val="Compact"/>
      </w:pPr>
      <w:r>
        <w:t xml:space="preserve">A loan repayment cannot be initiated through a credential tagged</w:t>
      </w:r>
      <w:r>
        <w:t xml:space="preserve"> </w:t>
      </w:r>
      <w:r>
        <w:rPr>
          <w:rStyle w:val="VerbatimChar"/>
        </w:rPr>
        <w:t xml:space="preserve">UDOFIN_REVENUE</w:t>
      </w:r>
      <w:r>
        <w:t xml:space="preserve">; a subscription charge cannot use an RE credential.</w:t>
      </w:r>
    </w:p>
    <w:p>
      <w:pPr>
        <w:numPr>
          <w:ilvl w:val="0"/>
          <w:numId w:val="1220"/>
        </w:numPr>
        <w:pStyle w:val="Compact"/>
      </w:pPr>
      <w:r>
        <w:t xml:space="preserve">No card number appears in any Udofin request log, database, crash report or analytics event (automated PAN-pattern scan in CI and on log samples).</w:t>
      </w:r>
    </w:p>
    <w:p>
      <w:pPr>
        <w:numPr>
          <w:ilvl w:val="0"/>
          <w:numId w:val="1220"/>
        </w:numPr>
        <w:pStyle w:val="Compact"/>
      </w:pPr>
      <w:r>
        <w:t xml:space="preserve">A webhook with a tampered body is rejected; the same event delivered twice is applied once; an out-of-order</w:t>
      </w:r>
      <w:r>
        <w:t xml:space="preserve"> </w:t>
      </w:r>
      <w:r>
        <w:t xml:space="preserve">“</w:t>
      </w:r>
      <w:r>
        <w:t xml:space="preserve">captured</w:t>
      </w:r>
      <w:r>
        <w:t xml:space="preserve">”</w:t>
      </w:r>
      <w:r>
        <w:t xml:space="preserve"> </w:t>
      </w:r>
      <w:r>
        <w:t xml:space="preserve">after</w:t>
      </w:r>
      <w:r>
        <w:t xml:space="preserve"> </w:t>
      </w:r>
      <w:r>
        <w:t xml:space="preserve">“</w:t>
      </w:r>
      <w:r>
        <w:t xml:space="preserve">refunded</w:t>
      </w:r>
      <w:r>
        <w:t xml:space="preserve">”</w:t>
      </w:r>
      <w:r>
        <w:t xml:space="preserve"> </w:t>
      </w:r>
      <w:r>
        <w:t xml:space="preserve">does not revert the refund.</w:t>
      </w:r>
    </w:p>
    <w:p>
      <w:pPr>
        <w:numPr>
          <w:ilvl w:val="0"/>
          <w:numId w:val="1220"/>
        </w:numPr>
        <w:pStyle w:val="Compact"/>
      </w:pPr>
      <w:r>
        <w:t xml:space="preserve">Cancelling a plan in the app cancels the mandate at Razorpay within one minute and no further debit occurs.</w:t>
      </w:r>
    </w:p>
    <w:p>
      <w:pPr>
        <w:numPr>
          <w:ilvl w:val="0"/>
          <w:numId w:val="1220"/>
        </w:numPr>
        <w:pStyle w:val="Compact"/>
      </w:pPr>
      <w:r>
        <w:t xml:space="preserve">A failed consumer renewal never creates a collection case, CIC record or loan flag.</w:t>
      </w:r>
    </w:p>
    <w:p>
      <w:pPr>
        <w:numPr>
          <w:ilvl w:val="0"/>
          <w:numId w:val="1220"/>
        </w:numPr>
        <w:pStyle w:val="Compact"/>
      </w:pPr>
      <w:r>
        <w:t xml:space="preserve">Every charge produces a GST invoice and every refund of an invoiced amount produces a credit note; the daily reconciliation has zero unexplained breaks.</w:t>
      </w:r>
    </w:p>
    <w:p>
      <w:r>
        <w:pict>
          <v:rect style="width:0;height:1.5pt" o:hralign="center" o:hrstd="t" o:hr="t"/>
        </w:pict>
      </w:r>
    </w:p>
    <w:bookmarkEnd w:id="361"/>
    <w:bookmarkEnd w:id="362"/>
    <w:bookmarkStart w:id="371" w:name="Xb40e9be102bd6227e8f55d776f6baa90b1dcc7d"/>
    <w:p>
      <w:pPr>
        <w:pStyle w:val="Heading2"/>
      </w:pPr>
      <w:r>
        <w:t xml:space="preserve">RV4. Advertising and sponsored content rules</w:t>
      </w:r>
    </w:p>
    <w:bookmarkStart w:id="363" w:name="rv4.1-where-ads-may-and-may-not-appear"/>
    <w:p>
      <w:pPr>
        <w:pStyle w:val="Heading3"/>
      </w:pPr>
      <w:r>
        <w:t xml:space="preserve">RV4.1 Where ads may and may not appear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043"/>
        <w:gridCol w:w="3149"/>
        <w:gridCol w:w="2446"/>
      </w:tblGrid>
      <w:tr>
        <w:trPr>
          <w:tblHeader w:val="true"/>
          <w:tblHeader w:val="true"/>
        </w:trPr>
        <w:tc>
          <w:tcPr>
            <w:tcW w:w="4043" w:type="dxa"/>
            <w:shd w:val="clear" w:color="auto" w:fill="1F3A5F"/>
          </w:tcPr>
          <w:p>
            <w:pPr>
              <w:pStyle w:val="Compact"/>
              <w:spacing w:after="40"/>
              <w:jc w:val="left"/>
            </w:pPr>
            <w:r>
              <w:rPr>
                <w:b/>
                <w:color w:val="FFFFFF"/>
                <w:sz w:val="18"/>
              </w:rPr>
              <w:t xml:space="preserve">Surface</w:t>
            </w:r>
          </w:p>
        </w:tc>
        <w:tc>
          <w:tcPr>
            <w:tcW w:w="3149" w:type="dxa"/>
            <w:shd w:val="clear" w:color="auto" w:fill="1F3A5F"/>
          </w:tcPr>
          <w:p>
            <w:pPr>
              <w:pStyle w:val="Compact"/>
              <w:spacing w:after="40"/>
              <w:jc w:val="left"/>
            </w:pPr>
            <w:r>
              <w:rPr>
                <w:b/>
                <w:color w:val="FFFFFF"/>
                <w:sz w:val="18"/>
              </w:rPr>
              <w:t xml:space="preserve">Ads allowed?</w:t>
            </w:r>
          </w:p>
        </w:tc>
        <w:tc>
          <w:tcPr>
            <w:tcW w:w="2446" w:type="dxa"/>
            <w:shd w:val="clear" w:color="auto" w:fill="1F3A5F"/>
          </w:tcPr>
          <w:p>
            <w:pPr>
              <w:pStyle w:val="Compact"/>
              <w:spacing w:after="40"/>
              <w:jc w:val="left"/>
            </w:pPr>
            <w:r>
              <w:rPr>
                <w:b/>
                <w:color w:val="FFFFFF"/>
                <w:sz w:val="18"/>
              </w:rPr>
              <w:t xml:space="preserve">Basis</w:t>
            </w:r>
          </w:p>
        </w:tc>
      </w:tr>
      <w:tr>
        <w:tc>
          <w:tcPr>
            <w:tcW w:w="4043" w:type="dxa"/>
          </w:tcPr>
          <w:p>
            <w:pPr>
              <w:pStyle w:val="Compact"/>
              <w:spacing w:after="40"/>
              <w:jc w:val="left"/>
            </w:pPr>
            <w:r>
              <w:rPr>
                <w:sz w:val="18"/>
              </w:rPr>
              <w:t xml:space="preserve">Multi-lender offer view, product chooser for loans, eligibility and offer pages</w:t>
            </w:r>
          </w:p>
        </w:tc>
        <w:tc>
          <w:tcPr>
            <w:tcW w:w="3149" w:type="dxa"/>
          </w:tcPr>
          <w:p>
            <w:pPr>
              <w:pStyle w:val="Compact"/>
              <w:spacing w:after="40"/>
              <w:jc w:val="left"/>
            </w:pPr>
            <w:r>
              <w:rPr>
                <w:bCs/>
                <w:b/>
                <w:sz w:val="18"/>
              </w:rPr>
              <w:t xml:space="preserve">Never</w:t>
            </w:r>
            <w:r>
              <w:rPr>
                <w:sz w:val="18"/>
              </w:rPr>
              <w:t xml:space="preserve">; no sponsored ranking, badges or paid prominence</w:t>
            </w:r>
          </w:p>
        </w:tc>
        <w:tc>
          <w:tcPr>
            <w:tcW w:w="2446" w:type="dxa"/>
          </w:tcPr>
          <w:p>
            <w:pPr>
              <w:pStyle w:val="Compact"/>
              <w:spacing w:after="40"/>
              <w:jc w:val="left"/>
            </w:pPr>
            <w:r>
              <w:rPr>
                <w:sz w:val="18"/>
              </w:rPr>
              <w:t xml:space="preserve">CF para 7(4)</w:t>
            </w:r>
          </w:p>
        </w:tc>
      </w:tr>
      <w:tr>
        <w:tc>
          <w:tcPr>
            <w:tcW w:w="4043" w:type="dxa"/>
          </w:tcPr>
          <w:p>
            <w:pPr>
              <w:pStyle w:val="Compact"/>
              <w:spacing w:after="40"/>
              <w:jc w:val="left"/>
            </w:pPr>
            <w:r>
              <w:rPr>
                <w:sz w:val="18"/>
              </w:rPr>
              <w:t xml:space="preserve">Application, KYC, consent, KFS, eSign, eStamp, mandate, payment, disbursal status</w:t>
            </w:r>
          </w:p>
        </w:tc>
        <w:tc>
          <w:tcPr>
            <w:tcW w:w="3149" w:type="dxa"/>
          </w:tcPr>
          <w:p>
            <w:pPr>
              <w:pStyle w:val="Compact"/>
              <w:spacing w:after="40"/>
              <w:jc w:val="left"/>
            </w:pPr>
            <w:r>
              <w:rPr>
                <w:bCs/>
                <w:b/>
                <w:sz w:val="18"/>
              </w:rPr>
              <w:t xml:space="preserve">Never</w:t>
            </w:r>
          </w:p>
        </w:tc>
        <w:tc>
          <w:tcPr>
            <w:tcW w:w="2446" w:type="dxa"/>
          </w:tcPr>
          <w:p>
            <w:pPr>
              <w:pStyle w:val="Compact"/>
              <w:spacing w:after="40"/>
              <w:jc w:val="left"/>
            </w:pPr>
            <w:r>
              <w:rPr>
                <w:sz w:val="18"/>
              </w:rPr>
              <w:t xml:space="preserve">CF para 7(4); Part 10.7 (no marketing in these steps)</w:t>
            </w:r>
          </w:p>
        </w:tc>
      </w:tr>
      <w:tr>
        <w:tc>
          <w:tcPr>
            <w:tcW w:w="4043" w:type="dxa"/>
          </w:tcPr>
          <w:p>
            <w:pPr>
              <w:pStyle w:val="Compact"/>
              <w:spacing w:after="40"/>
              <w:jc w:val="left"/>
            </w:pPr>
            <w:r>
              <w:rPr>
                <w:sz w:val="18"/>
              </w:rPr>
              <w:t xml:space="preserve">Loan dashboard, loan mirror, statements, documents, overdue and settlement centre, recovery, notices, grievance and help-centre complaint screens</w:t>
            </w:r>
          </w:p>
        </w:tc>
        <w:tc>
          <w:tcPr>
            <w:tcW w:w="3149" w:type="dxa"/>
          </w:tcPr>
          <w:p>
            <w:pPr>
              <w:pStyle w:val="Compact"/>
              <w:spacing w:after="40"/>
              <w:jc w:val="left"/>
            </w:pPr>
            <w:r>
              <w:rPr>
                <w:bCs/>
                <w:b/>
                <w:sz w:val="18"/>
              </w:rPr>
              <w:t xml:space="preserve">Never</w:t>
            </w:r>
          </w:p>
        </w:tc>
        <w:tc>
          <w:tcPr>
            <w:tcW w:w="2446" w:type="dxa"/>
          </w:tcPr>
          <w:p>
            <w:pPr>
              <w:pStyle w:val="Compact"/>
              <w:spacing w:after="40"/>
              <w:jc w:val="left"/>
            </w:pPr>
            <w:r>
              <w:rPr>
                <w:sz w:val="18"/>
              </w:rPr>
              <w:t xml:space="preserve">RBC conduct; Part 7A; [REC]</w:t>
            </w:r>
          </w:p>
        </w:tc>
      </w:tr>
      <w:tr>
        <w:tc>
          <w:tcPr>
            <w:tcW w:w="4043" w:type="dxa"/>
          </w:tcPr>
          <w:p>
            <w:pPr>
              <w:pStyle w:val="Compact"/>
              <w:spacing w:after="40"/>
              <w:jc w:val="left"/>
            </w:pPr>
            <w:r>
              <w:rPr>
                <w:sz w:val="18"/>
              </w:rPr>
              <w:t xml:space="preserve">Credit-report and score pages (Part 7D FW1–FW2)</w:t>
            </w:r>
          </w:p>
        </w:tc>
        <w:tc>
          <w:tcPr>
            <w:tcW w:w="3149" w:type="dxa"/>
          </w:tcPr>
          <w:p>
            <w:pPr>
              <w:pStyle w:val="Compact"/>
              <w:spacing w:after="40"/>
              <w:jc w:val="left"/>
            </w:pPr>
            <w:r>
              <w:rPr>
                <w:bCs/>
                <w:b/>
                <w:sz w:val="18"/>
              </w:rPr>
              <w:t xml:space="preserve">Never</w:t>
            </w:r>
            <w:r>
              <w:rPr>
                <w:sz w:val="18"/>
              </w:rPr>
              <w:t xml:space="preserve"> </w:t>
            </w:r>
            <w:r>
              <w:rPr>
                <w:sz w:val="18"/>
              </w:rPr>
              <w:t xml:space="preserve">(an ad there is targeting by credit data)</w:t>
            </w:r>
          </w:p>
        </w:tc>
        <w:tc>
          <w:tcPr>
            <w:tcW w:w="2446" w:type="dxa"/>
          </w:tcPr>
          <w:p>
            <w:pPr>
              <w:pStyle w:val="Compact"/>
              <w:spacing w:after="40"/>
              <w:jc w:val="left"/>
            </w:pPr>
            <w:r>
              <w:rPr>
                <w:sz w:val="18"/>
              </w:rPr>
              <w:t xml:space="preserve">CF para 13; DPDP; [REC]</w:t>
            </w:r>
          </w:p>
        </w:tc>
      </w:tr>
      <w:tr>
        <w:tc>
          <w:tcPr>
            <w:tcW w:w="4043" w:type="dxa"/>
          </w:tcPr>
          <w:p>
            <w:pPr>
              <w:pStyle w:val="Compact"/>
              <w:spacing w:after="40"/>
              <w:jc w:val="left"/>
            </w:pPr>
            <w:r>
              <w:rPr>
                <w:sz w:val="18"/>
              </w:rPr>
              <w:t xml:space="preserve">Home feed outside any journey, financial-education articles, public website content pages</w:t>
            </w:r>
          </w:p>
        </w:tc>
        <w:tc>
          <w:tcPr>
            <w:tcW w:w="3149" w:type="dxa"/>
          </w:tcPr>
          <w:p>
            <w:pPr>
              <w:pStyle w:val="Compact"/>
              <w:spacing w:after="40"/>
              <w:jc w:val="left"/>
            </w:pPr>
            <w:r>
              <w:rPr>
                <w:sz w:val="18"/>
              </w:rPr>
              <w:t xml:space="preserve">Yes, labelled, within RV4.2–RV4.5</w:t>
            </w:r>
          </w:p>
        </w:tc>
        <w:tc>
          <w:tcPr>
            <w:tcW w:w="2446" w:type="dxa"/>
          </w:tcPr>
          <w:p>
            <w:pPr>
              <w:pStyle w:val="Compact"/>
              <w:spacing w:after="40"/>
              <w:jc w:val="left"/>
            </w:pPr>
            <w:r>
              <w:rPr>
                <w:sz w:val="18"/>
              </w:rPr>
              <w:t xml:space="preserve">ASCI; CCPA</w:t>
            </w:r>
          </w:p>
        </w:tc>
      </w:tr>
      <w:tr>
        <w:tc>
          <w:tcPr>
            <w:tcW w:w="4043" w:type="dxa"/>
          </w:tcPr>
          <w:p>
            <w:pPr>
              <w:pStyle w:val="Compact"/>
              <w:spacing w:after="40"/>
              <w:jc w:val="left"/>
            </w:pPr>
            <w:r>
              <w:rPr>
                <w:sz w:val="18"/>
              </w:rPr>
              <w:t xml:space="preserve">Expense tracker and budget pages (FW3)</w:t>
            </w:r>
          </w:p>
        </w:tc>
        <w:tc>
          <w:tcPr>
            <w:tcW w:w="3149" w:type="dxa"/>
          </w:tcPr>
          <w:p>
            <w:pPr>
              <w:pStyle w:val="Compact"/>
              <w:spacing w:after="40"/>
              <w:jc w:val="left"/>
            </w:pPr>
            <w:r>
              <w:rPr>
                <w:sz w:val="18"/>
              </w:rPr>
              <w:t xml:space="preserve">Only contextual ads unrelated to the user’s entries, or none [REC: none at launch]</w:t>
            </w:r>
          </w:p>
        </w:tc>
        <w:tc>
          <w:tcPr>
            <w:tcW w:w="2446" w:type="dxa"/>
          </w:tcPr>
          <w:p>
            <w:pPr>
              <w:pStyle w:val="Compact"/>
              <w:spacing w:after="40"/>
              <w:jc w:val="left"/>
            </w:pPr>
            <w:r>
              <w:rPr>
                <w:sz w:val="18"/>
              </w:rPr>
              <w:t xml:space="preserve">DPDP; [REC]</w:t>
            </w:r>
          </w:p>
        </w:tc>
      </w:tr>
      <w:tr>
        <w:tc>
          <w:tcPr>
            <w:tcW w:w="4043" w:type="dxa"/>
          </w:tcPr>
          <w:p>
            <w:pPr>
              <w:pStyle w:val="Compact"/>
              <w:spacing w:after="40"/>
              <w:jc w:val="left"/>
            </w:pPr>
            <w:r>
              <w:rPr>
                <w:sz w:val="18"/>
              </w:rPr>
              <w:t xml:space="preserve">Push, SMS, WhatsApp, email</w:t>
            </w:r>
          </w:p>
        </w:tc>
        <w:tc>
          <w:tcPr>
            <w:tcW w:w="3149" w:type="dxa"/>
          </w:tcPr>
          <w:p>
            <w:pPr>
              <w:pStyle w:val="Compact"/>
              <w:spacing w:after="40"/>
              <w:jc w:val="left"/>
            </w:pPr>
            <w:r>
              <w:rPr>
                <w:sz w:val="18"/>
              </w:rPr>
              <w:t xml:space="preserve">Only with promotional consent, from 140-series or registered headers, within hours (RA5)</w:t>
            </w:r>
          </w:p>
        </w:tc>
        <w:tc>
          <w:tcPr>
            <w:tcW w:w="2446" w:type="dxa"/>
          </w:tcPr>
          <w:p>
            <w:pPr>
              <w:pStyle w:val="Compact"/>
              <w:spacing w:after="40"/>
              <w:jc w:val="left"/>
            </w:pPr>
            <w:r>
              <w:rPr>
                <w:sz w:val="18"/>
              </w:rPr>
              <w:t xml:space="preserve">TCCCPR; RBC Second Amendment para 101L (draft)</w:t>
            </w:r>
          </w:p>
        </w:tc>
      </w:tr>
    </w:tbl>
    <w:bookmarkEnd w:id="363"/>
    <w:bookmarkStart w:id="364" w:name="rv4.2-labelling-and-disclosure"/>
    <w:p>
      <w:pPr>
        <w:pStyle w:val="Heading3"/>
      </w:pPr>
      <w:r>
        <w:t xml:space="preserve">RV4.2 Labelling and disclosure</w:t>
      </w:r>
    </w:p>
    <w:p>
      <w:pPr>
        <w:numPr>
          <w:ilvl w:val="0"/>
          <w:numId w:val="1221"/>
        </w:numPr>
        <w:pStyle w:val="Compact"/>
      </w:pPr>
      <w:r>
        <w:t xml:space="preserve">Every ad and sponsored item carries an</w:t>
      </w:r>
      <w:r>
        <w:t xml:space="preserve"> </w:t>
      </w:r>
      <w:r>
        <w:t xml:space="preserve">“</w:t>
      </w:r>
      <w:r>
        <w:t xml:space="preserve">Ad</w:t>
      </w:r>
      <w:r>
        <w:t xml:space="preserve">”</w:t>
      </w:r>
      <w:r>
        <w:t xml:space="preserve"> </w:t>
      </w:r>
      <w:r>
        <w:t xml:space="preserve">or</w:t>
      </w:r>
      <w:r>
        <w:t xml:space="preserve"> </w:t>
      </w:r>
      <w:r>
        <w:t xml:space="preserve">“</w:t>
      </w:r>
      <w:r>
        <w:t xml:space="preserve">Sponsored</w:t>
      </w:r>
      <w:r>
        <w:t xml:space="preserve">”</w:t>
      </w:r>
      <w:r>
        <w:t xml:space="preserve"> </w:t>
      </w:r>
      <w:r>
        <w:t xml:space="preserve">label in the user’s language, at the top-left of the unit, in body text size or larger, with a visual treatment distinct from Udofin content; disguised ads are banned (CCPA 2023</w:t>
      </w:r>
      <w:r>
        <w:t xml:space="preserve"> </w:t>
      </w:r>
      <w:r>
        <w:t xml:space="preserve">“</w:t>
      </w:r>
      <w:r>
        <w:t xml:space="preserve">disguised advertisement</w:t>
      </w:r>
      <w:r>
        <w:t xml:space="preserve">”</w:t>
      </w:r>
      <w:r>
        <w:t xml:space="preserve">).</w:t>
      </w:r>
    </w:p>
    <w:p>
      <w:pPr>
        <w:numPr>
          <w:ilvl w:val="0"/>
          <w:numId w:val="1221"/>
        </w:numPr>
        <w:pStyle w:val="Compact"/>
      </w:pPr>
      <w:r>
        <w:t xml:space="preserve">Sponsored articles name the sponsor at the top; financial-education content is never sponsored by a lender or product provider [REC].</w:t>
      </w:r>
    </w:p>
    <w:p>
      <w:pPr>
        <w:numPr>
          <w:ilvl w:val="0"/>
          <w:numId w:val="1221"/>
        </w:numPr>
        <w:pStyle w:val="Compact"/>
      </w:pPr>
      <w:r>
        <w:t xml:space="preserve">An ad never uses Udofin’s or an RE’s KFS styling, offer-card styling or the words</w:t>
      </w:r>
      <w:r>
        <w:t xml:space="preserve"> </w:t>
      </w:r>
      <w:r>
        <w:t xml:space="preserve">“</w:t>
      </w:r>
      <w:r>
        <w:t xml:space="preserve">pre-approved</w:t>
      </w:r>
      <w:r>
        <w:t xml:space="preserve">”</w:t>
      </w:r>
      <w:r>
        <w:t xml:space="preserve">,</w:t>
      </w:r>
      <w:r>
        <w:t xml:space="preserve"> </w:t>
      </w:r>
      <w:r>
        <w:t xml:space="preserve">“</w:t>
      </w:r>
      <w:r>
        <w:t xml:space="preserve">approved</w:t>
      </w:r>
      <w:r>
        <w:t xml:space="preserve">”</w:t>
      </w:r>
      <w:r>
        <w:t xml:space="preserve"> </w:t>
      </w:r>
      <w:r>
        <w:t xml:space="preserve">or</w:t>
      </w:r>
      <w:r>
        <w:t xml:space="preserve"> </w:t>
      </w:r>
      <w:r>
        <w:t xml:space="preserve">“</w:t>
      </w:r>
      <w:r>
        <w:t xml:space="preserve">guaranteed</w:t>
      </w:r>
      <w:r>
        <w:t xml:space="preserve">”</w:t>
      </w:r>
      <w:r>
        <w:t xml:space="preserve"> </w:t>
      </w:r>
      <w:r>
        <w:t xml:space="preserve">unless the advertiser is an RE and the claim is the RE’s documented, current pre-approval for that user [REC: default ban].</w:t>
      </w:r>
    </w:p>
    <w:bookmarkEnd w:id="364"/>
    <w:bookmarkStart w:id="365" w:name="rv4.3-targeting-and-data"/>
    <w:p>
      <w:pPr>
        <w:pStyle w:val="Heading3"/>
      </w:pPr>
      <w:r>
        <w:t xml:space="preserve">RV4.3 Targeting and data</w:t>
      </w:r>
    </w:p>
    <w:p>
      <w:pPr>
        <w:numPr>
          <w:ilvl w:val="0"/>
          <w:numId w:val="1222"/>
        </w:numPr>
        <w:pStyle w:val="Compact"/>
      </w:pPr>
      <w:r>
        <w:rPr>
          <w:bCs/>
          <w:b/>
        </w:rPr>
        <w:t xml:space="preserve">Default:</w:t>
      </w:r>
      <w:r>
        <w:t xml:space="preserve"> </w:t>
      </w:r>
      <w:r>
        <w:t xml:space="preserve">contextual targeting (page topic, language, State) and declared interests the user chooses in settings; no personal data reaches advertisers; advertisers receive only aggregated reports with minimum cohort sizes [REC: at least 100].</w:t>
      </w:r>
    </w:p>
    <w:p>
      <w:pPr>
        <w:numPr>
          <w:ilvl w:val="0"/>
          <w:numId w:val="1222"/>
        </w:numPr>
        <w:pStyle w:val="Compact"/>
      </w:pPr>
      <w:r>
        <w:rPr>
          <w:bCs/>
          <w:b/>
        </w:rPr>
        <w:t xml:space="preserve">Never used for targeting without explicit, separate, revocable consent</w:t>
      </w:r>
      <w:r>
        <w:t xml:space="preserve"> </w:t>
      </w:r>
      <w:r>
        <w:t xml:space="preserve">(default No; DPDP s.6): loan applications, offers, loan status, DPD, credit reports and scores, expense-tracker data, KYC data, income, household data, precise location, device identifiers, contacts. Even with consent, credit-report and expense data are used only inside Udofin’s ad server and never shared with an advertiser.</w:t>
      </w:r>
    </w:p>
    <w:p>
      <w:pPr>
        <w:numPr>
          <w:ilvl w:val="0"/>
          <w:numId w:val="1222"/>
        </w:numPr>
        <w:pStyle w:val="Compact"/>
      </w:pPr>
      <w:r>
        <w:rPr>
          <w:bCs/>
          <w:b/>
        </w:rPr>
        <w:t xml:space="preserve">No third-party ad SDKs or trackers</w:t>
      </w:r>
      <w:r>
        <w:t xml:space="preserve"> </w:t>
      </w:r>
      <w:r>
        <w:t xml:space="preserve">that receive personal data in the app or the authenticated web (Part 10.6 privacy row); first-party ad serving only; no Advertising ID unless approved and consented (Part 4.5).</w:t>
      </w:r>
    </w:p>
    <w:p>
      <w:pPr>
        <w:numPr>
          <w:ilvl w:val="0"/>
          <w:numId w:val="1222"/>
        </w:numPr>
        <w:pStyle w:val="Compact"/>
      </w:pPr>
      <w:r>
        <w:rPr>
          <w:bCs/>
          <w:b/>
        </w:rPr>
        <w:t xml:space="preserve">Children:</w:t>
      </w:r>
      <w:r>
        <w:t xml:space="preserve"> </w:t>
      </w:r>
      <w:r>
        <w:t xml:space="preserve">no ads directed at children and no tracking or behavioural monitoring of children (DPDP s.9(3)); Udofin accounts are 18+ (U3); public website ad units avoid content directed at children.</w:t>
      </w:r>
    </w:p>
    <w:bookmarkEnd w:id="365"/>
    <w:bookmarkStart w:id="366" w:name="rv4.4-advertiser-and-creative-rules"/>
    <w:p>
      <w:pPr>
        <w:pStyle w:val="Heading3"/>
      </w:pPr>
      <w:r>
        <w:t xml:space="preserve">RV4.4 Advertiser and creative rules</w:t>
      </w:r>
    </w:p>
    <w:p>
      <w:pPr>
        <w:numPr>
          <w:ilvl w:val="0"/>
          <w:numId w:val="1223"/>
        </w:numPr>
        <w:pStyle w:val="Compact"/>
      </w:pPr>
      <w:r>
        <w:rPr>
          <w:bCs/>
          <w:b/>
        </w:rPr>
        <w:t xml:space="preserve">Advertiser verification:</w:t>
      </w:r>
      <w:r>
        <w:t xml:space="preserve"> </w:t>
      </w:r>
      <w:r>
        <w:t xml:space="preserve">legal entity, GSTIN, sector licence where relevant (RBI CoR or bank licence and presence on RBI’s DLA list for any lender; IRDAI registration for insurance; SEBI or AMFI registration for investments); unregulated lenders and lending apps are refused.</w:t>
      </w:r>
    </w:p>
    <w:p>
      <w:pPr>
        <w:numPr>
          <w:ilvl w:val="0"/>
          <w:numId w:val="1223"/>
        </w:numPr>
        <w:pStyle w:val="Compact"/>
      </w:pPr>
      <w:r>
        <w:rPr>
          <w:bCs/>
          <w:b/>
        </w:rPr>
        <w:t xml:space="preserve">Prohibited categories:</w:t>
      </w:r>
      <w:r>
        <w:t xml:space="preserve"> </w:t>
      </w:r>
      <w:r>
        <w:t xml:space="preserve">unregulated lending, credit repair or debt-settlement claims, digital gold, crypto-assets, real-money gaming and betting, unregistered investment advice or return claims (SEBI, 27 Jun 2024),</w:t>
      </w:r>
      <w:r>
        <w:t xml:space="preserve"> </w:t>
      </w:r>
      <w:r>
        <w:t xml:space="preserve">“</w:t>
      </w:r>
      <w:r>
        <w:t xml:space="preserve">guaranteed approval</w:t>
      </w:r>
      <w:r>
        <w:t xml:space="preserve">”</w:t>
      </w:r>
      <w:r>
        <w:t xml:space="preserve"> </w:t>
      </w:r>
      <w:r>
        <w:t xml:space="preserve">or</w:t>
      </w:r>
      <w:r>
        <w:t xml:space="preserve"> </w:t>
      </w:r>
      <w:r>
        <w:t xml:space="preserve">“</w:t>
      </w:r>
      <w:r>
        <w:t xml:space="preserve">no credit check</w:t>
      </w:r>
      <w:r>
        <w:t xml:space="preserve">”</w:t>
      </w:r>
      <w:r>
        <w:t xml:space="preserve"> </w:t>
      </w:r>
      <w:r>
        <w:t xml:space="preserve">loans, alcohol and tobacco, deposits of credit co-operative societies (Part 7E), payday-loan promotion in store apps (Part 6.2).</w:t>
      </w:r>
    </w:p>
    <w:p>
      <w:pPr>
        <w:numPr>
          <w:ilvl w:val="0"/>
          <w:numId w:val="1223"/>
        </w:numPr>
        <w:pStyle w:val="Compact"/>
      </w:pPr>
      <w:r>
        <w:rPr>
          <w:bCs/>
          <w:b/>
        </w:rPr>
        <w:t xml:space="preserve">Creative review:</w:t>
      </w:r>
      <w:r>
        <w:t xml:space="preserve"> </w:t>
      </w:r>
      <w:r>
        <w:t xml:space="preserve">ASCI Code (truthful, substantiated, no misleading financial claims; disclaimers legible), CCPA Misleading Advertisements Guidelines 2022, sector codes (IRDAI advertisement rules for insurance, SEBI and AMFI codes for mutual funds [VERIFY current texts]); RE lender ads also need the RE compliance team’s approval and carry the RE’s name and</w:t>
      </w:r>
      <w:r>
        <w:t xml:space="preserve"> </w:t>
      </w:r>
      <w:r>
        <w:t xml:space="preserve">“</w:t>
      </w:r>
      <w:r>
        <w:t xml:space="preserve">loans subject to [RE name]’s credit assessment</w:t>
      </w:r>
      <w:r>
        <w:t xml:space="preserve">”</w:t>
      </w:r>
      <w:r>
        <w:t xml:space="preserve">.</w:t>
      </w:r>
    </w:p>
    <w:p>
      <w:pPr>
        <w:numPr>
          <w:ilvl w:val="0"/>
          <w:numId w:val="1223"/>
        </w:numPr>
        <w:pStyle w:val="Compact"/>
      </w:pPr>
      <w:r>
        <w:rPr>
          <w:bCs/>
          <w:b/>
        </w:rPr>
        <w:t xml:space="preserve">Workflow:</w:t>
      </w:r>
      <w:r>
        <w:t xml:space="preserve"> </w:t>
      </w:r>
      <w:r>
        <w:rPr>
          <w:rStyle w:val="VerbatimChar"/>
        </w:rPr>
        <w:t xml:space="preserve">SUBMITTED → POLICY_CHECK → COMPLIANCE_REVIEW → {APPROVED, REJECTED} → SCHEDULED → LIVE → {PAUSED, TAKEN_DOWN, ENDED}</w:t>
      </w:r>
      <w:r>
        <w:t xml:space="preserve">; every state change logged; creatives versioned and hashed.</w:t>
      </w:r>
    </w:p>
    <w:p>
      <w:pPr>
        <w:numPr>
          <w:ilvl w:val="0"/>
          <w:numId w:val="1223"/>
        </w:numPr>
        <w:pStyle w:val="Compact"/>
      </w:pPr>
      <w:r>
        <w:rPr>
          <w:bCs/>
          <w:b/>
        </w:rPr>
        <w:t xml:space="preserve">“</w:t>
      </w:r>
      <w:r>
        <w:rPr>
          <w:bCs/>
          <w:b/>
        </w:rPr>
        <w:t xml:space="preserve">Report this ad</w:t>
      </w:r>
      <w:r>
        <w:rPr>
          <w:bCs/>
          <w:b/>
        </w:rPr>
        <w:t xml:space="preserve">”</w:t>
      </w:r>
      <w:r>
        <w:t xml:space="preserve"> </w:t>
      </w:r>
      <w:r>
        <w:t xml:space="preserve">on every unit; reports reviewed within 2 business days; ASCI complaints tracked to closure.</w:t>
      </w:r>
    </w:p>
    <w:bookmarkEnd w:id="366"/>
    <w:bookmarkStart w:id="367" w:name="rv4.5-neutrality-monitoring"/>
    <w:p>
      <w:pPr>
        <w:pStyle w:val="Heading3"/>
      </w:pPr>
      <w:r>
        <w:t xml:space="preserve">RV4.5 Neutrality monitoring</w:t>
      </w:r>
    </w:p>
    <w:p>
      <w:pPr>
        <w:numPr>
          <w:ilvl w:val="0"/>
          <w:numId w:val="1224"/>
        </w:numPr>
        <w:pStyle w:val="Compact"/>
      </w:pPr>
      <w:r>
        <w:t xml:space="preserve">Lender ads never change matching, ranking or the order of unmatched lenders; U19’s offer-neutrality checks (share of borrowers choosing each rank, by RE) are compared before and after any lender campaign, and a significant shift triggers a review [REC].</w:t>
      </w:r>
    </w:p>
    <w:p>
      <w:pPr>
        <w:numPr>
          <w:ilvl w:val="0"/>
          <w:numId w:val="1224"/>
        </w:numPr>
        <w:pStyle w:val="Compact"/>
      </w:pPr>
      <w:r>
        <w:t xml:space="preserve">Ad revenue is a separate S10 line; ad sales staff have no access to borrower-level data.</w:t>
      </w:r>
    </w:p>
    <w:p>
      <w:pPr>
        <w:numPr>
          <w:ilvl w:val="0"/>
          <w:numId w:val="1224"/>
        </w:numPr>
        <w:pStyle w:val="Compact"/>
      </w:pPr>
      <w:r>
        <w:t xml:space="preserve">Frequency caps per user per day; no interstitials; no ads during the first session after registration [REC].</w:t>
      </w:r>
    </w:p>
    <w:bookmarkEnd w:id="367"/>
    <w:bookmarkStart w:id="368" w:name="settings-and-options-rv4"/>
    <w:p>
      <w:pPr>
        <w:pStyle w:val="Heading3"/>
      </w:pPr>
      <w:r>
        <w:t xml:space="preserve">Settings and options (RV4)</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40"/>
        <w:gridCol w:w="1258"/>
        <w:gridCol w:w="3268"/>
        <w:gridCol w:w="2772"/>
      </w:tblGrid>
      <w:tr>
        <w:trPr>
          <w:tblHeader w:val="true"/>
          <w:tblHeader w:val="true"/>
        </w:trPr>
        <w:tc>
          <w:tcPr>
            <w:tcW w:w="2340" w:type="dxa"/>
            <w:shd w:val="clear" w:color="auto" w:fill="1F3A5F"/>
          </w:tcPr>
          <w:p>
            <w:pPr>
              <w:pStyle w:val="Compact"/>
              <w:spacing w:after="40"/>
              <w:jc w:val="left"/>
            </w:pPr>
            <w:r>
              <w:rPr>
                <w:b/>
                <w:color w:val="FFFFFF"/>
                <w:sz w:val="18"/>
              </w:rPr>
              <w:t xml:space="preserve">Setting</w:t>
            </w:r>
          </w:p>
        </w:tc>
        <w:tc>
          <w:tcPr>
            <w:tcW w:w="1258" w:type="dxa"/>
            <w:shd w:val="clear" w:color="auto" w:fill="1F3A5F"/>
          </w:tcPr>
          <w:p>
            <w:pPr>
              <w:pStyle w:val="Compact"/>
              <w:spacing w:after="40"/>
              <w:jc w:val="left"/>
            </w:pPr>
            <w:r>
              <w:rPr>
                <w:b/>
                <w:color w:val="FFFFFF"/>
                <w:sz w:val="18"/>
              </w:rPr>
              <w:t xml:space="preserve">Level</w:t>
            </w:r>
          </w:p>
        </w:tc>
        <w:tc>
          <w:tcPr>
            <w:tcW w:w="3268" w:type="dxa"/>
            <w:shd w:val="clear" w:color="auto" w:fill="1F3A5F"/>
          </w:tcPr>
          <w:p>
            <w:pPr>
              <w:pStyle w:val="Compact"/>
              <w:spacing w:after="40"/>
              <w:jc w:val="left"/>
            </w:pPr>
            <w:r>
              <w:rPr>
                <w:b/>
                <w:color w:val="FFFFFF"/>
                <w:sz w:val="18"/>
              </w:rPr>
              <w:t xml:space="preserve">Default</w:t>
            </w:r>
          </w:p>
        </w:tc>
        <w:tc>
          <w:tcPr>
            <w:tcW w:w="2772" w:type="dxa"/>
            <w:shd w:val="clear" w:color="auto" w:fill="1F3A5F"/>
          </w:tcPr>
          <w:p>
            <w:pPr>
              <w:pStyle w:val="Compact"/>
              <w:spacing w:after="40"/>
              <w:jc w:val="left"/>
            </w:pPr>
            <w:r>
              <w:rPr>
                <w:b/>
                <w:color w:val="FFFFFF"/>
                <w:sz w:val="18"/>
              </w:rPr>
              <w:t xml:space="preserve">Nature</w:t>
            </w:r>
          </w:p>
        </w:tc>
      </w:tr>
      <w:tr>
        <w:tc>
          <w:tcPr>
            <w:tcW w:w="2340" w:type="dxa"/>
          </w:tcPr>
          <w:p>
            <w:pPr>
              <w:pStyle w:val="Compact"/>
              <w:spacing w:after="40"/>
              <w:jc w:val="left"/>
            </w:pPr>
            <w:r>
              <w:rPr>
                <w:sz w:val="18"/>
              </w:rPr>
              <w:t xml:space="preserve">Advertising (S10)</w:t>
            </w:r>
          </w:p>
        </w:tc>
        <w:tc>
          <w:tcPr>
            <w:tcW w:w="1258" w:type="dxa"/>
          </w:tcPr>
          <w:p>
            <w:pPr>
              <w:pStyle w:val="Compact"/>
              <w:spacing w:after="40"/>
              <w:jc w:val="left"/>
            </w:pPr>
            <w:r>
              <w:rPr>
                <w:sz w:val="18"/>
              </w:rPr>
              <w:t xml:space="preserve">Platform</w:t>
            </w:r>
          </w:p>
        </w:tc>
        <w:tc>
          <w:tcPr>
            <w:tcW w:w="3268" w:type="dxa"/>
          </w:tcPr>
          <w:p>
            <w:pPr>
              <w:pStyle w:val="Compact"/>
              <w:spacing w:after="40"/>
              <w:jc w:val="left"/>
            </w:pPr>
            <w:r>
              <w:rPr>
                <w:sz w:val="18"/>
              </w:rPr>
              <w:t xml:space="preserve">Off (</w:t>
            </w:r>
            <w:r>
              <w:rPr>
                <w:rStyle w:val="VerbatimChar"/>
                <w:sz w:val="18"/>
              </w:rPr>
              <w:t xml:space="preserve">DRAFT</w:t>
            </w:r>
            <w:r>
              <w:rPr>
                <w:sz w:val="18"/>
              </w:rPr>
              <w:t xml:space="preserve">) until the owner’s advertising-policy decision (Appendix B item 29)</w:t>
            </w:r>
          </w:p>
        </w:tc>
        <w:tc>
          <w:tcPr>
            <w:tcW w:w="2772" w:type="dxa"/>
          </w:tcPr>
          <w:p>
            <w:pPr>
              <w:pStyle w:val="Compact"/>
              <w:spacing w:after="40"/>
              <w:jc w:val="left"/>
            </w:pPr>
            <w:r>
              <w:rPr>
                <w:sz w:val="18"/>
              </w:rPr>
              <w:t xml:space="preserve">Owner decision</w:t>
            </w:r>
          </w:p>
        </w:tc>
      </w:tr>
      <w:tr>
        <w:tc>
          <w:tcPr>
            <w:tcW w:w="2340" w:type="dxa"/>
          </w:tcPr>
          <w:p>
            <w:pPr>
              <w:pStyle w:val="Compact"/>
              <w:spacing w:after="40"/>
              <w:jc w:val="left"/>
            </w:pPr>
            <w:r>
              <w:rPr>
                <w:sz w:val="18"/>
              </w:rPr>
              <w:t xml:space="preserve">Surface matrix</w:t>
            </w:r>
          </w:p>
        </w:tc>
        <w:tc>
          <w:tcPr>
            <w:tcW w:w="1258" w:type="dxa"/>
          </w:tcPr>
          <w:p>
            <w:pPr>
              <w:pStyle w:val="Compact"/>
              <w:spacing w:after="40"/>
              <w:jc w:val="left"/>
            </w:pPr>
            <w:r>
              <w:rPr>
                <w:sz w:val="18"/>
              </w:rPr>
              <w:t xml:space="preserve">Platform</w:t>
            </w:r>
          </w:p>
        </w:tc>
        <w:tc>
          <w:tcPr>
            <w:tcW w:w="3268" w:type="dxa"/>
          </w:tcPr>
          <w:p>
            <w:pPr>
              <w:pStyle w:val="Compact"/>
              <w:spacing w:after="40"/>
              <w:jc w:val="left"/>
            </w:pPr>
            <w:r>
              <w:rPr>
                <w:sz w:val="18"/>
              </w:rPr>
              <w:t xml:space="preserve">RV4.1</w:t>
            </w:r>
          </w:p>
        </w:tc>
        <w:tc>
          <w:tcPr>
            <w:tcW w:w="2772" w:type="dxa"/>
          </w:tcPr>
          <w:p>
            <w:pPr>
              <w:pStyle w:val="Compact"/>
              <w:spacing w:after="40"/>
              <w:jc w:val="left"/>
            </w:pPr>
            <w:r>
              <w:rPr>
                <w:sz w:val="18"/>
              </w:rPr>
              <w:t xml:space="preserve">Floor;</w:t>
            </w:r>
            <w:r>
              <w:rPr>
                <w:sz w:val="18"/>
              </w:rPr>
              <w:t xml:space="preserve"> </w:t>
            </w:r>
            <w:r>
              <w:rPr>
                <w:sz w:val="18"/>
              </w:rPr>
              <w:t xml:space="preserve">“</w:t>
            </w:r>
            <w:r>
              <w:rPr>
                <w:sz w:val="18"/>
              </w:rPr>
              <w:t xml:space="preserve">Never</w:t>
            </w:r>
            <w:r>
              <w:rPr>
                <w:sz w:val="18"/>
              </w:rPr>
              <w:t xml:space="preserve">”</w:t>
            </w:r>
            <w:r>
              <w:rPr>
                <w:sz w:val="18"/>
              </w:rPr>
              <w:t xml:space="preserve"> </w:t>
            </w:r>
            <w:r>
              <w:rPr>
                <w:sz w:val="18"/>
              </w:rPr>
              <w:t xml:space="preserve">surfaces cannot be enabled</w:t>
            </w:r>
          </w:p>
        </w:tc>
      </w:tr>
      <w:tr>
        <w:tc>
          <w:tcPr>
            <w:tcW w:w="2340" w:type="dxa"/>
          </w:tcPr>
          <w:p>
            <w:pPr>
              <w:pStyle w:val="Compact"/>
              <w:spacing w:after="40"/>
              <w:jc w:val="left"/>
            </w:pPr>
            <w:r>
              <w:rPr>
                <w:sz w:val="18"/>
              </w:rPr>
              <w:t xml:space="preserve">Minimum reporting cohort</w:t>
            </w:r>
          </w:p>
        </w:tc>
        <w:tc>
          <w:tcPr>
            <w:tcW w:w="1258" w:type="dxa"/>
          </w:tcPr>
          <w:p>
            <w:pPr>
              <w:pStyle w:val="Compact"/>
              <w:spacing w:after="40"/>
              <w:jc w:val="left"/>
            </w:pPr>
            <w:r>
              <w:rPr>
                <w:sz w:val="18"/>
              </w:rPr>
              <w:t xml:space="preserve">Platform</w:t>
            </w:r>
          </w:p>
        </w:tc>
        <w:tc>
          <w:tcPr>
            <w:tcW w:w="3268" w:type="dxa"/>
          </w:tcPr>
          <w:p>
            <w:pPr>
              <w:pStyle w:val="Compact"/>
              <w:spacing w:after="40"/>
              <w:jc w:val="left"/>
            </w:pPr>
            <w:r>
              <w:rPr>
                <w:sz w:val="18"/>
              </w:rPr>
              <w:t xml:space="preserve">100</w:t>
            </w:r>
          </w:p>
        </w:tc>
        <w:tc>
          <w:tcPr>
            <w:tcW w:w="2772" w:type="dxa"/>
          </w:tcPr>
          <w:p>
            <w:pPr>
              <w:pStyle w:val="Compact"/>
              <w:spacing w:after="40"/>
              <w:jc w:val="left"/>
            </w:pPr>
            <w:r>
              <w:rPr>
                <w:sz w:val="18"/>
              </w:rPr>
              <w:t xml:space="preserve">May only be raised</w:t>
            </w:r>
          </w:p>
        </w:tc>
      </w:tr>
      <w:tr>
        <w:tc>
          <w:tcPr>
            <w:tcW w:w="2340" w:type="dxa"/>
          </w:tcPr>
          <w:p>
            <w:pPr>
              <w:pStyle w:val="Compact"/>
              <w:spacing w:after="40"/>
              <w:jc w:val="left"/>
            </w:pPr>
            <w:r>
              <w:rPr>
                <w:sz w:val="18"/>
              </w:rPr>
              <w:t xml:space="preserve">Frequency cap</w:t>
            </w:r>
          </w:p>
        </w:tc>
        <w:tc>
          <w:tcPr>
            <w:tcW w:w="1258" w:type="dxa"/>
          </w:tcPr>
          <w:p>
            <w:pPr>
              <w:pStyle w:val="Compact"/>
              <w:spacing w:after="40"/>
              <w:jc w:val="left"/>
            </w:pPr>
            <w:r>
              <w:rPr>
                <w:sz w:val="18"/>
              </w:rPr>
              <w:t xml:space="preserve">Platform</w:t>
            </w:r>
          </w:p>
        </w:tc>
        <w:tc>
          <w:tcPr>
            <w:tcW w:w="3268" w:type="dxa"/>
          </w:tcPr>
          <w:p>
            <w:pPr>
              <w:pStyle w:val="Compact"/>
              <w:spacing w:after="40"/>
              <w:jc w:val="left"/>
            </w:pPr>
            <w:r>
              <w:rPr>
                <w:sz w:val="18"/>
              </w:rPr>
              <w:t xml:space="preserve">3 ad impressions per user per day; none in the first session [REC]</w:t>
            </w:r>
          </w:p>
        </w:tc>
        <w:tc>
          <w:tcPr>
            <w:tcW w:w="2772" w:type="dxa"/>
          </w:tcPr>
          <w:p>
            <w:pPr>
              <w:pStyle w:val="Compact"/>
              <w:spacing w:after="40"/>
              <w:jc w:val="left"/>
            </w:pPr>
            <w:r>
              <w:rPr>
                <w:sz w:val="18"/>
              </w:rPr>
              <w:t xml:space="preserve">Commercial choice within the floor</w:t>
            </w:r>
          </w:p>
        </w:tc>
      </w:tr>
      <w:tr>
        <w:tc>
          <w:tcPr>
            <w:tcW w:w="2340" w:type="dxa"/>
          </w:tcPr>
          <w:p>
            <w:pPr>
              <w:pStyle w:val="Compact"/>
              <w:spacing w:after="40"/>
              <w:jc w:val="left"/>
            </w:pPr>
            <w:r>
              <w:rPr>
                <w:sz w:val="18"/>
              </w:rPr>
              <w:t xml:space="preserve">Prohibited categories</w:t>
            </w:r>
          </w:p>
        </w:tc>
        <w:tc>
          <w:tcPr>
            <w:tcW w:w="1258" w:type="dxa"/>
          </w:tcPr>
          <w:p>
            <w:pPr>
              <w:pStyle w:val="Compact"/>
              <w:spacing w:after="40"/>
              <w:jc w:val="left"/>
            </w:pPr>
            <w:r>
              <w:rPr>
                <w:sz w:val="18"/>
              </w:rPr>
              <w:t xml:space="preserve">Platform</w:t>
            </w:r>
          </w:p>
        </w:tc>
        <w:tc>
          <w:tcPr>
            <w:tcW w:w="3268" w:type="dxa"/>
          </w:tcPr>
          <w:p>
            <w:pPr>
              <w:pStyle w:val="Compact"/>
              <w:spacing w:after="40"/>
              <w:jc w:val="left"/>
            </w:pPr>
            <w:r>
              <w:rPr>
                <w:sz w:val="18"/>
              </w:rPr>
              <w:t xml:space="preserve">RV4.4 list</w:t>
            </w:r>
          </w:p>
        </w:tc>
        <w:tc>
          <w:tcPr>
            <w:tcW w:w="2772" w:type="dxa"/>
          </w:tcPr>
          <w:p>
            <w:pPr>
              <w:pStyle w:val="Compact"/>
              <w:spacing w:after="40"/>
              <w:jc w:val="left"/>
            </w:pPr>
            <w:r>
              <w:rPr>
                <w:sz w:val="18"/>
              </w:rPr>
              <w:t xml:space="preserve">Floor; may only be extended</w:t>
            </w:r>
          </w:p>
        </w:tc>
      </w:tr>
      <w:tr>
        <w:tc>
          <w:tcPr>
            <w:tcW w:w="2340" w:type="dxa"/>
          </w:tcPr>
          <w:p>
            <w:pPr>
              <w:pStyle w:val="Compact"/>
              <w:spacing w:after="40"/>
              <w:jc w:val="left"/>
            </w:pPr>
            <w:r>
              <w:rPr>
                <w:sz w:val="18"/>
              </w:rPr>
              <w:t xml:space="preserve">Declared interests and targeting consent</w:t>
            </w:r>
          </w:p>
        </w:tc>
        <w:tc>
          <w:tcPr>
            <w:tcW w:w="1258" w:type="dxa"/>
          </w:tcPr>
          <w:p>
            <w:pPr>
              <w:pStyle w:val="Compact"/>
              <w:spacing w:after="40"/>
              <w:jc w:val="left"/>
            </w:pPr>
            <w:r>
              <w:rPr>
                <w:sz w:val="18"/>
              </w:rPr>
              <w:t xml:space="preserve">Consumer</w:t>
            </w:r>
          </w:p>
        </w:tc>
        <w:tc>
          <w:tcPr>
            <w:tcW w:w="3268" w:type="dxa"/>
          </w:tcPr>
          <w:p>
            <w:pPr>
              <w:pStyle w:val="Compact"/>
              <w:spacing w:after="40"/>
              <w:jc w:val="left"/>
            </w:pPr>
            <w:r>
              <w:rPr>
                <w:sz w:val="18"/>
              </w:rPr>
              <w:t xml:space="preserve">None; all consents off</w:t>
            </w:r>
          </w:p>
        </w:tc>
        <w:tc>
          <w:tcPr>
            <w:tcW w:w="2772" w:type="dxa"/>
          </w:tcPr>
          <w:p>
            <w:pPr>
              <w:pStyle w:val="Compact"/>
              <w:spacing w:after="40"/>
              <w:jc w:val="left"/>
            </w:pPr>
            <w:r>
              <w:rPr>
                <w:sz w:val="18"/>
              </w:rPr>
              <w:t xml:space="preserve">Consumer choice (</w:t>
            </w:r>
            <w:r>
              <w:rPr>
                <w:rStyle w:val="VerbatimChar"/>
                <w:sz w:val="18"/>
              </w:rPr>
              <w:t xml:space="preserve">Account › Settings › Ads and interests</w:t>
            </w:r>
            <w:r>
              <w:rPr>
                <w:sz w:val="18"/>
              </w:rPr>
              <w:t xml:space="preserve">)</w:t>
            </w:r>
          </w:p>
        </w:tc>
      </w:tr>
    </w:tbl>
    <w:bookmarkEnd w:id="368"/>
    <w:bookmarkStart w:id="369" w:name="menu-and-screens-15"/>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999"/>
        <w:gridCol w:w="4098"/>
        <w:gridCol w:w="2541"/>
      </w:tblGrid>
      <w:tr>
        <w:trPr>
          <w:tblHeader w:val="true"/>
          <w:tblHeader w:val="true"/>
        </w:trPr>
        <w:tc>
          <w:tcPr>
            <w:tcW w:w="2999" w:type="dxa"/>
            <w:shd w:val="clear" w:color="auto" w:fill="1F3A5F"/>
          </w:tcPr>
          <w:p>
            <w:pPr>
              <w:pStyle w:val="Compact"/>
              <w:spacing w:after="40"/>
              <w:jc w:val="left"/>
            </w:pPr>
            <w:r>
              <w:rPr>
                <w:b/>
                <w:color w:val="FFFFFF"/>
                <w:sz w:val="18"/>
              </w:rPr>
              <w:t xml:space="preserve">Channel and path</w:t>
            </w:r>
          </w:p>
        </w:tc>
        <w:tc>
          <w:tcPr>
            <w:tcW w:w="4098" w:type="dxa"/>
            <w:shd w:val="clear" w:color="auto" w:fill="1F3A5F"/>
          </w:tcPr>
          <w:p>
            <w:pPr>
              <w:pStyle w:val="Compact"/>
              <w:spacing w:after="40"/>
              <w:jc w:val="left"/>
            </w:pPr>
            <w:r>
              <w:rPr>
                <w:b/>
                <w:color w:val="FFFFFF"/>
                <w:sz w:val="18"/>
              </w:rPr>
              <w:t xml:space="preserve">Main screens and key actions</w:t>
            </w:r>
          </w:p>
        </w:tc>
        <w:tc>
          <w:tcPr>
            <w:tcW w:w="2541" w:type="dxa"/>
            <w:shd w:val="clear" w:color="auto" w:fill="1F3A5F"/>
          </w:tcPr>
          <w:p>
            <w:pPr>
              <w:pStyle w:val="Compact"/>
              <w:spacing w:after="40"/>
              <w:jc w:val="left"/>
            </w:pPr>
            <w:r>
              <w:rPr>
                <w:b/>
                <w:color w:val="FFFFFF"/>
                <w:sz w:val="18"/>
              </w:rPr>
              <w:t xml:space="preserve">Roles</w:t>
            </w:r>
          </w:p>
        </w:tc>
      </w:tr>
      <w:tr>
        <w:tc>
          <w:tcPr>
            <w:tcW w:w="2999" w:type="dxa"/>
          </w:tcPr>
          <w:p>
            <w:pPr>
              <w:pStyle w:val="Compact"/>
              <w:spacing w:after="40"/>
              <w:jc w:val="left"/>
            </w:pPr>
            <w:r>
              <w:rPr>
                <w:sz w:val="18"/>
              </w:rPr>
              <w:t xml:space="preserve">Operations portal (C):</w:t>
            </w:r>
            <w:r>
              <w:rPr>
                <w:sz w:val="18"/>
              </w:rPr>
              <w:t xml:space="preserve"> </w:t>
            </w:r>
            <w:r>
              <w:rPr>
                <w:rStyle w:val="VerbatimChar"/>
                <w:sz w:val="18"/>
              </w:rPr>
              <w:t xml:space="preserve">Marketing › Advertising › Advertisers</w:t>
            </w:r>
          </w:p>
        </w:tc>
        <w:tc>
          <w:tcPr>
            <w:tcW w:w="4098" w:type="dxa"/>
          </w:tcPr>
          <w:p>
            <w:pPr>
              <w:pStyle w:val="Compact"/>
              <w:spacing w:after="40"/>
              <w:jc w:val="left"/>
            </w:pPr>
            <w:r>
              <w:rPr>
                <w:sz w:val="18"/>
              </w:rPr>
              <w:t xml:space="preserve">Verification wizard (entity, GSTIN, sector licence, DLA-list check), status, re-verification dates</w:t>
            </w:r>
          </w:p>
        </w:tc>
        <w:tc>
          <w:tcPr>
            <w:tcW w:w="2541" w:type="dxa"/>
          </w:tcPr>
          <w:p>
            <w:pPr>
              <w:pStyle w:val="Compact"/>
              <w:spacing w:after="40"/>
              <w:jc w:val="left"/>
            </w:pPr>
            <w:r>
              <w:rPr>
                <w:sz w:val="18"/>
              </w:rPr>
              <w:t xml:space="preserve">Ad operations (maker), Compliance (checker)</w:t>
            </w:r>
          </w:p>
        </w:tc>
      </w:tr>
      <w:tr>
        <w:tc>
          <w:tcPr>
            <w:tcW w:w="2999" w:type="dxa"/>
          </w:tcPr>
          <w:p>
            <w:pPr>
              <w:pStyle w:val="Compact"/>
              <w:spacing w:after="40"/>
              <w:jc w:val="left"/>
            </w:pPr>
            <w:r>
              <w:rPr>
                <w:sz w:val="18"/>
              </w:rPr>
              <w:t xml:space="preserve">C:</w:t>
            </w:r>
            <w:r>
              <w:rPr>
                <w:sz w:val="18"/>
              </w:rPr>
              <w:t xml:space="preserve"> </w:t>
            </w:r>
            <w:r>
              <w:rPr>
                <w:rStyle w:val="VerbatimChar"/>
                <w:sz w:val="18"/>
              </w:rPr>
              <w:t xml:space="preserve">… › Creatives</w:t>
            </w:r>
          </w:p>
        </w:tc>
        <w:tc>
          <w:tcPr>
            <w:tcW w:w="4098" w:type="dxa"/>
          </w:tcPr>
          <w:p>
            <w:pPr>
              <w:pStyle w:val="Compact"/>
              <w:spacing w:after="40"/>
              <w:jc w:val="left"/>
            </w:pPr>
            <w:r>
              <w:rPr>
                <w:sz w:val="18"/>
              </w:rPr>
              <w:t xml:space="preserve">Review queue by state, policy check result, compliance decision with reasons, version and hash history</w:t>
            </w:r>
          </w:p>
        </w:tc>
        <w:tc>
          <w:tcPr>
            <w:tcW w:w="2541" w:type="dxa"/>
          </w:tcPr>
          <w:p>
            <w:pPr>
              <w:pStyle w:val="Compact"/>
              <w:spacing w:after="40"/>
              <w:jc w:val="left"/>
            </w:pPr>
            <w:r>
              <w:rPr>
                <w:sz w:val="18"/>
              </w:rPr>
              <w:t xml:space="preserve">Compliance</w:t>
            </w:r>
          </w:p>
        </w:tc>
      </w:tr>
      <w:tr>
        <w:tc>
          <w:tcPr>
            <w:tcW w:w="2999" w:type="dxa"/>
          </w:tcPr>
          <w:p>
            <w:pPr>
              <w:pStyle w:val="Compact"/>
              <w:spacing w:after="40"/>
              <w:jc w:val="left"/>
            </w:pPr>
            <w:r>
              <w:rPr>
                <w:sz w:val="18"/>
              </w:rPr>
              <w:t xml:space="preserve">C:</w:t>
            </w:r>
            <w:r>
              <w:rPr>
                <w:sz w:val="18"/>
              </w:rPr>
              <w:t xml:space="preserve"> </w:t>
            </w:r>
            <w:r>
              <w:rPr>
                <w:rStyle w:val="VerbatimChar"/>
                <w:sz w:val="18"/>
              </w:rPr>
              <w:t xml:space="preserve">… › Campaigns</w:t>
            </w:r>
          </w:p>
        </w:tc>
        <w:tc>
          <w:tcPr>
            <w:tcW w:w="4098" w:type="dxa"/>
          </w:tcPr>
          <w:p>
            <w:pPr>
              <w:pStyle w:val="Compact"/>
              <w:spacing w:after="40"/>
              <w:jc w:val="left"/>
            </w:pPr>
            <w:r>
              <w:rPr>
                <w:sz w:val="18"/>
              </w:rPr>
              <w:t xml:space="preserve">Placements limited to permitted surfaces, schedule, targeting (contextual or declared only), pause and take-down</w:t>
            </w:r>
          </w:p>
        </w:tc>
        <w:tc>
          <w:tcPr>
            <w:tcW w:w="2541" w:type="dxa"/>
          </w:tcPr>
          <w:p>
            <w:pPr>
              <w:pStyle w:val="Compact"/>
              <w:spacing w:after="40"/>
              <w:jc w:val="left"/>
            </w:pPr>
            <w:r>
              <w:rPr>
                <w:sz w:val="18"/>
              </w:rPr>
              <w:t xml:space="preserve">Ad operations</w:t>
            </w:r>
          </w:p>
        </w:tc>
      </w:tr>
      <w:tr>
        <w:tc>
          <w:tcPr>
            <w:tcW w:w="2999" w:type="dxa"/>
          </w:tcPr>
          <w:p>
            <w:pPr>
              <w:pStyle w:val="Compact"/>
              <w:spacing w:after="40"/>
              <w:jc w:val="left"/>
            </w:pPr>
            <w:r>
              <w:rPr>
                <w:sz w:val="18"/>
              </w:rPr>
              <w:t xml:space="preserve">C:</w:t>
            </w:r>
            <w:r>
              <w:rPr>
                <w:sz w:val="18"/>
              </w:rPr>
              <w:t xml:space="preserve"> </w:t>
            </w:r>
            <w:r>
              <w:rPr>
                <w:rStyle w:val="VerbatimChar"/>
                <w:sz w:val="18"/>
              </w:rPr>
              <w:t xml:space="preserve">… › Reports</w:t>
            </w:r>
          </w:p>
        </w:tc>
        <w:tc>
          <w:tcPr>
            <w:tcW w:w="4098" w:type="dxa"/>
          </w:tcPr>
          <w:p>
            <w:pPr>
              <w:pStyle w:val="Compact"/>
              <w:spacing w:after="40"/>
              <w:jc w:val="left"/>
            </w:pPr>
            <w:r>
              <w:rPr>
                <w:sz w:val="18"/>
              </w:rPr>
              <w:t xml:space="preserve">Aggregated impressions and clicks with cohort floor; neutrality report per lender campaign</w:t>
            </w:r>
          </w:p>
        </w:tc>
        <w:tc>
          <w:tcPr>
            <w:tcW w:w="2541" w:type="dxa"/>
          </w:tcPr>
          <w:p>
            <w:pPr>
              <w:pStyle w:val="Compact"/>
              <w:spacing w:after="40"/>
              <w:jc w:val="left"/>
            </w:pPr>
            <w:r>
              <w:rPr>
                <w:sz w:val="18"/>
              </w:rPr>
              <w:t xml:space="preserve">Ad operations, Risk</w:t>
            </w:r>
          </w:p>
        </w:tc>
      </w:tr>
      <w:tr>
        <w:tc>
          <w:tcPr>
            <w:tcW w:w="2999" w:type="dxa"/>
          </w:tcPr>
          <w:p>
            <w:pPr>
              <w:pStyle w:val="Compact"/>
              <w:spacing w:after="40"/>
              <w:jc w:val="left"/>
            </w:pPr>
            <w:r>
              <w:rPr>
                <w:sz w:val="18"/>
              </w:rPr>
              <w:t xml:space="preserve">C:</w:t>
            </w:r>
            <w:r>
              <w:rPr>
                <w:sz w:val="18"/>
              </w:rPr>
              <w:t xml:space="preserve"> </w:t>
            </w:r>
            <w:r>
              <w:rPr>
                <w:rStyle w:val="VerbatimChar"/>
                <w:sz w:val="18"/>
              </w:rPr>
              <w:t xml:space="preserve">… › User reports</w:t>
            </w:r>
          </w:p>
        </w:tc>
        <w:tc>
          <w:tcPr>
            <w:tcW w:w="4098" w:type="dxa"/>
          </w:tcPr>
          <w:p>
            <w:pPr>
              <w:pStyle w:val="Compact"/>
              <w:spacing w:after="40"/>
              <w:jc w:val="left"/>
            </w:pPr>
            <w:r>
              <w:rPr>
                <w:sz w:val="18"/>
              </w:rPr>
              <w:t xml:space="preserve">“</w:t>
            </w:r>
            <w:r>
              <w:rPr>
                <w:sz w:val="18"/>
              </w:rPr>
              <w:t xml:space="preserve">Report this ad</w:t>
            </w:r>
            <w:r>
              <w:rPr>
                <w:sz w:val="18"/>
              </w:rPr>
              <w:t xml:space="preserve">”</w:t>
            </w:r>
            <w:r>
              <w:rPr>
                <w:sz w:val="18"/>
              </w:rPr>
              <w:t xml:space="preserve"> </w:t>
            </w:r>
            <w:r>
              <w:rPr>
                <w:sz w:val="18"/>
              </w:rPr>
              <w:t xml:space="preserve">queue with the 2-business-day timer; ASCI complaints</w:t>
            </w:r>
          </w:p>
        </w:tc>
        <w:tc>
          <w:tcPr>
            <w:tcW w:w="2541" w:type="dxa"/>
          </w:tcPr>
          <w:p>
            <w:pPr>
              <w:pStyle w:val="Compact"/>
              <w:spacing w:after="40"/>
              <w:jc w:val="left"/>
            </w:pPr>
            <w:r>
              <w:rPr>
                <w:sz w:val="18"/>
              </w:rPr>
              <w:t xml:space="preserve">Compliance</w:t>
            </w:r>
          </w:p>
        </w:tc>
      </w:tr>
      <w:tr>
        <w:tc>
          <w:tcPr>
            <w:tcW w:w="2999" w:type="dxa"/>
          </w:tcPr>
          <w:p>
            <w:pPr>
              <w:pStyle w:val="Compact"/>
              <w:spacing w:after="40"/>
              <w:jc w:val="left"/>
            </w:pPr>
            <w:r>
              <w:rPr>
                <w:sz w:val="18"/>
              </w:rPr>
              <w:t xml:space="preserve">Borrower app and web (A, B): ad unit menu</w:t>
            </w:r>
          </w:p>
        </w:tc>
        <w:tc>
          <w:tcPr>
            <w:tcW w:w="4098" w:type="dxa"/>
          </w:tcPr>
          <w:p>
            <w:pPr>
              <w:pStyle w:val="Compact"/>
              <w:spacing w:after="40"/>
              <w:jc w:val="left"/>
            </w:pPr>
            <w:r>
              <w:rPr>
                <w:sz w:val="18"/>
              </w:rPr>
              <w:t xml:space="preserve">“</w:t>
            </w:r>
            <w:r>
              <w:rPr>
                <w:sz w:val="18"/>
              </w:rPr>
              <w:t xml:space="preserve">Why am I seeing this?</w:t>
            </w:r>
            <w:r>
              <w:rPr>
                <w:sz w:val="18"/>
              </w:rPr>
              <w:t xml:space="preserve">”</w:t>
            </w:r>
            <w:r>
              <w:rPr>
                <w:sz w:val="18"/>
              </w:rPr>
              <w:t xml:space="preserve"> </w:t>
            </w:r>
            <w:r>
              <w:rPr>
                <w:sz w:val="18"/>
              </w:rPr>
              <w:t xml:space="preserve">(contextual reason),</w:t>
            </w:r>
            <w:r>
              <w:rPr>
                <w:sz w:val="18"/>
              </w:rPr>
              <w:t xml:space="preserve"> </w:t>
            </w:r>
            <w:r>
              <w:rPr>
                <w:sz w:val="18"/>
              </w:rPr>
              <w:t xml:space="preserve">“</w:t>
            </w:r>
            <w:r>
              <w:rPr>
                <w:sz w:val="18"/>
              </w:rPr>
              <w:t xml:space="preserve">Report this ad</w:t>
            </w:r>
            <w:r>
              <w:rPr>
                <w:sz w:val="18"/>
              </w:rPr>
              <w:t xml:space="preserve">”</w:t>
            </w:r>
            <w:r>
              <w:rPr>
                <w:sz w:val="18"/>
              </w:rPr>
              <w:t xml:space="preserve">, link to</w:t>
            </w:r>
            <w:r>
              <w:rPr>
                <w:sz w:val="18"/>
              </w:rPr>
              <w:t xml:space="preserve"> </w:t>
            </w:r>
            <w:r>
              <w:rPr>
                <w:rStyle w:val="VerbatimChar"/>
                <w:sz w:val="18"/>
              </w:rPr>
              <w:t xml:space="preserve">Account › Settings › Ads and interests</w:t>
            </w:r>
          </w:p>
        </w:tc>
        <w:tc>
          <w:tcPr>
            <w:tcW w:w="2541" w:type="dxa"/>
          </w:tcPr>
          <w:p>
            <w:pPr>
              <w:pStyle w:val="Compact"/>
              <w:spacing w:after="40"/>
              <w:jc w:val="left"/>
            </w:pPr>
            <w:r>
              <w:rPr>
                <w:sz w:val="18"/>
              </w:rPr>
              <w:t xml:space="preserve">Consumer</w:t>
            </w:r>
          </w:p>
        </w:tc>
      </w:tr>
    </w:tbl>
    <w:bookmarkEnd w:id="369"/>
    <w:bookmarkStart w:id="370" w:name="acceptance-tests-24"/>
    <w:p>
      <w:pPr>
        <w:pStyle w:val="Heading3"/>
      </w:pPr>
      <w:r>
        <w:t xml:space="preserve">Acceptance tests</w:t>
      </w:r>
    </w:p>
    <w:p>
      <w:pPr>
        <w:numPr>
          <w:ilvl w:val="0"/>
          <w:numId w:val="1225"/>
        </w:numPr>
        <w:pStyle w:val="Compact"/>
      </w:pPr>
      <w:r>
        <w:t xml:space="preserve">A route scan finds no ad unit on any surface marked</w:t>
      </w:r>
      <w:r>
        <w:t xml:space="preserve"> </w:t>
      </w:r>
      <w:r>
        <w:t xml:space="preserve">“</w:t>
      </w:r>
      <w:r>
        <w:t xml:space="preserve">Never</w:t>
      </w:r>
      <w:r>
        <w:t xml:space="preserve">”</w:t>
      </w:r>
      <w:r>
        <w:t xml:space="preserve"> </w:t>
      </w:r>
      <w:r>
        <w:t xml:space="preserve">in RV4.1.</w:t>
      </w:r>
    </w:p>
    <w:p>
      <w:pPr>
        <w:numPr>
          <w:ilvl w:val="0"/>
          <w:numId w:val="1225"/>
        </w:numPr>
        <w:pStyle w:val="Compact"/>
      </w:pPr>
      <w:r>
        <w:t xml:space="preserve">Every ad unit renders the</w:t>
      </w:r>
      <w:r>
        <w:t xml:space="preserve"> </w:t>
      </w:r>
      <w:r>
        <w:t xml:space="preserve">“</w:t>
      </w:r>
      <w:r>
        <w:t xml:space="preserve">Ad</w:t>
      </w:r>
      <w:r>
        <w:t xml:space="preserve">”</w:t>
      </w:r>
      <w:r>
        <w:t xml:space="preserve"> </w:t>
      </w:r>
      <w:r>
        <w:t xml:space="preserve">or</w:t>
      </w:r>
      <w:r>
        <w:t xml:space="preserve"> </w:t>
      </w:r>
      <w:r>
        <w:t xml:space="preserve">“</w:t>
      </w:r>
      <w:r>
        <w:t xml:space="preserve">Sponsored</w:t>
      </w:r>
      <w:r>
        <w:t xml:space="preserve">”</w:t>
      </w:r>
      <w:r>
        <w:t xml:space="preserve"> </w:t>
      </w:r>
      <w:r>
        <w:t xml:space="preserve">label in the active language; a creative without it cannot be scheduled.</w:t>
      </w:r>
    </w:p>
    <w:p>
      <w:pPr>
        <w:numPr>
          <w:ilvl w:val="0"/>
          <w:numId w:val="1225"/>
        </w:numPr>
        <w:pStyle w:val="Compact"/>
      </w:pPr>
      <w:r>
        <w:t xml:space="preserve">An ad request from the credit-report page, any loan screen or a user under the consent-off default never includes financial, credit, expense or KYC attributes.</w:t>
      </w:r>
    </w:p>
    <w:p>
      <w:pPr>
        <w:numPr>
          <w:ilvl w:val="0"/>
          <w:numId w:val="1225"/>
        </w:numPr>
        <w:pStyle w:val="Compact"/>
      </w:pPr>
      <w:r>
        <w:t xml:space="preserve">The app bundle and authenticated web contain no third-party ad or tracking SDK (dependency scan).</w:t>
      </w:r>
    </w:p>
    <w:p>
      <w:pPr>
        <w:numPr>
          <w:ilvl w:val="0"/>
          <w:numId w:val="1225"/>
        </w:numPr>
        <w:pStyle w:val="Compact"/>
      </w:pPr>
      <w:r>
        <w:t xml:space="preserve">An advertiser without an RBI CoR or DLA listing cannot run a lending ad; a prohibited category is rejected at policy check.</w:t>
      </w:r>
    </w:p>
    <w:p>
      <w:pPr>
        <w:numPr>
          <w:ilvl w:val="0"/>
          <w:numId w:val="1225"/>
        </w:numPr>
        <w:pStyle w:val="Compact"/>
      </w:pPr>
      <w:r>
        <w:t xml:space="preserve">A lender campaign changes no field in</w:t>
      </w:r>
      <w:r>
        <w:t xml:space="preserve"> </w:t>
      </w:r>
      <w:r>
        <w:rPr>
          <w:rStyle w:val="VerbatimChar"/>
        </w:rPr>
        <w:t xml:space="preserve">offer</w:t>
      </w:r>
      <w:r>
        <w:t xml:space="preserve"> </w:t>
      </w:r>
      <w:r>
        <w:t xml:space="preserve">ordering inputs; the neutrality report for the campaign period is generated automatically.</w:t>
      </w:r>
    </w:p>
    <w:p>
      <w:pPr>
        <w:numPr>
          <w:ilvl w:val="0"/>
          <w:numId w:val="1225"/>
        </w:numPr>
        <w:pStyle w:val="Compact"/>
      </w:pPr>
      <w:r>
        <w:t xml:space="preserve">With S10 off, no ad unit, advertiser screen action or ad request exists in production.</w:t>
      </w:r>
    </w:p>
    <w:p>
      <w:r>
        <w:pict>
          <v:rect style="width:0;height:1.5pt" o:hralign="center" o:hrstd="t" o:hr="t"/>
        </w:pict>
      </w:r>
    </w:p>
    <w:bookmarkEnd w:id="370"/>
    <w:bookmarkEnd w:id="371"/>
    <w:bookmarkEnd w:id="372"/>
    <w:bookmarkStart w:id="421" w:name="X57ffa1fbb84b659f6540d2b5bf55dbfe0fb7afe"/>
    <w:p>
      <w:pPr>
        <w:pStyle w:val="Heading1"/>
      </w:pPr>
      <w:r>
        <w:t xml:space="preserve">PART 7H — RISK FUNCTION, SUPERVISORY ACCESS, DATA PORTABILITY AND ENGINEERING OPERATIONS</w:t>
      </w:r>
    </w:p>
    <w:p>
      <w:pPr>
        <w:pStyle w:val="FirstParagraph"/>
      </w:pPr>
      <w:r>
        <w:rPr>
          <w:bCs/>
          <w:b/>
        </w:rPr>
        <w:t xml:space="preserve">Purpose.</w:t>
      </w:r>
      <w:r>
        <w:t xml:space="preserve"> </w:t>
      </w:r>
      <w:r>
        <w:t xml:space="preserve">Each partner RE stays fully responsible for what Udofin does (CF para 6(7)) and must be able to show RBI that its LSP is controlled, auditable, portable and secure. This Part gives Udofin (1) a proportionate</w:t>
      </w:r>
      <w:r>
        <w:t xml:space="preserve"> </w:t>
      </w:r>
      <w:r>
        <w:rPr>
          <w:bCs/>
          <w:b/>
        </w:rPr>
        <w:t xml:space="preserve">LSP risk management function</w:t>
      </w:r>
      <w:r>
        <w:t xml:space="preserve"> </w:t>
      </w:r>
      <w:r>
        <w:t xml:space="preserve">with a register, KRIs, DLG cap monitoring and a quarterly pack to each RE, feeding LawDocsComply; (2)</w:t>
      </w:r>
      <w:r>
        <w:t xml:space="preserve"> </w:t>
      </w:r>
      <w:r>
        <w:rPr>
          <w:bCs/>
          <w:b/>
        </w:rPr>
        <w:t xml:space="preserve">read-only, time-bound, scoped and logged access</w:t>
      </w:r>
      <w:r>
        <w:t xml:space="preserve"> </w:t>
      </w:r>
      <w:r>
        <w:t xml:space="preserve">for each RE’s auditors and RBI supervisors under that RE’s contract; (3)</w:t>
      </w:r>
      <w:r>
        <w:t xml:space="preserve"> </w:t>
      </w:r>
      <w:r>
        <w:rPr>
          <w:bCs/>
          <w:b/>
        </w:rPr>
        <w:t xml:space="preserve">self-explanatory export archives and RE-controlled storage</w:t>
      </w:r>
      <w:r>
        <w:t xml:space="preserve"> </w:t>
      </w:r>
      <w:r>
        <w:t xml:space="preserve">per deal, with borrower data kept in India; (4) the</w:t>
      </w:r>
      <w:r>
        <w:t xml:space="preserve"> </w:t>
      </w:r>
      <w:r>
        <w:rPr>
          <w:bCs/>
          <w:b/>
        </w:rPr>
        <w:t xml:space="preserve">engineering-operations and certification-readiness</w:t>
      </w:r>
      <w:r>
        <w:t xml:space="preserve"> </w:t>
      </w:r>
      <w:r>
        <w:t xml:space="preserve">programme shared with Finbyx, with Udofin’s mobile-specific controls; and (5)</w:t>
      </w:r>
      <w:r>
        <w:t xml:space="preserve"> </w:t>
      </w:r>
      <w:r>
        <w:rPr>
          <w:bCs/>
          <w:b/>
        </w:rPr>
        <w:t xml:space="preserve">provider-neutral voice, AI contact-centre and Jio adapters</w:t>
      </w:r>
      <w:r>
        <w:t xml:space="preserve"> </w:t>
      </w:r>
      <w:r>
        <w:t xml:space="preserve">that respect TRAI number series, calling hours, AI disclosure and recording rules.</w:t>
      </w:r>
    </w:p>
    <w:p>
      <w:pPr>
        <w:pStyle w:val="BodyText"/>
      </w:pPr>
      <w:r>
        <w:rPr>
          <w:bCs/>
          <w:b/>
        </w:rPr>
        <w:t xml:space="preserve">Applicability.</w:t>
      </w:r>
      <w:r>
        <w:t xml:space="preserve"> </w:t>
      </w:r>
      <w:r>
        <w:t xml:space="preserve">Udofin as LSP to every RE (all NBFC layers, HFCs, NBFC-MFIs, banks where onboarded) and as technology provider to non-RE lenders (Part 7B UP4). RE-specific obligations scale with the RE’s layer and asset size (CYB chapter, OUT Chapter IV materiality); Udofin builds once for the highest common requirement and switches per RE.</w:t>
      </w:r>
    </w:p>
    <w:p>
      <w:pPr>
        <w:pStyle w:val="BodyText"/>
      </w:pPr>
      <w:r>
        <w:rPr>
          <w:bCs/>
          <w:b/>
        </w:rPr>
        <w:t xml:space="preserve">Codes used.</w:t>
      </w:r>
      <w:r>
        <w:t xml:space="preserve"> </w:t>
      </w:r>
      <w:r>
        <w:t xml:space="preserve">RBI: CF, OUT, CYB, FRM, RBC (including the Third Amendment pack B from 1 Jan 2027, Part 7A.0.4), DPS, ORM guidance note (DOR.ORG.REC.301/14.10.001/2025-26; guidance, not a Direction).</w:t>
      </w:r>
      <w:r>
        <w:t xml:space="preserve"> </w:t>
      </w:r>
      <w:r>
        <w:rPr>
          <w:rStyle w:val="VerbatimChar"/>
        </w:rPr>
        <w:t xml:space="preserve">FREE-AI</w:t>
      </w:r>
      <w:r>
        <w:t xml:space="preserve"> </w:t>
      </w:r>
      <w:r>
        <w:t xml:space="preserve">(RBI FREE-AI framework report, 13 Aug 2025; guidance). Non-RBI (Part 8A.17 codes, shared with Finbyx Part 8A.37):</w:t>
      </w:r>
      <w:r>
        <w:t xml:space="preserve"> </w:t>
      </w:r>
      <w:r>
        <w:rPr>
          <w:rStyle w:val="VerbatimChar"/>
        </w:rPr>
        <w:t xml:space="preserve">DPDP</w:t>
      </w:r>
      <w:r>
        <w:t xml:space="preserve">,</w:t>
      </w:r>
      <w:r>
        <w:t xml:space="preserve"> </w:t>
      </w:r>
      <w:r>
        <w:rPr>
          <w:rStyle w:val="VerbatimChar"/>
        </w:rPr>
        <w:t xml:space="preserve">TRAI</w:t>
      </w:r>
      <w:r>
        <w:t xml:space="preserve"> </w:t>
      </w:r>
      <w:r>
        <w:t xml:space="preserve">(TCCCPR 2018 as amended 12 Feb 2025; TRAI Direction of 19 Nov 2025 on 1600-series numbers; TRAI clarification of 10 Jul 2026),</w:t>
      </w:r>
      <w:r>
        <w:t xml:space="preserve"> </w:t>
      </w:r>
      <w:r>
        <w:rPr>
          <w:rStyle w:val="VerbatimChar"/>
        </w:rPr>
        <w:t xml:space="preserve">CERTIN</w:t>
      </w:r>
      <w:r>
        <w:t xml:space="preserve"> </w:t>
      </w:r>
      <w:r>
        <w:t xml:space="preserve">(CERT-In Directions of 28 Apr 2022 under IT Act s.70B(6)),</w:t>
      </w:r>
      <w:r>
        <w:t xml:space="preserve"> </w:t>
      </w:r>
      <w:r>
        <w:rPr>
          <w:rStyle w:val="VerbatimChar"/>
        </w:rPr>
        <w:t xml:space="preserve">CA13</w:t>
      </w:r>
      <w:r>
        <w:t xml:space="preserve">,</w:t>
      </w:r>
      <w:r>
        <w:t xml:space="preserve"> </w:t>
      </w:r>
      <w:r>
        <w:rPr>
          <w:rStyle w:val="VerbatimChar"/>
        </w:rPr>
        <w:t xml:space="preserve">ISO</w:t>
      </w:r>
      <w:r>
        <w:t xml:space="preserve">,</w:t>
      </w:r>
      <w:r>
        <w:t xml:space="preserve"> </w:t>
      </w:r>
      <w:r>
        <w:rPr>
          <w:rStyle w:val="VerbatimChar"/>
        </w:rPr>
        <w:t xml:space="preserve">SOC2</w:t>
      </w:r>
      <w:r>
        <w:t xml:space="preserve">,</w:t>
      </w:r>
      <w:r>
        <w:t xml:space="preserve"> </w:t>
      </w:r>
      <w:r>
        <w:rPr>
          <w:rStyle w:val="VerbatimChar"/>
        </w:rPr>
        <w:t xml:space="preserve">PCI</w:t>
      </w:r>
      <w:r>
        <w:t xml:space="preserve">.</w:t>
      </w:r>
    </w:p>
    <w:p>
      <w:pPr>
        <w:pStyle w:val="BodyText"/>
      </w:pPr>
      <w:r>
        <w:rPr>
          <w:bCs/>
          <w:b/>
        </w:rPr>
        <w:t xml:space="preserve">Data owned.</w:t>
      </w:r>
      <w:r>
        <w:t xml:space="preserve"> </w:t>
      </w:r>
      <w:r>
        <w:t xml:space="preserve">Udofin owns its risk register, RCSA results, loss events, KRI values, DLG cap snapshots, quarterly packs, external-access grants and logs, export jobs and manifests, storage-target registrations, backup and restore evidence, release and change evidence, VAPT records, control evidence, communication-routing decisions, call recordings and AI transcripts made in its channels. REs own their prudential metrics, their risk appetite and their supervisory relationship; LawDocsComply holds the GRC records (register, RCSA campaigns, issues, attestations) for each tenant that uses it.</w:t>
      </w:r>
    </w:p>
    <w:p>
      <w:r>
        <w:pict>
          <v:rect style="width:0;height:1.5pt" o:hralign="center" o:hrstd="t" o:hr="t"/>
        </w:pict>
      </w:r>
    </w:p>
    <w:bookmarkStart w:id="383" w:name="X929f250438f0f5d9d906b66ad00cc3f4a6c5e5d"/>
    <w:p>
      <w:pPr>
        <w:pStyle w:val="Heading2"/>
      </w:pPr>
      <w:r>
        <w:t xml:space="preserve">RA1. LSP risk management function and LawDocsComply feed</w:t>
      </w:r>
    </w:p>
    <w:bookmarkStart w:id="373" w:name="ra1.1-basis-and-operating-model"/>
    <w:p>
      <w:pPr>
        <w:pStyle w:val="Heading3"/>
      </w:pPr>
      <w:r>
        <w:t xml:space="preserve">RA1.1 Basis and operating model</w:t>
      </w:r>
    </w:p>
    <w:p>
      <w:pPr>
        <w:numPr>
          <w:ilvl w:val="0"/>
          <w:numId w:val="1226"/>
        </w:numPr>
        <w:pStyle w:val="Compact"/>
      </w:pPr>
      <w:r>
        <w:rPr>
          <w:bCs/>
          <w:b/>
        </w:rPr>
        <w:t xml:space="preserve">No RBI risk-function mandate binds Udofin directly</w:t>
      </w:r>
      <w:r>
        <w:t xml:space="preserve">; the obligations reach it through each RE: due diligence and periodic review of the LSP (CF para 6(2)–(4); OUT paras 30, 38), the provider’s operational resilience at least equivalent to the RE’s (ORM para 73), incident reporting to the RE (OUT para 61), and fraud accountability (FRM para 31). Udofin therefore runs a proportionate, Board-approved risk function [REC].</w:t>
      </w:r>
    </w:p>
    <w:p>
      <w:pPr>
        <w:numPr>
          <w:ilvl w:val="0"/>
          <w:numId w:val="1226"/>
        </w:numPr>
        <w:pStyle w:val="Compact"/>
      </w:pPr>
      <w:r>
        <w:rPr>
          <w:bCs/>
          <w:b/>
        </w:rPr>
        <w:t xml:space="preserve">Roles:</w:t>
      </w:r>
      <w:r>
        <w:t xml:space="preserve"> </w:t>
      </w:r>
      <w:r>
        <w:t xml:space="preserve">Head of Risk and Compliance (second line; reports to Udofin’s Board risk or audit committee; no sales targets; not the DLG commercial owner); product and operations owners (first line); internal audit (third line; may be outsourced to an independent firm).</w:t>
      </w:r>
    </w:p>
    <w:p>
      <w:pPr>
        <w:numPr>
          <w:ilvl w:val="0"/>
          <w:numId w:val="1226"/>
        </w:numPr>
        <w:pStyle w:val="Compact"/>
      </w:pPr>
      <w:r>
        <w:rPr>
          <w:bCs/>
          <w:b/>
        </w:rPr>
        <w:t xml:space="preserve">Cadence:</w:t>
      </w:r>
      <w:r>
        <w:t xml:space="preserve"> </w:t>
      </w:r>
      <w:r>
        <w:t xml:space="preserve">RCSA semi-annually; KRI monitoring daily to monthly by KRI; quarterly pack to each RE and to Udofin’s Board; annual policy review.</w:t>
      </w:r>
    </w:p>
    <w:p>
      <w:pPr>
        <w:numPr>
          <w:ilvl w:val="0"/>
          <w:numId w:val="1226"/>
        </w:numPr>
        <w:pStyle w:val="Compact"/>
      </w:pPr>
      <w:r>
        <w:rPr>
          <w:bCs/>
          <w:b/>
        </w:rPr>
        <w:t xml:space="preserve">Must not:</w:t>
      </w:r>
      <w:r>
        <w:t xml:space="preserve"> </w:t>
      </w:r>
      <w:r>
        <w:t xml:space="preserve">compute or display any RE’s prudential ratios (CRAR, NPA, ALM) as Udofin’s metrics; make or influence credit decisions; accept DLG in any form other than cash with the RE, an FD with a scheduled commercial bank liened to the RE, or a bank guarantee in the RE’s favour (CF para 23).</w:t>
      </w:r>
    </w:p>
    <w:bookmarkEnd w:id="373"/>
    <w:bookmarkStart w:id="374" w:name="ra1.2-risk-register-15-risks"/>
    <w:p>
      <w:pPr>
        <w:pStyle w:val="Heading3"/>
      </w:pPr>
      <w:r>
        <w:t xml:space="preserve">RA1.2 Risk register (15 risks)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58"/>
        <w:gridCol w:w="3381"/>
        <w:gridCol w:w="3008"/>
        <w:gridCol w:w="2291"/>
      </w:tblGrid>
      <w:tr>
        <w:trPr>
          <w:tblHeader w:val="true"/>
          <w:tblHeader w:val="true"/>
        </w:trPr>
        <w:tc>
          <w:tcPr>
            <w:tcW w:w="958" w:type="dxa"/>
            <w:shd w:val="clear" w:color="auto" w:fill="1F3A5F"/>
          </w:tcPr>
          <w:p>
            <w:pPr>
              <w:pStyle w:val="Compact"/>
              <w:spacing w:after="40"/>
              <w:jc w:val="left"/>
            </w:pPr>
            <w:r>
              <w:rPr>
                <w:b/>
                <w:color w:val="FFFFFF"/>
                <w:sz w:val="18"/>
              </w:rPr>
              <w:t xml:space="preserve">ID</w:t>
            </w:r>
          </w:p>
        </w:tc>
        <w:tc>
          <w:tcPr>
            <w:tcW w:w="3381" w:type="dxa"/>
            <w:shd w:val="clear" w:color="auto" w:fill="1F3A5F"/>
          </w:tcPr>
          <w:p>
            <w:pPr>
              <w:pStyle w:val="Compact"/>
              <w:spacing w:after="40"/>
              <w:jc w:val="left"/>
            </w:pPr>
            <w:r>
              <w:rPr>
                <w:b/>
                <w:color w:val="FFFFFF"/>
                <w:sz w:val="18"/>
              </w:rPr>
              <w:t xml:space="preserve">Risk</w:t>
            </w:r>
          </w:p>
        </w:tc>
        <w:tc>
          <w:tcPr>
            <w:tcW w:w="3008" w:type="dxa"/>
            <w:shd w:val="clear" w:color="auto" w:fill="1F3A5F"/>
          </w:tcPr>
          <w:p>
            <w:pPr>
              <w:pStyle w:val="Compact"/>
              <w:spacing w:after="40"/>
              <w:jc w:val="left"/>
            </w:pPr>
            <w:r>
              <w:rPr>
                <w:b/>
                <w:color w:val="FFFFFF"/>
                <w:sz w:val="18"/>
              </w:rPr>
              <w:t xml:space="preserve">Main controls (module)</w:t>
            </w:r>
          </w:p>
        </w:tc>
        <w:tc>
          <w:tcPr>
            <w:tcW w:w="2291" w:type="dxa"/>
            <w:shd w:val="clear" w:color="auto" w:fill="1F3A5F"/>
          </w:tcPr>
          <w:p>
            <w:pPr>
              <w:pStyle w:val="Compact"/>
              <w:spacing w:after="40"/>
              <w:jc w:val="left"/>
            </w:pPr>
            <w:r>
              <w:rPr>
                <w:b/>
                <w:color w:val="FFFFFF"/>
                <w:sz w:val="18"/>
              </w:rPr>
              <w:t xml:space="preserve">Primary sources</w:t>
            </w:r>
          </w:p>
        </w:tc>
      </w:tr>
      <w:tr>
        <w:tc>
          <w:tcPr>
            <w:tcW w:w="958" w:type="dxa"/>
          </w:tcPr>
          <w:p>
            <w:pPr>
              <w:pStyle w:val="Compact"/>
              <w:spacing w:after="40"/>
              <w:jc w:val="left"/>
            </w:pPr>
            <w:r>
              <w:rPr>
                <w:sz w:val="18"/>
              </w:rPr>
              <w:t xml:space="preserve">R01</w:t>
            </w:r>
          </w:p>
        </w:tc>
        <w:tc>
          <w:tcPr>
            <w:tcW w:w="3381" w:type="dxa"/>
          </w:tcPr>
          <w:p>
            <w:pPr>
              <w:pStyle w:val="Compact"/>
              <w:spacing w:after="40"/>
              <w:jc w:val="left"/>
            </w:pPr>
            <w:r>
              <w:rPr>
                <w:sz w:val="18"/>
              </w:rPr>
              <w:t xml:space="preserve">Mis-selling, dark patterns and loss of offer neutrality</w:t>
            </w:r>
          </w:p>
        </w:tc>
        <w:tc>
          <w:tcPr>
            <w:tcW w:w="3008" w:type="dxa"/>
          </w:tcPr>
          <w:p>
            <w:pPr>
              <w:pStyle w:val="Compact"/>
              <w:spacing w:after="40"/>
              <w:jc w:val="left"/>
            </w:pPr>
            <w:r>
              <w:rPr>
                <w:sz w:val="18"/>
              </w:rPr>
              <w:t xml:space="preserve">Ranking engine blind to fees and DLG; UI audits; neutrality reports (U7, U8, U19; Part 7F XP4)</w:t>
            </w:r>
          </w:p>
        </w:tc>
        <w:tc>
          <w:tcPr>
            <w:tcW w:w="2291" w:type="dxa"/>
          </w:tcPr>
          <w:p>
            <w:pPr>
              <w:pStyle w:val="Compact"/>
              <w:spacing w:after="40"/>
              <w:jc w:val="left"/>
            </w:pPr>
            <w:r>
              <w:rPr>
                <w:sz w:val="18"/>
              </w:rPr>
              <w:t xml:space="preserve">CF para 7; CCPA 2023; RBC Second Amendment</w:t>
            </w:r>
          </w:p>
        </w:tc>
      </w:tr>
      <w:tr>
        <w:tc>
          <w:tcPr>
            <w:tcW w:w="958" w:type="dxa"/>
          </w:tcPr>
          <w:p>
            <w:pPr>
              <w:pStyle w:val="Compact"/>
              <w:spacing w:after="40"/>
              <w:jc w:val="left"/>
            </w:pPr>
            <w:r>
              <w:rPr>
                <w:sz w:val="18"/>
              </w:rPr>
              <w:t xml:space="preserve">R02</w:t>
            </w:r>
          </w:p>
        </w:tc>
        <w:tc>
          <w:tcPr>
            <w:tcW w:w="3381" w:type="dxa"/>
          </w:tcPr>
          <w:p>
            <w:pPr>
              <w:pStyle w:val="Compact"/>
              <w:spacing w:after="40"/>
              <w:jc w:val="left"/>
            </w:pPr>
            <w:r>
              <w:rPr>
                <w:sz w:val="18"/>
              </w:rPr>
              <w:t xml:space="preserve">Disclosure error: KFS, APR, charges or loan card shown wrongly</w:t>
            </w:r>
          </w:p>
        </w:tc>
        <w:tc>
          <w:tcPr>
            <w:tcW w:w="3008" w:type="dxa"/>
          </w:tcPr>
          <w:p>
            <w:pPr>
              <w:pStyle w:val="Compact"/>
              <w:spacing w:after="40"/>
              <w:jc w:val="left"/>
            </w:pPr>
            <w:r>
              <w:rPr>
                <w:sz w:val="18"/>
              </w:rPr>
              <w:t xml:space="preserve">Independent APR check; KFS rendering tests; charge guard (U8, U12)</w:t>
            </w:r>
          </w:p>
        </w:tc>
        <w:tc>
          <w:tcPr>
            <w:tcW w:w="2291" w:type="dxa"/>
          </w:tcPr>
          <w:p>
            <w:pPr>
              <w:pStyle w:val="Compact"/>
              <w:spacing w:after="40"/>
              <w:jc w:val="left"/>
            </w:pPr>
            <w:r>
              <w:rPr>
                <w:sz w:val="18"/>
              </w:rPr>
              <w:t xml:space="preserve">RBC paras 29, 78; CF para 7(3)</w:t>
            </w:r>
          </w:p>
        </w:tc>
      </w:tr>
      <w:tr>
        <w:tc>
          <w:tcPr>
            <w:tcW w:w="958" w:type="dxa"/>
          </w:tcPr>
          <w:p>
            <w:pPr>
              <w:pStyle w:val="Compact"/>
              <w:spacing w:after="40"/>
              <w:jc w:val="left"/>
            </w:pPr>
            <w:r>
              <w:rPr>
                <w:sz w:val="18"/>
              </w:rPr>
              <w:t xml:space="preserve">R03</w:t>
            </w:r>
          </w:p>
        </w:tc>
        <w:tc>
          <w:tcPr>
            <w:tcW w:w="3381" w:type="dxa"/>
          </w:tcPr>
          <w:p>
            <w:pPr>
              <w:pStyle w:val="Compact"/>
              <w:spacing w:after="40"/>
              <w:jc w:val="left"/>
            </w:pPr>
            <w:r>
              <w:rPr>
                <w:sz w:val="18"/>
              </w:rPr>
              <w:t xml:space="preserve">Data over-collection, consent misuse or purpose creep</w:t>
            </w:r>
          </w:p>
        </w:tc>
        <w:tc>
          <w:tcPr>
            <w:tcW w:w="3008" w:type="dxa"/>
          </w:tcPr>
          <w:p>
            <w:pPr>
              <w:pStyle w:val="Compact"/>
              <w:spacing w:after="40"/>
              <w:jc w:val="left"/>
            </w:pPr>
            <w:r>
              <w:rPr>
                <w:sz w:val="18"/>
              </w:rPr>
              <w:t xml:space="preserve">Permission manifest CI gate; consent engine; data map; separate vaults for add-ons and insurance (U4; Part 7D FW4)</w:t>
            </w:r>
          </w:p>
        </w:tc>
        <w:tc>
          <w:tcPr>
            <w:tcW w:w="2291" w:type="dxa"/>
          </w:tcPr>
          <w:p>
            <w:pPr>
              <w:pStyle w:val="Compact"/>
              <w:spacing w:after="40"/>
              <w:jc w:val="left"/>
            </w:pPr>
            <w:r>
              <w:rPr>
                <w:sz w:val="18"/>
              </w:rPr>
              <w:t xml:space="preserve">CF paras 13–15; DPDP</w:t>
            </w:r>
          </w:p>
        </w:tc>
      </w:tr>
      <w:tr>
        <w:tc>
          <w:tcPr>
            <w:tcW w:w="958" w:type="dxa"/>
          </w:tcPr>
          <w:p>
            <w:pPr>
              <w:pStyle w:val="Compact"/>
              <w:spacing w:after="40"/>
              <w:jc w:val="left"/>
            </w:pPr>
            <w:r>
              <w:rPr>
                <w:sz w:val="18"/>
              </w:rPr>
              <w:t xml:space="preserve">R04</w:t>
            </w:r>
          </w:p>
        </w:tc>
        <w:tc>
          <w:tcPr>
            <w:tcW w:w="3381" w:type="dxa"/>
          </w:tcPr>
          <w:p>
            <w:pPr>
              <w:pStyle w:val="Compact"/>
              <w:spacing w:after="40"/>
              <w:jc w:val="left"/>
            </w:pPr>
            <w:r>
              <w:rPr>
                <w:sz w:val="18"/>
              </w:rPr>
              <w:t xml:space="preserve">Data breach or cyber incident</w:t>
            </w:r>
          </w:p>
        </w:tc>
        <w:tc>
          <w:tcPr>
            <w:tcW w:w="3008" w:type="dxa"/>
          </w:tcPr>
          <w:p>
            <w:pPr>
              <w:pStyle w:val="Compact"/>
              <w:spacing w:after="40"/>
              <w:jc w:val="left"/>
            </w:pPr>
            <w:r>
              <w:rPr>
                <w:sz w:val="18"/>
              </w:rPr>
              <w:t xml:space="preserve">Security controls (Part 10.6); SIEM; incident runbook (U24)</w:t>
            </w:r>
          </w:p>
        </w:tc>
        <w:tc>
          <w:tcPr>
            <w:tcW w:w="2291" w:type="dxa"/>
          </w:tcPr>
          <w:p>
            <w:pPr>
              <w:pStyle w:val="Compact"/>
              <w:spacing w:after="40"/>
              <w:jc w:val="left"/>
            </w:pPr>
            <w:r>
              <w:rPr>
                <w:sz w:val="18"/>
              </w:rPr>
              <w:t xml:space="preserve">OUT paras 25, 61; CYB; CERT-In 2022</w:t>
            </w:r>
          </w:p>
        </w:tc>
      </w:tr>
      <w:tr>
        <w:tc>
          <w:tcPr>
            <w:tcW w:w="958" w:type="dxa"/>
          </w:tcPr>
          <w:p>
            <w:pPr>
              <w:pStyle w:val="Compact"/>
              <w:spacing w:after="40"/>
              <w:jc w:val="left"/>
            </w:pPr>
            <w:r>
              <w:rPr>
                <w:sz w:val="18"/>
              </w:rPr>
              <w:t xml:space="preserve">R05</w:t>
            </w:r>
          </w:p>
        </w:tc>
        <w:tc>
          <w:tcPr>
            <w:tcW w:w="3381" w:type="dxa"/>
          </w:tcPr>
          <w:p>
            <w:pPr>
              <w:pStyle w:val="Compact"/>
              <w:spacing w:after="40"/>
              <w:jc w:val="left"/>
            </w:pPr>
            <w:r>
              <w:rPr>
                <w:sz w:val="18"/>
              </w:rPr>
              <w:t xml:space="preserve">Data localisation breach (storage or processing outside India)</w:t>
            </w:r>
          </w:p>
        </w:tc>
        <w:tc>
          <w:tcPr>
            <w:tcW w:w="3008" w:type="dxa"/>
          </w:tcPr>
          <w:p>
            <w:pPr>
              <w:pStyle w:val="Compact"/>
              <w:spacing w:after="40"/>
              <w:jc w:val="left"/>
            </w:pPr>
            <w:r>
              <w:rPr>
                <w:sz w:val="18"/>
              </w:rPr>
              <w:t xml:space="preserve">Region checks on every vendor and storage target (RA3); vendor attestations</w:t>
            </w:r>
          </w:p>
        </w:tc>
        <w:tc>
          <w:tcPr>
            <w:tcW w:w="2291" w:type="dxa"/>
          </w:tcPr>
          <w:p>
            <w:pPr>
              <w:pStyle w:val="Compact"/>
              <w:spacing w:after="40"/>
              <w:jc w:val="left"/>
            </w:pPr>
            <w:r>
              <w:rPr>
                <w:sz w:val="18"/>
              </w:rPr>
              <w:t xml:space="preserve">CF para 14(4); OUT para 74(vi)</w:t>
            </w:r>
          </w:p>
        </w:tc>
      </w:tr>
      <w:tr>
        <w:tc>
          <w:tcPr>
            <w:tcW w:w="958" w:type="dxa"/>
          </w:tcPr>
          <w:p>
            <w:pPr>
              <w:pStyle w:val="Compact"/>
              <w:spacing w:after="40"/>
              <w:jc w:val="left"/>
            </w:pPr>
            <w:r>
              <w:rPr>
                <w:sz w:val="18"/>
              </w:rPr>
              <w:t xml:space="preserve">R06</w:t>
            </w:r>
          </w:p>
        </w:tc>
        <w:tc>
          <w:tcPr>
            <w:tcW w:w="3381" w:type="dxa"/>
          </w:tcPr>
          <w:p>
            <w:pPr>
              <w:pStyle w:val="Compact"/>
              <w:spacing w:after="40"/>
              <w:jc w:val="left"/>
            </w:pPr>
            <w:r>
              <w:rPr>
                <w:sz w:val="18"/>
              </w:rPr>
              <w:t xml:space="preserve">Fund-flow breach: any money touching Udofin, wrong beneficiary or pooled flow</w:t>
            </w:r>
          </w:p>
        </w:tc>
        <w:tc>
          <w:tcPr>
            <w:tcW w:w="3008" w:type="dxa"/>
          </w:tcPr>
          <w:p>
            <w:pPr>
              <w:pStyle w:val="Compact"/>
              <w:spacing w:after="40"/>
              <w:jc w:val="left"/>
            </w:pPr>
            <w:r>
              <w:rPr>
                <w:sz w:val="18"/>
              </w:rPr>
              <w:t xml:space="preserve">Configuration validator; credential purpose tags (Part 7G RV3); daily reconciliation (U11)</w:t>
            </w:r>
          </w:p>
        </w:tc>
        <w:tc>
          <w:tcPr>
            <w:tcW w:w="2291" w:type="dxa"/>
          </w:tcPr>
          <w:p>
            <w:pPr>
              <w:pStyle w:val="Compact"/>
              <w:spacing w:after="40"/>
              <w:jc w:val="left"/>
            </w:pPr>
            <w:r>
              <w:rPr>
                <w:sz w:val="18"/>
              </w:rPr>
              <w:t xml:space="preserve">CF para 10</w:t>
            </w:r>
          </w:p>
        </w:tc>
      </w:tr>
      <w:tr>
        <w:tc>
          <w:tcPr>
            <w:tcW w:w="958" w:type="dxa"/>
          </w:tcPr>
          <w:p>
            <w:pPr>
              <w:pStyle w:val="Compact"/>
              <w:spacing w:after="40"/>
              <w:jc w:val="left"/>
            </w:pPr>
            <w:r>
              <w:rPr>
                <w:sz w:val="18"/>
              </w:rPr>
              <w:t xml:space="preserve">R07</w:t>
            </w:r>
          </w:p>
        </w:tc>
        <w:tc>
          <w:tcPr>
            <w:tcW w:w="3381" w:type="dxa"/>
          </w:tcPr>
          <w:p>
            <w:pPr>
              <w:pStyle w:val="Compact"/>
              <w:spacing w:after="40"/>
              <w:jc w:val="left"/>
            </w:pPr>
            <w:r>
              <w:rPr>
                <w:sz w:val="18"/>
              </w:rPr>
              <w:t xml:space="preserve">Identity and application fraud: synthetic identity, mule accounts, device farms, agent fraud</w:t>
            </w:r>
          </w:p>
        </w:tc>
        <w:tc>
          <w:tcPr>
            <w:tcW w:w="3008" w:type="dxa"/>
          </w:tcPr>
          <w:p>
            <w:pPr>
              <w:pStyle w:val="Compact"/>
              <w:spacing w:after="40"/>
              <w:jc w:val="left"/>
            </w:pPr>
            <w:r>
              <w:rPr>
                <w:sz w:val="18"/>
              </w:rPr>
              <w:t xml:space="preserve">Device integrity, velocity and document-tamper signals; agent controls (U24; Part 7E MG4)</w:t>
            </w:r>
          </w:p>
        </w:tc>
        <w:tc>
          <w:tcPr>
            <w:tcW w:w="2291" w:type="dxa"/>
          </w:tcPr>
          <w:p>
            <w:pPr>
              <w:pStyle w:val="Compact"/>
              <w:spacing w:after="40"/>
              <w:jc w:val="left"/>
            </w:pPr>
            <w:r>
              <w:rPr>
                <w:sz w:val="18"/>
              </w:rPr>
              <w:t xml:space="preserve">FRM; KYC</w:t>
            </w:r>
          </w:p>
        </w:tc>
      </w:tr>
      <w:tr>
        <w:tc>
          <w:tcPr>
            <w:tcW w:w="958" w:type="dxa"/>
          </w:tcPr>
          <w:p>
            <w:pPr>
              <w:pStyle w:val="Compact"/>
              <w:spacing w:after="40"/>
              <w:jc w:val="left"/>
            </w:pPr>
            <w:r>
              <w:rPr>
                <w:sz w:val="18"/>
              </w:rPr>
              <w:t xml:space="preserve">R08</w:t>
            </w:r>
          </w:p>
        </w:tc>
        <w:tc>
          <w:tcPr>
            <w:tcW w:w="3381" w:type="dxa"/>
          </w:tcPr>
          <w:p>
            <w:pPr>
              <w:pStyle w:val="Compact"/>
              <w:spacing w:after="40"/>
              <w:jc w:val="left"/>
            </w:pPr>
            <w:r>
              <w:rPr>
                <w:sz w:val="18"/>
              </w:rPr>
              <w:t xml:space="preserve">Recovery and field conduct breach, including microfinance and State coercion overlays</w:t>
            </w:r>
          </w:p>
        </w:tc>
        <w:tc>
          <w:tcPr>
            <w:tcW w:w="3008" w:type="dxa"/>
          </w:tcPr>
          <w:p>
            <w:pPr>
              <w:pStyle w:val="Compact"/>
              <w:spacing w:after="40"/>
              <w:jc w:val="left"/>
            </w:pPr>
            <w:r>
              <w:rPr>
                <w:rStyle w:val="VerbatimChar"/>
                <w:sz w:val="18"/>
              </w:rPr>
              <w:t xml:space="preserve">canContact</w:t>
            </w:r>
            <w:r>
              <w:rPr>
                <w:sz w:val="18"/>
              </w:rPr>
              <w:t xml:space="preserve">; agent gates; field checklists (Part 7A UR4; Part 7E)</w:t>
            </w:r>
          </w:p>
        </w:tc>
        <w:tc>
          <w:tcPr>
            <w:tcW w:w="2291" w:type="dxa"/>
          </w:tcPr>
          <w:p>
            <w:pPr>
              <w:pStyle w:val="Compact"/>
              <w:spacing w:after="40"/>
              <w:jc w:val="left"/>
            </w:pPr>
            <w:r>
              <w:rPr>
                <w:sz w:val="18"/>
              </w:rPr>
              <w:t xml:space="preserve">RBC paras 90–100, 100A–100AB; TN Act 40 of 2025; KA Act 15 of 2025</w:t>
            </w:r>
          </w:p>
        </w:tc>
      </w:tr>
      <w:tr>
        <w:tc>
          <w:tcPr>
            <w:tcW w:w="958" w:type="dxa"/>
          </w:tcPr>
          <w:p>
            <w:pPr>
              <w:pStyle w:val="Compact"/>
              <w:spacing w:after="40"/>
              <w:jc w:val="left"/>
            </w:pPr>
            <w:r>
              <w:rPr>
                <w:sz w:val="18"/>
              </w:rPr>
              <w:t xml:space="preserve">R09</w:t>
            </w:r>
          </w:p>
        </w:tc>
        <w:tc>
          <w:tcPr>
            <w:tcW w:w="3381" w:type="dxa"/>
          </w:tcPr>
          <w:p>
            <w:pPr>
              <w:pStyle w:val="Compact"/>
              <w:spacing w:after="40"/>
              <w:jc w:val="left"/>
            </w:pPr>
            <w:r>
              <w:rPr>
                <w:sz w:val="18"/>
              </w:rPr>
              <w:t xml:space="preserve">Grievance handling failure: missed routing, timers or escalation information</w:t>
            </w:r>
          </w:p>
        </w:tc>
        <w:tc>
          <w:tcPr>
            <w:tcW w:w="3008" w:type="dxa"/>
          </w:tcPr>
          <w:p>
            <w:pPr>
              <w:pStyle w:val="Compact"/>
              <w:spacing w:after="40"/>
              <w:jc w:val="left"/>
            </w:pPr>
            <w:r>
              <w:rPr>
                <w:sz w:val="18"/>
              </w:rPr>
              <w:t xml:space="preserve">Grievance chain v2 with timers (Part 7C UB3)</w:t>
            </w:r>
          </w:p>
        </w:tc>
        <w:tc>
          <w:tcPr>
            <w:tcW w:w="2291" w:type="dxa"/>
          </w:tcPr>
          <w:p>
            <w:pPr>
              <w:pStyle w:val="Compact"/>
              <w:spacing w:after="40"/>
              <w:jc w:val="left"/>
            </w:pPr>
            <w:r>
              <w:rPr>
                <w:sz w:val="18"/>
              </w:rPr>
              <w:t xml:space="preserve">CF para 12; RB-IOS 2026</w:t>
            </w:r>
          </w:p>
        </w:tc>
      </w:tr>
      <w:tr>
        <w:tc>
          <w:tcPr>
            <w:tcW w:w="958" w:type="dxa"/>
          </w:tcPr>
          <w:p>
            <w:pPr>
              <w:pStyle w:val="Compact"/>
              <w:spacing w:after="40"/>
              <w:jc w:val="left"/>
            </w:pPr>
            <w:r>
              <w:rPr>
                <w:sz w:val="18"/>
              </w:rPr>
              <w:t xml:space="preserve">R10</w:t>
            </w:r>
          </w:p>
        </w:tc>
        <w:tc>
          <w:tcPr>
            <w:tcW w:w="3381" w:type="dxa"/>
          </w:tcPr>
          <w:p>
            <w:pPr>
              <w:pStyle w:val="Compact"/>
              <w:spacing w:after="40"/>
              <w:jc w:val="left"/>
            </w:pPr>
            <w:r>
              <w:rPr>
                <w:sz w:val="18"/>
              </w:rPr>
              <w:t xml:space="preserve">DLG cap breach or DLG loss beyond appetite</w:t>
            </w:r>
          </w:p>
        </w:tc>
        <w:tc>
          <w:tcPr>
            <w:tcW w:w="3008" w:type="dxa"/>
          </w:tcPr>
          <w:p>
            <w:pPr>
              <w:pStyle w:val="Compact"/>
              <w:spacing w:after="40"/>
              <w:jc w:val="left"/>
            </w:pPr>
            <w:r>
              <w:rPr>
                <w:sz w:val="18"/>
              </w:rPr>
              <w:t xml:space="preserve">DLG cap monitor (RA1.4); arrangement validator (U14)</w:t>
            </w:r>
          </w:p>
        </w:tc>
        <w:tc>
          <w:tcPr>
            <w:tcW w:w="2291" w:type="dxa"/>
          </w:tcPr>
          <w:p>
            <w:pPr>
              <w:pStyle w:val="Compact"/>
              <w:spacing w:after="40"/>
              <w:jc w:val="left"/>
            </w:pPr>
            <w:r>
              <w:rPr>
                <w:sz w:val="18"/>
              </w:rPr>
              <w:t xml:space="preserve">CF paras 19–29</w:t>
            </w:r>
          </w:p>
        </w:tc>
      </w:tr>
      <w:tr>
        <w:tc>
          <w:tcPr>
            <w:tcW w:w="958" w:type="dxa"/>
          </w:tcPr>
          <w:p>
            <w:pPr>
              <w:pStyle w:val="Compact"/>
              <w:spacing w:after="40"/>
              <w:jc w:val="left"/>
            </w:pPr>
            <w:r>
              <w:rPr>
                <w:sz w:val="18"/>
              </w:rPr>
              <w:t xml:space="preserve">R11</w:t>
            </w:r>
          </w:p>
        </w:tc>
        <w:tc>
          <w:tcPr>
            <w:tcW w:w="3381" w:type="dxa"/>
          </w:tcPr>
          <w:p>
            <w:pPr>
              <w:pStyle w:val="Compact"/>
              <w:spacing w:after="40"/>
              <w:jc w:val="left"/>
            </w:pPr>
            <w:r>
              <w:rPr>
                <w:sz w:val="18"/>
              </w:rPr>
              <w:t xml:space="preserve">RE concentration and partner exit (revenue or operational dependence on few REs)</w:t>
            </w:r>
          </w:p>
        </w:tc>
        <w:tc>
          <w:tcPr>
            <w:tcW w:w="3008" w:type="dxa"/>
          </w:tcPr>
          <w:p>
            <w:pPr>
              <w:pStyle w:val="Compact"/>
              <w:spacing w:after="40"/>
              <w:jc w:val="left"/>
            </w:pPr>
            <w:r>
              <w:rPr>
                <w:sz w:val="18"/>
              </w:rPr>
              <w:t xml:space="preserve">Deal portfolio monitoring; exit runbooks (Part 7B UP5)</w:t>
            </w:r>
          </w:p>
        </w:tc>
        <w:tc>
          <w:tcPr>
            <w:tcW w:w="2291" w:type="dxa"/>
          </w:tcPr>
          <w:p>
            <w:pPr>
              <w:pStyle w:val="Compact"/>
              <w:spacing w:after="40"/>
              <w:jc w:val="left"/>
            </w:pPr>
            <w:r>
              <w:rPr>
                <w:sz w:val="18"/>
              </w:rPr>
              <w:t xml:space="preserve">OUT paras 84–89 (RE exit planning)</w:t>
            </w:r>
          </w:p>
        </w:tc>
      </w:tr>
      <w:tr>
        <w:tc>
          <w:tcPr>
            <w:tcW w:w="958" w:type="dxa"/>
          </w:tcPr>
          <w:p>
            <w:pPr>
              <w:pStyle w:val="Compact"/>
              <w:spacing w:after="40"/>
              <w:jc w:val="left"/>
            </w:pPr>
            <w:r>
              <w:rPr>
                <w:sz w:val="18"/>
              </w:rPr>
              <w:t xml:space="preserve">R12</w:t>
            </w:r>
          </w:p>
        </w:tc>
        <w:tc>
          <w:tcPr>
            <w:tcW w:w="3381" w:type="dxa"/>
          </w:tcPr>
          <w:p>
            <w:pPr>
              <w:pStyle w:val="Compact"/>
              <w:spacing w:after="40"/>
              <w:jc w:val="left"/>
            </w:pPr>
            <w:r>
              <w:rPr>
                <w:sz w:val="18"/>
              </w:rPr>
              <w:t xml:space="preserve">Vendor and sub-processor failure (KYC, eSign, messaging, cloud, voice, AI)</w:t>
            </w:r>
          </w:p>
        </w:tc>
        <w:tc>
          <w:tcPr>
            <w:tcW w:w="3008" w:type="dxa"/>
          </w:tcPr>
          <w:p>
            <w:pPr>
              <w:pStyle w:val="Compact"/>
              <w:spacing w:after="40"/>
              <w:jc w:val="left"/>
            </w:pPr>
            <w:r>
              <w:rPr>
                <w:sz w:val="18"/>
              </w:rPr>
              <w:t xml:space="preserve">Sub-processor register with RE consent; fallbacks; vendor reviews</w:t>
            </w:r>
          </w:p>
        </w:tc>
        <w:tc>
          <w:tcPr>
            <w:tcW w:w="2291" w:type="dxa"/>
          </w:tcPr>
          <w:p>
            <w:pPr>
              <w:pStyle w:val="Compact"/>
              <w:spacing w:after="40"/>
              <w:jc w:val="left"/>
            </w:pPr>
            <w:r>
              <w:rPr>
                <w:sz w:val="18"/>
              </w:rPr>
              <w:t xml:space="preserve">OUT paras 34(iv), 74(xi), 82</w:t>
            </w:r>
          </w:p>
        </w:tc>
      </w:tr>
      <w:tr>
        <w:tc>
          <w:tcPr>
            <w:tcW w:w="958" w:type="dxa"/>
          </w:tcPr>
          <w:p>
            <w:pPr>
              <w:pStyle w:val="Compact"/>
              <w:spacing w:after="40"/>
              <w:jc w:val="left"/>
            </w:pPr>
            <w:r>
              <w:rPr>
                <w:sz w:val="18"/>
              </w:rPr>
              <w:t xml:space="preserve">R13</w:t>
            </w:r>
          </w:p>
        </w:tc>
        <w:tc>
          <w:tcPr>
            <w:tcW w:w="3381" w:type="dxa"/>
          </w:tcPr>
          <w:p>
            <w:pPr>
              <w:pStyle w:val="Compact"/>
              <w:spacing w:after="40"/>
              <w:jc w:val="left"/>
            </w:pPr>
            <w:r>
              <w:rPr>
                <w:sz w:val="18"/>
              </w:rPr>
              <w:t xml:space="preserve">Platform outage beyond impact tolerance for an RE’s critical operation</w:t>
            </w:r>
          </w:p>
        </w:tc>
        <w:tc>
          <w:tcPr>
            <w:tcW w:w="3008" w:type="dxa"/>
          </w:tcPr>
          <w:p>
            <w:pPr>
              <w:pStyle w:val="Compact"/>
              <w:spacing w:after="40"/>
              <w:jc w:val="left"/>
            </w:pPr>
            <w:r>
              <w:rPr>
                <w:sz w:val="18"/>
              </w:rPr>
              <w:t xml:space="preserve">SLOs; DR; impact-tolerance metrics per RE critical operation</w:t>
            </w:r>
          </w:p>
        </w:tc>
        <w:tc>
          <w:tcPr>
            <w:tcW w:w="2291" w:type="dxa"/>
          </w:tcPr>
          <w:p>
            <w:pPr>
              <w:pStyle w:val="Compact"/>
              <w:spacing w:after="40"/>
              <w:jc w:val="left"/>
            </w:pPr>
            <w:r>
              <w:rPr>
                <w:sz w:val="18"/>
              </w:rPr>
              <w:t xml:space="preserve">ORM paras 31–33; CYB paras 129–138</w:t>
            </w:r>
          </w:p>
        </w:tc>
      </w:tr>
      <w:tr>
        <w:tc>
          <w:tcPr>
            <w:tcW w:w="958" w:type="dxa"/>
          </w:tcPr>
          <w:p>
            <w:pPr>
              <w:pStyle w:val="Compact"/>
              <w:spacing w:after="40"/>
              <w:jc w:val="left"/>
            </w:pPr>
            <w:r>
              <w:rPr>
                <w:sz w:val="18"/>
              </w:rPr>
              <w:t xml:space="preserve">R14</w:t>
            </w:r>
          </w:p>
        </w:tc>
        <w:tc>
          <w:tcPr>
            <w:tcW w:w="3381" w:type="dxa"/>
          </w:tcPr>
          <w:p>
            <w:pPr>
              <w:pStyle w:val="Compact"/>
              <w:spacing w:after="40"/>
              <w:jc w:val="left"/>
            </w:pPr>
            <w:r>
              <w:rPr>
                <w:sz w:val="18"/>
              </w:rPr>
              <w:t xml:space="preserve">Regulatory, licence and platform-policy non-compliance (DLA register, CIMS data, app-store policies, TRAI DLT, IRDAI and other product licences)</w:t>
            </w:r>
          </w:p>
        </w:tc>
        <w:tc>
          <w:tcPr>
            <w:tcW w:w="3008" w:type="dxa"/>
          </w:tcPr>
          <w:p>
            <w:pPr>
              <w:pStyle w:val="Compact"/>
              <w:spacing w:after="40"/>
              <w:jc w:val="left"/>
            </w:pPr>
            <w:r>
              <w:rPr>
                <w:sz w:val="18"/>
              </w:rPr>
              <w:t xml:space="preserve">Regulatory register; licence gate (Part 7F XP1); store-declaration gate (RA4)</w:t>
            </w:r>
          </w:p>
        </w:tc>
        <w:tc>
          <w:tcPr>
            <w:tcW w:w="2291" w:type="dxa"/>
          </w:tcPr>
          <w:p>
            <w:pPr>
              <w:pStyle w:val="Compact"/>
              <w:spacing w:after="40"/>
              <w:jc w:val="left"/>
            </w:pPr>
            <w:r>
              <w:rPr>
                <w:sz w:val="18"/>
              </w:rPr>
              <w:t xml:space="preserve">CF para 18; TCCCPR; IRDAI; Play and App Store policies</w:t>
            </w:r>
          </w:p>
        </w:tc>
      </w:tr>
      <w:tr>
        <w:tc>
          <w:tcPr>
            <w:tcW w:w="958" w:type="dxa"/>
          </w:tcPr>
          <w:p>
            <w:pPr>
              <w:pStyle w:val="Compact"/>
              <w:spacing w:after="40"/>
              <w:jc w:val="left"/>
            </w:pPr>
            <w:r>
              <w:rPr>
                <w:sz w:val="18"/>
              </w:rPr>
              <w:t xml:space="preserve">R15</w:t>
            </w:r>
          </w:p>
        </w:tc>
        <w:tc>
          <w:tcPr>
            <w:tcW w:w="3381" w:type="dxa"/>
          </w:tcPr>
          <w:p>
            <w:pPr>
              <w:pStyle w:val="Compact"/>
              <w:spacing w:after="40"/>
              <w:jc w:val="left"/>
            </w:pPr>
            <w:r>
              <w:rPr>
                <w:sz w:val="18"/>
              </w:rPr>
              <w:t xml:space="preserve">AI and model risk: wrong answers, bias, undisclosed automation, unapproved messages</w:t>
            </w:r>
          </w:p>
        </w:tc>
        <w:tc>
          <w:tcPr>
            <w:tcW w:w="3008" w:type="dxa"/>
          </w:tcPr>
          <w:p>
            <w:pPr>
              <w:pStyle w:val="Compact"/>
              <w:spacing w:after="40"/>
              <w:jc w:val="left"/>
            </w:pPr>
            <w:r>
              <w:rPr>
                <w:sz w:val="18"/>
              </w:rPr>
              <w:t xml:space="preserve">Governed AI layer; prompt and output logs; human handover (U20; RA5)</w:t>
            </w:r>
          </w:p>
        </w:tc>
        <w:tc>
          <w:tcPr>
            <w:tcW w:w="2291" w:type="dxa"/>
          </w:tcPr>
          <w:p>
            <w:pPr>
              <w:pStyle w:val="Compact"/>
              <w:spacing w:after="40"/>
              <w:jc w:val="left"/>
            </w:pPr>
            <w:r>
              <w:rPr>
                <w:rStyle w:val="VerbatimChar"/>
                <w:sz w:val="18"/>
              </w:rPr>
              <w:t xml:space="preserve">FREE-AI</w:t>
            </w:r>
            <w:r>
              <w:rPr>
                <w:sz w:val="18"/>
              </w:rPr>
              <w:t xml:space="preserve"> </w:t>
            </w:r>
            <w:r>
              <w:rPr>
                <w:sz w:val="18"/>
              </w:rPr>
              <w:t xml:space="preserve">(guidance); DPDP</w:t>
            </w:r>
          </w:p>
        </w:tc>
      </w:tr>
    </w:tbl>
    <w:p>
      <w:pPr>
        <w:pStyle w:val="BodyText"/>
      </w:pPr>
      <w:r>
        <w:t xml:space="preserve">Each register entry holds: owner, inherent likelihood and impact (5 × 5), controls with test references, residual rating, appetite statement, KRIs, loss-event categories, RE impact flag (which REs are affected), and links to issues in LawDocsComply.</w:t>
      </w:r>
    </w:p>
    <w:bookmarkEnd w:id="374"/>
    <w:bookmarkStart w:id="375" w:name="ra1.3-kris"/>
    <w:p>
      <w:pPr>
        <w:pStyle w:val="Heading3"/>
      </w:pPr>
      <w:r>
        <w:t xml:space="preserve">RA1.3 KRIs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80"/>
        <w:gridCol w:w="2639"/>
        <w:gridCol w:w="1088"/>
        <w:gridCol w:w="2240"/>
        <w:gridCol w:w="1091"/>
      </w:tblGrid>
      <w:tr>
        <w:trPr>
          <w:tblHeader w:val="true"/>
          <w:tblHeader w:val="true"/>
        </w:trPr>
        <w:tc>
          <w:tcPr>
            <w:tcW w:w="2580" w:type="dxa"/>
            <w:shd w:val="clear" w:color="auto" w:fill="1F3A5F"/>
          </w:tcPr>
          <w:p>
            <w:pPr>
              <w:pStyle w:val="Compact"/>
              <w:spacing w:after="40"/>
              <w:jc w:val="left"/>
            </w:pPr>
            <w:r>
              <w:rPr>
                <w:b/>
                <w:color w:val="FFFFFF"/>
                <w:sz w:val="18"/>
              </w:rPr>
              <w:t xml:space="preserve">KRI</w:t>
            </w:r>
          </w:p>
        </w:tc>
        <w:tc>
          <w:tcPr>
            <w:tcW w:w="2639" w:type="dxa"/>
            <w:shd w:val="clear" w:color="auto" w:fill="1F3A5F"/>
          </w:tcPr>
          <w:p>
            <w:pPr>
              <w:pStyle w:val="Compact"/>
              <w:spacing w:after="40"/>
              <w:jc w:val="left"/>
            </w:pPr>
            <w:r>
              <w:rPr>
                <w:b/>
                <w:color w:val="FFFFFF"/>
                <w:sz w:val="18"/>
              </w:rPr>
              <w:t xml:space="preserve">Formula</w:t>
            </w:r>
          </w:p>
        </w:tc>
        <w:tc>
          <w:tcPr>
            <w:tcW w:w="1088" w:type="dxa"/>
            <w:shd w:val="clear" w:color="auto" w:fill="1F3A5F"/>
          </w:tcPr>
          <w:p>
            <w:pPr>
              <w:pStyle w:val="Compact"/>
              <w:spacing w:after="40"/>
              <w:jc w:val="left"/>
            </w:pPr>
            <w:r>
              <w:rPr>
                <w:b/>
                <w:color w:val="FFFFFF"/>
                <w:sz w:val="18"/>
              </w:rPr>
              <w:t xml:space="preserve">Frequency</w:t>
            </w:r>
          </w:p>
        </w:tc>
        <w:tc>
          <w:tcPr>
            <w:tcW w:w="2240" w:type="dxa"/>
            <w:shd w:val="clear" w:color="auto" w:fill="1F3A5F"/>
          </w:tcPr>
          <w:p>
            <w:pPr>
              <w:pStyle w:val="Compact"/>
              <w:spacing w:after="40"/>
              <w:jc w:val="left"/>
            </w:pPr>
            <w:r>
              <w:rPr>
                <w:b/>
                <w:color w:val="FFFFFF"/>
                <w:sz w:val="18"/>
              </w:rPr>
              <w:t xml:space="preserve">Amber / red [REC]</w:t>
            </w:r>
          </w:p>
        </w:tc>
        <w:tc>
          <w:tcPr>
            <w:tcW w:w="1091" w:type="dxa"/>
            <w:shd w:val="clear" w:color="auto" w:fill="1F3A5F"/>
          </w:tcPr>
          <w:p>
            <w:pPr>
              <w:pStyle w:val="Compact"/>
              <w:spacing w:after="40"/>
              <w:jc w:val="left"/>
            </w:pPr>
            <w:r>
              <w:rPr>
                <w:b/>
                <w:color w:val="FFFFFF"/>
                <w:sz w:val="18"/>
              </w:rPr>
              <w:t xml:space="preserve">Risk</w:t>
            </w:r>
          </w:p>
        </w:tc>
      </w:tr>
      <w:tr>
        <w:tc>
          <w:tcPr>
            <w:tcW w:w="2580" w:type="dxa"/>
          </w:tcPr>
          <w:p>
            <w:pPr>
              <w:pStyle w:val="Compact"/>
              <w:spacing w:after="40"/>
              <w:jc w:val="left"/>
            </w:pPr>
            <w:r>
              <w:rPr>
                <w:sz w:val="18"/>
              </w:rPr>
              <w:t xml:space="preserve">Complaints per 10,000 loans sourced</w:t>
            </w:r>
          </w:p>
        </w:tc>
        <w:tc>
          <w:tcPr>
            <w:tcW w:w="2639" w:type="dxa"/>
          </w:tcPr>
          <w:p>
            <w:pPr>
              <w:pStyle w:val="Compact"/>
              <w:spacing w:after="40"/>
              <w:jc w:val="left"/>
            </w:pPr>
            <w:r>
              <w:rPr>
                <w:sz w:val="18"/>
              </w:rPr>
              <w:t xml:space="preserve">complaints received ÷ loans sourced × 10,000, by RE and product</w:t>
            </w:r>
          </w:p>
        </w:tc>
        <w:tc>
          <w:tcPr>
            <w:tcW w:w="1088" w:type="dxa"/>
          </w:tcPr>
          <w:p>
            <w:pPr>
              <w:pStyle w:val="Compact"/>
              <w:spacing w:after="40"/>
              <w:jc w:val="left"/>
            </w:pPr>
            <w:r>
              <w:rPr>
                <w:sz w:val="18"/>
              </w:rPr>
              <w:t xml:space="preserve">Monthly</w:t>
            </w:r>
          </w:p>
        </w:tc>
        <w:tc>
          <w:tcPr>
            <w:tcW w:w="2240" w:type="dxa"/>
          </w:tcPr>
          <w:p>
            <w:pPr>
              <w:pStyle w:val="Compact"/>
              <w:spacing w:after="40"/>
              <w:jc w:val="left"/>
            </w:pPr>
            <w:r>
              <w:rPr>
                <w:sz w:val="18"/>
              </w:rPr>
              <w:t xml:space="preserve">15 / 30</w:t>
            </w:r>
          </w:p>
        </w:tc>
        <w:tc>
          <w:tcPr>
            <w:tcW w:w="1091" w:type="dxa"/>
          </w:tcPr>
          <w:p>
            <w:pPr>
              <w:pStyle w:val="Compact"/>
              <w:spacing w:after="40"/>
              <w:jc w:val="left"/>
            </w:pPr>
            <w:r>
              <w:rPr>
                <w:sz w:val="18"/>
              </w:rPr>
              <w:t xml:space="preserve">R01, R09</w:t>
            </w:r>
          </w:p>
        </w:tc>
      </w:tr>
      <w:tr>
        <w:tc>
          <w:tcPr>
            <w:tcW w:w="2580" w:type="dxa"/>
          </w:tcPr>
          <w:p>
            <w:pPr>
              <w:pStyle w:val="Compact"/>
              <w:spacing w:after="40"/>
              <w:jc w:val="left"/>
            </w:pPr>
            <w:r>
              <w:rPr>
                <w:sz w:val="18"/>
              </w:rPr>
              <w:t xml:space="preserve">Complaints resolved or forwarded within TAT</w:t>
            </w:r>
          </w:p>
        </w:tc>
        <w:tc>
          <w:tcPr>
            <w:tcW w:w="2639" w:type="dxa"/>
          </w:tcPr>
          <w:p>
            <w:pPr>
              <w:pStyle w:val="Compact"/>
              <w:spacing w:after="40"/>
              <w:jc w:val="left"/>
            </w:pPr>
            <w:r>
              <w:rPr>
                <w:sz w:val="18"/>
              </w:rPr>
              <w:t xml:space="preserve">on-time ÷ total</w:t>
            </w:r>
          </w:p>
        </w:tc>
        <w:tc>
          <w:tcPr>
            <w:tcW w:w="1088" w:type="dxa"/>
          </w:tcPr>
          <w:p>
            <w:pPr>
              <w:pStyle w:val="Compact"/>
              <w:spacing w:after="40"/>
              <w:jc w:val="left"/>
            </w:pPr>
            <w:r>
              <w:rPr>
                <w:sz w:val="18"/>
              </w:rPr>
              <w:t xml:space="preserve">Weekly</w:t>
            </w:r>
          </w:p>
        </w:tc>
        <w:tc>
          <w:tcPr>
            <w:tcW w:w="2240" w:type="dxa"/>
          </w:tcPr>
          <w:p>
            <w:pPr>
              <w:pStyle w:val="Compact"/>
              <w:spacing w:after="40"/>
              <w:jc w:val="left"/>
            </w:pPr>
            <w:r>
              <w:rPr>
                <w:sz w:val="18"/>
              </w:rPr>
              <w:t xml:space="preserve">below 98% / below 95%</w:t>
            </w:r>
          </w:p>
        </w:tc>
        <w:tc>
          <w:tcPr>
            <w:tcW w:w="1091" w:type="dxa"/>
          </w:tcPr>
          <w:p>
            <w:pPr>
              <w:pStyle w:val="Compact"/>
              <w:spacing w:after="40"/>
              <w:jc w:val="left"/>
            </w:pPr>
            <w:r>
              <w:rPr>
                <w:sz w:val="18"/>
              </w:rPr>
              <w:t xml:space="preserve">R09</w:t>
            </w:r>
          </w:p>
        </w:tc>
      </w:tr>
      <w:tr>
        <w:tc>
          <w:tcPr>
            <w:tcW w:w="2580" w:type="dxa"/>
          </w:tcPr>
          <w:p>
            <w:pPr>
              <w:pStyle w:val="Compact"/>
              <w:spacing w:after="40"/>
              <w:jc w:val="left"/>
            </w:pPr>
            <w:r>
              <w:rPr>
                <w:sz w:val="18"/>
              </w:rPr>
              <w:t xml:space="preserve">Consent-withdrawal SLA</w:t>
            </w:r>
          </w:p>
        </w:tc>
        <w:tc>
          <w:tcPr>
            <w:tcW w:w="2639" w:type="dxa"/>
          </w:tcPr>
          <w:p>
            <w:pPr>
              <w:pStyle w:val="Compact"/>
              <w:spacing w:after="40"/>
              <w:jc w:val="left"/>
            </w:pPr>
            <w:r>
              <w:rPr>
                <w:sz w:val="18"/>
              </w:rPr>
              <w:t xml:space="preserve">withdrawals actioned within 24 h ÷ total</w:t>
            </w:r>
          </w:p>
        </w:tc>
        <w:tc>
          <w:tcPr>
            <w:tcW w:w="1088" w:type="dxa"/>
          </w:tcPr>
          <w:p>
            <w:pPr>
              <w:pStyle w:val="Compact"/>
              <w:spacing w:after="40"/>
              <w:jc w:val="left"/>
            </w:pPr>
            <w:r>
              <w:rPr>
                <w:sz w:val="18"/>
              </w:rPr>
              <w:t xml:space="preserve">Daily</w:t>
            </w:r>
          </w:p>
        </w:tc>
        <w:tc>
          <w:tcPr>
            <w:tcW w:w="2240" w:type="dxa"/>
          </w:tcPr>
          <w:p>
            <w:pPr>
              <w:pStyle w:val="Compact"/>
              <w:spacing w:after="40"/>
              <w:jc w:val="left"/>
            </w:pPr>
            <w:r>
              <w:rPr>
                <w:sz w:val="18"/>
              </w:rPr>
              <w:t xml:space="preserve">below 99% / below 97%</w:t>
            </w:r>
          </w:p>
        </w:tc>
        <w:tc>
          <w:tcPr>
            <w:tcW w:w="1091" w:type="dxa"/>
          </w:tcPr>
          <w:p>
            <w:pPr>
              <w:pStyle w:val="Compact"/>
              <w:spacing w:after="40"/>
              <w:jc w:val="left"/>
            </w:pPr>
            <w:r>
              <w:rPr>
                <w:sz w:val="18"/>
              </w:rPr>
              <w:t xml:space="preserve">R03</w:t>
            </w:r>
          </w:p>
        </w:tc>
      </w:tr>
      <w:tr>
        <w:tc>
          <w:tcPr>
            <w:tcW w:w="2580" w:type="dxa"/>
          </w:tcPr>
          <w:p>
            <w:pPr>
              <w:pStyle w:val="Compact"/>
              <w:spacing w:after="40"/>
              <w:jc w:val="left"/>
            </w:pPr>
            <w:r>
              <w:rPr>
                <w:sz w:val="18"/>
              </w:rPr>
              <w:t xml:space="preserve">KFS acknowledged before execution</w:t>
            </w:r>
          </w:p>
        </w:tc>
        <w:tc>
          <w:tcPr>
            <w:tcW w:w="2639" w:type="dxa"/>
          </w:tcPr>
          <w:p>
            <w:pPr>
              <w:pStyle w:val="Compact"/>
              <w:spacing w:after="40"/>
              <w:jc w:val="left"/>
            </w:pPr>
            <w:r>
              <w:rPr>
                <w:sz w:val="18"/>
              </w:rPr>
              <w:t xml:space="preserve">executions with acknowledgement ÷ executions</w:t>
            </w:r>
          </w:p>
        </w:tc>
        <w:tc>
          <w:tcPr>
            <w:tcW w:w="1088" w:type="dxa"/>
          </w:tcPr>
          <w:p>
            <w:pPr>
              <w:pStyle w:val="Compact"/>
              <w:spacing w:after="40"/>
              <w:jc w:val="left"/>
            </w:pPr>
            <w:r>
              <w:rPr>
                <w:sz w:val="18"/>
              </w:rPr>
              <w:t xml:space="preserve">Daily</w:t>
            </w:r>
          </w:p>
        </w:tc>
        <w:tc>
          <w:tcPr>
            <w:tcW w:w="2240" w:type="dxa"/>
          </w:tcPr>
          <w:p>
            <w:pPr>
              <w:pStyle w:val="Compact"/>
              <w:spacing w:after="40"/>
              <w:jc w:val="left"/>
            </w:pPr>
            <w:r>
              <w:rPr>
                <w:sz w:val="18"/>
              </w:rPr>
              <w:t xml:space="preserve">below 100% / any miss is red</w:t>
            </w:r>
          </w:p>
        </w:tc>
        <w:tc>
          <w:tcPr>
            <w:tcW w:w="1091" w:type="dxa"/>
          </w:tcPr>
          <w:p>
            <w:pPr>
              <w:pStyle w:val="Compact"/>
              <w:spacing w:after="40"/>
              <w:jc w:val="left"/>
            </w:pPr>
            <w:r>
              <w:rPr>
                <w:sz w:val="18"/>
              </w:rPr>
              <w:t xml:space="preserve">R02</w:t>
            </w:r>
          </w:p>
        </w:tc>
      </w:tr>
      <w:tr>
        <w:tc>
          <w:tcPr>
            <w:tcW w:w="2580" w:type="dxa"/>
          </w:tcPr>
          <w:p>
            <w:pPr>
              <w:pStyle w:val="Compact"/>
              <w:spacing w:after="40"/>
              <w:jc w:val="left"/>
            </w:pPr>
            <w:r>
              <w:rPr>
                <w:sz w:val="18"/>
              </w:rPr>
              <w:t xml:space="preserve">APR-check failures</w:t>
            </w:r>
          </w:p>
        </w:tc>
        <w:tc>
          <w:tcPr>
            <w:tcW w:w="2639" w:type="dxa"/>
          </w:tcPr>
          <w:p>
            <w:pPr>
              <w:pStyle w:val="Compact"/>
              <w:spacing w:after="40"/>
              <w:jc w:val="left"/>
            </w:pPr>
            <w:r>
              <w:rPr>
                <w:sz w:val="18"/>
              </w:rPr>
              <w:t xml:space="preserve">mismatches blocked ÷ offers</w:t>
            </w:r>
          </w:p>
        </w:tc>
        <w:tc>
          <w:tcPr>
            <w:tcW w:w="1088" w:type="dxa"/>
          </w:tcPr>
          <w:p>
            <w:pPr>
              <w:pStyle w:val="Compact"/>
              <w:spacing w:after="40"/>
              <w:jc w:val="left"/>
            </w:pPr>
            <w:r>
              <w:rPr>
                <w:sz w:val="18"/>
              </w:rPr>
              <w:t xml:space="preserve">Daily</w:t>
            </w:r>
          </w:p>
        </w:tc>
        <w:tc>
          <w:tcPr>
            <w:tcW w:w="2240" w:type="dxa"/>
          </w:tcPr>
          <w:p>
            <w:pPr>
              <w:pStyle w:val="Compact"/>
              <w:spacing w:after="40"/>
              <w:jc w:val="left"/>
            </w:pPr>
            <w:r>
              <w:rPr>
                <w:sz w:val="18"/>
              </w:rPr>
              <w:t xml:space="preserve">above 0.5% / above 2%</w:t>
            </w:r>
          </w:p>
        </w:tc>
        <w:tc>
          <w:tcPr>
            <w:tcW w:w="1091" w:type="dxa"/>
          </w:tcPr>
          <w:p>
            <w:pPr>
              <w:pStyle w:val="Compact"/>
              <w:spacing w:after="40"/>
              <w:jc w:val="left"/>
            </w:pPr>
            <w:r>
              <w:rPr>
                <w:sz w:val="18"/>
              </w:rPr>
              <w:t xml:space="preserve">R02</w:t>
            </w:r>
          </w:p>
        </w:tc>
      </w:tr>
      <w:tr>
        <w:tc>
          <w:tcPr>
            <w:tcW w:w="2580" w:type="dxa"/>
          </w:tcPr>
          <w:p>
            <w:pPr>
              <w:pStyle w:val="Compact"/>
              <w:spacing w:after="40"/>
              <w:jc w:val="left"/>
            </w:pPr>
            <w:r>
              <w:rPr>
                <w:sz w:val="18"/>
              </w:rPr>
              <w:t xml:space="preserve">Security incidents and RE notification time</w:t>
            </w:r>
          </w:p>
        </w:tc>
        <w:tc>
          <w:tcPr>
            <w:tcW w:w="2639" w:type="dxa"/>
          </w:tcPr>
          <w:p>
            <w:pPr>
              <w:pStyle w:val="Compact"/>
              <w:spacing w:after="40"/>
              <w:jc w:val="left"/>
            </w:pPr>
            <w:r>
              <w:rPr>
                <w:sz w:val="18"/>
              </w:rPr>
              <w:t xml:space="preserve">incidents; median and maximum minutes to RE notice</w:t>
            </w:r>
          </w:p>
        </w:tc>
        <w:tc>
          <w:tcPr>
            <w:tcW w:w="1088" w:type="dxa"/>
          </w:tcPr>
          <w:p>
            <w:pPr>
              <w:pStyle w:val="Compact"/>
              <w:spacing w:after="40"/>
              <w:jc w:val="left"/>
            </w:pPr>
            <w:r>
              <w:rPr>
                <w:sz w:val="18"/>
              </w:rPr>
              <w:t xml:space="preserve">Per event</w:t>
            </w:r>
          </w:p>
        </w:tc>
        <w:tc>
          <w:tcPr>
            <w:tcW w:w="2240" w:type="dxa"/>
          </w:tcPr>
          <w:p>
            <w:pPr>
              <w:pStyle w:val="Compact"/>
              <w:spacing w:after="40"/>
              <w:jc w:val="left"/>
            </w:pPr>
            <w:r>
              <w:rPr>
                <w:sz w:val="18"/>
              </w:rPr>
              <w:t xml:space="preserve">any notice over 90 min / any over 120 min</w:t>
            </w:r>
          </w:p>
        </w:tc>
        <w:tc>
          <w:tcPr>
            <w:tcW w:w="1091" w:type="dxa"/>
          </w:tcPr>
          <w:p>
            <w:pPr>
              <w:pStyle w:val="Compact"/>
              <w:spacing w:after="40"/>
              <w:jc w:val="left"/>
            </w:pPr>
            <w:r>
              <w:rPr>
                <w:sz w:val="18"/>
              </w:rPr>
              <w:t xml:space="preserve">R04</w:t>
            </w:r>
          </w:p>
        </w:tc>
      </w:tr>
      <w:tr>
        <w:tc>
          <w:tcPr>
            <w:tcW w:w="2580" w:type="dxa"/>
          </w:tcPr>
          <w:p>
            <w:pPr>
              <w:pStyle w:val="Compact"/>
              <w:spacing w:after="40"/>
              <w:jc w:val="left"/>
            </w:pPr>
            <w:r>
              <w:rPr>
                <w:sz w:val="18"/>
              </w:rPr>
              <w:t xml:space="preserve">Non-India processing detections</w:t>
            </w:r>
          </w:p>
        </w:tc>
        <w:tc>
          <w:tcPr>
            <w:tcW w:w="2639" w:type="dxa"/>
          </w:tcPr>
          <w:p>
            <w:pPr>
              <w:pStyle w:val="Compact"/>
              <w:spacing w:after="40"/>
              <w:jc w:val="left"/>
            </w:pPr>
            <w:r>
              <w:rPr>
                <w:sz w:val="18"/>
              </w:rPr>
              <w:t xml:space="preserve">count</w:t>
            </w:r>
          </w:p>
        </w:tc>
        <w:tc>
          <w:tcPr>
            <w:tcW w:w="1088" w:type="dxa"/>
          </w:tcPr>
          <w:p>
            <w:pPr>
              <w:pStyle w:val="Compact"/>
              <w:spacing w:after="40"/>
              <w:jc w:val="left"/>
            </w:pPr>
            <w:r>
              <w:rPr>
                <w:sz w:val="18"/>
              </w:rPr>
              <w:t xml:space="preserve">Daily</w:t>
            </w:r>
          </w:p>
        </w:tc>
        <w:tc>
          <w:tcPr>
            <w:tcW w:w="2240" w:type="dxa"/>
          </w:tcPr>
          <w:p>
            <w:pPr>
              <w:pStyle w:val="Compact"/>
              <w:spacing w:after="40"/>
              <w:jc w:val="left"/>
            </w:pPr>
            <w:r>
              <w:rPr>
                <w:sz w:val="18"/>
              </w:rPr>
              <w:t xml:space="preserve">any is red</w:t>
            </w:r>
          </w:p>
        </w:tc>
        <w:tc>
          <w:tcPr>
            <w:tcW w:w="1091" w:type="dxa"/>
          </w:tcPr>
          <w:p>
            <w:pPr>
              <w:pStyle w:val="Compact"/>
              <w:spacing w:after="40"/>
              <w:jc w:val="left"/>
            </w:pPr>
            <w:r>
              <w:rPr>
                <w:sz w:val="18"/>
              </w:rPr>
              <w:t xml:space="preserve">R05</w:t>
            </w:r>
          </w:p>
        </w:tc>
      </w:tr>
      <w:tr>
        <w:tc>
          <w:tcPr>
            <w:tcW w:w="2580" w:type="dxa"/>
          </w:tcPr>
          <w:p>
            <w:pPr>
              <w:pStyle w:val="Compact"/>
              <w:spacing w:after="40"/>
              <w:jc w:val="left"/>
            </w:pPr>
            <w:r>
              <w:rPr>
                <w:sz w:val="18"/>
              </w:rPr>
              <w:t xml:space="preserve">Reconciliation breaks touching beneficiary or settlement accounts</w:t>
            </w:r>
          </w:p>
        </w:tc>
        <w:tc>
          <w:tcPr>
            <w:tcW w:w="2639" w:type="dxa"/>
          </w:tcPr>
          <w:p>
            <w:pPr>
              <w:pStyle w:val="Compact"/>
              <w:spacing w:after="40"/>
              <w:jc w:val="left"/>
            </w:pPr>
            <w:r>
              <w:rPr>
                <w:sz w:val="18"/>
              </w:rPr>
              <w:t xml:space="preserve">count unexplained after 1 business day</w:t>
            </w:r>
          </w:p>
        </w:tc>
        <w:tc>
          <w:tcPr>
            <w:tcW w:w="1088" w:type="dxa"/>
          </w:tcPr>
          <w:p>
            <w:pPr>
              <w:pStyle w:val="Compact"/>
              <w:spacing w:after="40"/>
              <w:jc w:val="left"/>
            </w:pPr>
            <w:r>
              <w:rPr>
                <w:sz w:val="18"/>
              </w:rPr>
              <w:t xml:space="preserve">Daily</w:t>
            </w:r>
          </w:p>
        </w:tc>
        <w:tc>
          <w:tcPr>
            <w:tcW w:w="2240" w:type="dxa"/>
          </w:tcPr>
          <w:p>
            <w:pPr>
              <w:pStyle w:val="Compact"/>
              <w:spacing w:after="40"/>
              <w:jc w:val="left"/>
            </w:pPr>
            <w:r>
              <w:rPr>
                <w:sz w:val="18"/>
              </w:rPr>
              <w:t xml:space="preserve">1 / 3</w:t>
            </w:r>
          </w:p>
        </w:tc>
        <w:tc>
          <w:tcPr>
            <w:tcW w:w="1091" w:type="dxa"/>
          </w:tcPr>
          <w:p>
            <w:pPr>
              <w:pStyle w:val="Compact"/>
              <w:spacing w:after="40"/>
              <w:jc w:val="left"/>
            </w:pPr>
            <w:r>
              <w:rPr>
                <w:sz w:val="18"/>
              </w:rPr>
              <w:t xml:space="preserve">R06</w:t>
            </w:r>
          </w:p>
        </w:tc>
      </w:tr>
      <w:tr>
        <w:tc>
          <w:tcPr>
            <w:tcW w:w="2580" w:type="dxa"/>
          </w:tcPr>
          <w:p>
            <w:pPr>
              <w:pStyle w:val="Compact"/>
              <w:spacing w:after="40"/>
              <w:jc w:val="left"/>
            </w:pPr>
            <w:r>
              <w:rPr>
                <w:sz w:val="18"/>
              </w:rPr>
              <w:t xml:space="preserve">Fraud per 1,000 applications</w:t>
            </w:r>
          </w:p>
        </w:tc>
        <w:tc>
          <w:tcPr>
            <w:tcW w:w="2639" w:type="dxa"/>
          </w:tcPr>
          <w:p>
            <w:pPr>
              <w:pStyle w:val="Compact"/>
              <w:spacing w:after="40"/>
              <w:jc w:val="left"/>
            </w:pPr>
            <w:r>
              <w:rPr>
                <w:sz w:val="18"/>
              </w:rPr>
              <w:t xml:space="preserve">confirmed fraud ÷ applications × 1,000</w:t>
            </w:r>
          </w:p>
        </w:tc>
        <w:tc>
          <w:tcPr>
            <w:tcW w:w="1088" w:type="dxa"/>
          </w:tcPr>
          <w:p>
            <w:pPr>
              <w:pStyle w:val="Compact"/>
              <w:spacing w:after="40"/>
              <w:jc w:val="left"/>
            </w:pPr>
            <w:r>
              <w:rPr>
                <w:sz w:val="18"/>
              </w:rPr>
              <w:t xml:space="preserve">Monthly</w:t>
            </w:r>
          </w:p>
        </w:tc>
        <w:tc>
          <w:tcPr>
            <w:tcW w:w="2240" w:type="dxa"/>
          </w:tcPr>
          <w:p>
            <w:pPr>
              <w:pStyle w:val="Compact"/>
              <w:spacing w:after="40"/>
              <w:jc w:val="left"/>
            </w:pPr>
            <w:r>
              <w:rPr>
                <w:sz w:val="18"/>
              </w:rPr>
              <w:t xml:space="preserve">RE-specific</w:t>
            </w:r>
          </w:p>
        </w:tc>
        <w:tc>
          <w:tcPr>
            <w:tcW w:w="1091" w:type="dxa"/>
          </w:tcPr>
          <w:p>
            <w:pPr>
              <w:pStyle w:val="Compact"/>
              <w:spacing w:after="40"/>
              <w:jc w:val="left"/>
            </w:pPr>
            <w:r>
              <w:rPr>
                <w:sz w:val="18"/>
              </w:rPr>
              <w:t xml:space="preserve">R07</w:t>
            </w:r>
          </w:p>
        </w:tc>
      </w:tr>
      <w:tr>
        <w:tc>
          <w:tcPr>
            <w:tcW w:w="2580" w:type="dxa"/>
          </w:tcPr>
          <w:p>
            <w:pPr>
              <w:pStyle w:val="Compact"/>
              <w:spacing w:after="40"/>
              <w:jc w:val="left"/>
            </w:pPr>
            <w:r>
              <w:rPr>
                <w:sz w:val="18"/>
              </w:rPr>
              <w:t xml:space="preserve">Contact-policy denials and violations</w:t>
            </w:r>
          </w:p>
        </w:tc>
        <w:tc>
          <w:tcPr>
            <w:tcW w:w="2639" w:type="dxa"/>
          </w:tcPr>
          <w:p>
            <w:pPr>
              <w:pStyle w:val="Compact"/>
              <w:spacing w:after="40"/>
              <w:jc w:val="left"/>
            </w:pPr>
            <w:r>
              <w:rPr>
                <w:sz w:val="18"/>
              </w:rPr>
              <w:t xml:space="preserve">violations (attempts outside policy that were not denied)</w:t>
            </w:r>
          </w:p>
        </w:tc>
        <w:tc>
          <w:tcPr>
            <w:tcW w:w="1088" w:type="dxa"/>
          </w:tcPr>
          <w:p>
            <w:pPr>
              <w:pStyle w:val="Compact"/>
              <w:spacing w:after="40"/>
              <w:jc w:val="left"/>
            </w:pPr>
            <w:r>
              <w:rPr>
                <w:sz w:val="18"/>
              </w:rPr>
              <w:t xml:space="preserve">Daily</w:t>
            </w:r>
          </w:p>
        </w:tc>
        <w:tc>
          <w:tcPr>
            <w:tcW w:w="2240" w:type="dxa"/>
          </w:tcPr>
          <w:p>
            <w:pPr>
              <w:pStyle w:val="Compact"/>
              <w:spacing w:after="40"/>
              <w:jc w:val="left"/>
            </w:pPr>
            <w:r>
              <w:rPr>
                <w:sz w:val="18"/>
              </w:rPr>
              <w:t xml:space="preserve">any violation is red</w:t>
            </w:r>
          </w:p>
        </w:tc>
        <w:tc>
          <w:tcPr>
            <w:tcW w:w="1091" w:type="dxa"/>
          </w:tcPr>
          <w:p>
            <w:pPr>
              <w:pStyle w:val="Compact"/>
              <w:spacing w:after="40"/>
              <w:jc w:val="left"/>
            </w:pPr>
            <w:r>
              <w:rPr>
                <w:sz w:val="18"/>
              </w:rPr>
              <w:t xml:space="preserve">R08</w:t>
            </w:r>
          </w:p>
        </w:tc>
      </w:tr>
      <w:tr>
        <w:tc>
          <w:tcPr>
            <w:tcW w:w="2580" w:type="dxa"/>
          </w:tcPr>
          <w:p>
            <w:pPr>
              <w:pStyle w:val="Compact"/>
              <w:spacing w:after="40"/>
              <w:jc w:val="left"/>
            </w:pPr>
            <w:r>
              <w:rPr>
                <w:sz w:val="18"/>
              </w:rPr>
              <w:t xml:space="preserve">DLG utilisation per set and aggregate</w:t>
            </w:r>
          </w:p>
        </w:tc>
        <w:tc>
          <w:tcPr>
            <w:tcW w:w="2639" w:type="dxa"/>
          </w:tcPr>
          <w:p>
            <w:pPr>
              <w:pStyle w:val="Compact"/>
              <w:spacing w:after="40"/>
              <w:jc w:val="left"/>
            </w:pPr>
            <w:r>
              <w:rPr>
                <w:sz w:val="18"/>
              </w:rPr>
              <w:t xml:space="preserve">cover ÷ amount disbursed per set; aggregate cover ÷ Udofin net worth</w:t>
            </w:r>
          </w:p>
        </w:tc>
        <w:tc>
          <w:tcPr>
            <w:tcW w:w="1088" w:type="dxa"/>
          </w:tcPr>
          <w:p>
            <w:pPr>
              <w:pStyle w:val="Compact"/>
              <w:spacing w:after="40"/>
              <w:jc w:val="left"/>
            </w:pPr>
            <w:r>
              <w:rPr>
                <w:sz w:val="18"/>
              </w:rPr>
              <w:t xml:space="preserve">Daily</w:t>
            </w:r>
          </w:p>
        </w:tc>
        <w:tc>
          <w:tcPr>
            <w:tcW w:w="2240" w:type="dxa"/>
          </w:tcPr>
          <w:p>
            <w:pPr>
              <w:pStyle w:val="Compact"/>
              <w:spacing w:after="40"/>
              <w:jc w:val="left"/>
            </w:pPr>
            <w:r>
              <w:rPr>
                <w:sz w:val="18"/>
              </w:rPr>
              <w:t xml:space="preserve">4.5% / 5.0% per set; aggregate per Board appetite</w:t>
            </w:r>
          </w:p>
        </w:tc>
        <w:tc>
          <w:tcPr>
            <w:tcW w:w="1091" w:type="dxa"/>
          </w:tcPr>
          <w:p>
            <w:pPr>
              <w:pStyle w:val="Compact"/>
              <w:spacing w:after="40"/>
              <w:jc w:val="left"/>
            </w:pPr>
            <w:r>
              <w:rPr>
                <w:sz w:val="18"/>
              </w:rPr>
              <w:t xml:space="preserve">R10</w:t>
            </w:r>
          </w:p>
        </w:tc>
      </w:tr>
      <w:tr>
        <w:tc>
          <w:tcPr>
            <w:tcW w:w="2580" w:type="dxa"/>
          </w:tcPr>
          <w:p>
            <w:pPr>
              <w:pStyle w:val="Compact"/>
              <w:spacing w:after="40"/>
              <w:jc w:val="left"/>
            </w:pPr>
            <w:r>
              <w:rPr>
                <w:sz w:val="18"/>
              </w:rPr>
              <w:t xml:space="preserve">Revenue share of largest RE</w:t>
            </w:r>
          </w:p>
        </w:tc>
        <w:tc>
          <w:tcPr>
            <w:tcW w:w="2639" w:type="dxa"/>
          </w:tcPr>
          <w:p>
            <w:pPr>
              <w:pStyle w:val="Compact"/>
              <w:spacing w:after="40"/>
              <w:jc w:val="left"/>
            </w:pPr>
            <w:r>
              <w:rPr>
                <w:sz w:val="18"/>
              </w:rPr>
              <w:t xml:space="preserve">top RE revenue ÷ total</w:t>
            </w:r>
          </w:p>
        </w:tc>
        <w:tc>
          <w:tcPr>
            <w:tcW w:w="1088" w:type="dxa"/>
          </w:tcPr>
          <w:p>
            <w:pPr>
              <w:pStyle w:val="Compact"/>
              <w:spacing w:after="40"/>
              <w:jc w:val="left"/>
            </w:pPr>
            <w:r>
              <w:rPr>
                <w:sz w:val="18"/>
              </w:rPr>
              <w:t xml:space="preserve">Quarterly</w:t>
            </w:r>
          </w:p>
        </w:tc>
        <w:tc>
          <w:tcPr>
            <w:tcW w:w="2240" w:type="dxa"/>
          </w:tcPr>
          <w:p>
            <w:pPr>
              <w:pStyle w:val="Compact"/>
              <w:spacing w:after="40"/>
              <w:jc w:val="left"/>
            </w:pPr>
            <w:r>
              <w:rPr>
                <w:sz w:val="18"/>
              </w:rPr>
              <w:t xml:space="preserve">40% / 60%</w:t>
            </w:r>
          </w:p>
        </w:tc>
        <w:tc>
          <w:tcPr>
            <w:tcW w:w="1091" w:type="dxa"/>
          </w:tcPr>
          <w:p>
            <w:pPr>
              <w:pStyle w:val="Compact"/>
              <w:spacing w:after="40"/>
              <w:jc w:val="left"/>
            </w:pPr>
            <w:r>
              <w:rPr>
                <w:sz w:val="18"/>
              </w:rPr>
              <w:t xml:space="preserve">R11</w:t>
            </w:r>
          </w:p>
        </w:tc>
      </w:tr>
      <w:tr>
        <w:tc>
          <w:tcPr>
            <w:tcW w:w="2580" w:type="dxa"/>
          </w:tcPr>
          <w:p>
            <w:pPr>
              <w:pStyle w:val="Compact"/>
              <w:spacing w:after="40"/>
              <w:jc w:val="left"/>
            </w:pPr>
            <w:r>
              <w:rPr>
                <w:sz w:val="18"/>
              </w:rPr>
              <w:t xml:space="preserve">Critical vendor availability</w:t>
            </w:r>
          </w:p>
        </w:tc>
        <w:tc>
          <w:tcPr>
            <w:tcW w:w="2639" w:type="dxa"/>
          </w:tcPr>
          <w:p>
            <w:pPr>
              <w:pStyle w:val="Compact"/>
              <w:spacing w:after="40"/>
              <w:jc w:val="left"/>
            </w:pPr>
            <w:r>
              <w:rPr>
                <w:sz w:val="18"/>
              </w:rPr>
              <w:t xml:space="preserve">uptime per vendor</w:t>
            </w:r>
          </w:p>
        </w:tc>
        <w:tc>
          <w:tcPr>
            <w:tcW w:w="1088" w:type="dxa"/>
          </w:tcPr>
          <w:p>
            <w:pPr>
              <w:pStyle w:val="Compact"/>
              <w:spacing w:after="40"/>
              <w:jc w:val="left"/>
            </w:pPr>
            <w:r>
              <w:rPr>
                <w:sz w:val="18"/>
              </w:rPr>
              <w:t xml:space="preserve">Daily</w:t>
            </w:r>
          </w:p>
        </w:tc>
        <w:tc>
          <w:tcPr>
            <w:tcW w:w="2240" w:type="dxa"/>
          </w:tcPr>
          <w:p>
            <w:pPr>
              <w:pStyle w:val="Compact"/>
              <w:spacing w:after="40"/>
              <w:jc w:val="left"/>
            </w:pPr>
            <w:r>
              <w:rPr>
                <w:sz w:val="18"/>
              </w:rPr>
              <w:t xml:space="preserve">below SLA / two breaches in a month</w:t>
            </w:r>
          </w:p>
        </w:tc>
        <w:tc>
          <w:tcPr>
            <w:tcW w:w="1091" w:type="dxa"/>
          </w:tcPr>
          <w:p>
            <w:pPr>
              <w:pStyle w:val="Compact"/>
              <w:spacing w:after="40"/>
              <w:jc w:val="left"/>
            </w:pPr>
            <w:r>
              <w:rPr>
                <w:sz w:val="18"/>
              </w:rPr>
              <w:t xml:space="preserve">R12</w:t>
            </w:r>
          </w:p>
        </w:tc>
      </w:tr>
      <w:tr>
        <w:tc>
          <w:tcPr>
            <w:tcW w:w="2580" w:type="dxa"/>
          </w:tcPr>
          <w:p>
            <w:pPr>
              <w:pStyle w:val="Compact"/>
              <w:spacing w:after="40"/>
              <w:jc w:val="left"/>
            </w:pPr>
            <w:r>
              <w:rPr>
                <w:sz w:val="18"/>
              </w:rPr>
              <w:t xml:space="preserve">Journey availability against impact tolerance</w:t>
            </w:r>
          </w:p>
        </w:tc>
        <w:tc>
          <w:tcPr>
            <w:tcW w:w="2639" w:type="dxa"/>
          </w:tcPr>
          <w:p>
            <w:pPr>
              <w:pStyle w:val="Compact"/>
              <w:spacing w:after="40"/>
              <w:jc w:val="left"/>
            </w:pPr>
            <w:r>
              <w:rPr>
                <w:sz w:val="18"/>
              </w:rPr>
              <w:t xml:space="preserve">minutes of outage per critical operation</w:t>
            </w:r>
          </w:p>
        </w:tc>
        <w:tc>
          <w:tcPr>
            <w:tcW w:w="1088" w:type="dxa"/>
          </w:tcPr>
          <w:p>
            <w:pPr>
              <w:pStyle w:val="Compact"/>
              <w:spacing w:after="40"/>
              <w:jc w:val="left"/>
            </w:pPr>
            <w:r>
              <w:rPr>
                <w:sz w:val="18"/>
              </w:rPr>
              <w:t xml:space="preserve">Real time</w:t>
            </w:r>
          </w:p>
        </w:tc>
        <w:tc>
          <w:tcPr>
            <w:tcW w:w="2240" w:type="dxa"/>
          </w:tcPr>
          <w:p>
            <w:pPr>
              <w:pStyle w:val="Compact"/>
              <w:spacing w:after="40"/>
              <w:jc w:val="left"/>
            </w:pPr>
            <w:r>
              <w:rPr>
                <w:sz w:val="18"/>
              </w:rPr>
              <w:t xml:space="preserve">50% of tolerance / tolerance breached</w:t>
            </w:r>
          </w:p>
        </w:tc>
        <w:tc>
          <w:tcPr>
            <w:tcW w:w="1091" w:type="dxa"/>
          </w:tcPr>
          <w:p>
            <w:pPr>
              <w:pStyle w:val="Compact"/>
              <w:spacing w:after="40"/>
              <w:jc w:val="left"/>
            </w:pPr>
            <w:r>
              <w:rPr>
                <w:sz w:val="18"/>
              </w:rPr>
              <w:t xml:space="preserve">R13</w:t>
            </w:r>
          </w:p>
        </w:tc>
      </w:tr>
      <w:tr>
        <w:tc>
          <w:tcPr>
            <w:tcW w:w="2580" w:type="dxa"/>
          </w:tcPr>
          <w:p>
            <w:pPr>
              <w:pStyle w:val="Compact"/>
              <w:spacing w:after="40"/>
              <w:jc w:val="left"/>
            </w:pPr>
            <w:r>
              <w:rPr>
                <w:sz w:val="18"/>
              </w:rPr>
              <w:t xml:space="preserve">Licence and declaration currency</w:t>
            </w:r>
          </w:p>
        </w:tc>
        <w:tc>
          <w:tcPr>
            <w:tcW w:w="2639" w:type="dxa"/>
          </w:tcPr>
          <w:p>
            <w:pPr>
              <w:pStyle w:val="Compact"/>
              <w:spacing w:after="40"/>
              <w:jc w:val="left"/>
            </w:pPr>
            <w:r>
              <w:rPr>
                <w:sz w:val="18"/>
              </w:rPr>
              <w:t xml:space="preserve">items expiring within 30 days; store or DLA mismatches</w:t>
            </w:r>
          </w:p>
        </w:tc>
        <w:tc>
          <w:tcPr>
            <w:tcW w:w="1088" w:type="dxa"/>
          </w:tcPr>
          <w:p>
            <w:pPr>
              <w:pStyle w:val="Compact"/>
              <w:spacing w:after="40"/>
              <w:jc w:val="left"/>
            </w:pPr>
            <w:r>
              <w:rPr>
                <w:sz w:val="18"/>
              </w:rPr>
              <w:t xml:space="preserve">Daily</w:t>
            </w:r>
          </w:p>
        </w:tc>
        <w:tc>
          <w:tcPr>
            <w:tcW w:w="2240" w:type="dxa"/>
          </w:tcPr>
          <w:p>
            <w:pPr>
              <w:pStyle w:val="Compact"/>
              <w:spacing w:after="40"/>
              <w:jc w:val="left"/>
            </w:pPr>
            <w:r>
              <w:rPr>
                <w:sz w:val="18"/>
              </w:rPr>
              <w:t xml:space="preserve">any due within 30 days / any expired</w:t>
            </w:r>
          </w:p>
        </w:tc>
        <w:tc>
          <w:tcPr>
            <w:tcW w:w="1091" w:type="dxa"/>
          </w:tcPr>
          <w:p>
            <w:pPr>
              <w:pStyle w:val="Compact"/>
              <w:spacing w:after="40"/>
              <w:jc w:val="left"/>
            </w:pPr>
            <w:r>
              <w:rPr>
                <w:sz w:val="18"/>
              </w:rPr>
              <w:t xml:space="preserve">R14</w:t>
            </w:r>
          </w:p>
        </w:tc>
      </w:tr>
      <w:tr>
        <w:tc>
          <w:tcPr>
            <w:tcW w:w="2580" w:type="dxa"/>
          </w:tcPr>
          <w:p>
            <w:pPr>
              <w:pStyle w:val="Compact"/>
              <w:spacing w:after="40"/>
              <w:jc w:val="left"/>
            </w:pPr>
            <w:r>
              <w:rPr>
                <w:sz w:val="18"/>
              </w:rPr>
              <w:t xml:space="preserve">AI escalations and incorrect-answer rate</w:t>
            </w:r>
          </w:p>
        </w:tc>
        <w:tc>
          <w:tcPr>
            <w:tcW w:w="2639" w:type="dxa"/>
          </w:tcPr>
          <w:p>
            <w:pPr>
              <w:pStyle w:val="Compact"/>
              <w:spacing w:after="40"/>
              <w:jc w:val="left"/>
            </w:pPr>
            <w:r>
              <w:rPr>
                <w:sz w:val="18"/>
              </w:rPr>
              <w:t xml:space="preserve">human handovers; QA-sampled wrong answers ÷ sampled</w:t>
            </w:r>
          </w:p>
        </w:tc>
        <w:tc>
          <w:tcPr>
            <w:tcW w:w="1088" w:type="dxa"/>
          </w:tcPr>
          <w:p>
            <w:pPr>
              <w:pStyle w:val="Compact"/>
              <w:spacing w:after="40"/>
              <w:jc w:val="left"/>
            </w:pPr>
            <w:r>
              <w:rPr>
                <w:sz w:val="18"/>
              </w:rPr>
              <w:t xml:space="preserve">Weekly</w:t>
            </w:r>
          </w:p>
        </w:tc>
        <w:tc>
          <w:tcPr>
            <w:tcW w:w="2240" w:type="dxa"/>
          </w:tcPr>
          <w:p>
            <w:pPr>
              <w:pStyle w:val="Compact"/>
              <w:spacing w:after="40"/>
              <w:jc w:val="left"/>
            </w:pPr>
            <w:r>
              <w:rPr>
                <w:sz w:val="18"/>
              </w:rPr>
              <w:t xml:space="preserve">2% / 5% wrong answers</w:t>
            </w:r>
          </w:p>
        </w:tc>
        <w:tc>
          <w:tcPr>
            <w:tcW w:w="1091" w:type="dxa"/>
          </w:tcPr>
          <w:p>
            <w:pPr>
              <w:pStyle w:val="Compact"/>
              <w:spacing w:after="40"/>
              <w:jc w:val="left"/>
            </w:pPr>
            <w:r>
              <w:rPr>
                <w:sz w:val="18"/>
              </w:rPr>
              <w:t xml:space="preserve">R15</w:t>
            </w:r>
          </w:p>
        </w:tc>
      </w:tr>
    </w:tbl>
    <w:p>
      <w:pPr>
        <w:pStyle w:val="BodyText"/>
      </w:pPr>
      <w:r>
        <w:t xml:space="preserve">Thresholds are set by Udofin’s Board and may be tightened per RE in the deal (Part 7B UP2). A red value raises</w:t>
      </w:r>
      <w:r>
        <w:t xml:space="preserve"> </w:t>
      </w:r>
      <w:r>
        <w:rPr>
          <w:rStyle w:val="VerbatimChar"/>
        </w:rPr>
        <w:t xml:space="preserve">KriBreached</w:t>
      </w:r>
      <w:r>
        <w:t xml:space="preserve">.</w:t>
      </w:r>
    </w:p>
    <w:bookmarkEnd w:id="375"/>
    <w:bookmarkStart w:id="376" w:name="ra1.4-dlg-5-cap-monitoring"/>
    <w:p>
      <w:pPr>
        <w:pStyle w:val="Heading3"/>
      </w:pPr>
      <w:r>
        <w:t xml:space="preserve">RA1.4 DLG 5% cap monitoring</w:t>
      </w:r>
    </w:p>
    <w:p>
      <w:pPr>
        <w:numPr>
          <w:ilvl w:val="0"/>
          <w:numId w:val="1227"/>
        </w:numPr>
        <w:pStyle w:val="Compact"/>
      </w:pPr>
      <w:r>
        <w:rPr>
          <w:bCs/>
          <w:b/>
        </w:rPr>
        <w:t xml:space="preserve">Per DLG set, daily, on every</w:t>
      </w:r>
      <w:r>
        <w:rPr>
          <w:bCs/>
          <w:b/>
        </w:rPr>
        <w:t xml:space="preserve"> </w:t>
      </w:r>
      <w:r>
        <w:rPr>
          <w:rStyle w:val="VerbatimChar"/>
          <w:bCs/>
          <w:b/>
        </w:rPr>
        <w:t xml:space="preserve">LoanDisbursed</w:t>
      </w:r>
      <w:r>
        <w:rPr>
          <w:bCs/>
          <w:b/>
        </w:rPr>
        <w:t xml:space="preserve"> </w:t>
      </w:r>
      <w:r>
        <w:rPr>
          <w:bCs/>
          <w:b/>
        </w:rPr>
        <w:t xml:space="preserve">and on every cover change:</w:t>
      </w:r>
      <w:r>
        <w:t xml:space="preserve"> </w:t>
      </w:r>
      <w:r>
        <w:rPr>
          <w:rStyle w:val="VerbatimChar"/>
        </w:rPr>
        <w:t xml:space="preserve">cover_ratio = DLG cover provided ÷ total amount disbursed out of the set</w:t>
      </w:r>
      <w:r>
        <w:t xml:space="preserve"> </w:t>
      </w:r>
      <w:r>
        <w:t xml:space="preserve">must stay ≤ 5% (CF para 24(1)). The set is fixed once sanctioned (para 24(2)); the denominator is cumulative disbursal, so repayments, maturities and write-offs never reduce it;</w:t>
      </w:r>
      <w:r>
        <w:t xml:space="preserve"> </w:t>
      </w:r>
      <w:r>
        <w:rPr>
          <w:rStyle w:val="VerbatimChar"/>
        </w:rPr>
        <w:t xml:space="preserve">available_cover = min(contracted cover, 5% × disbursed) − invoked</w:t>
      </w:r>
      <w:r>
        <w:t xml:space="preserve">, and invoked cover is never reinstated, even through recoveries (paras 24(3) Illustration, 25(4)). For implicit arrangements, performance risk borne ≤ 5% of the portfolio.</w:t>
      </w:r>
    </w:p>
    <w:p>
      <w:pPr>
        <w:numPr>
          <w:ilvl w:val="0"/>
          <w:numId w:val="1227"/>
        </w:numPr>
        <w:pStyle w:val="Compact"/>
      </w:pPr>
      <w:r>
        <w:rPr>
          <w:bCs/>
          <w:b/>
        </w:rPr>
        <w:t xml:space="preserve">Pre-entry check:</w:t>
      </w:r>
      <w:r>
        <w:t xml:space="preserve"> </w:t>
      </w:r>
      <w:r>
        <w:t xml:space="preserve">a new or renewed arrangement is blocked unless the form is permitted (CF para 23), the statutory auditor’s declaration is current (CF para 20(3)), loans covered by trust-fund credit-guarantee schemes are excluded (CF para 21(1)), and the term covers the longest loan tenor in the set (CF para 27(2)).</w:t>
      </w:r>
    </w:p>
    <w:p>
      <w:pPr>
        <w:numPr>
          <w:ilvl w:val="0"/>
          <w:numId w:val="1227"/>
        </w:numPr>
        <w:pStyle w:val="Compact"/>
      </w:pPr>
      <w:r>
        <w:rPr>
          <w:bCs/>
          <w:b/>
        </w:rPr>
        <w:t xml:space="preserve">Invocation watch:</w:t>
      </w:r>
      <w:r>
        <w:t xml:space="preserve"> </w:t>
      </w:r>
      <w:r>
        <w:t xml:space="preserve">the RE invokes within 120 days overdue (CF para 27(1)); Udofin records each invocation against the set and never reinstates it (CF para 25(4)); recoveries shared only as the contract allows (para 25(3)).</w:t>
      </w:r>
    </w:p>
    <w:p>
      <w:pPr>
        <w:numPr>
          <w:ilvl w:val="0"/>
          <w:numId w:val="1227"/>
        </w:numPr>
        <w:pStyle w:val="Compact"/>
      </w:pPr>
      <w:r>
        <w:rPr>
          <w:bCs/>
          <w:b/>
        </w:rPr>
        <w:t xml:space="preserve">Disclosure watch:</w:t>
      </w:r>
      <w:r>
        <w:t xml:space="preserve"> </w:t>
      </w:r>
      <w:r>
        <w:t xml:space="preserve">monthly website disclosure published within 7 working days of month-end (CF para 28); a missed deadline raises</w:t>
      </w:r>
      <w:r>
        <w:t xml:space="preserve"> </w:t>
      </w:r>
      <w:r>
        <w:rPr>
          <w:rStyle w:val="VerbatimChar"/>
        </w:rPr>
        <w:t xml:space="preserve">KriBreached</w:t>
      </w:r>
      <w:r>
        <w:t xml:space="preserve">.</w:t>
      </w:r>
    </w:p>
    <w:p>
      <w:pPr>
        <w:numPr>
          <w:ilvl w:val="0"/>
          <w:numId w:val="1227"/>
        </w:numPr>
        <w:pStyle w:val="Compact"/>
      </w:pPr>
      <w:r>
        <w:rPr>
          <w:bCs/>
          <w:b/>
        </w:rPr>
        <w:t xml:space="preserve">Breach:</w:t>
      </w:r>
      <w:r>
        <w:t xml:space="preserve"> </w:t>
      </w:r>
      <w:r>
        <w:t xml:space="preserve">a cover deposit, top-up or amendment that would exceed 5% is refused before it is recorded; any computed ratio above 5% (for example after a data correction) raises</w:t>
      </w:r>
      <w:r>
        <w:t xml:space="preserve"> </w:t>
      </w:r>
      <w:r>
        <w:rPr>
          <w:rStyle w:val="VerbatimChar"/>
        </w:rPr>
        <w:t xml:space="preserve">LimitBreached</w:t>
      </w:r>
      <w:r>
        <w:t xml:space="preserve"> </w:t>
      </w:r>
      <w:r>
        <w:t xml:space="preserve">(</w:t>
      </w:r>
      <w:r>
        <w:rPr>
          <w:rStyle w:val="VerbatimChar"/>
        </w:rPr>
        <w:t xml:space="preserve">limit_type = DLG_CAP</w:t>
      </w:r>
      <w:r>
        <w:t xml:space="preserve">,</w:t>
      </w:r>
      <w:r>
        <w:t xml:space="preserve"> </w:t>
      </w:r>
      <w:r>
        <w:rPr>
          <w:rStyle w:val="VerbatimChar"/>
        </w:rPr>
        <w:t xml:space="preserve">status = OPEN</w:t>
      </w:r>
      <w:r>
        <w:t xml:space="preserve">) to the RE and LawDocsComply, blocks further cover in that set and opens an issue; the cure is an update with</w:t>
      </w:r>
      <w:r>
        <w:t xml:space="preserve"> </w:t>
      </w:r>
      <w:r>
        <w:rPr>
          <w:rStyle w:val="VerbatimChar"/>
        </w:rPr>
        <w:t xml:space="preserve">status = CURED</w:t>
      </w:r>
      <w:r>
        <w:t xml:space="preserve"> </w:t>
      </w:r>
      <w:r>
        <w:t xml:space="preserve">and a higher</w:t>
      </w:r>
      <w:r>
        <w:t xml:space="preserve"> </w:t>
      </w:r>
      <w:r>
        <w:rPr>
          <w:rStyle w:val="VerbatimChar"/>
        </w:rPr>
        <w:t xml:space="preserve">update_seq</w:t>
      </w:r>
      <w:r>
        <w:t xml:space="preserve">; the RE decides remediation.</w:t>
      </w:r>
    </w:p>
    <w:bookmarkEnd w:id="376"/>
    <w:bookmarkStart w:id="377" w:name="X15117d6f004b29784564c13b3f0005ae8122581"/>
    <w:p>
      <w:pPr>
        <w:pStyle w:val="Heading3"/>
      </w:pPr>
      <w:r>
        <w:t xml:space="preserve">RA1.5 Loss events, RCSA and impact tolerances</w:t>
      </w:r>
    </w:p>
    <w:p>
      <w:pPr>
        <w:numPr>
          <w:ilvl w:val="0"/>
          <w:numId w:val="1228"/>
        </w:numPr>
        <w:pStyle w:val="Compact"/>
      </w:pPr>
      <w:r>
        <w:rPr>
          <w:bCs/>
          <w:b/>
        </w:rPr>
        <w:t xml:space="preserve">Loss and near-miss events</w:t>
      </w:r>
      <w:r>
        <w:t xml:space="preserve"> </w:t>
      </w:r>
      <w:r>
        <w:t xml:space="preserve">recorded with occurrence, discovery and accounting dates, gross and net impact, root cause, control failed, affected REs and borrowers (counts) (ORM para 42) →</w:t>
      </w:r>
      <w:r>
        <w:t xml:space="preserve"> </w:t>
      </w:r>
      <w:r>
        <w:rPr>
          <w:rStyle w:val="VerbatimChar"/>
        </w:rPr>
        <w:t xml:space="preserve">LossEventRecorded</w:t>
      </w:r>
      <w:r>
        <w:t xml:space="preserve">.</w:t>
      </w:r>
    </w:p>
    <w:p>
      <w:pPr>
        <w:numPr>
          <w:ilvl w:val="0"/>
          <w:numId w:val="1228"/>
        </w:numPr>
        <w:pStyle w:val="Compact"/>
      </w:pPr>
      <w:r>
        <w:rPr>
          <w:bCs/>
          <w:b/>
        </w:rPr>
        <w:t xml:space="preserve">RCSA</w:t>
      </w:r>
      <w:r>
        <w:t xml:space="preserve"> </w:t>
      </w:r>
      <w:r>
        <w:t xml:space="preserve">semi-annual per process: inherent risk, control design and operating effectiveness, residual risk; results feed the register and LawDocsComply.</w:t>
      </w:r>
    </w:p>
    <w:p>
      <w:pPr>
        <w:numPr>
          <w:ilvl w:val="0"/>
          <w:numId w:val="1228"/>
        </w:numPr>
        <w:pStyle w:val="Compact"/>
      </w:pPr>
      <w:r>
        <w:rPr>
          <w:bCs/>
          <w:b/>
        </w:rPr>
        <w:t xml:space="preserve">Impact tolerances:</w:t>
      </w:r>
      <w:r>
        <w:t xml:space="preserve"> </w:t>
      </w:r>
      <w:r>
        <w:t xml:space="preserve">for each RE critical operation that depends on Udofin (for example application intake, KFS delivery, repayment initiation), Udofin publishes maximum tolerable disruption, data-loss tolerance and service level (ORM para 33), with RTO and RPO (Part 10.5), tested in DR drills (RA4).</w:t>
      </w:r>
    </w:p>
    <w:bookmarkEnd w:id="377"/>
    <w:bookmarkStart w:id="378" w:name="ra1.6-quarterly-pack-to-each-re"/>
    <w:p>
      <w:pPr>
        <w:pStyle w:val="Heading3"/>
      </w:pPr>
      <w:r>
        <w:t xml:space="preserve">RA1.6 Quarterly pack to each RE</w:t>
      </w:r>
    </w:p>
    <w:p>
      <w:pPr>
        <w:numPr>
          <w:ilvl w:val="0"/>
          <w:numId w:val="1229"/>
        </w:numPr>
        <w:pStyle w:val="Compact"/>
      </w:pPr>
      <w:r>
        <w:rPr>
          <w:bCs/>
          <w:b/>
        </w:rPr>
        <w:t xml:space="preserve">Scope:</w:t>
      </w:r>
      <w:r>
        <w:t xml:space="preserve"> </w:t>
      </w:r>
      <w:r>
        <w:t xml:space="preserve">strictly that RE’s data and Udofin-wide items that affect it; never another RE’s name or figures.</w:t>
      </w:r>
    </w:p>
    <w:p>
      <w:pPr>
        <w:numPr>
          <w:ilvl w:val="0"/>
          <w:numId w:val="1229"/>
        </w:numPr>
        <w:pStyle w:val="Compact"/>
      </w:pPr>
      <w:r>
        <w:rPr>
          <w:bCs/>
          <w:b/>
        </w:rPr>
        <w:t xml:space="preserve">Contents:</w:t>
      </w:r>
      <w:r>
        <w:t xml:space="preserve"> </w:t>
      </w:r>
      <w:r>
        <w:t xml:space="preserve">KRI table with trends; incidents and RE notification times; complaints statistics and TAT; conduct metrics (offer-neutrality, contact-policy, UI audits); DLG positions, invocations and disclosures; sub-processor changes; VAPT and audit findings status (summaries); BCP and DR test results; regulatory changes and Udofin’s actions; open issues and remediation dates; attestation by Udofin’s Head of Risk and Compliance.</w:t>
      </w:r>
    </w:p>
    <w:p>
      <w:pPr>
        <w:numPr>
          <w:ilvl w:val="0"/>
          <w:numId w:val="1229"/>
        </w:numPr>
        <w:pStyle w:val="Compact"/>
      </w:pPr>
      <w:r>
        <w:rPr>
          <w:bCs/>
          <w:b/>
        </w:rPr>
        <w:t xml:space="preserve">Delivery:</w:t>
      </w:r>
      <w:r>
        <w:t xml:space="preserve"> </w:t>
      </w:r>
      <w:r>
        <w:t xml:space="preserve">within 15 days of quarter-end [REC] through the lender portal (PDF and XLSX) and as</w:t>
      </w:r>
      <w:r>
        <w:t xml:space="preserve"> </w:t>
      </w:r>
      <w:r>
        <w:rPr>
          <w:rStyle w:val="VerbatimChar"/>
        </w:rPr>
        <w:t xml:space="preserve">RiskSnapshotPublished</w:t>
      </w:r>
      <w:r>
        <w:t xml:space="preserve"> </w:t>
      </w:r>
      <w:r>
        <w:t xml:space="preserve">to the RE’s GRC tool or LawDocsComply tenant (U18); the same pack in aggregate to Udofin’s Board.</w:t>
      </w:r>
    </w:p>
    <w:bookmarkEnd w:id="378"/>
    <w:bookmarkStart w:id="379" w:name="ra1.7-lawdocscomply-feed"/>
    <w:p>
      <w:pPr>
        <w:pStyle w:val="Heading3"/>
      </w:pPr>
      <w:r>
        <w:t xml:space="preserve">RA1.7 LawDocsComply feed</w:t>
      </w:r>
    </w:p>
    <w:p>
      <w:pPr>
        <w:numPr>
          <w:ilvl w:val="0"/>
          <w:numId w:val="1230"/>
        </w:numPr>
        <w:pStyle w:val="Compact"/>
      </w:pPr>
      <w:r>
        <w:rPr>
          <w:bCs/>
          <w:b/>
        </w:rPr>
        <w:t xml:space="preserve">Events produced</w:t>
      </w:r>
      <w:r>
        <w:t xml:space="preserve"> </w:t>
      </w:r>
      <w:r>
        <w:t xml:space="preserve">(Integration Specification v1.1 risk domain):</w:t>
      </w:r>
      <w:r>
        <w:t xml:space="preserve"> </w:t>
      </w:r>
      <w:r>
        <w:rPr>
          <w:rStyle w:val="VerbatimChar"/>
        </w:rPr>
        <w:t xml:space="preserve">KriBreached</w:t>
      </w:r>
      <w:r>
        <w:t xml:space="preserve">,</w:t>
      </w:r>
      <w:r>
        <w:t xml:space="preserve"> </w:t>
      </w:r>
      <w:r>
        <w:rPr>
          <w:rStyle w:val="VerbatimChar"/>
        </w:rPr>
        <w:t xml:space="preserve">LossEventRecorded</w:t>
      </w:r>
      <w:r>
        <w:t xml:space="preserve">,</w:t>
      </w:r>
      <w:r>
        <w:t xml:space="preserve"> </w:t>
      </w:r>
      <w:r>
        <w:rPr>
          <w:rStyle w:val="VerbatimChar"/>
        </w:rPr>
        <w:t xml:space="preserve">LimitBreached</w:t>
      </w:r>
      <w:r>
        <w:t xml:space="preserve"> </w:t>
      </w:r>
      <w:r>
        <w:t xml:space="preserve">(DLG cap),</w:t>
      </w:r>
      <w:r>
        <w:t xml:space="preserve"> </w:t>
      </w:r>
      <w:r>
        <w:rPr>
          <w:rStyle w:val="VerbatimChar"/>
        </w:rPr>
        <w:t xml:space="preserve">RiskSnapshotPublished</w:t>
      </w:r>
      <w:r>
        <w:t xml:space="preserve">; existing</w:t>
      </w:r>
      <w:r>
        <w:t xml:space="preserve"> </w:t>
      </w:r>
      <w:r>
        <w:rPr>
          <w:rStyle w:val="VerbatimChar"/>
        </w:rPr>
        <w:t xml:space="preserve">RiskSignalRaised</w:t>
      </w:r>
      <w:r>
        <w:t xml:space="preserve"> </w:t>
      </w:r>
      <w:r>
        <w:t xml:space="preserve">continues for fraud signals to REs.</w:t>
      </w:r>
    </w:p>
    <w:p>
      <w:pPr>
        <w:numPr>
          <w:ilvl w:val="0"/>
          <w:numId w:val="1230"/>
        </w:numPr>
        <w:pStyle w:val="Compact"/>
      </w:pPr>
      <w:r>
        <w:rPr>
          <w:bCs/>
          <w:b/>
        </w:rPr>
        <w:t xml:space="preserve">Recipients:</w:t>
      </w:r>
      <w:r>
        <w:t xml:space="preserve"> </w:t>
      </w:r>
      <w:r>
        <w:t xml:space="preserve">Udofin’s own LawDocsComply tenant (compliance mode), and each RE’s GRC target under the compliance-mode switch (Part 2) for RE-scoped events only.</w:t>
      </w:r>
    </w:p>
    <w:p>
      <w:pPr>
        <w:numPr>
          <w:ilvl w:val="0"/>
          <w:numId w:val="1230"/>
        </w:numPr>
        <w:pStyle w:val="Compact"/>
      </w:pPr>
      <w:r>
        <w:rPr>
          <w:bCs/>
          <w:b/>
        </w:rPr>
        <w:t xml:space="preserve">Content rules:</w:t>
      </w:r>
      <w:r>
        <w:t xml:space="preserve"> </w:t>
      </w:r>
      <w:r>
        <w:t xml:space="preserve">aggregates and HMAC pseudonyms keyed in the receiving tenant’s KMS only; no borrower PII; each event carries</w:t>
      </w:r>
      <w:r>
        <w:t xml:space="preserve"> </w:t>
      </w:r>
      <w:r>
        <w:rPr>
          <w:rStyle w:val="VerbatimChar"/>
        </w:rPr>
        <w:t xml:space="preserve">as_of</w:t>
      </w:r>
      <w:r>
        <w:t xml:space="preserve">, metric version, citation and hash-chain fields per the specification.</w:t>
      </w:r>
    </w:p>
    <w:p>
      <w:pPr>
        <w:numPr>
          <w:ilvl w:val="0"/>
          <w:numId w:val="1230"/>
        </w:numPr>
        <w:pStyle w:val="Compact"/>
      </w:pPr>
      <w:r>
        <w:rPr>
          <w:bCs/>
          <w:b/>
        </w:rPr>
        <w:t xml:space="preserve">Inbound:</w:t>
      </w:r>
      <w:r>
        <w:t xml:space="preserve"> </w:t>
      </w:r>
      <w:r>
        <w:t xml:space="preserve">KRI definitions, thresholds and RCSA campaigns from LawDocsComply through the generic GRC contract (</w:t>
      </w:r>
      <w:r>
        <w:rPr>
          <w:rStyle w:val="VerbatimChar"/>
        </w:rPr>
        <w:t xml:space="preserve">KRI</w:t>
      </w:r>
      <w:r>
        <w:t xml:space="preserve"> </w:t>
      </w:r>
      <w:r>
        <w:t xml:space="preserve">resource; U18).</w:t>
      </w:r>
    </w:p>
    <w:bookmarkEnd w:id="379"/>
    <w:bookmarkStart w:id="380" w:name="settings-and-options-ra1"/>
    <w:p>
      <w:pPr>
        <w:pStyle w:val="Heading3"/>
      </w:pPr>
      <w:r>
        <w:t xml:space="preserve">Settings and options (RA1)</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37"/>
        <w:gridCol w:w="1992"/>
        <w:gridCol w:w="2983"/>
        <w:gridCol w:w="2526"/>
      </w:tblGrid>
      <w:tr>
        <w:trPr>
          <w:tblHeader w:val="true"/>
          <w:tblHeader w:val="true"/>
        </w:trPr>
        <w:tc>
          <w:tcPr>
            <w:tcW w:w="2137" w:type="dxa"/>
            <w:shd w:val="clear" w:color="auto" w:fill="1F3A5F"/>
          </w:tcPr>
          <w:p>
            <w:pPr>
              <w:pStyle w:val="Compact"/>
              <w:spacing w:after="40"/>
              <w:jc w:val="left"/>
            </w:pPr>
            <w:r>
              <w:rPr>
                <w:b/>
                <w:color w:val="FFFFFF"/>
                <w:sz w:val="18"/>
              </w:rPr>
              <w:t xml:space="preserve">Setting</w:t>
            </w:r>
          </w:p>
        </w:tc>
        <w:tc>
          <w:tcPr>
            <w:tcW w:w="1992" w:type="dxa"/>
            <w:shd w:val="clear" w:color="auto" w:fill="1F3A5F"/>
          </w:tcPr>
          <w:p>
            <w:pPr>
              <w:pStyle w:val="Compact"/>
              <w:spacing w:after="40"/>
              <w:jc w:val="left"/>
            </w:pPr>
            <w:r>
              <w:rPr>
                <w:b/>
                <w:color w:val="FFFFFF"/>
                <w:sz w:val="18"/>
              </w:rPr>
              <w:t xml:space="preserve">Level</w:t>
            </w:r>
          </w:p>
        </w:tc>
        <w:tc>
          <w:tcPr>
            <w:tcW w:w="2983" w:type="dxa"/>
            <w:shd w:val="clear" w:color="auto" w:fill="1F3A5F"/>
          </w:tcPr>
          <w:p>
            <w:pPr>
              <w:pStyle w:val="Compact"/>
              <w:spacing w:after="40"/>
              <w:jc w:val="left"/>
            </w:pPr>
            <w:r>
              <w:rPr>
                <w:b/>
                <w:color w:val="FFFFFF"/>
                <w:sz w:val="18"/>
              </w:rPr>
              <w:t xml:space="preserve">Default</w:t>
            </w:r>
          </w:p>
        </w:tc>
        <w:tc>
          <w:tcPr>
            <w:tcW w:w="2526" w:type="dxa"/>
            <w:shd w:val="clear" w:color="auto" w:fill="1F3A5F"/>
          </w:tcPr>
          <w:p>
            <w:pPr>
              <w:pStyle w:val="Compact"/>
              <w:spacing w:after="40"/>
              <w:jc w:val="left"/>
            </w:pPr>
            <w:r>
              <w:rPr>
                <w:b/>
                <w:color w:val="FFFFFF"/>
                <w:sz w:val="18"/>
              </w:rPr>
              <w:t xml:space="preserve">Nature</w:t>
            </w:r>
          </w:p>
        </w:tc>
      </w:tr>
      <w:tr>
        <w:tc>
          <w:tcPr>
            <w:tcW w:w="2137" w:type="dxa"/>
          </w:tcPr>
          <w:p>
            <w:pPr>
              <w:pStyle w:val="Compact"/>
              <w:spacing w:after="40"/>
              <w:jc w:val="left"/>
            </w:pPr>
            <w:r>
              <w:rPr>
                <w:sz w:val="18"/>
              </w:rPr>
              <w:t xml:space="preserve">KRI thresholds</w:t>
            </w:r>
          </w:p>
        </w:tc>
        <w:tc>
          <w:tcPr>
            <w:tcW w:w="1992" w:type="dxa"/>
          </w:tcPr>
          <w:p>
            <w:pPr>
              <w:pStyle w:val="Compact"/>
              <w:spacing w:after="40"/>
              <w:jc w:val="left"/>
            </w:pPr>
            <w:r>
              <w:rPr>
                <w:sz w:val="18"/>
              </w:rPr>
              <w:t xml:space="preserve">Platform (Udofin Board), per deal</w:t>
            </w:r>
          </w:p>
        </w:tc>
        <w:tc>
          <w:tcPr>
            <w:tcW w:w="2983" w:type="dxa"/>
          </w:tcPr>
          <w:p>
            <w:pPr>
              <w:pStyle w:val="Compact"/>
              <w:spacing w:after="40"/>
              <w:jc w:val="left"/>
            </w:pPr>
            <w:r>
              <w:rPr>
                <w:sz w:val="18"/>
              </w:rPr>
              <w:t xml:space="preserve">RA1.3 amber and red values</w:t>
            </w:r>
          </w:p>
        </w:tc>
        <w:tc>
          <w:tcPr>
            <w:tcW w:w="2526" w:type="dxa"/>
          </w:tcPr>
          <w:p>
            <w:pPr>
              <w:pStyle w:val="Compact"/>
              <w:spacing w:after="40"/>
              <w:jc w:val="left"/>
            </w:pPr>
            <w:r>
              <w:rPr>
                <w:sz w:val="18"/>
              </w:rPr>
              <w:t xml:space="preserve">Board-approved; a deal may only tighten (Part 7B UP2)</w:t>
            </w:r>
          </w:p>
        </w:tc>
      </w:tr>
      <w:tr>
        <w:tc>
          <w:tcPr>
            <w:tcW w:w="2137" w:type="dxa"/>
          </w:tcPr>
          <w:p>
            <w:pPr>
              <w:pStyle w:val="Compact"/>
              <w:spacing w:after="40"/>
              <w:jc w:val="left"/>
            </w:pPr>
            <w:r>
              <w:rPr>
                <w:sz w:val="18"/>
              </w:rPr>
              <w:t xml:space="preserve">KRI source</w:t>
            </w:r>
          </w:p>
        </w:tc>
        <w:tc>
          <w:tcPr>
            <w:tcW w:w="1992" w:type="dxa"/>
          </w:tcPr>
          <w:p>
            <w:pPr>
              <w:pStyle w:val="Compact"/>
              <w:spacing w:after="40"/>
              <w:jc w:val="left"/>
            </w:pPr>
            <w:r>
              <w:rPr>
                <w:sz w:val="18"/>
              </w:rPr>
              <w:t xml:space="preserve">Platform</w:t>
            </w:r>
          </w:p>
        </w:tc>
        <w:tc>
          <w:tcPr>
            <w:tcW w:w="2983" w:type="dxa"/>
          </w:tcPr>
          <w:p>
            <w:pPr>
              <w:pStyle w:val="Compact"/>
              <w:spacing w:after="40"/>
              <w:jc w:val="left"/>
            </w:pPr>
            <w:r>
              <w:rPr>
                <w:sz w:val="18"/>
              </w:rPr>
              <w:t xml:space="preserve">Udofin library; LawDocsComply definitions where the RE’s GRC supplies them</w:t>
            </w:r>
          </w:p>
        </w:tc>
        <w:tc>
          <w:tcPr>
            <w:tcW w:w="2526" w:type="dxa"/>
          </w:tcPr>
          <w:p>
            <w:pPr>
              <w:pStyle w:val="Compact"/>
              <w:spacing w:after="40"/>
              <w:jc w:val="left"/>
            </w:pPr>
            <w:r>
              <w:rPr>
                <w:sz w:val="18"/>
              </w:rPr>
              <w:t xml:space="preserve">Versioned; the stricter threshold wins</w:t>
            </w:r>
          </w:p>
        </w:tc>
      </w:tr>
      <w:tr>
        <w:tc>
          <w:tcPr>
            <w:tcW w:w="2137" w:type="dxa"/>
          </w:tcPr>
          <w:p>
            <w:pPr>
              <w:pStyle w:val="Compact"/>
              <w:spacing w:after="40"/>
              <w:jc w:val="left"/>
            </w:pPr>
            <w:r>
              <w:rPr>
                <w:sz w:val="18"/>
              </w:rPr>
              <w:t xml:space="preserve">RCSA cycle</w:t>
            </w:r>
          </w:p>
        </w:tc>
        <w:tc>
          <w:tcPr>
            <w:tcW w:w="1992" w:type="dxa"/>
          </w:tcPr>
          <w:p>
            <w:pPr>
              <w:pStyle w:val="Compact"/>
              <w:spacing w:after="40"/>
              <w:jc w:val="left"/>
            </w:pPr>
            <w:r>
              <w:rPr>
                <w:sz w:val="18"/>
              </w:rPr>
              <w:t xml:space="preserve">Platform</w:t>
            </w:r>
          </w:p>
        </w:tc>
        <w:tc>
          <w:tcPr>
            <w:tcW w:w="2983" w:type="dxa"/>
          </w:tcPr>
          <w:p>
            <w:pPr>
              <w:pStyle w:val="Compact"/>
              <w:spacing w:after="40"/>
              <w:jc w:val="left"/>
            </w:pPr>
            <w:r>
              <w:rPr>
                <w:sz w:val="18"/>
              </w:rPr>
              <w:t xml:space="preserve">Semi-annual per process</w:t>
            </w:r>
          </w:p>
        </w:tc>
        <w:tc>
          <w:tcPr>
            <w:tcW w:w="2526" w:type="dxa"/>
          </w:tcPr>
          <w:p>
            <w:pPr>
              <w:pStyle w:val="Compact"/>
              <w:spacing w:after="40"/>
              <w:jc w:val="left"/>
            </w:pPr>
            <w:r>
              <w:rPr>
                <w:sz w:val="18"/>
              </w:rPr>
              <w:t xml:space="preserve">Floor</w:t>
            </w:r>
          </w:p>
        </w:tc>
      </w:tr>
      <w:tr>
        <w:tc>
          <w:tcPr>
            <w:tcW w:w="2137" w:type="dxa"/>
          </w:tcPr>
          <w:p>
            <w:pPr>
              <w:pStyle w:val="Compact"/>
              <w:spacing w:after="40"/>
              <w:jc w:val="left"/>
            </w:pPr>
            <w:r>
              <w:rPr>
                <w:sz w:val="18"/>
              </w:rPr>
              <w:t xml:space="preserve">Quarterly pack due date and recipients</w:t>
            </w:r>
          </w:p>
        </w:tc>
        <w:tc>
          <w:tcPr>
            <w:tcW w:w="1992" w:type="dxa"/>
          </w:tcPr>
          <w:p>
            <w:pPr>
              <w:pStyle w:val="Compact"/>
              <w:spacing w:after="40"/>
              <w:jc w:val="left"/>
            </w:pPr>
            <w:r>
              <w:rPr>
                <w:sz w:val="18"/>
              </w:rPr>
              <w:t xml:space="preserve">RE</w:t>
            </w:r>
          </w:p>
        </w:tc>
        <w:tc>
          <w:tcPr>
            <w:tcW w:w="2983" w:type="dxa"/>
          </w:tcPr>
          <w:p>
            <w:pPr>
              <w:pStyle w:val="Compact"/>
              <w:spacing w:after="40"/>
              <w:jc w:val="left"/>
            </w:pPr>
            <w:r>
              <w:rPr>
                <w:sz w:val="18"/>
              </w:rPr>
              <w:t xml:space="preserve">15 days after quarter-end; RE CCO and CRO</w:t>
            </w:r>
          </w:p>
        </w:tc>
        <w:tc>
          <w:tcPr>
            <w:tcW w:w="2526" w:type="dxa"/>
          </w:tcPr>
          <w:p>
            <w:pPr>
              <w:pStyle w:val="Compact"/>
              <w:spacing w:after="40"/>
              <w:jc w:val="left"/>
            </w:pPr>
            <w:r>
              <w:rPr>
                <w:sz w:val="18"/>
              </w:rPr>
              <w:t xml:space="preserve">RE may add recipients and ask for an earlier date</w:t>
            </w:r>
          </w:p>
        </w:tc>
      </w:tr>
      <w:tr>
        <w:tc>
          <w:tcPr>
            <w:tcW w:w="2137" w:type="dxa"/>
          </w:tcPr>
          <w:p>
            <w:pPr>
              <w:pStyle w:val="Compact"/>
              <w:spacing w:after="40"/>
              <w:jc w:val="left"/>
            </w:pPr>
            <w:r>
              <w:rPr>
                <w:sz w:val="18"/>
              </w:rPr>
              <w:t xml:space="preserve">Risk-feed destination</w:t>
            </w:r>
          </w:p>
        </w:tc>
        <w:tc>
          <w:tcPr>
            <w:tcW w:w="1992" w:type="dxa"/>
          </w:tcPr>
          <w:p>
            <w:pPr>
              <w:pStyle w:val="Compact"/>
              <w:spacing w:after="40"/>
              <w:jc w:val="left"/>
            </w:pPr>
            <w:r>
              <w:rPr>
                <w:sz w:val="18"/>
              </w:rPr>
              <w:t xml:space="preserve">RE</w:t>
            </w:r>
          </w:p>
        </w:tc>
        <w:tc>
          <w:tcPr>
            <w:tcW w:w="2983" w:type="dxa"/>
          </w:tcPr>
          <w:p>
            <w:pPr>
              <w:pStyle w:val="Compact"/>
              <w:spacing w:after="40"/>
              <w:jc w:val="left"/>
            </w:pPr>
            <w:r>
              <w:rPr>
                <w:sz w:val="18"/>
              </w:rPr>
              <w:t xml:space="preserve">Compliance-mode switch (Part 2)</w:t>
            </w:r>
          </w:p>
        </w:tc>
        <w:tc>
          <w:tcPr>
            <w:tcW w:w="2526" w:type="dxa"/>
          </w:tcPr>
          <w:p>
            <w:pPr>
              <w:pStyle w:val="Compact"/>
              <w:spacing w:after="40"/>
              <w:jc w:val="left"/>
            </w:pPr>
            <w:r>
              <w:rPr>
                <w:sz w:val="18"/>
              </w:rPr>
              <w:t xml:space="preserve">RE choice; RE-scoped events only</w:t>
            </w:r>
          </w:p>
        </w:tc>
      </w:tr>
      <w:tr>
        <w:tc>
          <w:tcPr>
            <w:tcW w:w="2137" w:type="dxa"/>
          </w:tcPr>
          <w:p>
            <w:pPr>
              <w:pStyle w:val="Compact"/>
              <w:spacing w:after="40"/>
              <w:jc w:val="left"/>
            </w:pPr>
            <w:r>
              <w:rPr>
                <w:sz w:val="18"/>
              </w:rPr>
              <w:t xml:space="preserve">DLG headroom alert</w:t>
            </w:r>
          </w:p>
        </w:tc>
        <w:tc>
          <w:tcPr>
            <w:tcW w:w="1992" w:type="dxa"/>
          </w:tcPr>
          <w:p>
            <w:pPr>
              <w:pStyle w:val="Compact"/>
              <w:spacing w:after="40"/>
              <w:jc w:val="left"/>
            </w:pPr>
            <w:r>
              <w:rPr>
                <w:sz w:val="18"/>
              </w:rPr>
              <w:t xml:space="preserve">Per DLG set</w:t>
            </w:r>
          </w:p>
        </w:tc>
        <w:tc>
          <w:tcPr>
            <w:tcW w:w="2983" w:type="dxa"/>
          </w:tcPr>
          <w:p>
            <w:pPr>
              <w:pStyle w:val="Compact"/>
              <w:spacing w:after="40"/>
              <w:jc w:val="left"/>
            </w:pPr>
            <w:r>
              <w:rPr>
                <w:sz w:val="18"/>
              </w:rPr>
              <w:t xml:space="preserve">Amber 4.5%, red 5.0%</w:t>
            </w:r>
          </w:p>
        </w:tc>
        <w:tc>
          <w:tcPr>
            <w:tcW w:w="2526" w:type="dxa"/>
          </w:tcPr>
          <w:p>
            <w:pPr>
              <w:pStyle w:val="Compact"/>
              <w:spacing w:after="40"/>
              <w:jc w:val="left"/>
            </w:pPr>
            <w:r>
              <w:rPr>
                <w:sz w:val="18"/>
              </w:rPr>
              <w:t xml:space="preserve">Red is the regulatory cap</w:t>
            </w:r>
          </w:p>
        </w:tc>
      </w:tr>
    </w:tbl>
    <w:bookmarkEnd w:id="380"/>
    <w:bookmarkStart w:id="381" w:name="menu-and-screens-16"/>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82"/>
        <w:gridCol w:w="4441"/>
        <w:gridCol w:w="2815"/>
      </w:tblGrid>
      <w:tr>
        <w:trPr>
          <w:tblHeader w:val="true"/>
          <w:tblHeader w:val="true"/>
        </w:trPr>
        <w:tc>
          <w:tcPr>
            <w:tcW w:w="2382" w:type="dxa"/>
            <w:shd w:val="clear" w:color="auto" w:fill="1F3A5F"/>
          </w:tcPr>
          <w:p>
            <w:pPr>
              <w:pStyle w:val="Compact"/>
              <w:spacing w:after="40"/>
              <w:jc w:val="left"/>
            </w:pPr>
            <w:r>
              <w:rPr>
                <w:b/>
                <w:color w:val="FFFFFF"/>
                <w:sz w:val="18"/>
              </w:rPr>
              <w:t xml:space="preserve">Channel and path</w:t>
            </w:r>
          </w:p>
        </w:tc>
        <w:tc>
          <w:tcPr>
            <w:tcW w:w="4441" w:type="dxa"/>
            <w:shd w:val="clear" w:color="auto" w:fill="1F3A5F"/>
          </w:tcPr>
          <w:p>
            <w:pPr>
              <w:pStyle w:val="Compact"/>
              <w:spacing w:after="40"/>
              <w:jc w:val="left"/>
            </w:pPr>
            <w:r>
              <w:rPr>
                <w:b/>
                <w:color w:val="FFFFFF"/>
                <w:sz w:val="18"/>
              </w:rPr>
              <w:t xml:space="preserve">Main screens and key actions</w:t>
            </w:r>
          </w:p>
        </w:tc>
        <w:tc>
          <w:tcPr>
            <w:tcW w:w="2815" w:type="dxa"/>
            <w:shd w:val="clear" w:color="auto" w:fill="1F3A5F"/>
          </w:tcPr>
          <w:p>
            <w:pPr>
              <w:pStyle w:val="Compact"/>
              <w:spacing w:after="40"/>
              <w:jc w:val="left"/>
            </w:pPr>
            <w:r>
              <w:rPr>
                <w:b/>
                <w:color w:val="FFFFFF"/>
                <w:sz w:val="18"/>
              </w:rPr>
              <w:t xml:space="preserve">Roles</w:t>
            </w:r>
          </w:p>
        </w:tc>
      </w:tr>
      <w:tr>
        <w:tc>
          <w:tcPr>
            <w:tcW w:w="2382" w:type="dxa"/>
          </w:tcPr>
          <w:p>
            <w:pPr>
              <w:pStyle w:val="Compact"/>
              <w:spacing w:after="40"/>
              <w:jc w:val="left"/>
            </w:pPr>
            <w:r>
              <w:rPr>
                <w:sz w:val="18"/>
              </w:rPr>
              <w:t xml:space="preserve">Operations portal (C):</w:t>
            </w:r>
            <w:r>
              <w:rPr>
                <w:sz w:val="18"/>
              </w:rPr>
              <w:t xml:space="preserve"> </w:t>
            </w:r>
            <w:r>
              <w:rPr>
                <w:rStyle w:val="VerbatimChar"/>
                <w:sz w:val="18"/>
              </w:rPr>
              <w:t xml:space="preserve">Risk › Register</w:t>
            </w:r>
          </w:p>
        </w:tc>
        <w:tc>
          <w:tcPr>
            <w:tcW w:w="4441" w:type="dxa"/>
          </w:tcPr>
          <w:p>
            <w:pPr>
              <w:pStyle w:val="Compact"/>
              <w:spacing w:after="40"/>
              <w:jc w:val="left"/>
            </w:pPr>
            <w:r>
              <w:rPr>
                <w:sz w:val="18"/>
              </w:rPr>
              <w:t xml:space="preserve">R01–R15 list with ratings and trend; risk detail with controls, tests, KRIs and linked LawDocsComply issues; edit with maker-checker</w:t>
            </w:r>
          </w:p>
        </w:tc>
        <w:tc>
          <w:tcPr>
            <w:tcW w:w="2815" w:type="dxa"/>
          </w:tcPr>
          <w:p>
            <w:pPr>
              <w:pStyle w:val="Compact"/>
              <w:spacing w:after="40"/>
              <w:jc w:val="left"/>
            </w:pPr>
            <w:r>
              <w:rPr>
                <w:sz w:val="18"/>
              </w:rPr>
              <w:t xml:space="preserve">Head of Risk and Compliance; risk owners (first line)</w:t>
            </w:r>
          </w:p>
        </w:tc>
      </w:tr>
      <w:tr>
        <w:tc>
          <w:tcPr>
            <w:tcW w:w="2382" w:type="dxa"/>
          </w:tcPr>
          <w:p>
            <w:pPr>
              <w:pStyle w:val="Compact"/>
              <w:spacing w:after="40"/>
              <w:jc w:val="left"/>
            </w:pPr>
            <w:r>
              <w:rPr>
                <w:sz w:val="18"/>
              </w:rPr>
              <w:t xml:space="preserve">C:</w:t>
            </w:r>
            <w:r>
              <w:rPr>
                <w:sz w:val="18"/>
              </w:rPr>
              <w:t xml:space="preserve"> </w:t>
            </w:r>
            <w:r>
              <w:rPr>
                <w:rStyle w:val="VerbatimChar"/>
                <w:sz w:val="18"/>
              </w:rPr>
              <w:t xml:space="preserve">Risk › KRIs</w:t>
            </w:r>
          </w:p>
        </w:tc>
        <w:tc>
          <w:tcPr>
            <w:tcW w:w="4441" w:type="dxa"/>
          </w:tcPr>
          <w:p>
            <w:pPr>
              <w:pStyle w:val="Compact"/>
              <w:spacing w:after="40"/>
              <w:jc w:val="left"/>
            </w:pPr>
            <w:r>
              <w:rPr>
                <w:sz w:val="18"/>
              </w:rPr>
              <w:t xml:space="preserve">KRI dashboard by RE and risk with RAG and trend; breach queue with acknowledgement and action; threshold history</w:t>
            </w:r>
          </w:p>
        </w:tc>
        <w:tc>
          <w:tcPr>
            <w:tcW w:w="2815" w:type="dxa"/>
          </w:tcPr>
          <w:p>
            <w:pPr>
              <w:pStyle w:val="Compact"/>
              <w:spacing w:after="40"/>
              <w:jc w:val="left"/>
            </w:pPr>
            <w:r>
              <w:rPr>
                <w:sz w:val="18"/>
              </w:rPr>
              <w:t xml:space="preserve">Risk team</w:t>
            </w:r>
          </w:p>
        </w:tc>
      </w:tr>
      <w:tr>
        <w:tc>
          <w:tcPr>
            <w:tcW w:w="2382" w:type="dxa"/>
          </w:tcPr>
          <w:p>
            <w:pPr>
              <w:pStyle w:val="Compact"/>
              <w:spacing w:after="40"/>
              <w:jc w:val="left"/>
            </w:pPr>
            <w:r>
              <w:rPr>
                <w:sz w:val="18"/>
              </w:rPr>
              <w:t xml:space="preserve">C:</w:t>
            </w:r>
            <w:r>
              <w:rPr>
                <w:sz w:val="18"/>
              </w:rPr>
              <w:t xml:space="preserve"> </w:t>
            </w:r>
            <w:r>
              <w:rPr>
                <w:rStyle w:val="VerbatimChar"/>
                <w:sz w:val="18"/>
              </w:rPr>
              <w:t xml:space="preserve">Risk › Loss events and RCSA</w:t>
            </w:r>
          </w:p>
        </w:tc>
        <w:tc>
          <w:tcPr>
            <w:tcW w:w="4441" w:type="dxa"/>
          </w:tcPr>
          <w:p>
            <w:pPr>
              <w:pStyle w:val="Compact"/>
              <w:spacing w:after="40"/>
              <w:jc w:val="left"/>
            </w:pPr>
            <w:r>
              <w:rPr>
                <w:sz w:val="18"/>
              </w:rPr>
              <w:t xml:space="preserve">Record a loss or near miss (wizard with the three dates), RCSA campaigns and results</w:t>
            </w:r>
          </w:p>
        </w:tc>
        <w:tc>
          <w:tcPr>
            <w:tcW w:w="2815" w:type="dxa"/>
          </w:tcPr>
          <w:p>
            <w:pPr>
              <w:pStyle w:val="Compact"/>
              <w:spacing w:after="40"/>
              <w:jc w:val="left"/>
            </w:pPr>
            <w:r>
              <w:rPr>
                <w:sz w:val="18"/>
              </w:rPr>
              <w:t xml:space="preserve">Risk team, process owners</w:t>
            </w:r>
          </w:p>
        </w:tc>
      </w:tr>
      <w:tr>
        <w:tc>
          <w:tcPr>
            <w:tcW w:w="2382" w:type="dxa"/>
          </w:tcPr>
          <w:p>
            <w:pPr>
              <w:pStyle w:val="Compact"/>
              <w:spacing w:after="40"/>
              <w:jc w:val="left"/>
            </w:pPr>
            <w:r>
              <w:rPr>
                <w:sz w:val="18"/>
              </w:rPr>
              <w:t xml:space="preserve">C:</w:t>
            </w:r>
            <w:r>
              <w:rPr>
                <w:sz w:val="18"/>
              </w:rPr>
              <w:t xml:space="preserve"> </w:t>
            </w:r>
            <w:r>
              <w:rPr>
                <w:rStyle w:val="VerbatimChar"/>
                <w:sz w:val="18"/>
              </w:rPr>
              <w:t xml:space="preserve">Risk › DLG cap</w:t>
            </w:r>
          </w:p>
        </w:tc>
        <w:tc>
          <w:tcPr>
            <w:tcW w:w="4441" w:type="dxa"/>
          </w:tcPr>
          <w:p>
            <w:pPr>
              <w:pStyle w:val="Compact"/>
              <w:spacing w:after="40"/>
              <w:jc w:val="left"/>
            </w:pPr>
            <w:r>
              <w:rPr>
                <w:sz w:val="18"/>
              </w:rPr>
              <w:t xml:space="preserve">Per set: disbursed, cover, invoked, available cover, ratio, headroom; blocked cover attempts</w:t>
            </w:r>
          </w:p>
        </w:tc>
        <w:tc>
          <w:tcPr>
            <w:tcW w:w="2815" w:type="dxa"/>
          </w:tcPr>
          <w:p>
            <w:pPr>
              <w:pStyle w:val="Compact"/>
              <w:spacing w:after="40"/>
              <w:jc w:val="left"/>
            </w:pPr>
            <w:r>
              <w:rPr>
                <w:sz w:val="18"/>
              </w:rPr>
              <w:t xml:space="preserve">Risk, Finance (no product or agent role)</w:t>
            </w:r>
          </w:p>
        </w:tc>
      </w:tr>
      <w:tr>
        <w:tc>
          <w:tcPr>
            <w:tcW w:w="2382" w:type="dxa"/>
          </w:tcPr>
          <w:p>
            <w:pPr>
              <w:pStyle w:val="Compact"/>
              <w:spacing w:after="40"/>
              <w:jc w:val="left"/>
            </w:pPr>
            <w:r>
              <w:rPr>
                <w:sz w:val="18"/>
              </w:rPr>
              <w:t xml:space="preserve">C:</w:t>
            </w:r>
            <w:r>
              <w:rPr>
                <w:sz w:val="18"/>
              </w:rPr>
              <w:t xml:space="preserve"> </w:t>
            </w:r>
            <w:r>
              <w:rPr>
                <w:rStyle w:val="VerbatimChar"/>
                <w:sz w:val="18"/>
              </w:rPr>
              <w:t xml:space="preserve">Risk › Quarterly packs</w:t>
            </w:r>
          </w:p>
        </w:tc>
        <w:tc>
          <w:tcPr>
            <w:tcW w:w="4441" w:type="dxa"/>
          </w:tcPr>
          <w:p>
            <w:pPr>
              <w:pStyle w:val="Compact"/>
              <w:spacing w:after="40"/>
              <w:jc w:val="left"/>
            </w:pPr>
            <w:r>
              <w:rPr>
                <w:sz w:val="18"/>
              </w:rPr>
              <w:t xml:space="preserve">Draft, review, attest and publish per RE; content check result (no other RE’s data); PDF and XLSX</w:t>
            </w:r>
          </w:p>
        </w:tc>
        <w:tc>
          <w:tcPr>
            <w:tcW w:w="2815" w:type="dxa"/>
          </w:tcPr>
          <w:p>
            <w:pPr>
              <w:pStyle w:val="Compact"/>
              <w:spacing w:after="40"/>
              <w:jc w:val="left"/>
            </w:pPr>
            <w:r>
              <w:rPr>
                <w:sz w:val="18"/>
              </w:rPr>
              <w:t xml:space="preserve">Head of Risk and Compliance (attests)</w:t>
            </w:r>
          </w:p>
        </w:tc>
      </w:tr>
      <w:tr>
        <w:tc>
          <w:tcPr>
            <w:tcW w:w="2382" w:type="dxa"/>
          </w:tcPr>
          <w:p>
            <w:pPr>
              <w:pStyle w:val="Compact"/>
              <w:spacing w:after="40"/>
              <w:jc w:val="left"/>
            </w:pPr>
            <w:r>
              <w:rPr>
                <w:sz w:val="18"/>
              </w:rPr>
              <w:t xml:space="preserve">Lender portal (D):</w:t>
            </w:r>
            <w:r>
              <w:rPr>
                <w:sz w:val="18"/>
              </w:rPr>
              <w:t xml:space="preserve"> </w:t>
            </w:r>
            <w:r>
              <w:rPr>
                <w:rStyle w:val="VerbatimChar"/>
                <w:sz w:val="18"/>
              </w:rPr>
              <w:t xml:space="preserve">Risk</w:t>
            </w:r>
          </w:p>
        </w:tc>
        <w:tc>
          <w:tcPr>
            <w:tcW w:w="4441" w:type="dxa"/>
          </w:tcPr>
          <w:p>
            <w:pPr>
              <w:pStyle w:val="Compact"/>
              <w:spacing w:after="40"/>
              <w:jc w:val="left"/>
            </w:pPr>
            <w:r>
              <w:rPr>
                <w:sz w:val="18"/>
              </w:rPr>
              <w:t xml:space="preserve">That RE’s packs, KRIs, DLG positions, incidents and notification times, impact tolerances; download; acknowledge receipt</w:t>
            </w:r>
          </w:p>
        </w:tc>
        <w:tc>
          <w:tcPr>
            <w:tcW w:w="2815" w:type="dxa"/>
          </w:tcPr>
          <w:p>
            <w:pPr>
              <w:pStyle w:val="Compact"/>
              <w:spacing w:after="40"/>
              <w:jc w:val="left"/>
            </w:pPr>
            <w:r>
              <w:rPr>
                <w:sz w:val="18"/>
              </w:rPr>
              <w:t xml:space="preserve">RE CRO, CCO, auditors through RA2</w:t>
            </w:r>
          </w:p>
        </w:tc>
      </w:tr>
    </w:tbl>
    <w:bookmarkEnd w:id="381"/>
    <w:bookmarkStart w:id="382" w:name="acceptance-tests-25"/>
    <w:p>
      <w:pPr>
        <w:pStyle w:val="Heading3"/>
      </w:pPr>
      <w:r>
        <w:t xml:space="preserve">Acceptance tests</w:t>
      </w:r>
    </w:p>
    <w:p>
      <w:pPr>
        <w:numPr>
          <w:ilvl w:val="0"/>
          <w:numId w:val="1231"/>
        </w:numPr>
        <w:pStyle w:val="Compact"/>
      </w:pPr>
      <w:r>
        <w:t xml:space="preserve">Every R01–R15 entry has an owner, at least one control with a test and at least one KRI.</w:t>
      </w:r>
    </w:p>
    <w:p>
      <w:pPr>
        <w:numPr>
          <w:ilvl w:val="0"/>
          <w:numId w:val="1231"/>
        </w:numPr>
        <w:pStyle w:val="Compact"/>
      </w:pPr>
      <w:r>
        <w:t xml:space="preserve">A KFS execution without acknowledgement turns the KRI red and raises</w:t>
      </w:r>
      <w:r>
        <w:t xml:space="preserve"> </w:t>
      </w:r>
      <w:r>
        <w:rPr>
          <w:rStyle w:val="VerbatimChar"/>
        </w:rPr>
        <w:t xml:space="preserve">KriBreached</w:t>
      </w:r>
      <w:r>
        <w:t xml:space="preserve"> </w:t>
      </w:r>
      <w:r>
        <w:t xml:space="preserve">within 5 minutes.</w:t>
      </w:r>
    </w:p>
    <w:p>
      <w:pPr>
        <w:numPr>
          <w:ilvl w:val="0"/>
          <w:numId w:val="1231"/>
        </w:numPr>
        <w:pStyle w:val="Compact"/>
      </w:pPr>
      <w:r>
        <w:t xml:space="preserve">A cover deposit or top-up that would take a DLG set above 5% of its total amount disbursed is refused; a ratio above 5% after a data correction raises</w:t>
      </w:r>
      <w:r>
        <w:t xml:space="preserve"> </w:t>
      </w:r>
      <w:r>
        <w:rPr>
          <w:rStyle w:val="VerbatimChar"/>
        </w:rPr>
        <w:t xml:space="preserve">LimitBreached</w:t>
      </w:r>
      <w:r>
        <w:t xml:space="preserve"> </w:t>
      </w:r>
      <w:r>
        <w:t xml:space="preserve">(</w:t>
      </w:r>
      <w:r>
        <w:rPr>
          <w:rStyle w:val="VerbatimChar"/>
        </w:rPr>
        <w:t xml:space="preserve">DLG_CAP</w:t>
      </w:r>
      <w:r>
        <w:t xml:space="preserve">, OPEN), blocks further cover and opens an issue, and its cure is sent as CURED with a higher</w:t>
      </w:r>
      <w:r>
        <w:t xml:space="preserve"> </w:t>
      </w:r>
      <w:r>
        <w:rPr>
          <w:rStyle w:val="VerbatimChar"/>
        </w:rPr>
        <w:t xml:space="preserve">update_seq</w:t>
      </w:r>
      <w:r>
        <w:t xml:space="preserve">; repayments never increase headroom and invoked cover is never reinstated; a non-permitted DLG form cannot be saved.</w:t>
      </w:r>
    </w:p>
    <w:p>
      <w:pPr>
        <w:numPr>
          <w:ilvl w:val="0"/>
          <w:numId w:val="1231"/>
        </w:numPr>
        <w:pStyle w:val="Compact"/>
      </w:pPr>
      <w:r>
        <w:t xml:space="preserve">A quarterly pack for RE A contains no data about RE B (automated content check).</w:t>
      </w:r>
    </w:p>
    <w:p>
      <w:pPr>
        <w:numPr>
          <w:ilvl w:val="0"/>
          <w:numId w:val="1231"/>
        </w:numPr>
        <w:pStyle w:val="Compact"/>
      </w:pPr>
      <w:r>
        <w:t xml:space="preserve">No risk event payload contains a name, phone number, PAN, account number or Aadhaar reference (schema test).</w:t>
      </w:r>
    </w:p>
    <w:p>
      <w:pPr>
        <w:numPr>
          <w:ilvl w:val="0"/>
          <w:numId w:val="1231"/>
        </w:numPr>
        <w:pStyle w:val="Compact"/>
      </w:pPr>
      <w:r>
        <w:t xml:space="preserve">The risk dashboard has no CRAR, NPA or ALM metric labelled as Udofin’s.</w:t>
      </w:r>
    </w:p>
    <w:p>
      <w:r>
        <w:pict>
          <v:rect style="width:0;height:1.5pt" o:hralign="center" o:hrstd="t" o:hr="t"/>
        </w:pict>
      </w:r>
    </w:p>
    <w:bookmarkEnd w:id="382"/>
    <w:bookmarkEnd w:id="383"/>
    <w:bookmarkStart w:id="392" w:name="X23047ee7dd4e21df8466a78ec99e2fa503f6fe4"/>
    <w:p>
      <w:pPr>
        <w:pStyle w:val="Heading2"/>
      </w:pPr>
      <w:r>
        <w:t xml:space="preserve">RA2. RE auditor and supervisor read-only access</w:t>
      </w:r>
    </w:p>
    <w:bookmarkStart w:id="384" w:name="ra2.1-legal-basis"/>
    <w:p>
      <w:pPr>
        <w:pStyle w:val="Heading3"/>
      </w:pPr>
      <w:r>
        <w:t xml:space="preserve">RA2.1 Legal basis</w:t>
      </w:r>
    </w:p>
    <w:p>
      <w:pPr>
        <w:numPr>
          <w:ilvl w:val="0"/>
          <w:numId w:val="1232"/>
        </w:numPr>
        <w:pStyle w:val="Compact"/>
      </w:pPr>
      <w:r>
        <w:rPr>
          <w:bCs/>
          <w:b/>
        </w:rPr>
        <w:t xml:space="preserve">Contract, not statute.</w:t>
      </w:r>
      <w:r>
        <w:t xml:space="preserve"> </w:t>
      </w:r>
      <w:r>
        <w:t xml:space="preserve">RBI’s inspection powers over NBFCs (RBI Act s.45N) and their group companies (s.45NAA) do not reach a non-group LSP; RBI’s and the RE’s access to Udofin rests on the LSP agreement: RE access to books, records, data, logs and alerts (OUT paras 34(ii), 74(ii)); RE audit rights (34(vii)); RBI access to the RE’s records held by Udofin (34(viii)); RBI’s right to inspect Udofin and its sub-contractors (34(ix), 74(xii)); unrestricted and effective access to data and premises for the RE, its auditors, RBI and competent authorities (para 81); pooled audits (para 77).</w:t>
      </w:r>
    </w:p>
    <w:p>
      <w:pPr>
        <w:numPr>
          <w:ilvl w:val="0"/>
          <w:numId w:val="1232"/>
        </w:numPr>
        <w:pStyle w:val="Compact"/>
      </w:pPr>
      <w:r>
        <w:rPr>
          <w:bCs/>
          <w:b/>
        </w:rPr>
        <w:t xml:space="preserve">CYB paras 46 and 57</w:t>
      </w:r>
      <w:r>
        <w:t xml:space="preserve"> </w:t>
      </w:r>
      <w:r>
        <w:t xml:space="preserve">require the RE to give RBI supervisors read-only access to its MIS and auditors audit-mode access; where Udofin hosts RE MIS or records, Udofin supports both. Both paragraphs sit in Chapter IV (BL NBFCs with assets ≥ ₹500 crore) and Chapter V has no equivalent text; build for every RE as a supervisory expectation [REC; Integration Spec 4.7; Finbyx Part 7D AU7].</w:t>
      </w:r>
    </w:p>
    <w:p>
      <w:pPr>
        <w:numPr>
          <w:ilvl w:val="0"/>
          <w:numId w:val="1232"/>
        </w:numPr>
        <w:pStyle w:val="Compact"/>
      </w:pPr>
      <w:r>
        <w:rPr>
          <w:bCs/>
          <w:b/>
        </w:rPr>
        <w:t xml:space="preserve">Non-RE lenders:</w:t>
      </w:r>
      <w:r>
        <w:t xml:space="preserve"> </w:t>
      </w:r>
      <w:r>
        <w:t xml:space="preserve">society auditors and Registrar inspections reach Udofin only through the society’s contract (Part 7B UP4) [VERIFY per State Act].</w:t>
      </w:r>
    </w:p>
    <w:p>
      <w:pPr>
        <w:numPr>
          <w:ilvl w:val="0"/>
          <w:numId w:val="1232"/>
        </w:numPr>
        <w:pStyle w:val="Compact"/>
      </w:pPr>
      <w:r>
        <w:rPr>
          <w:bCs/>
          <w:b/>
        </w:rPr>
        <w:t xml:space="preserve">Group company caveat:</w:t>
      </w:r>
      <w:r>
        <w:t xml:space="preserve"> </w:t>
      </w:r>
      <w:r>
        <w:t xml:space="preserve">if an RE ever becomes a group company of Udofin, record whether s.45NAA applies [VERIFY].</w:t>
      </w:r>
    </w:p>
    <w:bookmarkEnd w:id="384"/>
    <w:bookmarkStart w:id="385" w:name="ra2.2-grantees-and-scope"/>
    <w:p>
      <w:pPr>
        <w:pStyle w:val="Heading3"/>
      </w:pPr>
      <w:r>
        <w:t xml:space="preserve">RA2.2 Grantees and scope</w:t>
      </w:r>
    </w:p>
    <w:p>
      <w:pPr>
        <w:numPr>
          <w:ilvl w:val="0"/>
          <w:numId w:val="1233"/>
        </w:numPr>
        <w:pStyle w:val="Compact"/>
      </w:pPr>
      <w:r>
        <w:rPr>
          <w:bCs/>
          <w:b/>
        </w:rPr>
        <w:t xml:space="preserve">Grantee types</w:t>
      </w:r>
      <w:r>
        <w:t xml:space="preserve"> </w:t>
      </w:r>
      <w:r>
        <w:t xml:space="preserve">(Udofin subset of the Integration Spec 4.7 code table):</w:t>
      </w:r>
      <w:r>
        <w:t xml:space="preserve"> </w:t>
      </w:r>
      <w:r>
        <w:rPr>
          <w:rStyle w:val="VerbatimChar"/>
        </w:rPr>
        <w:t xml:space="preserve">RE_INTERNAL_AUDITOR</w:t>
      </w:r>
      <w:r>
        <w:t xml:space="preserve">,</w:t>
      </w:r>
      <w:r>
        <w:t xml:space="preserve"> </w:t>
      </w:r>
      <w:r>
        <w:rPr>
          <w:rStyle w:val="VerbatimChar"/>
        </w:rPr>
        <w:t xml:space="preserve">RE_CONCURRENT_AUDITOR</w:t>
      </w:r>
      <w:r>
        <w:t xml:space="preserve">,</w:t>
      </w:r>
      <w:r>
        <w:t xml:space="preserve"> </w:t>
      </w:r>
      <w:r>
        <w:rPr>
          <w:rStyle w:val="VerbatimChar"/>
        </w:rPr>
        <w:t xml:space="preserve">RE_IS_AUDITOR</w:t>
      </w:r>
      <w:r>
        <w:t xml:space="preserve">,</w:t>
      </w:r>
      <w:r>
        <w:t xml:space="preserve"> </w:t>
      </w:r>
      <w:r>
        <w:rPr>
          <w:rStyle w:val="VerbatimChar"/>
        </w:rPr>
        <w:t xml:space="preserve">RE_STATUTORY_AUDITOR</w:t>
      </w:r>
      <w:r>
        <w:t xml:space="preserve">,</w:t>
      </w:r>
      <w:r>
        <w:t xml:space="preserve"> </w:t>
      </w:r>
      <w:r>
        <w:rPr>
          <w:rStyle w:val="VerbatimChar"/>
        </w:rPr>
        <w:t xml:space="preserve">POOLED_AUDIT_FIRM</w:t>
      </w:r>
      <w:r>
        <w:t xml:space="preserve">,</w:t>
      </w:r>
      <w:r>
        <w:t xml:space="preserve"> </w:t>
      </w:r>
      <w:r>
        <w:rPr>
          <w:rStyle w:val="VerbatimChar"/>
        </w:rPr>
        <w:t xml:space="preserve">RBI_SUPERVISOR</w:t>
      </w:r>
      <w:r>
        <w:t xml:space="preserve">,</w:t>
      </w:r>
      <w:r>
        <w:t xml:space="preserve"> </w:t>
      </w:r>
      <w:r>
        <w:rPr>
          <w:rStyle w:val="VerbatimChar"/>
        </w:rPr>
        <w:t xml:space="preserve">RBI_INSPECTION_TEAM</w:t>
      </w:r>
      <w:r>
        <w:t xml:space="preserve">,</w:t>
      </w:r>
      <w:r>
        <w:t xml:space="preserve"> </w:t>
      </w:r>
      <w:r>
        <w:rPr>
          <w:rStyle w:val="VerbatimChar"/>
        </w:rPr>
        <w:t xml:space="preserve">NHB</w:t>
      </w:r>
      <w:r>
        <w:t xml:space="preserve"> </w:t>
      </w:r>
      <w:r>
        <w:t xml:space="preserve">(HFC REs),</w:t>
      </w:r>
      <w:r>
        <w:t xml:space="preserve"> </w:t>
      </w:r>
      <w:r>
        <w:rPr>
          <w:rStyle w:val="VerbatimChar"/>
        </w:rPr>
        <w:t xml:space="preserve">COOP_AUDITOR</w:t>
      </w:r>
      <w:r>
        <w:t xml:space="preserve">,</w:t>
      </w:r>
      <w:r>
        <w:t xml:space="preserve"> </w:t>
      </w:r>
      <w:r>
        <w:rPr>
          <w:rStyle w:val="VerbatimChar"/>
        </w:rPr>
        <w:t xml:space="preserve">REGISTRAR_INSPECTOR</w:t>
      </w:r>
      <w:r>
        <w:t xml:space="preserve">; basis codes,</w:t>
      </w:r>
      <w:r>
        <w:t xml:space="preserve"> </w:t>
      </w:r>
      <w:r>
        <w:rPr>
          <w:rStyle w:val="VerbatimChar"/>
        </w:rPr>
        <w:t xml:space="preserve">pii_level</w:t>
      </w:r>
      <w:r>
        <w:t xml:space="preserve">,</w:t>
      </w:r>
      <w:r>
        <w:t xml:space="preserve"> </w:t>
      </w:r>
      <w:r>
        <w:rPr>
          <w:rStyle w:val="VerbatimChar"/>
        </w:rPr>
        <w:t xml:space="preserve">export_level</w:t>
      </w:r>
      <w:r>
        <w:t xml:space="preserve"> </w:t>
      </w:r>
      <w:r>
        <w:t xml:space="preserve">and</w:t>
      </w:r>
      <w:r>
        <w:t xml:space="preserve"> </w:t>
      </w:r>
      <w:r>
        <w:rPr>
          <w:rStyle w:val="VerbatimChar"/>
        </w:rPr>
        <w:t xml:space="preserve">query_level</w:t>
      </w:r>
      <w:r>
        <w:t xml:space="preserve"> </w:t>
      </w:r>
      <w:r>
        <w:t xml:space="preserve">use the same code tables.</w:t>
      </w:r>
    </w:p>
    <w:p>
      <w:pPr>
        <w:numPr>
          <w:ilvl w:val="0"/>
          <w:numId w:val="1233"/>
        </w:numPr>
        <w:pStyle w:val="Compact"/>
      </w:pPr>
      <w:r>
        <w:rPr>
          <w:bCs/>
          <w:b/>
        </w:rPr>
        <w:t xml:space="preserve">Scope object:</w:t>
      </w:r>
      <w:r>
        <w:t xml:space="preserve"> </w:t>
      </w:r>
      <w:r>
        <w:t xml:space="preserve">one RE only (never multi-RE, except a pooled audit where each RE approves its own slice); periods; datasets from a fixed catalogue (applications and journey logs; consents; offer-display and ranking logs; KFS view and acceptance events; documents; DLA register and CIMS extracts; grievance register and escalations; communications and contact attempts; agent activity, recordings and cash receipts; DLG records; incidents; sub-processors; BCP and DR evidence; configuration and rule versions; AI logs; access logs); PII level (</w:t>
      </w:r>
      <w:r>
        <w:rPr>
          <w:rStyle w:val="VerbatimChar"/>
        </w:rPr>
        <w:t xml:space="preserve">MASKED</w:t>
      </w:r>
      <w:r>
        <w:t xml:space="preserve"> </w:t>
      </w:r>
      <w:r>
        <w:t xml:space="preserve">default;</w:t>
      </w:r>
      <w:r>
        <w:t xml:space="preserve"> </w:t>
      </w:r>
      <w:r>
        <w:rPr>
          <w:rStyle w:val="VerbatimChar"/>
        </w:rPr>
        <w:t xml:space="preserve">UNMASK_ON_REQUEST</w:t>
      </w:r>
      <w:r>
        <w:t xml:space="preserve">;</w:t>
      </w:r>
      <w:r>
        <w:t xml:space="preserve"> </w:t>
      </w:r>
      <w:r>
        <w:rPr>
          <w:rStyle w:val="VerbatimChar"/>
        </w:rPr>
        <w:t xml:space="preserve">FULL</w:t>
      </w:r>
      <w:r>
        <w:t xml:space="preserve"> </w:t>
      </w:r>
      <w:r>
        <w:t xml:space="preserve">only with RE approval); export allowed (none, capped, full); duration.</w:t>
      </w:r>
    </w:p>
    <w:bookmarkEnd w:id="385"/>
    <w:bookmarkStart w:id="386" w:name="ra2.3-workflow"/>
    <w:p>
      <w:pPr>
        <w:pStyle w:val="Heading3"/>
      </w:pPr>
      <w:r>
        <w:t xml:space="preserve">RA2.3 Workflow</w:t>
      </w:r>
    </w:p>
    <w:p>
      <w:pPr>
        <w:pStyle w:val="FirstParagraph"/>
      </w:pPr>
      <w:r>
        <w:t xml:space="preserve">Lifecycle (Integration Spec 4.7):</w:t>
      </w:r>
      <w:r>
        <w:t xml:space="preserve"> </w:t>
      </w:r>
      <w:r>
        <w:rPr>
          <w:rStyle w:val="VerbatimChar"/>
        </w:rPr>
        <w:t xml:space="preserve">REQUESTED → BASIS_RECORDED → SCOPE_DEFINED → RE_APPROVED → PROVIDER_APPROVED → PROVISIONED → ACTIVE ⇄ EXTENDED → EXPIRED or REVOKED → ARCHIVED</w:t>
      </w:r>
      <w:r>
        <w:t xml:space="preserve">. A grant may also arrive already RE-approved from the RE’s register (Finbyx AU7 or the RE’s GRC) through</w:t>
      </w:r>
      <w:r>
        <w:t xml:space="preserve"> </w:t>
      </w:r>
      <w:r>
        <w:rPr>
          <w:rStyle w:val="VerbatimChar"/>
        </w:rPr>
        <w:t xml:space="preserve">POST /v1/external-access/grants</w:t>
      </w:r>
      <w:r>
        <w:t xml:space="preserve">; Udofin then starts at</w:t>
      </w:r>
      <w:r>
        <w:t xml:space="preserve"> </w:t>
      </w:r>
      <w:r>
        <w:rPr>
          <w:rStyle w:val="VerbatimChar"/>
        </w:rPr>
        <w:t xml:space="preserve">PROVIDER_APPROVED</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30"/>
        <w:gridCol w:w="2460"/>
        <w:gridCol w:w="3559"/>
        <w:gridCol w:w="2689"/>
      </w:tblGrid>
      <w:tr>
        <w:trPr>
          <w:tblHeader w:val="true"/>
          <w:tblHeader w:val="true"/>
        </w:trPr>
        <w:tc>
          <w:tcPr>
            <w:tcW w:w="930" w:type="dxa"/>
            <w:shd w:val="clear" w:color="auto" w:fill="1F3A5F"/>
          </w:tcPr>
          <w:p>
            <w:pPr>
              <w:pStyle w:val="Compact"/>
              <w:spacing w:after="40"/>
              <w:jc w:val="left"/>
            </w:pPr>
            <w:r>
              <w:rPr>
                <w:b/>
                <w:color w:val="FFFFFF"/>
                <w:sz w:val="18"/>
              </w:rPr>
              <w:t xml:space="preserve">State</w:t>
            </w:r>
          </w:p>
        </w:tc>
        <w:tc>
          <w:tcPr>
            <w:tcW w:w="2460" w:type="dxa"/>
            <w:shd w:val="clear" w:color="auto" w:fill="1F3A5F"/>
          </w:tcPr>
          <w:p>
            <w:pPr>
              <w:pStyle w:val="Compact"/>
              <w:spacing w:after="40"/>
              <w:jc w:val="left"/>
            </w:pPr>
            <w:r>
              <w:rPr>
                <w:b/>
                <w:color w:val="FFFFFF"/>
                <w:sz w:val="18"/>
              </w:rPr>
              <w:t xml:space="preserve">Entry and owner</w:t>
            </w:r>
          </w:p>
        </w:tc>
        <w:tc>
          <w:tcPr>
            <w:tcW w:w="3559" w:type="dxa"/>
            <w:shd w:val="clear" w:color="auto" w:fill="1F3A5F"/>
          </w:tcPr>
          <w:p>
            <w:pPr>
              <w:pStyle w:val="Compact"/>
              <w:spacing w:after="40"/>
              <w:jc w:val="left"/>
            </w:pPr>
            <w:r>
              <w:rPr>
                <w:b/>
                <w:color w:val="FFFFFF"/>
                <w:sz w:val="18"/>
              </w:rPr>
              <w:t xml:space="preserve">Exit, timer and allowed actions</w:t>
            </w:r>
          </w:p>
        </w:tc>
        <w:tc>
          <w:tcPr>
            <w:tcW w:w="2689" w:type="dxa"/>
            <w:shd w:val="clear" w:color="auto" w:fill="1F3A5F"/>
          </w:tcPr>
          <w:p>
            <w:pPr>
              <w:pStyle w:val="Compact"/>
              <w:spacing w:after="40"/>
              <w:jc w:val="left"/>
            </w:pPr>
            <w:r>
              <w:rPr>
                <w:b/>
                <w:color w:val="FFFFFF"/>
                <w:sz w:val="18"/>
              </w:rPr>
              <w:t xml:space="preserve">Failure or rollback</w:t>
            </w:r>
          </w:p>
        </w:tc>
      </w:tr>
      <w:tr>
        <w:tc>
          <w:tcPr>
            <w:tcW w:w="930" w:type="dxa"/>
          </w:tcPr>
          <w:p>
            <w:pPr>
              <w:pStyle w:val="Compact"/>
              <w:spacing w:after="40"/>
              <w:jc w:val="left"/>
            </w:pPr>
            <w:r>
              <w:rPr>
                <w:rStyle w:val="VerbatimChar"/>
                <w:sz w:val="18"/>
              </w:rPr>
              <w:t xml:space="preserve">REQUESTED</w:t>
            </w:r>
          </w:p>
        </w:tc>
        <w:tc>
          <w:tcPr>
            <w:tcW w:w="2460" w:type="dxa"/>
          </w:tcPr>
          <w:p>
            <w:pPr>
              <w:pStyle w:val="Compact"/>
              <w:spacing w:after="40"/>
              <w:jc w:val="left"/>
            </w:pPr>
            <w:r>
              <w:rPr>
                <w:sz w:val="18"/>
              </w:rPr>
              <w:t xml:space="preserve">RE user in the lender portal (engagement letter, RBI letter or DAKSH reference attached), or RBI directly to Udofin under the contract right</w:t>
            </w:r>
          </w:p>
        </w:tc>
        <w:tc>
          <w:tcPr>
            <w:tcW w:w="3559" w:type="dxa"/>
          </w:tcPr>
          <w:p>
            <w:pPr>
              <w:pStyle w:val="Compact"/>
              <w:spacing w:after="40"/>
              <w:jc w:val="left"/>
            </w:pPr>
            <w:r>
              <w:rPr>
                <w:sz w:val="18"/>
              </w:rPr>
              <w:t xml:space="preserve">Basis recorded within 1 business day; for a direct RBI request Udofin verifies authority (letter on RBI letterhead, officer identity, confirmation through RBI’s official channel) and notifies the RE within 1 hour unless legally barred (counsel’s reference recorded) [VERIFY: counsel’s opinion]</w:t>
            </w:r>
          </w:p>
        </w:tc>
        <w:tc>
          <w:tcPr>
            <w:tcW w:w="2689" w:type="dxa"/>
          </w:tcPr>
          <w:p>
            <w:pPr>
              <w:pStyle w:val="Compact"/>
              <w:spacing w:after="40"/>
              <w:jc w:val="left"/>
            </w:pPr>
            <w:r>
              <w:rPr>
                <w:sz w:val="18"/>
              </w:rPr>
              <w:t xml:space="preserve">Unverifiable authority: closed without provisioning (reason</w:t>
            </w:r>
            <w:r>
              <w:rPr>
                <w:sz w:val="18"/>
              </w:rPr>
              <w:t xml:space="preserve"> </w:t>
            </w:r>
            <w:r>
              <w:rPr>
                <w:rStyle w:val="VerbatimChar"/>
                <w:sz w:val="18"/>
              </w:rPr>
              <w:t xml:space="preserve">UNVERIFIED_AUTHORITY</w:t>
            </w:r>
            <w:r>
              <w:rPr>
                <w:sz w:val="18"/>
              </w:rPr>
              <w:t xml:space="preserve">) and</w:t>
            </w:r>
            <w:r>
              <w:rPr>
                <w:sz w:val="18"/>
              </w:rPr>
              <w:t xml:space="preserve"> </w:t>
            </w:r>
            <w:r>
              <w:rPr>
                <w:rStyle w:val="VerbatimChar"/>
                <w:sz w:val="18"/>
              </w:rPr>
              <w:t xml:space="preserve">ARCHIVED</w:t>
            </w:r>
            <w:r>
              <w:rPr>
                <w:sz w:val="18"/>
              </w:rPr>
              <w:t xml:space="preserve">; the RE is told and RBI is asked to confirm through its official channel</w:t>
            </w:r>
          </w:p>
        </w:tc>
      </w:tr>
      <w:tr>
        <w:tc>
          <w:tcPr>
            <w:tcW w:w="930" w:type="dxa"/>
          </w:tcPr>
          <w:p>
            <w:pPr>
              <w:pStyle w:val="Compact"/>
              <w:spacing w:after="40"/>
              <w:jc w:val="left"/>
            </w:pPr>
            <w:r>
              <w:rPr>
                <w:rStyle w:val="VerbatimChar"/>
                <w:sz w:val="18"/>
              </w:rPr>
              <w:t xml:space="preserve">BASIS_RECORDED</w:t>
            </w:r>
          </w:p>
        </w:tc>
        <w:tc>
          <w:tcPr>
            <w:tcW w:w="2460" w:type="dxa"/>
          </w:tcPr>
          <w:p>
            <w:pPr>
              <w:pStyle w:val="Compact"/>
              <w:spacing w:after="40"/>
              <w:jc w:val="left"/>
            </w:pPr>
            <w:r>
              <w:rPr>
                <w:sz w:val="18"/>
              </w:rPr>
              <w:t xml:space="preserve">Udofin compliance records the basis code and engagement or inspection ID</w:t>
            </w:r>
          </w:p>
        </w:tc>
        <w:tc>
          <w:tcPr>
            <w:tcW w:w="3559" w:type="dxa"/>
          </w:tcPr>
          <w:p>
            <w:pPr>
              <w:pStyle w:val="Compact"/>
              <w:spacing w:after="40"/>
              <w:jc w:val="left"/>
            </w:pPr>
            <w:r>
              <w:rPr>
                <w:sz w:val="18"/>
              </w:rPr>
              <w:t xml:space="preserve">Scope next</w:t>
            </w:r>
          </w:p>
        </w:tc>
        <w:tc>
          <w:tcPr>
            <w:tcW w:w="2689" w:type="dxa"/>
          </w:tcPr>
          <w:p>
            <w:pPr>
              <w:pStyle w:val="Compact"/>
              <w:spacing w:after="40"/>
              <w:jc w:val="left"/>
            </w:pPr>
            <w:r>
              <w:rPr>
                <w:sz w:val="18"/>
              </w:rPr>
              <w:t xml:space="preserve">Missing document: back to</w:t>
            </w:r>
            <w:r>
              <w:rPr>
                <w:sz w:val="18"/>
              </w:rPr>
              <w:t xml:space="preserve"> </w:t>
            </w:r>
            <w:r>
              <w:rPr>
                <w:rStyle w:val="VerbatimChar"/>
                <w:sz w:val="18"/>
              </w:rPr>
              <w:t xml:space="preserve">REQUESTED</w:t>
            </w:r>
          </w:p>
        </w:tc>
      </w:tr>
      <w:tr>
        <w:tc>
          <w:tcPr>
            <w:tcW w:w="930" w:type="dxa"/>
          </w:tcPr>
          <w:p>
            <w:pPr>
              <w:pStyle w:val="Compact"/>
              <w:spacing w:after="40"/>
              <w:jc w:val="left"/>
            </w:pPr>
            <w:r>
              <w:rPr>
                <w:rStyle w:val="VerbatimChar"/>
                <w:sz w:val="18"/>
              </w:rPr>
              <w:t xml:space="preserve">SCOPE_DEFINED</w:t>
            </w:r>
          </w:p>
        </w:tc>
        <w:tc>
          <w:tcPr>
            <w:tcW w:w="2460" w:type="dxa"/>
          </w:tcPr>
          <w:p>
            <w:pPr>
              <w:pStyle w:val="Compact"/>
              <w:spacing w:after="40"/>
              <w:jc w:val="left"/>
            </w:pPr>
            <w:r>
              <w:rPr>
                <w:sz w:val="18"/>
              </w:rPr>
              <w:t xml:space="preserve">RE (or RBI’s stated scope) fills the RA2.2 scope object</w:t>
            </w:r>
          </w:p>
        </w:tc>
        <w:tc>
          <w:tcPr>
            <w:tcW w:w="3559" w:type="dxa"/>
          </w:tcPr>
          <w:p>
            <w:pPr>
              <w:pStyle w:val="Compact"/>
              <w:spacing w:after="40"/>
              <w:jc w:val="left"/>
            </w:pPr>
            <w:r>
              <w:rPr>
                <w:sz w:val="18"/>
              </w:rPr>
              <w:t xml:space="preserve">RE approval next; scope diff shown against any earlier grant</w:t>
            </w:r>
          </w:p>
        </w:tc>
        <w:tc>
          <w:tcPr>
            <w:tcW w:w="2689" w:type="dxa"/>
          </w:tcPr>
          <w:p>
            <w:pPr>
              <w:pStyle w:val="Compact"/>
              <w:spacing w:after="40"/>
              <w:jc w:val="left"/>
            </w:pPr>
            <w:r>
              <w:rPr>
                <w:sz w:val="18"/>
              </w:rPr>
              <w:t xml:space="preserve">A multi-RE scope is refused (pooled audits get one slice per RE)</w:t>
            </w:r>
          </w:p>
        </w:tc>
      </w:tr>
      <w:tr>
        <w:tc>
          <w:tcPr>
            <w:tcW w:w="930" w:type="dxa"/>
          </w:tcPr>
          <w:p>
            <w:pPr>
              <w:pStyle w:val="Compact"/>
              <w:spacing w:after="40"/>
              <w:jc w:val="left"/>
            </w:pPr>
            <w:r>
              <w:rPr>
                <w:rStyle w:val="VerbatimChar"/>
                <w:sz w:val="18"/>
              </w:rPr>
              <w:t xml:space="preserve">RE_APPROVED</w:t>
            </w:r>
          </w:p>
        </w:tc>
        <w:tc>
          <w:tcPr>
            <w:tcW w:w="2460" w:type="dxa"/>
          </w:tcPr>
          <w:p>
            <w:pPr>
              <w:pStyle w:val="Compact"/>
              <w:spacing w:after="40"/>
              <w:jc w:val="left"/>
            </w:pPr>
            <w:r>
              <w:rPr>
                <w:sz w:val="18"/>
              </w:rPr>
              <w:t xml:space="preserve">RE CCO or nominee (maker) and CISO or MD and CEO delegate (checker); CFO as maker for statutory auditors</w:t>
            </w:r>
          </w:p>
        </w:tc>
        <w:tc>
          <w:tcPr>
            <w:tcW w:w="3559" w:type="dxa"/>
          </w:tcPr>
          <w:p>
            <w:pPr>
              <w:pStyle w:val="Compact"/>
              <w:spacing w:after="40"/>
              <w:jc w:val="left"/>
            </w:pPr>
            <w:r>
              <w:rPr>
                <w:sz w:val="18"/>
              </w:rPr>
              <w:t xml:space="preserve">Provider approval within 1 business day</w:t>
            </w:r>
          </w:p>
        </w:tc>
        <w:tc>
          <w:tcPr>
            <w:tcW w:w="2689" w:type="dxa"/>
          </w:tcPr>
          <w:p>
            <w:pPr>
              <w:pStyle w:val="Compact"/>
              <w:spacing w:after="40"/>
              <w:jc w:val="left"/>
            </w:pPr>
            <w:r>
              <w:rPr>
                <w:sz w:val="18"/>
              </w:rPr>
              <w:t xml:space="preserve">For an RBI request the RE cannot narrow scope; its approval records awareness</w:t>
            </w:r>
          </w:p>
        </w:tc>
      </w:tr>
      <w:tr>
        <w:tc>
          <w:tcPr>
            <w:tcW w:w="930" w:type="dxa"/>
          </w:tcPr>
          <w:p>
            <w:pPr>
              <w:pStyle w:val="Compact"/>
              <w:spacing w:after="40"/>
              <w:jc w:val="left"/>
            </w:pPr>
            <w:r>
              <w:rPr>
                <w:rStyle w:val="VerbatimChar"/>
                <w:sz w:val="18"/>
              </w:rPr>
              <w:t xml:space="preserve">PROVIDER_APPROVED</w:t>
            </w:r>
          </w:p>
        </w:tc>
        <w:tc>
          <w:tcPr>
            <w:tcW w:w="2460" w:type="dxa"/>
          </w:tcPr>
          <w:p>
            <w:pPr>
              <w:pStyle w:val="Compact"/>
              <w:spacing w:after="40"/>
              <w:jc w:val="left"/>
            </w:pPr>
            <w:r>
              <w:rPr>
                <w:sz w:val="18"/>
              </w:rPr>
              <w:t xml:space="preserve">Udofin compliance confirms provisioning against scope; it cannot refuse a valid request</w:t>
            </w:r>
          </w:p>
        </w:tc>
        <w:tc>
          <w:tcPr>
            <w:tcW w:w="3559" w:type="dxa"/>
          </w:tcPr>
          <w:p>
            <w:pPr>
              <w:pStyle w:val="Compact"/>
              <w:spacing w:after="40"/>
              <w:jc w:val="left"/>
            </w:pPr>
            <w:r>
              <w:rPr>
                <w:sz w:val="18"/>
              </w:rPr>
              <w:t xml:space="preserve">Provisioning within 1 business day [REC]</w:t>
            </w:r>
          </w:p>
        </w:tc>
        <w:tc>
          <w:tcPr>
            <w:tcW w:w="2689" w:type="dxa"/>
          </w:tcPr>
          <w:p>
            <w:pPr>
              <w:pStyle w:val="Compact"/>
              <w:spacing w:after="40"/>
              <w:jc w:val="left"/>
            </w:pPr>
            <w:r>
              <w:rPr>
                <w:sz w:val="18"/>
              </w:rPr>
              <w:t xml:space="preserve">A scope Udofin cannot technically serve is returned with the gap named, never silently reduced</w:t>
            </w:r>
          </w:p>
        </w:tc>
      </w:tr>
      <w:tr>
        <w:tc>
          <w:tcPr>
            <w:tcW w:w="930" w:type="dxa"/>
          </w:tcPr>
          <w:p>
            <w:pPr>
              <w:pStyle w:val="Compact"/>
              <w:spacing w:after="40"/>
              <w:jc w:val="left"/>
            </w:pPr>
            <w:r>
              <w:rPr>
                <w:rStyle w:val="VerbatimChar"/>
                <w:sz w:val="18"/>
              </w:rPr>
              <w:t xml:space="preserve">PROVISIONED</w:t>
            </w:r>
            <w:r>
              <w:rPr>
                <w:sz w:val="18"/>
              </w:rPr>
              <w:t xml:space="preserve"> </w:t>
            </w:r>
            <w:r>
              <w:rPr>
                <w:sz w:val="18"/>
              </w:rPr>
              <w:t xml:space="preserve">→</w:t>
            </w:r>
            <w:r>
              <w:rPr>
                <w:sz w:val="18"/>
              </w:rPr>
              <w:t xml:space="preserve"> </w:t>
            </w:r>
            <w:r>
              <w:rPr>
                <w:rStyle w:val="VerbatimChar"/>
                <w:sz w:val="18"/>
              </w:rPr>
              <w:t xml:space="preserve">ACTIVE</w:t>
            </w:r>
          </w:p>
        </w:tc>
        <w:tc>
          <w:tcPr>
            <w:tcW w:w="2460" w:type="dxa"/>
          </w:tcPr>
          <w:p>
            <w:pPr>
              <w:pStyle w:val="Compact"/>
              <w:spacing w:after="40"/>
              <w:jc w:val="left"/>
            </w:pPr>
            <w:r>
              <w:rPr>
                <w:sz w:val="18"/>
              </w:rPr>
              <w:t xml:space="preserve">Named users only; e-mail domain check (</w:t>
            </w:r>
            <w:r>
              <w:rPr>
                <w:rStyle w:val="VerbatimChar"/>
                <w:sz w:val="18"/>
              </w:rPr>
              <w:t xml:space="preserve">rbi.org.in</w:t>
            </w:r>
            <w:r>
              <w:rPr>
                <w:sz w:val="18"/>
              </w:rPr>
              <w:t xml:space="preserve">; the audit firm’s domain); MFA; optional IP allowlist;</w:t>
            </w:r>
            <w:r>
              <w:rPr>
                <w:sz w:val="18"/>
              </w:rPr>
              <w:t xml:space="preserve"> </w:t>
            </w:r>
            <w:r>
              <w:rPr>
                <w:rStyle w:val="VerbatimChar"/>
                <w:sz w:val="18"/>
              </w:rPr>
              <w:t xml:space="preserve">ExternalAccessGranted</w:t>
            </w:r>
          </w:p>
        </w:tc>
        <w:tc>
          <w:tcPr>
            <w:tcW w:w="3559" w:type="dxa"/>
          </w:tcPr>
          <w:p>
            <w:pPr>
              <w:pStyle w:val="Compact"/>
              <w:spacing w:after="40"/>
              <w:jc w:val="left"/>
            </w:pPr>
            <w:r>
              <w:rPr>
                <w:sz w:val="18"/>
              </w:rPr>
              <w:t xml:space="preserve">Default duration 30 days; first login moves to</w:t>
            </w:r>
            <w:r>
              <w:rPr>
                <w:sz w:val="18"/>
              </w:rPr>
              <w:t xml:space="preserve"> </w:t>
            </w:r>
            <w:r>
              <w:rPr>
                <w:rStyle w:val="VerbatimChar"/>
                <w:sz w:val="18"/>
              </w:rPr>
              <w:t xml:space="preserve">ACTIVE</w:t>
            </w:r>
            <w:r>
              <w:rPr>
                <w:sz w:val="18"/>
              </w:rPr>
              <w:t xml:space="preserve">; expiry warnings at 7 days and 1 day to the RE and grantee</w:t>
            </w:r>
          </w:p>
        </w:tc>
        <w:tc>
          <w:tcPr>
            <w:tcW w:w="2689" w:type="dxa"/>
          </w:tcPr>
          <w:p>
            <w:pPr>
              <w:pStyle w:val="Compact"/>
              <w:spacing w:after="40"/>
              <w:jc w:val="left"/>
            </w:pPr>
            <w:r>
              <w:rPr>
                <w:sz w:val="18"/>
              </w:rPr>
              <w:t xml:space="preserve">Unused for 14 days: reminder to the RE; no auto-extension</w:t>
            </w:r>
          </w:p>
        </w:tc>
      </w:tr>
      <w:tr>
        <w:tc>
          <w:tcPr>
            <w:tcW w:w="930" w:type="dxa"/>
          </w:tcPr>
          <w:p>
            <w:pPr>
              <w:pStyle w:val="Compact"/>
              <w:spacing w:after="40"/>
              <w:jc w:val="left"/>
            </w:pPr>
            <w:r>
              <w:rPr>
                <w:rStyle w:val="VerbatimChar"/>
                <w:sz w:val="18"/>
              </w:rPr>
              <w:t xml:space="preserve">EXTENDED</w:t>
            </w:r>
            <w:r>
              <w:rPr>
                <w:sz w:val="18"/>
              </w:rPr>
              <w:t xml:space="preserve"> </w:t>
            </w:r>
            <w:r>
              <w:rPr>
                <w:sz w:val="18"/>
              </w:rPr>
              <w:t xml:space="preserve">(⇄</w:t>
            </w:r>
            <w:r>
              <w:rPr>
                <w:sz w:val="18"/>
              </w:rPr>
              <w:t xml:space="preserve"> </w:t>
            </w:r>
            <w:r>
              <w:rPr>
                <w:rStyle w:val="VerbatimChar"/>
                <w:sz w:val="18"/>
              </w:rPr>
              <w:t xml:space="preserve">ACTIVE</w:t>
            </w:r>
            <w:r>
              <w:rPr>
                <w:sz w:val="18"/>
              </w:rPr>
              <w:t xml:space="preserve">)</w:t>
            </w:r>
          </w:p>
        </w:tc>
        <w:tc>
          <w:tcPr>
            <w:tcW w:w="2460" w:type="dxa"/>
          </w:tcPr>
          <w:p>
            <w:pPr>
              <w:pStyle w:val="Compact"/>
              <w:spacing w:after="40"/>
              <w:jc w:val="left"/>
            </w:pPr>
            <w:r>
              <w:rPr>
                <w:sz w:val="18"/>
              </w:rPr>
              <w:t xml:space="preserve">Extension request with reason; same RE maker-checker and provider approval</w:t>
            </w:r>
          </w:p>
        </w:tc>
        <w:tc>
          <w:tcPr>
            <w:tcW w:w="3559" w:type="dxa"/>
          </w:tcPr>
          <w:p>
            <w:pPr>
              <w:pStyle w:val="Compact"/>
              <w:spacing w:after="40"/>
              <w:jc w:val="left"/>
            </w:pPr>
            <w:r>
              <w:rPr>
                <w:sz w:val="18"/>
              </w:rPr>
              <w:t xml:space="preserve">New</w:t>
            </w:r>
            <w:r>
              <w:rPr>
                <w:sz w:val="18"/>
              </w:rPr>
              <w:t xml:space="preserve"> </w:t>
            </w:r>
            <w:r>
              <w:rPr>
                <w:rStyle w:val="VerbatimChar"/>
                <w:sz w:val="18"/>
              </w:rPr>
              <w:t xml:space="preserve">valid_to</w:t>
            </w:r>
            <w:r>
              <w:rPr>
                <w:sz w:val="18"/>
              </w:rPr>
              <w:t xml:space="preserve"> </w:t>
            </w:r>
            <w:r>
              <w:rPr>
                <w:sz w:val="18"/>
              </w:rPr>
              <w:t xml:space="preserve">never later than 90 days from the original</w:t>
            </w:r>
            <w:r>
              <w:rPr>
                <w:sz w:val="18"/>
              </w:rPr>
              <w:t xml:space="preserve"> </w:t>
            </w:r>
            <w:r>
              <w:rPr>
                <w:rStyle w:val="VerbatimChar"/>
                <w:sz w:val="18"/>
              </w:rPr>
              <w:t xml:space="preserve">valid_from</w:t>
            </w:r>
            <w:r>
              <w:rPr>
                <w:sz w:val="18"/>
              </w:rPr>
              <w:t xml:space="preserve"> </w:t>
            </w:r>
            <w:r>
              <w:rPr>
                <w:sz w:val="18"/>
              </w:rPr>
              <w:t xml:space="preserve">(hard maximum per grant); beyond that a fresh grant with fresh approvals</w:t>
            </w:r>
          </w:p>
        </w:tc>
        <w:tc>
          <w:tcPr>
            <w:tcW w:w="2689" w:type="dxa"/>
          </w:tcPr>
          <w:p>
            <w:pPr>
              <w:pStyle w:val="Compact"/>
              <w:spacing w:after="40"/>
              <w:jc w:val="left"/>
            </w:pPr>
            <w:r>
              <w:rPr>
                <w:sz w:val="18"/>
              </w:rPr>
              <w:t xml:space="preserve">Refused extension: grant expires on its date</w:t>
            </w:r>
          </w:p>
        </w:tc>
      </w:tr>
      <w:tr>
        <w:tc>
          <w:tcPr>
            <w:tcW w:w="930" w:type="dxa"/>
          </w:tcPr>
          <w:p>
            <w:pPr>
              <w:pStyle w:val="Compact"/>
              <w:spacing w:after="40"/>
              <w:jc w:val="left"/>
            </w:pPr>
            <w:r>
              <w:rPr>
                <w:rStyle w:val="VerbatimChar"/>
                <w:sz w:val="18"/>
              </w:rPr>
              <w:t xml:space="preserve">EXPIRED</w:t>
            </w:r>
            <w:r>
              <w:rPr>
                <w:sz w:val="18"/>
              </w:rPr>
              <w:t xml:space="preserve"> </w:t>
            </w:r>
            <w:r>
              <w:rPr>
                <w:sz w:val="18"/>
              </w:rPr>
              <w:t xml:space="preserve">or</w:t>
            </w:r>
            <w:r>
              <w:rPr>
                <w:sz w:val="18"/>
              </w:rPr>
              <w:t xml:space="preserve"> </w:t>
            </w:r>
            <w:r>
              <w:rPr>
                <w:rStyle w:val="VerbatimChar"/>
                <w:sz w:val="18"/>
              </w:rPr>
              <w:t xml:space="preserve">REVOKED</w:t>
            </w:r>
          </w:p>
        </w:tc>
        <w:tc>
          <w:tcPr>
            <w:tcW w:w="2460" w:type="dxa"/>
          </w:tcPr>
          <w:p>
            <w:pPr>
              <w:pStyle w:val="Compact"/>
              <w:spacing w:after="40"/>
              <w:jc w:val="left"/>
            </w:pPr>
            <w:r>
              <w:rPr>
                <w:sz w:val="18"/>
              </w:rPr>
              <w:t xml:space="preserve">End time reached, or revocation by the RE, Udofin compliance (security incident) or the grantee</w:t>
            </w:r>
          </w:p>
        </w:tc>
        <w:tc>
          <w:tcPr>
            <w:tcW w:w="3559" w:type="dxa"/>
          </w:tcPr>
          <w:p>
            <w:pPr>
              <w:pStyle w:val="Compact"/>
              <w:spacing w:after="40"/>
              <w:jc w:val="left"/>
            </w:pPr>
            <w:r>
              <w:rPr>
                <w:sz w:val="18"/>
              </w:rPr>
              <w:t xml:space="preserve">Sessions end within 60 seconds;</w:t>
            </w:r>
            <w:r>
              <w:rPr>
                <w:sz w:val="18"/>
              </w:rPr>
              <w:t xml:space="preserve"> </w:t>
            </w:r>
            <w:r>
              <w:rPr>
                <w:rStyle w:val="VerbatimChar"/>
                <w:sz w:val="18"/>
              </w:rPr>
              <w:t xml:space="preserve">ExternalAccessRevoked</w:t>
            </w:r>
          </w:p>
        </w:tc>
        <w:tc>
          <w:tcPr>
            <w:tcW w:w="2689" w:type="dxa"/>
          </w:tcPr>
          <w:p>
            <w:pPr>
              <w:pStyle w:val="Compact"/>
              <w:spacing w:after="40"/>
              <w:jc w:val="left"/>
            </w:pPr>
            <w:r>
              <w:rPr>
                <w:sz w:val="18"/>
              </w:rPr>
              <w:t xml:space="preserve">—</w:t>
            </w:r>
          </w:p>
        </w:tc>
      </w:tr>
      <w:tr>
        <w:tc>
          <w:tcPr>
            <w:tcW w:w="930" w:type="dxa"/>
          </w:tcPr>
          <w:p>
            <w:pPr>
              <w:pStyle w:val="Compact"/>
              <w:spacing w:after="40"/>
              <w:jc w:val="left"/>
            </w:pPr>
            <w:r>
              <w:rPr>
                <w:rStyle w:val="VerbatimChar"/>
                <w:sz w:val="18"/>
              </w:rPr>
              <w:t xml:space="preserve">ARCHIVED</w:t>
            </w:r>
          </w:p>
        </w:tc>
        <w:tc>
          <w:tcPr>
            <w:tcW w:w="2460" w:type="dxa"/>
          </w:tcPr>
          <w:p>
            <w:pPr>
              <w:pStyle w:val="Compact"/>
              <w:spacing w:after="40"/>
              <w:jc w:val="left"/>
            </w:pPr>
            <w:r>
              <w:rPr>
                <w:sz w:val="18"/>
              </w:rPr>
              <w:t xml:space="preserve">After expiry or revocation</w:t>
            </w:r>
          </w:p>
        </w:tc>
        <w:tc>
          <w:tcPr>
            <w:tcW w:w="3559" w:type="dxa"/>
          </w:tcPr>
          <w:p>
            <w:pPr>
              <w:pStyle w:val="Compact"/>
              <w:spacing w:after="40"/>
              <w:jc w:val="left"/>
            </w:pPr>
            <w:r>
              <w:rPr>
                <w:sz w:val="18"/>
              </w:rPr>
              <w:t xml:space="preserve">Grant, scope, logs and exports kept for the inspection cycle plus 8 years [REC]</w:t>
            </w:r>
          </w:p>
        </w:tc>
        <w:tc>
          <w:tcPr>
            <w:tcW w:w="2689" w:type="dxa"/>
          </w:tcPr>
          <w:p>
            <w:pPr>
              <w:pStyle w:val="Compact"/>
              <w:spacing w:after="40"/>
              <w:jc w:val="left"/>
            </w:pPr>
            <w:r>
              <w:rPr>
                <w:sz w:val="18"/>
              </w:rPr>
              <w:t xml:space="preserve">Legal hold extends retention</w:t>
            </w:r>
          </w:p>
        </w:tc>
      </w:tr>
    </w:tbl>
    <w:bookmarkEnd w:id="386"/>
    <w:bookmarkStart w:id="387" w:name="ra2.4-controls"/>
    <w:p>
      <w:pPr>
        <w:pStyle w:val="Heading3"/>
      </w:pPr>
      <w:r>
        <w:t xml:space="preserve">RA2.4 Controls</w:t>
      </w:r>
    </w:p>
    <w:p>
      <w:pPr>
        <w:numPr>
          <w:ilvl w:val="0"/>
          <w:numId w:val="1234"/>
        </w:numPr>
        <w:pStyle w:val="Compact"/>
      </w:pPr>
      <w:r>
        <w:t xml:space="preserve">Read-only replica or point-in-time snapshot; SELECT-only grants and</w:t>
      </w:r>
      <w:r>
        <w:t xml:space="preserve"> </w:t>
      </w:r>
      <w:r>
        <w:rPr>
          <w:rStyle w:val="VerbatimChar"/>
        </w:rPr>
        <w:t xml:space="preserve">read:*</w:t>
      </w:r>
      <w:r>
        <w:t xml:space="preserve"> </w:t>
      </w:r>
      <w:r>
        <w:t xml:space="preserve">API scopes; no write path, no shared accounts, no break-glass reuse.</w:t>
      </w:r>
    </w:p>
    <w:p>
      <w:pPr>
        <w:numPr>
          <w:ilvl w:val="0"/>
          <w:numId w:val="1234"/>
        </w:numPr>
        <w:pStyle w:val="Compact"/>
      </w:pPr>
      <w:r>
        <w:t xml:space="preserve">Row-level security by RE and scope; field masking of PAN, Aadhaar references, account and phone numbers; unmasking per record with a typed reason, logged and visible to the RE.</w:t>
      </w:r>
    </w:p>
    <w:p>
      <w:pPr>
        <w:numPr>
          <w:ilvl w:val="0"/>
          <w:numId w:val="1234"/>
        </w:numPr>
        <w:pStyle w:val="Compact"/>
      </w:pPr>
      <w:r>
        <w:t xml:space="preserve">Every query, view and download logged (who, what, rows and fields counts, time); daily activity report to the RE’s CCO and Udofin compliance;</w:t>
      </w:r>
      <w:r>
        <w:t xml:space="preserve"> </w:t>
      </w:r>
      <w:r>
        <w:rPr>
          <w:rStyle w:val="VerbatimChar"/>
        </w:rPr>
        <w:t xml:space="preserve">ExternalAccessUsed</w:t>
      </w:r>
      <w:r>
        <w:t xml:space="preserve"> </w:t>
      </w:r>
      <w:r>
        <w:t xml:space="preserve">per session (counts only).</w:t>
      </w:r>
    </w:p>
    <w:p>
      <w:pPr>
        <w:numPr>
          <w:ilvl w:val="0"/>
          <w:numId w:val="1234"/>
        </w:numPr>
        <w:pStyle w:val="Compact"/>
      </w:pPr>
      <w:r>
        <w:t xml:space="preserve">Exports watermarked with grantee and time, hashed, size-capped; bulk PII export only if the scope allows it and the RE approved it.</w:t>
      </w:r>
    </w:p>
    <w:p>
      <w:pPr>
        <w:numPr>
          <w:ilvl w:val="0"/>
          <w:numId w:val="1234"/>
        </w:numPr>
        <w:pStyle w:val="Compact"/>
      </w:pPr>
      <w:r>
        <w:t xml:space="preserve">Session timeout 15 minutes idle; confidentiality banner on each login; DPDP: disclosure to RBI under a legal duty (DPDP s.7) does not lift security safeguards or purpose limits [VERIFY: s.7 clause]; exports are not reused for any other purpose.</w:t>
      </w:r>
    </w:p>
    <w:p>
      <w:pPr>
        <w:numPr>
          <w:ilvl w:val="0"/>
          <w:numId w:val="1234"/>
        </w:numPr>
        <w:pStyle w:val="Compact"/>
      </w:pPr>
      <w:r>
        <w:rPr>
          <w:bCs/>
          <w:b/>
        </w:rPr>
        <w:t xml:space="preserve">Premises and sub-processors:</w:t>
      </w:r>
      <w:r>
        <w:t xml:space="preserve"> </w:t>
      </w:r>
      <w:r>
        <w:t xml:space="preserve">on-site inspection logistics (rooms, systems walkthrough, document production) and sub-processor access coordinated under OUT paras 74(xii) and 81; sub-processor contracts carry the same right.</w:t>
      </w:r>
    </w:p>
    <w:bookmarkEnd w:id="387"/>
    <w:bookmarkStart w:id="388" w:name="ra2.5-relationship-with-other-modules"/>
    <w:p>
      <w:pPr>
        <w:pStyle w:val="Heading3"/>
      </w:pPr>
      <w:r>
        <w:t xml:space="preserve">RA2.5 Relationship with other modules</w:t>
      </w:r>
    </w:p>
    <w:p>
      <w:pPr>
        <w:numPr>
          <w:ilvl w:val="0"/>
          <w:numId w:val="1235"/>
        </w:numPr>
        <w:pStyle w:val="Compact"/>
      </w:pPr>
      <w:r>
        <w:t xml:space="preserve">RA2 is the live workspace; RE audit and inspection</w:t>
      </w:r>
      <w:r>
        <w:t xml:space="preserve"> </w:t>
      </w:r>
      <w:r>
        <w:rPr>
          <w:bCs/>
          <w:b/>
        </w:rPr>
        <w:t xml:space="preserve">export packs</w:t>
      </w:r>
      <w:r>
        <w:t xml:space="preserve"> </w:t>
      </w:r>
      <w:r>
        <w:t xml:space="preserve">are Part 7B UP3; U18 keeps the regulatory register and evidence; Finbyx Part 7D AU7 is the RE-side equivalent where the RE runs Finbyx.</w:t>
      </w:r>
    </w:p>
    <w:p>
      <w:pPr>
        <w:numPr>
          <w:ilvl w:val="0"/>
          <w:numId w:val="1235"/>
        </w:numPr>
        <w:pStyle w:val="Compact"/>
      </w:pPr>
      <w:r>
        <w:rPr>
          <w:bCs/>
          <w:b/>
        </w:rPr>
        <w:t xml:space="preserve">Events:</w:t>
      </w:r>
      <w:r>
        <w:t xml:space="preserve"> </w:t>
      </w:r>
      <w:r>
        <w:rPr>
          <w:rStyle w:val="VerbatimChar"/>
        </w:rPr>
        <w:t xml:space="preserve">ExternalAccessGranted</w:t>
      </w:r>
      <w:r>
        <w:t xml:space="preserve">,</w:t>
      </w:r>
      <w:r>
        <w:t xml:space="preserve"> </w:t>
      </w:r>
      <w:r>
        <w:rPr>
          <w:rStyle w:val="VerbatimChar"/>
        </w:rPr>
        <w:t xml:space="preserve">ExternalAccessUsed</w:t>
      </w:r>
      <w:r>
        <w:t xml:space="preserve"> </w:t>
      </w:r>
      <w:r>
        <w:t xml:space="preserve">(daily aggregate per grant and per session, by 09:00 IST next day),</w:t>
      </w:r>
      <w:r>
        <w:t xml:space="preserve"> </w:t>
      </w:r>
      <w:r>
        <w:rPr>
          <w:rStyle w:val="VerbatimChar"/>
        </w:rPr>
        <w:t xml:space="preserve">ExternalAccessRevoked</w:t>
      </w:r>
      <w:r>
        <w:t xml:space="preserve"> </w:t>
      </w:r>
      <w:r>
        <w:t xml:space="preserve">to the RE (lender portal and GRC target) and to LawDocsComply; the Operations Hub receives counts only.</w:t>
      </w:r>
    </w:p>
    <w:bookmarkEnd w:id="388"/>
    <w:bookmarkStart w:id="389" w:name="settings-and-options-ra2"/>
    <w:p>
      <w:pPr>
        <w:pStyle w:val="Heading3"/>
      </w:pPr>
      <w:r>
        <w:t xml:space="preserve">Settings and options (RA2)</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04"/>
        <w:gridCol w:w="1596"/>
        <w:gridCol w:w="2343"/>
        <w:gridCol w:w="3195"/>
      </w:tblGrid>
      <w:tr>
        <w:trPr>
          <w:tblHeader w:val="true"/>
          <w:tblHeader w:val="true"/>
        </w:trPr>
        <w:tc>
          <w:tcPr>
            <w:tcW w:w="2504" w:type="dxa"/>
            <w:shd w:val="clear" w:color="auto" w:fill="1F3A5F"/>
          </w:tcPr>
          <w:p>
            <w:pPr>
              <w:pStyle w:val="Compact"/>
              <w:spacing w:after="40"/>
              <w:jc w:val="left"/>
            </w:pPr>
            <w:r>
              <w:rPr>
                <w:b/>
                <w:color w:val="FFFFFF"/>
                <w:sz w:val="18"/>
              </w:rPr>
              <w:t xml:space="preserve">Setting</w:t>
            </w:r>
          </w:p>
        </w:tc>
        <w:tc>
          <w:tcPr>
            <w:tcW w:w="1596" w:type="dxa"/>
            <w:shd w:val="clear" w:color="auto" w:fill="1F3A5F"/>
          </w:tcPr>
          <w:p>
            <w:pPr>
              <w:pStyle w:val="Compact"/>
              <w:spacing w:after="40"/>
              <w:jc w:val="left"/>
            </w:pPr>
            <w:r>
              <w:rPr>
                <w:b/>
                <w:color w:val="FFFFFF"/>
                <w:sz w:val="18"/>
              </w:rPr>
              <w:t xml:space="preserve">Level</w:t>
            </w:r>
          </w:p>
        </w:tc>
        <w:tc>
          <w:tcPr>
            <w:tcW w:w="2343" w:type="dxa"/>
            <w:shd w:val="clear" w:color="auto" w:fill="1F3A5F"/>
          </w:tcPr>
          <w:p>
            <w:pPr>
              <w:pStyle w:val="Compact"/>
              <w:spacing w:after="40"/>
              <w:jc w:val="left"/>
            </w:pPr>
            <w:r>
              <w:rPr>
                <w:b/>
                <w:color w:val="FFFFFF"/>
                <w:sz w:val="18"/>
              </w:rPr>
              <w:t xml:space="preserve">Default</w:t>
            </w:r>
          </w:p>
        </w:tc>
        <w:tc>
          <w:tcPr>
            <w:tcW w:w="3195" w:type="dxa"/>
            <w:shd w:val="clear" w:color="auto" w:fill="1F3A5F"/>
          </w:tcPr>
          <w:p>
            <w:pPr>
              <w:pStyle w:val="Compact"/>
              <w:spacing w:after="40"/>
              <w:jc w:val="left"/>
            </w:pPr>
            <w:r>
              <w:rPr>
                <w:b/>
                <w:color w:val="FFFFFF"/>
                <w:sz w:val="18"/>
              </w:rPr>
              <w:t xml:space="preserve">Nature</w:t>
            </w:r>
          </w:p>
        </w:tc>
      </w:tr>
      <w:tr>
        <w:tc>
          <w:tcPr>
            <w:tcW w:w="2504" w:type="dxa"/>
          </w:tcPr>
          <w:p>
            <w:pPr>
              <w:pStyle w:val="Compact"/>
              <w:spacing w:after="40"/>
              <w:jc w:val="left"/>
            </w:pPr>
            <w:r>
              <w:rPr>
                <w:sz w:val="18"/>
              </w:rPr>
              <w:t xml:space="preserve">Grant duration</w:t>
            </w:r>
          </w:p>
        </w:tc>
        <w:tc>
          <w:tcPr>
            <w:tcW w:w="1596" w:type="dxa"/>
          </w:tcPr>
          <w:p>
            <w:pPr>
              <w:pStyle w:val="Compact"/>
              <w:spacing w:after="40"/>
              <w:jc w:val="left"/>
            </w:pPr>
            <w:r>
              <w:rPr>
                <w:sz w:val="18"/>
              </w:rPr>
              <w:t xml:space="preserve">RE, per grant</w:t>
            </w:r>
          </w:p>
        </w:tc>
        <w:tc>
          <w:tcPr>
            <w:tcW w:w="2343" w:type="dxa"/>
          </w:tcPr>
          <w:p>
            <w:pPr>
              <w:pStyle w:val="Compact"/>
              <w:spacing w:after="40"/>
              <w:jc w:val="left"/>
            </w:pPr>
            <w:r>
              <w:rPr>
                <w:sz w:val="18"/>
              </w:rPr>
              <w:t xml:space="preserve">30 days</w:t>
            </w:r>
          </w:p>
        </w:tc>
        <w:tc>
          <w:tcPr>
            <w:tcW w:w="3195" w:type="dxa"/>
          </w:tcPr>
          <w:p>
            <w:pPr>
              <w:pStyle w:val="Compact"/>
              <w:spacing w:after="40"/>
              <w:jc w:val="left"/>
            </w:pPr>
            <w:r>
              <w:rPr>
                <w:sz w:val="18"/>
              </w:rPr>
              <w:t xml:space="preserve">Hard maximum 90 days per grant including extensions</w:t>
            </w:r>
          </w:p>
        </w:tc>
      </w:tr>
      <w:tr>
        <w:tc>
          <w:tcPr>
            <w:tcW w:w="2504" w:type="dxa"/>
          </w:tcPr>
          <w:p>
            <w:pPr>
              <w:pStyle w:val="Compact"/>
              <w:spacing w:after="40"/>
              <w:jc w:val="left"/>
            </w:pPr>
            <w:r>
              <w:rPr>
                <w:sz w:val="18"/>
              </w:rPr>
              <w:t xml:space="preserve">PII level and export level</w:t>
            </w:r>
          </w:p>
        </w:tc>
        <w:tc>
          <w:tcPr>
            <w:tcW w:w="1596" w:type="dxa"/>
          </w:tcPr>
          <w:p>
            <w:pPr>
              <w:pStyle w:val="Compact"/>
              <w:spacing w:after="40"/>
              <w:jc w:val="left"/>
            </w:pPr>
            <w:r>
              <w:rPr>
                <w:sz w:val="18"/>
              </w:rPr>
              <w:t xml:space="preserve">RE, per grant</w:t>
            </w:r>
          </w:p>
        </w:tc>
        <w:tc>
          <w:tcPr>
            <w:tcW w:w="2343" w:type="dxa"/>
          </w:tcPr>
          <w:p>
            <w:pPr>
              <w:pStyle w:val="Compact"/>
              <w:spacing w:after="40"/>
              <w:jc w:val="left"/>
            </w:pPr>
            <w:r>
              <w:rPr>
                <w:rStyle w:val="VerbatimChar"/>
                <w:sz w:val="18"/>
              </w:rPr>
              <w:t xml:space="preserve">MASKED</w:t>
            </w:r>
            <w:r>
              <w:rPr>
                <w:sz w:val="18"/>
              </w:rPr>
              <w:t xml:space="preserve">; export</w:t>
            </w:r>
            <w:r>
              <w:rPr>
                <w:sz w:val="18"/>
              </w:rPr>
              <w:t xml:space="preserve"> </w:t>
            </w:r>
            <w:r>
              <w:rPr>
                <w:rStyle w:val="VerbatimChar"/>
                <w:sz w:val="18"/>
              </w:rPr>
              <w:t xml:space="preserve">NONE</w:t>
            </w:r>
          </w:p>
        </w:tc>
        <w:tc>
          <w:tcPr>
            <w:tcW w:w="3195" w:type="dxa"/>
          </w:tcPr>
          <w:p>
            <w:pPr>
              <w:pStyle w:val="Compact"/>
              <w:spacing w:after="40"/>
              <w:jc w:val="left"/>
            </w:pPr>
            <w:r>
              <w:rPr>
                <w:rStyle w:val="VerbatimChar"/>
                <w:sz w:val="18"/>
              </w:rPr>
              <w:t xml:space="preserve">FULL</w:t>
            </w:r>
            <w:r>
              <w:rPr>
                <w:sz w:val="18"/>
              </w:rPr>
              <w:t xml:space="preserve"> </w:t>
            </w:r>
            <w:r>
              <w:rPr>
                <w:sz w:val="18"/>
              </w:rPr>
              <w:t xml:space="preserve">needs a second RE approval</w:t>
            </w:r>
          </w:p>
        </w:tc>
      </w:tr>
      <w:tr>
        <w:tc>
          <w:tcPr>
            <w:tcW w:w="2504" w:type="dxa"/>
          </w:tcPr>
          <w:p>
            <w:pPr>
              <w:pStyle w:val="Compact"/>
              <w:spacing w:after="40"/>
              <w:jc w:val="left"/>
            </w:pPr>
            <w:r>
              <w:rPr>
                <w:sz w:val="18"/>
              </w:rPr>
              <w:t xml:space="preserve">Session idle timeout</w:t>
            </w:r>
          </w:p>
        </w:tc>
        <w:tc>
          <w:tcPr>
            <w:tcW w:w="1596" w:type="dxa"/>
          </w:tcPr>
          <w:p>
            <w:pPr>
              <w:pStyle w:val="Compact"/>
              <w:spacing w:after="40"/>
              <w:jc w:val="left"/>
            </w:pPr>
            <w:r>
              <w:rPr>
                <w:sz w:val="18"/>
              </w:rPr>
              <w:t xml:space="preserve">Platform</w:t>
            </w:r>
          </w:p>
        </w:tc>
        <w:tc>
          <w:tcPr>
            <w:tcW w:w="2343" w:type="dxa"/>
          </w:tcPr>
          <w:p>
            <w:pPr>
              <w:pStyle w:val="Compact"/>
              <w:spacing w:after="40"/>
              <w:jc w:val="left"/>
            </w:pPr>
            <w:r>
              <w:rPr>
                <w:sz w:val="18"/>
              </w:rPr>
              <w:t xml:space="preserve">15 minutes</w:t>
            </w:r>
          </w:p>
        </w:tc>
        <w:tc>
          <w:tcPr>
            <w:tcW w:w="3195" w:type="dxa"/>
          </w:tcPr>
          <w:p>
            <w:pPr>
              <w:pStyle w:val="Compact"/>
              <w:spacing w:after="40"/>
              <w:jc w:val="left"/>
            </w:pPr>
            <w:r>
              <w:rPr>
                <w:sz w:val="18"/>
              </w:rPr>
              <w:t xml:space="preserve">May only be shortened</w:t>
            </w:r>
          </w:p>
        </w:tc>
      </w:tr>
      <w:tr>
        <w:tc>
          <w:tcPr>
            <w:tcW w:w="2504" w:type="dxa"/>
          </w:tcPr>
          <w:p>
            <w:pPr>
              <w:pStyle w:val="Compact"/>
              <w:spacing w:after="40"/>
              <w:jc w:val="left"/>
            </w:pPr>
            <w:r>
              <w:rPr>
                <w:sz w:val="18"/>
              </w:rPr>
              <w:t xml:space="preserve">IP allowlist</w:t>
            </w:r>
          </w:p>
        </w:tc>
        <w:tc>
          <w:tcPr>
            <w:tcW w:w="1596" w:type="dxa"/>
          </w:tcPr>
          <w:p>
            <w:pPr>
              <w:pStyle w:val="Compact"/>
              <w:spacing w:after="40"/>
              <w:jc w:val="left"/>
            </w:pPr>
            <w:r>
              <w:rPr>
                <w:sz w:val="18"/>
              </w:rPr>
              <w:t xml:space="preserve">RE, per grant</w:t>
            </w:r>
          </w:p>
        </w:tc>
        <w:tc>
          <w:tcPr>
            <w:tcW w:w="2343" w:type="dxa"/>
          </w:tcPr>
          <w:p>
            <w:pPr>
              <w:pStyle w:val="Compact"/>
              <w:spacing w:after="40"/>
              <w:jc w:val="left"/>
            </w:pPr>
            <w:r>
              <w:rPr>
                <w:sz w:val="18"/>
              </w:rPr>
              <w:t xml:space="preserve">Off</w:t>
            </w:r>
          </w:p>
        </w:tc>
        <w:tc>
          <w:tcPr>
            <w:tcW w:w="3195" w:type="dxa"/>
          </w:tcPr>
          <w:p>
            <w:pPr>
              <w:pStyle w:val="Compact"/>
              <w:spacing w:after="40"/>
              <w:jc w:val="left"/>
            </w:pPr>
            <w:r>
              <w:rPr>
                <w:sz w:val="18"/>
              </w:rPr>
              <w:t xml:space="preserve">RE choice</w:t>
            </w:r>
          </w:p>
        </w:tc>
      </w:tr>
      <w:tr>
        <w:tc>
          <w:tcPr>
            <w:tcW w:w="2504" w:type="dxa"/>
          </w:tcPr>
          <w:p>
            <w:pPr>
              <w:pStyle w:val="Compact"/>
              <w:spacing w:after="40"/>
              <w:jc w:val="left"/>
            </w:pPr>
            <w:r>
              <w:rPr>
                <w:sz w:val="18"/>
              </w:rPr>
              <w:t xml:space="preserve">Daily activity report recipients</w:t>
            </w:r>
          </w:p>
        </w:tc>
        <w:tc>
          <w:tcPr>
            <w:tcW w:w="1596" w:type="dxa"/>
          </w:tcPr>
          <w:p>
            <w:pPr>
              <w:pStyle w:val="Compact"/>
              <w:spacing w:after="40"/>
              <w:jc w:val="left"/>
            </w:pPr>
            <w:r>
              <w:rPr>
                <w:sz w:val="18"/>
              </w:rPr>
              <w:t xml:space="preserve">RE</w:t>
            </w:r>
          </w:p>
        </w:tc>
        <w:tc>
          <w:tcPr>
            <w:tcW w:w="2343" w:type="dxa"/>
          </w:tcPr>
          <w:p>
            <w:pPr>
              <w:pStyle w:val="Compact"/>
              <w:spacing w:after="40"/>
              <w:jc w:val="left"/>
            </w:pPr>
            <w:r>
              <w:rPr>
                <w:sz w:val="18"/>
              </w:rPr>
              <w:t xml:space="preserve">RE CCO and Udofin compliance</w:t>
            </w:r>
          </w:p>
        </w:tc>
        <w:tc>
          <w:tcPr>
            <w:tcW w:w="3195" w:type="dxa"/>
          </w:tcPr>
          <w:p>
            <w:pPr>
              <w:pStyle w:val="Compact"/>
              <w:spacing w:after="40"/>
              <w:jc w:val="left"/>
            </w:pPr>
            <w:r>
              <w:rPr>
                <w:sz w:val="18"/>
              </w:rPr>
              <w:t xml:space="preserve">RE may add the CISO and internal audit</w:t>
            </w:r>
          </w:p>
        </w:tc>
      </w:tr>
      <w:tr>
        <w:tc>
          <w:tcPr>
            <w:tcW w:w="2504" w:type="dxa"/>
          </w:tcPr>
          <w:p>
            <w:pPr>
              <w:pStyle w:val="Compact"/>
              <w:spacing w:after="40"/>
              <w:jc w:val="left"/>
            </w:pPr>
            <w:r>
              <w:rPr>
                <w:sz w:val="18"/>
              </w:rPr>
              <w:t xml:space="preserve">Direct-RBI-request notice</w:t>
            </w:r>
          </w:p>
        </w:tc>
        <w:tc>
          <w:tcPr>
            <w:tcW w:w="1596" w:type="dxa"/>
          </w:tcPr>
          <w:p>
            <w:pPr>
              <w:pStyle w:val="Compact"/>
              <w:spacing w:after="40"/>
              <w:jc w:val="left"/>
            </w:pPr>
            <w:r>
              <w:rPr>
                <w:sz w:val="18"/>
              </w:rPr>
              <w:t xml:space="preserve">Platform</w:t>
            </w:r>
          </w:p>
        </w:tc>
        <w:tc>
          <w:tcPr>
            <w:tcW w:w="2343" w:type="dxa"/>
          </w:tcPr>
          <w:p>
            <w:pPr>
              <w:pStyle w:val="Compact"/>
              <w:spacing w:after="40"/>
              <w:jc w:val="left"/>
            </w:pPr>
            <w:r>
              <w:rPr>
                <w:sz w:val="18"/>
              </w:rPr>
              <w:t xml:space="preserve">RE notified within 1 hour</w:t>
            </w:r>
          </w:p>
        </w:tc>
        <w:tc>
          <w:tcPr>
            <w:tcW w:w="3195" w:type="dxa"/>
          </w:tcPr>
          <w:p>
            <w:pPr>
              <w:pStyle w:val="Compact"/>
              <w:spacing w:after="40"/>
              <w:jc w:val="left"/>
            </w:pPr>
            <w:r>
              <w:rPr>
                <w:sz w:val="18"/>
              </w:rPr>
              <w:t xml:space="preserve">Floor;</w:t>
            </w:r>
            <w:r>
              <w:rPr>
                <w:sz w:val="18"/>
              </w:rPr>
              <w:t xml:space="preserve"> </w:t>
            </w:r>
            <w:r>
              <w:rPr>
                <w:sz w:val="18"/>
              </w:rPr>
              <w:t xml:space="preserve">“</w:t>
            </w:r>
            <w:r>
              <w:rPr>
                <w:sz w:val="18"/>
              </w:rPr>
              <w:t xml:space="preserve">notice barred</w:t>
            </w:r>
            <w:r>
              <w:rPr>
                <w:sz w:val="18"/>
              </w:rPr>
              <w:t xml:space="preserve">”</w:t>
            </w:r>
            <w:r>
              <w:rPr>
                <w:sz w:val="18"/>
              </w:rPr>
              <w:t xml:space="preserve"> </w:t>
            </w:r>
            <w:r>
              <w:rPr>
                <w:sz w:val="18"/>
              </w:rPr>
              <w:t xml:space="preserve">only with counsel’s reference</w:t>
            </w:r>
          </w:p>
        </w:tc>
      </w:tr>
    </w:tbl>
    <w:bookmarkEnd w:id="389"/>
    <w:bookmarkStart w:id="390" w:name="menu-and-screens-17"/>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41"/>
        <w:gridCol w:w="4666"/>
        <w:gridCol w:w="2231"/>
      </w:tblGrid>
      <w:tr>
        <w:trPr>
          <w:tblHeader w:val="true"/>
          <w:tblHeader w:val="true"/>
        </w:trPr>
        <w:tc>
          <w:tcPr>
            <w:tcW w:w="2741" w:type="dxa"/>
            <w:shd w:val="clear" w:color="auto" w:fill="1F3A5F"/>
          </w:tcPr>
          <w:p>
            <w:pPr>
              <w:pStyle w:val="Compact"/>
              <w:spacing w:after="40"/>
              <w:jc w:val="left"/>
            </w:pPr>
            <w:r>
              <w:rPr>
                <w:b/>
                <w:color w:val="FFFFFF"/>
                <w:sz w:val="18"/>
              </w:rPr>
              <w:t xml:space="preserve">Channel and path</w:t>
            </w:r>
          </w:p>
        </w:tc>
        <w:tc>
          <w:tcPr>
            <w:tcW w:w="4666" w:type="dxa"/>
            <w:shd w:val="clear" w:color="auto" w:fill="1F3A5F"/>
          </w:tcPr>
          <w:p>
            <w:pPr>
              <w:pStyle w:val="Compact"/>
              <w:spacing w:after="40"/>
              <w:jc w:val="left"/>
            </w:pPr>
            <w:r>
              <w:rPr>
                <w:b/>
                <w:color w:val="FFFFFF"/>
                <w:sz w:val="18"/>
              </w:rPr>
              <w:t xml:space="preserve">Main screens and key actions</w:t>
            </w:r>
          </w:p>
        </w:tc>
        <w:tc>
          <w:tcPr>
            <w:tcW w:w="2231" w:type="dxa"/>
            <w:shd w:val="clear" w:color="auto" w:fill="1F3A5F"/>
          </w:tcPr>
          <w:p>
            <w:pPr>
              <w:pStyle w:val="Compact"/>
              <w:spacing w:after="40"/>
              <w:jc w:val="left"/>
            </w:pPr>
            <w:r>
              <w:rPr>
                <w:b/>
                <w:color w:val="FFFFFF"/>
                <w:sz w:val="18"/>
              </w:rPr>
              <w:t xml:space="preserve">Roles</w:t>
            </w:r>
          </w:p>
        </w:tc>
      </w:tr>
      <w:tr>
        <w:tc>
          <w:tcPr>
            <w:tcW w:w="2741" w:type="dxa"/>
          </w:tcPr>
          <w:p>
            <w:pPr>
              <w:pStyle w:val="Compact"/>
              <w:spacing w:after="40"/>
              <w:jc w:val="left"/>
            </w:pPr>
            <w:r>
              <w:rPr>
                <w:sz w:val="18"/>
              </w:rPr>
              <w:t xml:space="preserve">Lender portal (D):</w:t>
            </w:r>
            <w:r>
              <w:rPr>
                <w:sz w:val="18"/>
              </w:rPr>
              <w:t xml:space="preserve"> </w:t>
            </w:r>
            <w:r>
              <w:rPr>
                <w:rStyle w:val="VerbatimChar"/>
                <w:sz w:val="18"/>
              </w:rPr>
              <w:t xml:space="preserve">Audit access › Requests</w:t>
            </w:r>
          </w:p>
        </w:tc>
        <w:tc>
          <w:tcPr>
            <w:tcW w:w="4666" w:type="dxa"/>
          </w:tcPr>
          <w:p>
            <w:pPr>
              <w:pStyle w:val="Compact"/>
              <w:spacing w:after="40"/>
              <w:jc w:val="left"/>
            </w:pPr>
            <w:r>
              <w:rPr>
                <w:sz w:val="18"/>
              </w:rPr>
              <w:t xml:space="preserve">New request wizard (grantee type, basis and document, scope from the dataset catalogue, PII and export levels, duration); approval queue for maker and checker; scope diff</w:t>
            </w:r>
          </w:p>
        </w:tc>
        <w:tc>
          <w:tcPr>
            <w:tcW w:w="2231" w:type="dxa"/>
          </w:tcPr>
          <w:p>
            <w:pPr>
              <w:pStyle w:val="Compact"/>
              <w:spacing w:after="40"/>
              <w:jc w:val="left"/>
            </w:pPr>
            <w:r>
              <w:rPr>
                <w:sz w:val="18"/>
              </w:rPr>
              <w:t xml:space="preserve">RE CCO (maker), CISO or MD delegate (checker)</w:t>
            </w:r>
          </w:p>
        </w:tc>
      </w:tr>
      <w:tr>
        <w:tc>
          <w:tcPr>
            <w:tcW w:w="2741" w:type="dxa"/>
          </w:tcPr>
          <w:p>
            <w:pPr>
              <w:pStyle w:val="Compact"/>
              <w:spacing w:after="40"/>
              <w:jc w:val="left"/>
            </w:pPr>
            <w:r>
              <w:rPr>
                <w:sz w:val="18"/>
              </w:rPr>
              <w:t xml:space="preserve">D:</w:t>
            </w:r>
            <w:r>
              <w:rPr>
                <w:sz w:val="18"/>
              </w:rPr>
              <w:t xml:space="preserve"> </w:t>
            </w:r>
            <w:r>
              <w:rPr>
                <w:rStyle w:val="VerbatimChar"/>
                <w:sz w:val="18"/>
              </w:rPr>
              <w:t xml:space="preserve">Audit access › Active grants</w:t>
            </w:r>
          </w:p>
        </w:tc>
        <w:tc>
          <w:tcPr>
            <w:tcW w:w="4666" w:type="dxa"/>
          </w:tcPr>
          <w:p>
            <w:pPr>
              <w:pStyle w:val="Compact"/>
              <w:spacing w:after="40"/>
              <w:jc w:val="left"/>
            </w:pPr>
            <w:r>
              <w:rPr>
                <w:sz w:val="18"/>
              </w:rPr>
              <w:t xml:space="preserve">Grants with countdown, users, last activity; extend (within the 90-day cap) or revoke</w:t>
            </w:r>
          </w:p>
        </w:tc>
        <w:tc>
          <w:tcPr>
            <w:tcW w:w="2231" w:type="dxa"/>
          </w:tcPr>
          <w:p>
            <w:pPr>
              <w:pStyle w:val="Compact"/>
              <w:spacing w:after="40"/>
              <w:jc w:val="left"/>
            </w:pPr>
            <w:r>
              <w:rPr>
                <w:sz w:val="18"/>
              </w:rPr>
              <w:t xml:space="preserve">RE CCO</w:t>
            </w:r>
          </w:p>
        </w:tc>
      </w:tr>
      <w:tr>
        <w:tc>
          <w:tcPr>
            <w:tcW w:w="2741" w:type="dxa"/>
          </w:tcPr>
          <w:p>
            <w:pPr>
              <w:pStyle w:val="Compact"/>
              <w:spacing w:after="40"/>
              <w:jc w:val="left"/>
            </w:pPr>
            <w:r>
              <w:rPr>
                <w:sz w:val="18"/>
              </w:rPr>
              <w:t xml:space="preserve">D:</w:t>
            </w:r>
            <w:r>
              <w:rPr>
                <w:sz w:val="18"/>
              </w:rPr>
              <w:t xml:space="preserve"> </w:t>
            </w:r>
            <w:r>
              <w:rPr>
                <w:rStyle w:val="VerbatimChar"/>
                <w:sz w:val="18"/>
              </w:rPr>
              <w:t xml:space="preserve">Audit access › Activity</w:t>
            </w:r>
          </w:p>
        </w:tc>
        <w:tc>
          <w:tcPr>
            <w:tcW w:w="4666" w:type="dxa"/>
          </w:tcPr>
          <w:p>
            <w:pPr>
              <w:pStyle w:val="Compact"/>
              <w:spacing w:after="40"/>
              <w:jc w:val="left"/>
            </w:pPr>
            <w:r>
              <w:rPr>
                <w:sz w:val="18"/>
              </w:rPr>
              <w:t xml:space="preserve">Daily reports, unmask log with reasons, exports with hashes; filters by grant, user and date; CSV export</w:t>
            </w:r>
          </w:p>
        </w:tc>
        <w:tc>
          <w:tcPr>
            <w:tcW w:w="2231" w:type="dxa"/>
          </w:tcPr>
          <w:p>
            <w:pPr>
              <w:pStyle w:val="Compact"/>
              <w:spacing w:after="40"/>
              <w:jc w:val="left"/>
            </w:pPr>
            <w:r>
              <w:rPr>
                <w:sz w:val="18"/>
              </w:rPr>
              <w:t xml:space="preserve">RE CCO, CISO</w:t>
            </w:r>
          </w:p>
        </w:tc>
      </w:tr>
      <w:tr>
        <w:tc>
          <w:tcPr>
            <w:tcW w:w="2741" w:type="dxa"/>
          </w:tcPr>
          <w:p>
            <w:pPr>
              <w:pStyle w:val="Compact"/>
              <w:spacing w:after="40"/>
              <w:jc w:val="left"/>
            </w:pPr>
            <w:r>
              <w:rPr>
                <w:sz w:val="18"/>
              </w:rPr>
              <w:t xml:space="preserve">Auditor and supervisor workspace (G):</w:t>
            </w:r>
            <w:r>
              <w:rPr>
                <w:sz w:val="18"/>
              </w:rPr>
              <w:t xml:space="preserve"> </w:t>
            </w:r>
            <w:r>
              <w:rPr>
                <w:rStyle w:val="VerbatimChar"/>
                <w:sz w:val="18"/>
              </w:rPr>
              <w:t xml:space="preserve">Datasets</w:t>
            </w:r>
            <w:r>
              <w:rPr>
                <w:sz w:val="18"/>
              </w:rPr>
              <w:t xml:space="preserve">,</w:t>
            </w:r>
            <w:r>
              <w:rPr>
                <w:sz w:val="18"/>
              </w:rPr>
              <w:t xml:space="preserve"> </w:t>
            </w:r>
            <w:r>
              <w:rPr>
                <w:rStyle w:val="VerbatimChar"/>
                <w:sz w:val="18"/>
              </w:rPr>
              <w:t xml:space="preserve">Query</w:t>
            </w:r>
            <w:r>
              <w:rPr>
                <w:sz w:val="18"/>
              </w:rPr>
              <w:t xml:space="preserve">,</w:t>
            </w:r>
            <w:r>
              <w:rPr>
                <w:sz w:val="18"/>
              </w:rPr>
              <w:t xml:space="preserve"> </w:t>
            </w:r>
            <w:r>
              <w:rPr>
                <w:rStyle w:val="VerbatimChar"/>
                <w:sz w:val="18"/>
              </w:rPr>
              <w:t xml:space="preserve">Exports</w:t>
            </w:r>
            <w:r>
              <w:rPr>
                <w:sz w:val="18"/>
              </w:rPr>
              <w:t xml:space="preserve">,</w:t>
            </w:r>
            <w:r>
              <w:rPr>
                <w:sz w:val="18"/>
              </w:rPr>
              <w:t xml:space="preserve"> </w:t>
            </w:r>
            <w:r>
              <w:rPr>
                <w:rStyle w:val="VerbatimChar"/>
                <w:sz w:val="18"/>
              </w:rPr>
              <w:t xml:space="preserve">Help</w:t>
            </w:r>
          </w:p>
        </w:tc>
        <w:tc>
          <w:tcPr>
            <w:tcW w:w="4666" w:type="dxa"/>
          </w:tcPr>
          <w:p>
            <w:pPr>
              <w:pStyle w:val="Compact"/>
              <w:spacing w:after="40"/>
              <w:jc w:val="left"/>
            </w:pPr>
            <w:r>
              <w:rPr>
                <w:sz w:val="18"/>
              </w:rPr>
              <w:t xml:space="preserve">Scope banner and countdown on every screen; dataset browser limited to scope; read-only query builder; per-record unmask with typed reason; watermarked export within the cap; no write action exists</w:t>
            </w:r>
          </w:p>
        </w:tc>
        <w:tc>
          <w:tcPr>
            <w:tcW w:w="2231" w:type="dxa"/>
          </w:tcPr>
          <w:p>
            <w:pPr>
              <w:pStyle w:val="Compact"/>
              <w:spacing w:after="40"/>
              <w:jc w:val="left"/>
            </w:pPr>
            <w:r>
              <w:rPr>
                <w:sz w:val="18"/>
              </w:rPr>
              <w:t xml:space="preserve">Grantees</w:t>
            </w:r>
          </w:p>
        </w:tc>
      </w:tr>
      <w:tr>
        <w:tc>
          <w:tcPr>
            <w:tcW w:w="2741" w:type="dxa"/>
          </w:tcPr>
          <w:p>
            <w:pPr>
              <w:pStyle w:val="Compact"/>
              <w:spacing w:after="40"/>
              <w:jc w:val="left"/>
            </w:pPr>
            <w:r>
              <w:rPr>
                <w:sz w:val="18"/>
              </w:rPr>
              <w:t xml:space="preserve">Operations portal (C):</w:t>
            </w:r>
            <w:r>
              <w:rPr>
                <w:sz w:val="18"/>
              </w:rPr>
              <w:t xml:space="preserve"> </w:t>
            </w:r>
            <w:r>
              <w:rPr>
                <w:rStyle w:val="VerbatimChar"/>
                <w:sz w:val="18"/>
              </w:rPr>
              <w:t xml:space="preserve">Compliance › External access</w:t>
            </w:r>
          </w:p>
        </w:tc>
        <w:tc>
          <w:tcPr>
            <w:tcW w:w="4666" w:type="dxa"/>
          </w:tcPr>
          <w:p>
            <w:pPr>
              <w:pStyle w:val="Compact"/>
              <w:spacing w:after="40"/>
              <w:jc w:val="left"/>
            </w:pPr>
            <w:r>
              <w:rPr>
                <w:sz w:val="18"/>
              </w:rPr>
              <w:t xml:space="preserve">Provisioning queue, direct RBI requests with the 1-hour RE-notice timer, on-site inspection log</w:t>
            </w:r>
          </w:p>
        </w:tc>
        <w:tc>
          <w:tcPr>
            <w:tcW w:w="2231" w:type="dxa"/>
          </w:tcPr>
          <w:p>
            <w:pPr>
              <w:pStyle w:val="Compact"/>
              <w:spacing w:after="40"/>
              <w:jc w:val="left"/>
            </w:pPr>
            <w:r>
              <w:rPr>
                <w:sz w:val="18"/>
              </w:rPr>
              <w:t xml:space="preserve">Udofin compliance</w:t>
            </w:r>
          </w:p>
        </w:tc>
      </w:tr>
    </w:tbl>
    <w:bookmarkEnd w:id="390"/>
    <w:bookmarkStart w:id="391" w:name="acceptance-tests-26"/>
    <w:p>
      <w:pPr>
        <w:pStyle w:val="Heading3"/>
      </w:pPr>
      <w:r>
        <w:t xml:space="preserve">Acceptance tests</w:t>
      </w:r>
    </w:p>
    <w:p>
      <w:pPr>
        <w:numPr>
          <w:ilvl w:val="0"/>
          <w:numId w:val="1236"/>
        </w:numPr>
        <w:pStyle w:val="Compact"/>
      </w:pPr>
      <w:r>
        <w:t xml:space="preserve">A grant cannot be provisioned without a recorded basis, RE approval and an expiry; it expires automatically at the end time; an extension that would end more than 90 days after</w:t>
      </w:r>
      <w:r>
        <w:t xml:space="preserve"> </w:t>
      </w:r>
      <w:r>
        <w:rPr>
          <w:rStyle w:val="VerbatimChar"/>
        </w:rPr>
        <w:t xml:space="preserve">valid_from</w:t>
      </w:r>
      <w:r>
        <w:t xml:space="preserve"> </w:t>
      </w:r>
      <w:r>
        <w:t xml:space="preserve">is refused.</w:t>
      </w:r>
    </w:p>
    <w:p>
      <w:pPr>
        <w:numPr>
          <w:ilvl w:val="0"/>
          <w:numId w:val="1236"/>
        </w:numPr>
        <w:pStyle w:val="Compact"/>
      </w:pPr>
      <w:r>
        <w:t xml:space="preserve">A grantee cannot read another RE’s data, write any record or call any non-</w:t>
      </w:r>
      <w:r>
        <w:rPr>
          <w:rStyle w:val="VerbatimChar"/>
        </w:rPr>
        <w:t xml:space="preserve">read</w:t>
      </w:r>
      <w:r>
        <w:t xml:space="preserve"> </w:t>
      </w:r>
      <w:r>
        <w:t xml:space="preserve">API (penetration test cases).</w:t>
      </w:r>
    </w:p>
    <w:p>
      <w:pPr>
        <w:numPr>
          <w:ilvl w:val="0"/>
          <w:numId w:val="1236"/>
        </w:numPr>
        <w:pStyle w:val="Compact"/>
      </w:pPr>
      <w:r>
        <w:t xml:space="preserve">Masked fields stay masked unless a per-record unmask with reason is logged; the RE sees each unmask in its daily report.</w:t>
      </w:r>
    </w:p>
    <w:p>
      <w:pPr>
        <w:numPr>
          <w:ilvl w:val="0"/>
          <w:numId w:val="1236"/>
        </w:numPr>
        <w:pStyle w:val="Compact"/>
      </w:pPr>
      <w:r>
        <w:t xml:space="preserve">An export carries the watermark and hash and is refused above the cap.</w:t>
      </w:r>
    </w:p>
    <w:p>
      <w:pPr>
        <w:numPr>
          <w:ilvl w:val="0"/>
          <w:numId w:val="1236"/>
        </w:numPr>
        <w:pStyle w:val="Compact"/>
      </w:pPr>
      <w:r>
        <w:t xml:space="preserve">A direct RBI request creates an RE notification within 1 hour unless the</w:t>
      </w:r>
      <w:r>
        <w:t xml:space="preserve"> </w:t>
      </w:r>
      <w:r>
        <w:t xml:space="preserve">“</w:t>
      </w:r>
      <w:r>
        <w:t xml:space="preserve">notice barred</w:t>
      </w:r>
      <w:r>
        <w:t xml:space="preserve">”</w:t>
      </w:r>
      <w:r>
        <w:t xml:space="preserve"> </w:t>
      </w:r>
      <w:r>
        <w:t xml:space="preserve">flag is set with counsel’s reference.</w:t>
      </w:r>
    </w:p>
    <w:p>
      <w:pPr>
        <w:numPr>
          <w:ilvl w:val="0"/>
          <w:numId w:val="1236"/>
        </w:numPr>
        <w:pStyle w:val="Compact"/>
      </w:pPr>
      <w:r>
        <w:t xml:space="preserve">Revocation ends active sessions within 60 seconds and emits</w:t>
      </w:r>
      <w:r>
        <w:t xml:space="preserve"> </w:t>
      </w:r>
      <w:r>
        <w:rPr>
          <w:rStyle w:val="VerbatimChar"/>
        </w:rPr>
        <w:t xml:space="preserve">ExternalAccessRevoked</w:t>
      </w:r>
      <w:r>
        <w:t xml:space="preserve">.</w:t>
      </w:r>
    </w:p>
    <w:p>
      <w:r>
        <w:pict>
          <v:rect style="width:0;height:1.5pt" o:hralign="center" o:hrstd="t" o:hr="t"/>
        </w:pict>
      </w:r>
    </w:p>
    <w:bookmarkEnd w:id="391"/>
    <w:bookmarkEnd w:id="392"/>
    <w:bookmarkStart w:id="401" w:name="X589229a5545ee393a07d69dd3b0722c884f2e38"/>
    <w:p>
      <w:pPr>
        <w:pStyle w:val="Heading2"/>
      </w:pPr>
      <w:r>
        <w:t xml:space="preserve">RA3. Data export, archives and RE-controlled storage</w:t>
      </w:r>
    </w:p>
    <w:bookmarkStart w:id="393" w:name="Xe6aa8409fec5d7f9c9bbb4d585b1a79039c3571"/>
    <w:p>
      <w:pPr>
        <w:pStyle w:val="Heading3"/>
      </w:pPr>
      <w:r>
        <w:t xml:space="preserve">RA3.1 Data classes and who may export them</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34"/>
        <w:gridCol w:w="1809"/>
        <w:gridCol w:w="1732"/>
        <w:gridCol w:w="2863"/>
      </w:tblGrid>
      <w:tr>
        <w:trPr>
          <w:tblHeader w:val="true"/>
          <w:tblHeader w:val="true"/>
        </w:trPr>
        <w:tc>
          <w:tcPr>
            <w:tcW w:w="3234" w:type="dxa"/>
            <w:shd w:val="clear" w:color="auto" w:fill="1F3A5F"/>
          </w:tcPr>
          <w:p>
            <w:pPr>
              <w:pStyle w:val="Compact"/>
              <w:spacing w:after="40"/>
              <w:jc w:val="left"/>
            </w:pPr>
            <w:r>
              <w:rPr>
                <w:b/>
                <w:color w:val="FFFFFF"/>
                <w:sz w:val="18"/>
              </w:rPr>
              <w:t xml:space="preserve">Class</w:t>
            </w:r>
          </w:p>
        </w:tc>
        <w:tc>
          <w:tcPr>
            <w:tcW w:w="1809" w:type="dxa"/>
            <w:shd w:val="clear" w:color="auto" w:fill="1F3A5F"/>
          </w:tcPr>
          <w:p>
            <w:pPr>
              <w:pStyle w:val="Compact"/>
              <w:spacing w:after="40"/>
              <w:jc w:val="left"/>
            </w:pPr>
            <w:r>
              <w:rPr>
                <w:b/>
                <w:color w:val="FFFFFF"/>
                <w:sz w:val="18"/>
              </w:rPr>
              <w:t xml:space="preserve">Holder role</w:t>
            </w:r>
          </w:p>
        </w:tc>
        <w:tc>
          <w:tcPr>
            <w:tcW w:w="1732" w:type="dxa"/>
            <w:shd w:val="clear" w:color="auto" w:fill="1F3A5F"/>
          </w:tcPr>
          <w:p>
            <w:pPr>
              <w:pStyle w:val="Compact"/>
              <w:spacing w:after="40"/>
              <w:jc w:val="left"/>
            </w:pPr>
            <w:r>
              <w:rPr>
                <w:b/>
                <w:color w:val="FFFFFF"/>
                <w:sz w:val="18"/>
              </w:rPr>
              <w:t xml:space="preserve">Exportable to</w:t>
            </w:r>
          </w:p>
        </w:tc>
        <w:tc>
          <w:tcPr>
            <w:tcW w:w="2863" w:type="dxa"/>
            <w:shd w:val="clear" w:color="auto" w:fill="1F3A5F"/>
          </w:tcPr>
          <w:p>
            <w:pPr>
              <w:pStyle w:val="Compact"/>
              <w:spacing w:after="40"/>
              <w:jc w:val="left"/>
            </w:pPr>
            <w:r>
              <w:rPr>
                <w:b/>
                <w:color w:val="FFFFFF"/>
                <w:sz w:val="18"/>
              </w:rPr>
              <w:t xml:space="preserve">Notes</w:t>
            </w:r>
          </w:p>
        </w:tc>
      </w:tr>
      <w:tr>
        <w:tc>
          <w:tcPr>
            <w:tcW w:w="3234" w:type="dxa"/>
          </w:tcPr>
          <w:p>
            <w:pPr>
              <w:pStyle w:val="Compact"/>
              <w:spacing w:after="40"/>
              <w:jc w:val="left"/>
            </w:pPr>
            <w:r>
              <w:rPr>
                <w:sz w:val="18"/>
              </w:rPr>
              <w:t xml:space="preserve">RE-scoped LSP data (applications, consents, KFS events, documents, grievances, communications, agent activity, DLG)</w:t>
            </w:r>
          </w:p>
        </w:tc>
        <w:tc>
          <w:tcPr>
            <w:tcW w:w="1809" w:type="dxa"/>
          </w:tcPr>
          <w:p>
            <w:pPr>
              <w:pStyle w:val="Compact"/>
              <w:spacing w:after="40"/>
              <w:jc w:val="left"/>
            </w:pPr>
            <w:r>
              <w:rPr>
                <w:sz w:val="18"/>
              </w:rPr>
              <w:t xml:space="preserve">Udofin as the RE’s LSP and processor</w:t>
            </w:r>
          </w:p>
        </w:tc>
        <w:tc>
          <w:tcPr>
            <w:tcW w:w="1732" w:type="dxa"/>
          </w:tcPr>
          <w:p>
            <w:pPr>
              <w:pStyle w:val="Compact"/>
              <w:spacing w:after="40"/>
              <w:jc w:val="left"/>
            </w:pPr>
            <w:r>
              <w:rPr>
                <w:sz w:val="18"/>
              </w:rPr>
              <w:t xml:space="preserve">The RE only</w:t>
            </w:r>
          </w:p>
        </w:tc>
        <w:tc>
          <w:tcPr>
            <w:tcW w:w="2863" w:type="dxa"/>
          </w:tcPr>
          <w:p>
            <w:pPr>
              <w:pStyle w:val="Compact"/>
              <w:spacing w:after="40"/>
              <w:jc w:val="left"/>
            </w:pPr>
            <w:r>
              <w:rPr>
                <w:sz w:val="18"/>
              </w:rPr>
              <w:t xml:space="preserve">OUT paras 34(xii), 42, 87, 97(xvi); CF para 14(1)</w:t>
            </w:r>
          </w:p>
        </w:tc>
      </w:tr>
      <w:tr>
        <w:tc>
          <w:tcPr>
            <w:tcW w:w="3234" w:type="dxa"/>
          </w:tcPr>
          <w:p>
            <w:pPr>
              <w:pStyle w:val="Compact"/>
              <w:spacing w:after="40"/>
              <w:jc w:val="left"/>
            </w:pPr>
            <w:r>
              <w:rPr>
                <w:sz w:val="18"/>
              </w:rPr>
              <w:t xml:space="preserve">Non-RE lender data (Part 7E member and group lending for societies)</w:t>
            </w:r>
          </w:p>
        </w:tc>
        <w:tc>
          <w:tcPr>
            <w:tcW w:w="1809" w:type="dxa"/>
          </w:tcPr>
          <w:p>
            <w:pPr>
              <w:pStyle w:val="Compact"/>
              <w:spacing w:after="40"/>
              <w:jc w:val="left"/>
            </w:pPr>
            <w:r>
              <w:rPr>
                <w:sz w:val="18"/>
              </w:rPr>
              <w:t xml:space="preserve">Udofin as processor</w:t>
            </w:r>
          </w:p>
        </w:tc>
        <w:tc>
          <w:tcPr>
            <w:tcW w:w="1732" w:type="dxa"/>
          </w:tcPr>
          <w:p>
            <w:pPr>
              <w:pStyle w:val="Compact"/>
              <w:spacing w:after="40"/>
              <w:jc w:val="left"/>
            </w:pPr>
            <w:r>
              <w:rPr>
                <w:sz w:val="18"/>
              </w:rPr>
              <w:t xml:space="preserve">The society only</w:t>
            </w:r>
          </w:p>
        </w:tc>
        <w:tc>
          <w:tcPr>
            <w:tcW w:w="2863" w:type="dxa"/>
          </w:tcPr>
          <w:p>
            <w:pPr>
              <w:pStyle w:val="Compact"/>
              <w:spacing w:after="40"/>
              <w:jc w:val="left"/>
            </w:pPr>
            <w:r>
              <w:rPr>
                <w:sz w:val="18"/>
              </w:rPr>
              <w:t xml:space="preserve">Part 7B UP4 DPA</w:t>
            </w:r>
          </w:p>
        </w:tc>
      </w:tr>
      <w:tr>
        <w:tc>
          <w:tcPr>
            <w:tcW w:w="3234" w:type="dxa"/>
          </w:tcPr>
          <w:p>
            <w:pPr>
              <w:pStyle w:val="Compact"/>
              <w:spacing w:after="40"/>
              <w:jc w:val="left"/>
            </w:pPr>
            <w:r>
              <w:rPr>
                <w:sz w:val="18"/>
              </w:rPr>
              <w:t xml:space="preserve">Borrower self-service data</w:t>
            </w:r>
          </w:p>
        </w:tc>
        <w:tc>
          <w:tcPr>
            <w:tcW w:w="1809" w:type="dxa"/>
          </w:tcPr>
          <w:p>
            <w:pPr>
              <w:pStyle w:val="Compact"/>
              <w:spacing w:after="40"/>
              <w:jc w:val="left"/>
            </w:pPr>
            <w:r>
              <w:rPr>
                <w:sz w:val="18"/>
              </w:rPr>
              <w:t xml:space="preserve">Borrower</w:t>
            </w:r>
          </w:p>
        </w:tc>
        <w:tc>
          <w:tcPr>
            <w:tcW w:w="1732" w:type="dxa"/>
          </w:tcPr>
          <w:p>
            <w:pPr>
              <w:pStyle w:val="Compact"/>
              <w:spacing w:after="40"/>
              <w:jc w:val="left"/>
            </w:pPr>
            <w:r>
              <w:rPr>
                <w:sz w:val="18"/>
              </w:rPr>
              <w:t xml:space="preserve">The borrower (Part 7C UB1)</w:t>
            </w:r>
          </w:p>
        </w:tc>
        <w:tc>
          <w:tcPr>
            <w:tcW w:w="2863" w:type="dxa"/>
          </w:tcPr>
          <w:p>
            <w:pPr>
              <w:pStyle w:val="Compact"/>
              <w:spacing w:after="40"/>
              <w:jc w:val="left"/>
            </w:pPr>
            <w:r>
              <w:rPr>
                <w:sz w:val="18"/>
              </w:rPr>
              <w:t xml:space="preserve">DPDP s.11</w:t>
            </w:r>
          </w:p>
        </w:tc>
      </w:tr>
      <w:tr>
        <w:tc>
          <w:tcPr>
            <w:tcW w:w="3234" w:type="dxa"/>
          </w:tcPr>
          <w:p>
            <w:pPr>
              <w:pStyle w:val="Compact"/>
              <w:spacing w:after="40"/>
              <w:jc w:val="left"/>
            </w:pPr>
            <w:r>
              <w:rPr>
                <w:sz w:val="18"/>
              </w:rPr>
              <w:t xml:space="preserve">Wellness add-on data (Part 7D) and insurance data (Part 7F)</w:t>
            </w:r>
          </w:p>
        </w:tc>
        <w:tc>
          <w:tcPr>
            <w:tcW w:w="1809" w:type="dxa"/>
          </w:tcPr>
          <w:p>
            <w:pPr>
              <w:pStyle w:val="Compact"/>
              <w:spacing w:after="40"/>
              <w:jc w:val="left"/>
            </w:pPr>
            <w:r>
              <w:rPr>
                <w:sz w:val="18"/>
              </w:rPr>
              <w:t xml:space="preserve">Udofin as fiduciary in its own right</w:t>
            </w:r>
          </w:p>
        </w:tc>
        <w:tc>
          <w:tcPr>
            <w:tcW w:w="1732" w:type="dxa"/>
          </w:tcPr>
          <w:p>
            <w:pPr>
              <w:pStyle w:val="Compact"/>
              <w:spacing w:after="40"/>
              <w:jc w:val="left"/>
            </w:pPr>
            <w:r>
              <w:rPr>
                <w:sz w:val="18"/>
              </w:rPr>
              <w:t xml:space="preserve">The consumer only</w:t>
            </w:r>
          </w:p>
        </w:tc>
        <w:tc>
          <w:tcPr>
            <w:tcW w:w="2863" w:type="dxa"/>
          </w:tcPr>
          <w:p>
            <w:pPr>
              <w:pStyle w:val="Compact"/>
              <w:spacing w:after="40"/>
              <w:jc w:val="left"/>
            </w:pPr>
            <w:r>
              <w:rPr>
                <w:sz w:val="18"/>
              </w:rPr>
              <w:t xml:space="preserve">Never in any RE archive</w:t>
            </w:r>
          </w:p>
        </w:tc>
      </w:tr>
      <w:tr>
        <w:tc>
          <w:tcPr>
            <w:tcW w:w="3234" w:type="dxa"/>
          </w:tcPr>
          <w:p>
            <w:pPr>
              <w:pStyle w:val="Compact"/>
              <w:spacing w:after="40"/>
              <w:jc w:val="left"/>
            </w:pPr>
            <w:r>
              <w:rPr>
                <w:sz w:val="18"/>
              </w:rPr>
              <w:t xml:space="preserve">Udofin’s own business records (books, contracts, HR)</w:t>
            </w:r>
          </w:p>
        </w:tc>
        <w:tc>
          <w:tcPr>
            <w:tcW w:w="1809" w:type="dxa"/>
          </w:tcPr>
          <w:p>
            <w:pPr>
              <w:pStyle w:val="Compact"/>
              <w:spacing w:after="40"/>
              <w:jc w:val="left"/>
            </w:pPr>
            <w:r>
              <w:rPr>
                <w:sz w:val="18"/>
              </w:rPr>
              <w:t xml:space="preserve">Udofin</w:t>
            </w:r>
          </w:p>
        </w:tc>
        <w:tc>
          <w:tcPr>
            <w:tcW w:w="1732" w:type="dxa"/>
          </w:tcPr>
          <w:p>
            <w:pPr>
              <w:pStyle w:val="Compact"/>
              <w:spacing w:after="40"/>
              <w:jc w:val="left"/>
            </w:pPr>
            <w:r>
              <w:rPr>
                <w:sz w:val="18"/>
              </w:rPr>
              <w:t xml:space="preserve">Udofin’s auditors and authorities</w:t>
            </w:r>
          </w:p>
        </w:tc>
        <w:tc>
          <w:tcPr>
            <w:tcW w:w="2863" w:type="dxa"/>
          </w:tcPr>
          <w:p>
            <w:pPr>
              <w:pStyle w:val="Compact"/>
              <w:spacing w:after="40"/>
              <w:jc w:val="left"/>
            </w:pPr>
            <w:r>
              <w:rPr>
                <w:sz w:val="18"/>
              </w:rPr>
              <w:t xml:space="preserve">Companies Act s.128; Accounts Rules r.3(5) daily India backup of electronic books [VERIFY]</w:t>
            </w:r>
          </w:p>
        </w:tc>
      </w:tr>
    </w:tbl>
    <w:bookmarkEnd w:id="393"/>
    <w:bookmarkStart w:id="394" w:name="ra3.2-archive-standard"/>
    <w:p>
      <w:pPr>
        <w:pStyle w:val="Heading3"/>
      </w:pPr>
      <w:r>
        <w:t xml:space="preserve">RA3.2 Archive standard</w:t>
      </w:r>
    </w:p>
    <w:p>
      <w:pPr>
        <w:pStyle w:val="FirstParagraph"/>
      </w:pPr>
      <w:r>
        <w:t xml:space="preserve">Udofin implements the Infrabyx archive standard (Integration Spec 12.1, folder profile</w:t>
      </w:r>
      <w:r>
        <w:t xml:space="preserve"> </w:t>
      </w:r>
      <w:r>
        <w:rPr>
          <w:rStyle w:val="VerbatimChar"/>
        </w:rPr>
        <w:t xml:space="preserve">udofin_re_v1</w:t>
      </w:r>
      <w:r>
        <w:t xml:space="preserve">; the same standard as Finbyx Part 7J DP1) without changing its structure:</w:t>
      </w:r>
    </w:p>
    <w:p>
      <w:pPr>
        <w:numPr>
          <w:ilvl w:val="0"/>
          <w:numId w:val="1237"/>
        </w:numPr>
        <w:pStyle w:val="Compact"/>
      </w:pPr>
      <w:r>
        <w:rPr>
          <w:bCs/>
          <w:b/>
        </w:rPr>
        <w:t xml:space="preserve">Root:</w:t>
      </w:r>
      <w:r>
        <w:t xml:space="preserve"> </w:t>
      </w:r>
      <w:r>
        <w:rPr>
          <w:rStyle w:val="VerbatimChar"/>
        </w:rPr>
        <w:t xml:space="preserve">[RE legal name] - Udofin Archive - [scope] - as of [YYYY-MM-DD]/</w:t>
      </w:r>
      <w:r>
        <w:t xml:space="preserve">; Windows-safe names, full path ≤ 240 characters, no personal data in any folder or file name.</w:t>
      </w:r>
    </w:p>
    <w:p>
      <w:pPr>
        <w:numPr>
          <w:ilvl w:val="0"/>
          <w:numId w:val="1237"/>
        </w:numPr>
        <w:pStyle w:val="Compact"/>
      </w:pPr>
      <w:r>
        <w:rPr>
          <w:rStyle w:val="VerbatimChar"/>
          <w:bCs/>
          <w:b/>
        </w:rPr>
        <w:t xml:space="preserve">00 Start Here/</w:t>
      </w:r>
      <w:r>
        <w:rPr>
          <w:bCs/>
          <w:b/>
        </w:rPr>
        <w:t xml:space="preserve">:</w:t>
      </w:r>
      <w:r>
        <w:t xml:space="preserve"> </w:t>
      </w:r>
      <w:r>
        <w:rPr>
          <w:rStyle w:val="VerbatimChar"/>
        </w:rPr>
        <w:t xml:space="preserve">README.pdf</w:t>
      </w:r>
      <w:r>
        <w:t xml:space="preserve">,</w:t>
      </w:r>
      <w:r>
        <w:t xml:space="preserve"> </w:t>
      </w:r>
      <w:r>
        <w:rPr>
          <w:rStyle w:val="VerbatimChar"/>
        </w:rPr>
        <w:t xml:space="preserve">README.docx</w:t>
      </w:r>
      <w:r>
        <w:t xml:space="preserve"> </w:t>
      </w:r>
      <w:r>
        <w:t xml:space="preserve">and</w:t>
      </w:r>
      <w:r>
        <w:t xml:space="preserve"> </w:t>
      </w:r>
      <w:r>
        <w:rPr>
          <w:rStyle w:val="VerbatimChar"/>
        </w:rPr>
        <w:t xml:space="preserve">README.txt</w:t>
      </w:r>
      <w:r>
        <w:t xml:space="preserve"> </w:t>
      </w:r>
      <w:r>
        <w:t xml:space="preserve">(English; Hindi optional);</w:t>
      </w:r>
      <w:r>
        <w:t xml:space="preserve"> </w:t>
      </w:r>
      <w:r>
        <w:rPr>
          <w:rStyle w:val="VerbatimChar"/>
        </w:rPr>
        <w:t xml:space="preserve">export-manifest.csv</w:t>
      </w:r>
      <w:r>
        <w:t xml:space="preserve">,</w:t>
      </w:r>
      <w:r>
        <w:t xml:space="preserve"> </w:t>
      </w:r>
      <w:r>
        <w:rPr>
          <w:rStyle w:val="VerbatimChar"/>
        </w:rPr>
        <w:t xml:space="preserve">manifest.json</w:t>
      </w:r>
      <w:r>
        <w:t xml:space="preserve"> </w:t>
      </w:r>
      <w:r>
        <w:t xml:space="preserve">and</w:t>
      </w:r>
      <w:r>
        <w:t xml:space="preserve"> </w:t>
      </w:r>
      <w:r>
        <w:rPr>
          <w:rStyle w:val="VerbatimChar"/>
        </w:rPr>
        <w:t xml:space="preserve">manifest.json.jws</w:t>
      </w:r>
      <w:r>
        <w:t xml:space="preserve"> </w:t>
      </w:r>
      <w:r>
        <w:t xml:space="preserve">(detached JWS with the RE tenant’s export-signing key, fingerprint printed in the README);</w:t>
      </w:r>
      <w:r>
        <w:t xml:space="preserve"> </w:t>
      </w:r>
      <w:r>
        <w:rPr>
          <w:rStyle w:val="VerbatimChar"/>
        </w:rPr>
        <w:t xml:space="preserve">data-dictionary.xlsx</w:t>
      </w:r>
      <w:r>
        <w:t xml:space="preserve"> </w:t>
      </w:r>
      <w:r>
        <w:t xml:space="preserve">and</w:t>
      </w:r>
      <w:r>
        <w:t xml:space="preserve"> </w:t>
      </w:r>
      <w:r>
        <w:rPr>
          <w:rStyle w:val="VerbatimChar"/>
        </w:rPr>
        <w:t xml:space="preserve">.csv</w:t>
      </w:r>
      <w:r>
        <w:t xml:space="preserve">;</w:t>
      </w:r>
      <w:r>
        <w:t xml:space="preserve"> </w:t>
      </w:r>
      <w:r>
        <w:rPr>
          <w:rStyle w:val="VerbatimChar"/>
        </w:rPr>
        <w:t xml:space="preserve">relationships.csv</w:t>
      </w:r>
      <w:r>
        <w:t xml:space="preserve"> </w:t>
      </w:r>
      <w:r>
        <w:t xml:space="preserve">and</w:t>
      </w:r>
      <w:r>
        <w:t xml:space="preserve"> </w:t>
      </w:r>
      <w:r>
        <w:rPr>
          <w:rStyle w:val="VerbatimChar"/>
        </w:rPr>
        <w:t xml:space="preserve">relationship-map.pdf</w:t>
      </w:r>
      <w:r>
        <w:t xml:space="preserve">;</w:t>
      </w:r>
      <w:r>
        <w:t xml:space="preserve"> </w:t>
      </w:r>
      <w:r>
        <w:rPr>
          <w:rStyle w:val="VerbatimChar"/>
        </w:rPr>
        <w:t xml:space="preserve">code-tables/</w:t>
      </w:r>
      <w:r>
        <w:t xml:space="preserve">;</w:t>
      </w:r>
      <w:r>
        <w:t xml:space="preserve"> </w:t>
      </w:r>
      <w:r>
        <w:rPr>
          <w:rStyle w:val="VerbatimChar"/>
        </w:rPr>
        <w:t xml:space="preserve">schemas/</w:t>
      </w:r>
      <w:r>
        <w:t xml:space="preserve"> </w:t>
      </w:r>
      <w:r>
        <w:t xml:space="preserve">(JSON Schema 2020-12);</w:t>
      </w:r>
      <w:r>
        <w:t xml:space="preserve"> </w:t>
      </w:r>
      <w:r>
        <w:rPr>
          <w:rStyle w:val="VerbatimChar"/>
        </w:rPr>
        <w:t xml:space="preserve">verify/</w:t>
      </w:r>
      <w:r>
        <w:t xml:space="preserve"> </w:t>
      </w:r>
      <w:r>
        <w:t xml:space="preserve">(open-source verifier and instructions).</w:t>
      </w:r>
    </w:p>
    <w:p>
      <w:pPr>
        <w:numPr>
          <w:ilvl w:val="0"/>
          <w:numId w:val="1237"/>
        </w:numPr>
        <w:pStyle w:val="Compact"/>
      </w:pPr>
      <w:r>
        <w:rPr>
          <w:bCs/>
          <w:b/>
        </w:rPr>
        <w:t xml:space="preserve">Datasets:</w:t>
      </w:r>
      <w:r>
        <w:t xml:space="preserve"> </w:t>
      </w:r>
      <w:r>
        <w:rPr>
          <w:rStyle w:val="VerbatimChar"/>
        </w:rPr>
        <w:t xml:space="preserve">[dataset].csv</w:t>
      </w:r>
      <w:r>
        <w:t xml:space="preserve"> </w:t>
      </w:r>
      <w:r>
        <w:t xml:space="preserve">(RFC 4180, UTF-8 with BOM, ISO 8601 dates with time zone, amounts as fixed two-decimal strings with a currency column, code plus label columns),</w:t>
      </w:r>
      <w:r>
        <w:t xml:space="preserve"> </w:t>
      </w:r>
      <w:r>
        <w:rPr>
          <w:rStyle w:val="VerbatimChar"/>
        </w:rPr>
        <w:t xml:space="preserve">[dataset].xlsx</w:t>
      </w:r>
      <w:r>
        <w:t xml:space="preserve"> </w:t>
      </w:r>
      <w:r>
        <w:t xml:space="preserve">(with a</w:t>
      </w:r>
      <w:r>
        <w:t xml:space="preserve"> </w:t>
      </w:r>
      <w:r>
        <w:t xml:space="preserve">“</w:t>
      </w:r>
      <w:r>
        <w:t xml:space="preserve">Read me</w:t>
      </w:r>
      <w:r>
        <w:t xml:space="preserve">”</w:t>
      </w:r>
      <w:r>
        <w:t xml:space="preserve"> </w:t>
      </w:r>
      <w:r>
        <w:t xml:space="preserve">sheet, typed cells, leading zeros kept) and</w:t>
      </w:r>
      <w:r>
        <w:t xml:space="preserve"> </w:t>
      </w:r>
      <w:r>
        <w:rPr>
          <w:rStyle w:val="VerbatimChar"/>
        </w:rPr>
        <w:t xml:space="preserve">[dataset].schema.json</w:t>
      </w:r>
      <w:r>
        <w:t xml:space="preserve">; optional</w:t>
      </w:r>
      <w:r>
        <w:t xml:space="preserve"> </w:t>
      </w:r>
      <w:r>
        <w:rPr>
          <w:rStyle w:val="VerbatimChar"/>
        </w:rPr>
        <w:t xml:space="preserve">[dataset].jsonl</w:t>
      </w:r>
      <w:r>
        <w:t xml:space="preserve">.</w:t>
      </w:r>
    </w:p>
    <w:p>
      <w:pPr>
        <w:numPr>
          <w:ilvl w:val="0"/>
          <w:numId w:val="1237"/>
        </w:numPr>
        <w:pStyle w:val="Compact"/>
      </w:pPr>
      <w:r>
        <w:rPr>
          <w:bCs/>
          <w:b/>
        </w:rPr>
        <w:t xml:space="preserve">Documents and reports:</w:t>
      </w:r>
      <w:r>
        <w:t xml:space="preserve"> </w:t>
      </w:r>
      <w:r>
        <w:t xml:space="preserve">originals byte-for-byte with their hashes and signature evidence; narrative renditions as PDF/A-2b plus DOCX; audit trail as</w:t>
      </w:r>
      <w:r>
        <w:t xml:space="preserve"> </w:t>
      </w:r>
      <w:r>
        <w:rPr>
          <w:rStyle w:val="VerbatimChar"/>
        </w:rPr>
        <w:t xml:space="preserve">audit-events.jsonl</w:t>
      </w:r>
      <w:r>
        <w:t xml:space="preserve"> </w:t>
      </w:r>
      <w:r>
        <w:t xml:space="preserve">per month plus an XLSX digest, verifiable offline with daily anchors.</w:t>
      </w:r>
    </w:p>
    <w:p>
      <w:pPr>
        <w:numPr>
          <w:ilvl w:val="0"/>
          <w:numId w:val="1237"/>
        </w:numPr>
        <w:pStyle w:val="Compact"/>
      </w:pPr>
      <w:r>
        <w:rPr>
          <w:bCs/>
          <w:b/>
        </w:rPr>
        <w:t xml:space="preserve">Control totals</w:t>
      </w:r>
      <w:r>
        <w:t xml:space="preserve"> </w:t>
      </w:r>
      <w:r>
        <w:t xml:space="preserve">(applications, consents, KFS events, documents and bytes, grievances, audit-event count and last anchor) are reconciled to the live system at the snapshot instant before signing; any difference fails the job.</w:t>
      </w:r>
    </w:p>
    <w:p>
      <w:pPr>
        <w:pStyle w:val="FirstParagraph"/>
      </w:pPr>
      <w:r>
        <w:rPr>
          <w:bCs/>
          <w:b/>
        </w:rPr>
        <w:t xml:space="preserve">Udofin RE-archive folders: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546"/>
        <w:gridCol w:w="6092"/>
      </w:tblGrid>
      <w:tr>
        <w:trPr>
          <w:tblHeader w:val="true"/>
          <w:tblHeader w:val="true"/>
        </w:trPr>
        <w:tc>
          <w:tcPr>
            <w:tcW w:w="3546" w:type="dxa"/>
            <w:shd w:val="clear" w:color="auto" w:fill="1F3A5F"/>
          </w:tcPr>
          <w:p>
            <w:pPr>
              <w:pStyle w:val="Compact"/>
              <w:spacing w:after="40"/>
              <w:jc w:val="left"/>
            </w:pPr>
            <w:r>
              <w:rPr>
                <w:b/>
                <w:color w:val="FFFFFF"/>
                <w:sz w:val="18"/>
              </w:rPr>
              <w:t xml:space="preserve">Folder</w:t>
            </w:r>
          </w:p>
        </w:tc>
        <w:tc>
          <w:tcPr>
            <w:tcW w:w="6092" w:type="dxa"/>
            <w:shd w:val="clear" w:color="auto" w:fill="1F3A5F"/>
          </w:tcPr>
          <w:p>
            <w:pPr>
              <w:pStyle w:val="Compact"/>
              <w:spacing w:after="40"/>
              <w:jc w:val="left"/>
            </w:pPr>
            <w:r>
              <w:rPr>
                <w:b/>
                <w:color w:val="FFFFFF"/>
                <w:sz w:val="18"/>
              </w:rPr>
              <w:t xml:space="preserve">Contents</w:t>
            </w:r>
          </w:p>
        </w:tc>
      </w:tr>
      <w:tr>
        <w:tc>
          <w:tcPr>
            <w:tcW w:w="3546" w:type="dxa"/>
          </w:tcPr>
          <w:p>
            <w:pPr>
              <w:pStyle w:val="Compact"/>
              <w:spacing w:after="40"/>
              <w:jc w:val="left"/>
            </w:pPr>
            <w:r>
              <w:rPr>
                <w:sz w:val="18"/>
              </w:rPr>
              <w:t xml:space="preserve">00 Start Here</w:t>
            </w:r>
          </w:p>
        </w:tc>
        <w:tc>
          <w:tcPr>
            <w:tcW w:w="6092" w:type="dxa"/>
          </w:tcPr>
          <w:p>
            <w:pPr>
              <w:pStyle w:val="Compact"/>
              <w:spacing w:after="40"/>
              <w:jc w:val="left"/>
            </w:pPr>
            <w:r>
              <w:rPr>
                <w:sz w:val="18"/>
              </w:rPr>
              <w:t xml:space="preserve">README (PDF, DOCX, TXT), manifests, data dictionary, relationships, code tables, schemas, verifier</w:t>
            </w:r>
          </w:p>
        </w:tc>
      </w:tr>
      <w:tr>
        <w:tc>
          <w:tcPr>
            <w:tcW w:w="3546" w:type="dxa"/>
          </w:tcPr>
          <w:p>
            <w:pPr>
              <w:pStyle w:val="Compact"/>
              <w:spacing w:after="40"/>
              <w:jc w:val="left"/>
            </w:pPr>
            <w:r>
              <w:rPr>
                <w:sz w:val="18"/>
              </w:rPr>
              <w:t xml:space="preserve">01 Deal and configuration</w:t>
            </w:r>
          </w:p>
        </w:tc>
        <w:tc>
          <w:tcPr>
            <w:tcW w:w="6092" w:type="dxa"/>
          </w:tcPr>
          <w:p>
            <w:pPr>
              <w:pStyle w:val="Compact"/>
              <w:spacing w:after="40"/>
              <w:jc w:val="left"/>
            </w:pPr>
            <w:r>
              <w:rPr>
                <w:sz w:val="18"/>
              </w:rPr>
              <w:t xml:space="preserve">Deal versions (Part 7B UP2), product-offer versions, journey and rule versions, matching-mechanism versions, templates</w:t>
            </w:r>
          </w:p>
        </w:tc>
      </w:tr>
      <w:tr>
        <w:tc>
          <w:tcPr>
            <w:tcW w:w="3546" w:type="dxa"/>
          </w:tcPr>
          <w:p>
            <w:pPr>
              <w:pStyle w:val="Compact"/>
              <w:spacing w:after="40"/>
              <w:jc w:val="left"/>
            </w:pPr>
            <w:r>
              <w:rPr>
                <w:sz w:val="18"/>
              </w:rPr>
              <w:t xml:space="preserve">02 DLA register and CIMS</w:t>
            </w:r>
          </w:p>
        </w:tc>
        <w:tc>
          <w:tcPr>
            <w:tcW w:w="6092" w:type="dxa"/>
          </w:tcPr>
          <w:p>
            <w:pPr>
              <w:pStyle w:val="Compact"/>
              <w:spacing w:after="40"/>
              <w:jc w:val="left"/>
            </w:pPr>
            <w:r>
              <w:rPr>
                <w:sz w:val="18"/>
              </w:rPr>
              <w:t xml:space="preserve">DLA register lines and change history; CIMS extracts; certification evidence</w:t>
            </w:r>
          </w:p>
        </w:tc>
      </w:tr>
      <w:tr>
        <w:tc>
          <w:tcPr>
            <w:tcW w:w="3546" w:type="dxa"/>
          </w:tcPr>
          <w:p>
            <w:pPr>
              <w:pStyle w:val="Compact"/>
              <w:spacing w:after="40"/>
              <w:jc w:val="left"/>
            </w:pPr>
            <w:r>
              <w:rPr>
                <w:sz w:val="18"/>
              </w:rPr>
              <w:t xml:space="preserve">03 Applications and journeys</w:t>
            </w:r>
          </w:p>
        </w:tc>
        <w:tc>
          <w:tcPr>
            <w:tcW w:w="6092" w:type="dxa"/>
          </w:tcPr>
          <w:p>
            <w:pPr>
              <w:pStyle w:val="Compact"/>
              <w:spacing w:after="40"/>
              <w:jc w:val="left"/>
            </w:pPr>
            <w:r>
              <w:rPr>
                <w:sz w:val="18"/>
              </w:rPr>
              <w:t xml:space="preserve">Applications, state transitions, eligibility requests and responses, offer sets, unmatched lenders</w:t>
            </w:r>
          </w:p>
        </w:tc>
      </w:tr>
      <w:tr>
        <w:tc>
          <w:tcPr>
            <w:tcW w:w="3546" w:type="dxa"/>
          </w:tcPr>
          <w:p>
            <w:pPr>
              <w:pStyle w:val="Compact"/>
              <w:spacing w:after="40"/>
              <w:jc w:val="left"/>
            </w:pPr>
            <w:r>
              <w:rPr>
                <w:sz w:val="18"/>
              </w:rPr>
              <w:t xml:space="preserve">04 Consents and privacy</w:t>
            </w:r>
          </w:p>
        </w:tc>
        <w:tc>
          <w:tcPr>
            <w:tcW w:w="6092" w:type="dxa"/>
          </w:tcPr>
          <w:p>
            <w:pPr>
              <w:pStyle w:val="Compact"/>
              <w:spacing w:after="40"/>
              <w:jc w:val="left"/>
            </w:pPr>
            <w:r>
              <w:rPr>
                <w:sz w:val="18"/>
              </w:rPr>
              <w:t xml:space="preserve">Consent artefacts and events; data-principal requests forwarded</w:t>
            </w:r>
          </w:p>
        </w:tc>
      </w:tr>
      <w:tr>
        <w:tc>
          <w:tcPr>
            <w:tcW w:w="3546" w:type="dxa"/>
          </w:tcPr>
          <w:p>
            <w:pPr>
              <w:pStyle w:val="Compact"/>
              <w:spacing w:after="40"/>
              <w:jc w:val="left"/>
            </w:pPr>
            <w:r>
              <w:rPr>
                <w:sz w:val="18"/>
              </w:rPr>
              <w:t xml:space="preserve">05 KYC evidence</w:t>
            </w:r>
          </w:p>
        </w:tc>
        <w:tc>
          <w:tcPr>
            <w:tcW w:w="6092" w:type="dxa"/>
          </w:tcPr>
          <w:p>
            <w:pPr>
              <w:pStyle w:val="Compact"/>
              <w:spacing w:after="40"/>
              <w:jc w:val="left"/>
            </w:pPr>
            <w:r>
              <w:rPr>
                <w:sz w:val="18"/>
              </w:rPr>
              <w:t xml:space="preserve">Evidence references and hashes (masked; no full Aadhaar)</w:t>
            </w:r>
          </w:p>
        </w:tc>
      </w:tr>
      <w:tr>
        <w:tc>
          <w:tcPr>
            <w:tcW w:w="3546" w:type="dxa"/>
          </w:tcPr>
          <w:p>
            <w:pPr>
              <w:pStyle w:val="Compact"/>
              <w:spacing w:after="40"/>
              <w:jc w:val="left"/>
            </w:pPr>
            <w:r>
              <w:rPr>
                <w:sz w:val="18"/>
              </w:rPr>
              <w:t xml:space="preserve">06 Offers, KFS and acceptance</w:t>
            </w:r>
          </w:p>
        </w:tc>
        <w:tc>
          <w:tcPr>
            <w:tcW w:w="6092" w:type="dxa"/>
          </w:tcPr>
          <w:p>
            <w:pPr>
              <w:pStyle w:val="Compact"/>
              <w:spacing w:after="40"/>
              <w:jc w:val="left"/>
            </w:pPr>
            <w:r>
              <w:rPr>
                <w:sz w:val="18"/>
              </w:rPr>
              <w:t xml:space="preserve">Offers as displayed with rank and metric; KFS documents; view and acceptance events; cooling-off</w:t>
            </w:r>
          </w:p>
        </w:tc>
      </w:tr>
      <w:tr>
        <w:tc>
          <w:tcPr>
            <w:tcW w:w="3546" w:type="dxa"/>
          </w:tcPr>
          <w:p>
            <w:pPr>
              <w:pStyle w:val="Compact"/>
              <w:spacing w:after="40"/>
              <w:jc w:val="left"/>
            </w:pPr>
            <w:r>
              <w:rPr>
                <w:sz w:val="18"/>
              </w:rPr>
              <w:t xml:space="preserve">07 Documents</w:t>
            </w:r>
          </w:p>
        </w:tc>
        <w:tc>
          <w:tcPr>
            <w:tcW w:w="6092" w:type="dxa"/>
          </w:tcPr>
          <w:p>
            <w:pPr>
              <w:pStyle w:val="Compact"/>
              <w:spacing w:after="40"/>
              <w:jc w:val="left"/>
            </w:pPr>
            <w:r>
              <w:rPr>
                <w:sz w:val="18"/>
              </w:rPr>
              <w:t xml:space="preserve">Executed documents and eSign and eStamp evidence</w:t>
            </w:r>
          </w:p>
        </w:tc>
      </w:tr>
      <w:tr>
        <w:tc>
          <w:tcPr>
            <w:tcW w:w="3546" w:type="dxa"/>
          </w:tcPr>
          <w:p>
            <w:pPr>
              <w:pStyle w:val="Compact"/>
              <w:spacing w:after="40"/>
              <w:jc w:val="left"/>
            </w:pPr>
            <w:r>
              <w:rPr>
                <w:sz w:val="18"/>
              </w:rPr>
              <w:t xml:space="preserve">08 Payments evidence</w:t>
            </w:r>
          </w:p>
        </w:tc>
        <w:tc>
          <w:tcPr>
            <w:tcW w:w="6092" w:type="dxa"/>
          </w:tcPr>
          <w:p>
            <w:pPr>
              <w:pStyle w:val="Compact"/>
              <w:spacing w:after="40"/>
              <w:jc w:val="left"/>
            </w:pPr>
            <w:r>
              <w:rPr>
                <w:sz w:val="18"/>
              </w:rPr>
              <w:t xml:space="preserve">Payment instructions, mandate references, reconciliation files (no money held)</w:t>
            </w:r>
          </w:p>
        </w:tc>
      </w:tr>
      <w:tr>
        <w:tc>
          <w:tcPr>
            <w:tcW w:w="3546" w:type="dxa"/>
          </w:tcPr>
          <w:p>
            <w:pPr>
              <w:pStyle w:val="Compact"/>
              <w:spacing w:after="40"/>
              <w:jc w:val="left"/>
            </w:pPr>
            <w:r>
              <w:rPr>
                <w:sz w:val="18"/>
              </w:rPr>
              <w:t xml:space="preserve">09 Loan mirror</w:t>
            </w:r>
          </w:p>
        </w:tc>
        <w:tc>
          <w:tcPr>
            <w:tcW w:w="6092" w:type="dxa"/>
          </w:tcPr>
          <w:p>
            <w:pPr>
              <w:pStyle w:val="Compact"/>
              <w:spacing w:after="40"/>
              <w:jc w:val="left"/>
            </w:pPr>
            <w:r>
              <w:rPr>
                <w:sz w:val="18"/>
              </w:rPr>
              <w:t xml:space="preserve">Projections with as-at sequence</w:t>
            </w:r>
          </w:p>
        </w:tc>
      </w:tr>
      <w:tr>
        <w:tc>
          <w:tcPr>
            <w:tcW w:w="3546" w:type="dxa"/>
          </w:tcPr>
          <w:p>
            <w:pPr>
              <w:pStyle w:val="Compact"/>
              <w:spacing w:after="40"/>
              <w:jc w:val="left"/>
            </w:pPr>
            <w:r>
              <w:rPr>
                <w:sz w:val="18"/>
              </w:rPr>
              <w:t xml:space="preserve">10 Grievances</w:t>
            </w:r>
          </w:p>
        </w:tc>
        <w:tc>
          <w:tcPr>
            <w:tcW w:w="6092" w:type="dxa"/>
          </w:tcPr>
          <w:p>
            <w:pPr>
              <w:pStyle w:val="Compact"/>
              <w:spacing w:after="40"/>
              <w:jc w:val="left"/>
            </w:pPr>
            <w:r>
              <w:rPr>
                <w:sz w:val="18"/>
              </w:rPr>
              <w:t xml:space="preserve">Tickets, routing, timers, escalations, case packs</w:t>
            </w:r>
          </w:p>
        </w:tc>
      </w:tr>
      <w:tr>
        <w:tc>
          <w:tcPr>
            <w:tcW w:w="3546" w:type="dxa"/>
          </w:tcPr>
          <w:p>
            <w:pPr>
              <w:pStyle w:val="Compact"/>
              <w:spacing w:after="40"/>
              <w:jc w:val="left"/>
            </w:pPr>
            <w:r>
              <w:rPr>
                <w:sz w:val="18"/>
              </w:rPr>
              <w:t xml:space="preserve">11 Communications</w:t>
            </w:r>
          </w:p>
        </w:tc>
        <w:tc>
          <w:tcPr>
            <w:tcW w:w="6092" w:type="dxa"/>
          </w:tcPr>
          <w:p>
            <w:pPr>
              <w:pStyle w:val="Compact"/>
              <w:spacing w:after="40"/>
              <w:jc w:val="left"/>
            </w:pPr>
            <w:r>
              <w:rPr>
                <w:sz w:val="18"/>
              </w:rPr>
              <w:t xml:space="preserve">Templates used, messages sent, contact attempts, routing decisions</w:t>
            </w:r>
          </w:p>
        </w:tc>
      </w:tr>
      <w:tr>
        <w:tc>
          <w:tcPr>
            <w:tcW w:w="3546" w:type="dxa"/>
          </w:tcPr>
          <w:p>
            <w:pPr>
              <w:pStyle w:val="Compact"/>
              <w:spacing w:after="40"/>
              <w:jc w:val="left"/>
            </w:pPr>
            <w:r>
              <w:rPr>
                <w:sz w:val="18"/>
              </w:rPr>
              <w:t xml:space="preserve">12 Collections and recovery (restricted)</w:t>
            </w:r>
          </w:p>
        </w:tc>
        <w:tc>
          <w:tcPr>
            <w:tcW w:w="6092" w:type="dxa"/>
          </w:tcPr>
          <w:p>
            <w:pPr>
              <w:pStyle w:val="Compact"/>
              <w:spacing w:after="40"/>
              <w:jc w:val="left"/>
            </w:pPr>
            <w:r>
              <w:rPr>
                <w:sz w:val="18"/>
              </w:rPr>
              <w:t xml:space="preserve">Allocations, agent records, recordings index, cash receipts</w:t>
            </w:r>
          </w:p>
        </w:tc>
      </w:tr>
      <w:tr>
        <w:tc>
          <w:tcPr>
            <w:tcW w:w="3546" w:type="dxa"/>
          </w:tcPr>
          <w:p>
            <w:pPr>
              <w:pStyle w:val="Compact"/>
              <w:spacing w:after="40"/>
              <w:jc w:val="left"/>
            </w:pPr>
            <w:r>
              <w:rPr>
                <w:sz w:val="18"/>
              </w:rPr>
              <w:t xml:space="preserve">13 DLG</w:t>
            </w:r>
          </w:p>
        </w:tc>
        <w:tc>
          <w:tcPr>
            <w:tcW w:w="6092" w:type="dxa"/>
          </w:tcPr>
          <w:p>
            <w:pPr>
              <w:pStyle w:val="Compact"/>
              <w:spacing w:after="40"/>
              <w:jc w:val="left"/>
            </w:pPr>
            <w:r>
              <w:rPr>
                <w:sz w:val="18"/>
              </w:rPr>
              <w:t xml:space="preserve">Arrangements, sets, cover snapshots, invocations, disclosures</w:t>
            </w:r>
          </w:p>
        </w:tc>
      </w:tr>
      <w:tr>
        <w:tc>
          <w:tcPr>
            <w:tcW w:w="3546" w:type="dxa"/>
          </w:tcPr>
          <w:p>
            <w:pPr>
              <w:pStyle w:val="Compact"/>
              <w:spacing w:after="40"/>
              <w:jc w:val="left"/>
            </w:pPr>
            <w:r>
              <w:rPr>
                <w:sz w:val="18"/>
              </w:rPr>
              <w:t xml:space="preserve">14 Member and group lending</w:t>
            </w:r>
          </w:p>
        </w:tc>
        <w:tc>
          <w:tcPr>
            <w:tcW w:w="6092" w:type="dxa"/>
          </w:tcPr>
          <w:p>
            <w:pPr>
              <w:pStyle w:val="Compact"/>
              <w:spacing w:after="40"/>
              <w:jc w:val="left"/>
            </w:pPr>
            <w:r>
              <w:rPr>
                <w:sz w:val="18"/>
              </w:rPr>
              <w:t xml:space="preserve">Groups, meetings, attendance, receipts (Part 7E)</w:t>
            </w:r>
          </w:p>
        </w:tc>
      </w:tr>
      <w:tr>
        <w:tc>
          <w:tcPr>
            <w:tcW w:w="3546" w:type="dxa"/>
          </w:tcPr>
          <w:p>
            <w:pPr>
              <w:pStyle w:val="Compact"/>
              <w:spacing w:after="40"/>
              <w:jc w:val="left"/>
            </w:pPr>
            <w:r>
              <w:rPr>
                <w:sz w:val="18"/>
              </w:rPr>
              <w:t xml:space="preserve">15 Security and incidents</w:t>
            </w:r>
          </w:p>
        </w:tc>
        <w:tc>
          <w:tcPr>
            <w:tcW w:w="6092" w:type="dxa"/>
          </w:tcPr>
          <w:p>
            <w:pPr>
              <w:pStyle w:val="Compact"/>
              <w:spacing w:after="40"/>
              <w:jc w:val="left"/>
            </w:pPr>
            <w:r>
              <w:rPr>
                <w:sz w:val="18"/>
              </w:rPr>
              <w:t xml:space="preserve">Incidents affecting the RE, notification times</w:t>
            </w:r>
          </w:p>
        </w:tc>
      </w:tr>
      <w:tr>
        <w:tc>
          <w:tcPr>
            <w:tcW w:w="3546" w:type="dxa"/>
          </w:tcPr>
          <w:p>
            <w:pPr>
              <w:pStyle w:val="Compact"/>
              <w:spacing w:after="40"/>
              <w:jc w:val="left"/>
            </w:pPr>
            <w:r>
              <w:rPr>
                <w:sz w:val="18"/>
              </w:rPr>
              <w:t xml:space="preserve">16 Access logs</w:t>
            </w:r>
          </w:p>
        </w:tc>
        <w:tc>
          <w:tcPr>
            <w:tcW w:w="6092" w:type="dxa"/>
          </w:tcPr>
          <w:p>
            <w:pPr>
              <w:pStyle w:val="Compact"/>
              <w:spacing w:after="40"/>
              <w:jc w:val="left"/>
            </w:pPr>
            <w:r>
              <w:rPr>
                <w:sz w:val="18"/>
              </w:rPr>
              <w:t xml:space="preserve">RA2 grants and logs; Udofin staff access to the RE’s data</w:t>
            </w:r>
          </w:p>
        </w:tc>
      </w:tr>
      <w:tr>
        <w:tc>
          <w:tcPr>
            <w:tcW w:w="3546" w:type="dxa"/>
          </w:tcPr>
          <w:p>
            <w:pPr>
              <w:pStyle w:val="Compact"/>
              <w:spacing w:after="40"/>
              <w:jc w:val="left"/>
            </w:pPr>
            <w:r>
              <w:rPr>
                <w:sz w:val="18"/>
              </w:rPr>
              <w:t xml:space="preserve">17 Audit trail</w:t>
            </w:r>
          </w:p>
        </w:tc>
        <w:tc>
          <w:tcPr>
            <w:tcW w:w="6092" w:type="dxa"/>
          </w:tcPr>
          <w:p>
            <w:pPr>
              <w:pStyle w:val="Compact"/>
              <w:spacing w:after="40"/>
              <w:jc w:val="left"/>
            </w:pPr>
            <w:r>
              <w:rPr>
                <w:sz w:val="18"/>
              </w:rPr>
              <w:t xml:space="preserve">Hash-chained audit events for the RE’s scope</w:t>
            </w:r>
          </w:p>
        </w:tc>
      </w:tr>
    </w:tbl>
    <w:p>
      <w:pPr>
        <w:pStyle w:val="BodyText"/>
      </w:pPr>
      <w:r>
        <w:t xml:space="preserve">Folder 12 (collections and recovery) is a separate AES-256 encrypted ZIP with its own manifest, included only for a requester holding</w:t>
      </w:r>
      <w:r>
        <w:t xml:space="preserve"> </w:t>
      </w:r>
      <w:r>
        <w:rPr>
          <w:rStyle w:val="VerbatimChar"/>
        </w:rPr>
        <w:t xml:space="preserve">export.restricted.recovery</w:t>
      </w:r>
      <w:r>
        <w:t xml:space="preserve"> </w:t>
      </w:r>
      <w:r>
        <w:t xml:space="preserve">for that RE and approved by a second RE approver and the RE’s DPO; the password is generated per archive and delivered out of band to the named recipient. Aadhaar numbers and card data are never exported.</w:t>
      </w:r>
    </w:p>
    <w:bookmarkEnd w:id="394"/>
    <w:bookmarkStart w:id="395" w:name="ra3.3-export-jobs"/>
    <w:p>
      <w:pPr>
        <w:pStyle w:val="Heading3"/>
      </w:pPr>
      <w:r>
        <w:t xml:space="preserve">RA3.3 Export jobs</w:t>
      </w:r>
    </w:p>
    <w:p>
      <w:pPr>
        <w:numPr>
          <w:ilvl w:val="0"/>
          <w:numId w:val="1238"/>
        </w:numPr>
        <w:pStyle w:val="Compact"/>
      </w:pPr>
      <w:r>
        <w:rPr>
          <w:bCs/>
          <w:b/>
        </w:rPr>
        <w:t xml:space="preserve">Types:</w:t>
      </w:r>
      <w:r>
        <w:t xml:space="preserve"> </w:t>
      </w:r>
      <w:r>
        <w:t xml:space="preserve">full, by period, by dataset, scheduled incremental (daily, weekly or monthly), and exit (Part 7B UP5).</w:t>
      </w:r>
    </w:p>
    <w:p>
      <w:pPr>
        <w:numPr>
          <w:ilvl w:val="0"/>
          <w:numId w:val="1238"/>
        </w:numPr>
        <w:pStyle w:val="Compact"/>
      </w:pPr>
      <w:r>
        <w:rPr>
          <w:bCs/>
          <w:b/>
        </w:rPr>
        <w:t xml:space="preserve">States:</w:t>
      </w:r>
      <w:r>
        <w:t xml:space="preserve"> </w:t>
      </w:r>
      <w:r>
        <w:rPr>
          <w:rStyle w:val="VerbatimChar"/>
        </w:rPr>
        <w:t xml:space="preserve">REQUESTED → APPROVED (RE admin; a full or exit export needs a second RE approver and a Udofin operations checker) → SNAPSHOT (point in time) → RENDER → PACKAGE → SIGN → DELIVER → CONFIRMED</w:t>
      </w:r>
      <w:r>
        <w:t xml:space="preserve">; download links expire after 7 days;</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w:t>
      </w:r>
    </w:p>
    <w:p>
      <w:pPr>
        <w:numPr>
          <w:ilvl w:val="0"/>
          <w:numId w:val="1238"/>
        </w:numPr>
        <w:pStyle w:val="Compact"/>
      </w:pPr>
      <w:r>
        <w:rPr>
          <w:bCs/>
          <w:b/>
        </w:rPr>
        <w:t xml:space="preserve">Quality:</w:t>
      </w:r>
      <w:r>
        <w:t xml:space="preserve"> </w:t>
      </w:r>
      <w:r>
        <w:t xml:space="preserve">CI renders every generated XLSX, DOCX and PDF/A output in headless LibreOffice and validates PDF/A with veraPDF; a rendering failure blocks the release; control totals reconcile at the snapshot (RA3.2).</w:t>
      </w:r>
    </w:p>
    <w:p>
      <w:pPr>
        <w:numPr>
          <w:ilvl w:val="0"/>
          <w:numId w:val="1238"/>
        </w:numPr>
        <w:pStyle w:val="Compact"/>
      </w:pPr>
      <w:r>
        <w:rPr>
          <w:bCs/>
          <w:b/>
        </w:rPr>
        <w:t xml:space="preserve">Failures:</w:t>
      </w:r>
      <w:r>
        <w:t xml:space="preserve"> </w:t>
      </w:r>
      <w:r>
        <w:t xml:space="preserve">a job that fails at RENDER, PACKAGE or SIGN is retried from the same snapshot (identical hashes); a DELIVER failure retries with back-off for 24 hours, then alerts the RE and Udofin operations; a target whose residency re-check fails blocks delivery; the RE can cancel a job before SIGN.</w:t>
      </w:r>
    </w:p>
    <w:bookmarkEnd w:id="395"/>
    <w:bookmarkStart w:id="396" w:name="ra3.4-re-controlled-storage-per-deal"/>
    <w:p>
      <w:pPr>
        <w:pStyle w:val="Heading3"/>
      </w:pPr>
      <w:r>
        <w:t xml:space="preserve">RA3.4 RE-controlled storage per deal</w:t>
      </w:r>
    </w:p>
    <w:p>
      <w:pPr>
        <w:numPr>
          <w:ilvl w:val="0"/>
          <w:numId w:val="1239"/>
        </w:numPr>
        <w:pStyle w:val="Compact"/>
      </w:pPr>
      <w:r>
        <w:rPr>
          <w:bCs/>
          <w:b/>
        </w:rPr>
        <w:t xml:space="preserve">Configured in the deal</w:t>
      </w:r>
      <w:r>
        <w:t xml:space="preserve"> </w:t>
      </w:r>
      <w:r>
        <w:t xml:space="preserve">(Part 7B UP2) as a</w:t>
      </w:r>
      <w:r>
        <w:t xml:space="preserve"> </w:t>
      </w:r>
      <w:r>
        <w:rPr>
          <w:rStyle w:val="VerbatimChar"/>
        </w:rPr>
        <w:t xml:space="preserve">storage_target</w:t>
      </w:r>
      <w:r>
        <w:t xml:space="preserve"> </w:t>
      </w:r>
      <w:r>
        <w:t xml:space="preserve">with type, region, credentials reference, encryption mode, schedule and retention responsibility (RACI).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44"/>
        <w:gridCol w:w="3390"/>
        <w:gridCol w:w="4204"/>
      </w:tblGrid>
      <w:tr>
        <w:trPr>
          <w:tblHeader w:val="true"/>
          <w:tblHeader w:val="true"/>
        </w:trPr>
        <w:tc>
          <w:tcPr>
            <w:tcW w:w="2044" w:type="dxa"/>
            <w:shd w:val="clear" w:color="auto" w:fill="1F3A5F"/>
          </w:tcPr>
          <w:p>
            <w:pPr>
              <w:pStyle w:val="Compact"/>
              <w:spacing w:after="40"/>
              <w:jc w:val="left"/>
            </w:pPr>
            <w:r>
              <w:rPr>
                <w:b/>
                <w:color w:val="FFFFFF"/>
                <w:sz w:val="18"/>
              </w:rPr>
              <w:t xml:space="preserve">Target</w:t>
            </w:r>
          </w:p>
        </w:tc>
        <w:tc>
          <w:tcPr>
            <w:tcW w:w="3390" w:type="dxa"/>
            <w:shd w:val="clear" w:color="auto" w:fill="1F3A5F"/>
          </w:tcPr>
          <w:p>
            <w:pPr>
              <w:pStyle w:val="Compact"/>
              <w:spacing w:after="40"/>
              <w:jc w:val="left"/>
            </w:pPr>
            <w:r>
              <w:rPr>
                <w:b/>
                <w:color w:val="FFFFFF"/>
                <w:sz w:val="18"/>
              </w:rPr>
              <w:t xml:space="preserve">Mechanism</w:t>
            </w:r>
          </w:p>
        </w:tc>
        <w:tc>
          <w:tcPr>
            <w:tcW w:w="4204" w:type="dxa"/>
            <w:shd w:val="clear" w:color="auto" w:fill="1F3A5F"/>
          </w:tcPr>
          <w:p>
            <w:pPr>
              <w:pStyle w:val="Compact"/>
              <w:spacing w:after="40"/>
              <w:jc w:val="left"/>
            </w:pPr>
            <w:r>
              <w:rPr>
                <w:b/>
                <w:color w:val="FFFFFF"/>
                <w:sz w:val="18"/>
              </w:rPr>
              <w:t xml:space="preserve">Region rule for borrower data</w:t>
            </w:r>
          </w:p>
        </w:tc>
      </w:tr>
      <w:tr>
        <w:tc>
          <w:tcPr>
            <w:tcW w:w="2044" w:type="dxa"/>
          </w:tcPr>
          <w:p>
            <w:pPr>
              <w:pStyle w:val="Compact"/>
              <w:spacing w:after="40"/>
              <w:jc w:val="left"/>
            </w:pPr>
            <w:r>
              <w:rPr>
                <w:sz w:val="18"/>
              </w:rPr>
              <w:t xml:space="preserve">AWS S3 (RE account)</w:t>
            </w:r>
          </w:p>
        </w:tc>
        <w:tc>
          <w:tcPr>
            <w:tcW w:w="3390" w:type="dxa"/>
          </w:tcPr>
          <w:p>
            <w:pPr>
              <w:pStyle w:val="Compact"/>
              <w:spacing w:after="40"/>
              <w:jc w:val="left"/>
            </w:pPr>
            <w:r>
              <w:rPr>
                <w:sz w:val="18"/>
              </w:rPr>
              <w:t xml:space="preserve">Cross-account IAM role with</w:t>
            </w:r>
            <w:r>
              <w:rPr>
                <w:sz w:val="18"/>
              </w:rPr>
              <w:t xml:space="preserve"> </w:t>
            </w:r>
            <w:r>
              <w:rPr>
                <w:rStyle w:val="VerbatimChar"/>
                <w:sz w:val="18"/>
              </w:rPr>
              <w:t xml:space="preserve">ExternalId</w:t>
            </w:r>
            <w:r>
              <w:rPr>
                <w:sz w:val="18"/>
              </w:rPr>
              <w:t xml:space="preserve">; bucket policy limited to the Udofin role; optional S3 Object Lock</w:t>
            </w:r>
          </w:p>
        </w:tc>
        <w:tc>
          <w:tcPr>
            <w:tcW w:w="4204" w:type="dxa"/>
          </w:tcPr>
          <w:p>
            <w:pPr>
              <w:pStyle w:val="Compact"/>
              <w:spacing w:after="40"/>
              <w:jc w:val="left"/>
            </w:pPr>
            <w:r>
              <w:rPr>
                <w:sz w:val="18"/>
              </w:rPr>
              <w:t xml:space="preserve">ap-south-1 or ap-south-2 only</w:t>
            </w:r>
          </w:p>
        </w:tc>
      </w:tr>
      <w:tr>
        <w:tc>
          <w:tcPr>
            <w:tcW w:w="2044" w:type="dxa"/>
          </w:tcPr>
          <w:p>
            <w:pPr>
              <w:pStyle w:val="Compact"/>
              <w:spacing w:after="40"/>
              <w:jc w:val="left"/>
            </w:pPr>
            <w:r>
              <w:rPr>
                <w:sz w:val="18"/>
              </w:rPr>
              <w:t xml:space="preserve">Azure Blob (RE subscription)</w:t>
            </w:r>
          </w:p>
        </w:tc>
        <w:tc>
          <w:tcPr>
            <w:tcW w:w="3390" w:type="dxa"/>
          </w:tcPr>
          <w:p>
            <w:pPr>
              <w:pStyle w:val="Compact"/>
              <w:spacing w:after="40"/>
              <w:jc w:val="left"/>
            </w:pPr>
            <w:r>
              <w:rPr>
                <w:sz w:val="18"/>
              </w:rPr>
              <w:t xml:space="preserve">Entra workload identity federation or a user-delegation SAS valid ≤ 7 days; optional immutability policy</w:t>
            </w:r>
          </w:p>
        </w:tc>
        <w:tc>
          <w:tcPr>
            <w:tcW w:w="4204" w:type="dxa"/>
          </w:tcPr>
          <w:p>
            <w:pPr>
              <w:pStyle w:val="Compact"/>
              <w:spacing w:after="40"/>
              <w:jc w:val="left"/>
            </w:pPr>
            <w:r>
              <w:rPr>
                <w:sz w:val="18"/>
              </w:rPr>
              <w:t xml:space="preserve">Central India, South India or West India only</w:t>
            </w:r>
          </w:p>
        </w:tc>
      </w:tr>
      <w:tr>
        <w:tc>
          <w:tcPr>
            <w:tcW w:w="2044" w:type="dxa"/>
          </w:tcPr>
          <w:p>
            <w:pPr>
              <w:pStyle w:val="Compact"/>
              <w:spacing w:after="40"/>
              <w:jc w:val="left"/>
            </w:pPr>
            <w:r>
              <w:rPr>
                <w:sz w:val="18"/>
              </w:rPr>
              <w:t xml:space="preserve">Google Cloud Storage (RE project)</w:t>
            </w:r>
          </w:p>
        </w:tc>
        <w:tc>
          <w:tcPr>
            <w:tcW w:w="3390" w:type="dxa"/>
          </w:tcPr>
          <w:p>
            <w:pPr>
              <w:pStyle w:val="Compact"/>
              <w:spacing w:after="40"/>
              <w:jc w:val="left"/>
            </w:pPr>
            <w:r>
              <w:rPr>
                <w:sz w:val="18"/>
              </w:rPr>
              <w:t xml:space="preserve">Workload identity federation; optional bucket lock</w:t>
            </w:r>
          </w:p>
        </w:tc>
        <w:tc>
          <w:tcPr>
            <w:tcW w:w="4204" w:type="dxa"/>
          </w:tcPr>
          <w:p>
            <w:pPr>
              <w:pStyle w:val="Compact"/>
              <w:spacing w:after="40"/>
              <w:jc w:val="left"/>
            </w:pPr>
            <w:r>
              <w:rPr>
                <w:sz w:val="18"/>
              </w:rPr>
              <w:t xml:space="preserve">asia-south1 or asia-south2 only</w:t>
            </w:r>
          </w:p>
        </w:tc>
      </w:tr>
      <w:tr>
        <w:tc>
          <w:tcPr>
            <w:tcW w:w="2044" w:type="dxa"/>
          </w:tcPr>
          <w:p>
            <w:pPr>
              <w:pStyle w:val="Compact"/>
              <w:spacing w:after="40"/>
              <w:jc w:val="left"/>
            </w:pPr>
            <w:r>
              <w:rPr>
                <w:sz w:val="18"/>
              </w:rPr>
              <w:t xml:space="preserve">Microsoft SharePoint or OneDrive (RE tenant)</w:t>
            </w:r>
          </w:p>
        </w:tc>
        <w:tc>
          <w:tcPr>
            <w:tcW w:w="3390" w:type="dxa"/>
          </w:tcPr>
          <w:p>
            <w:pPr>
              <w:pStyle w:val="Compact"/>
              <w:spacing w:after="40"/>
              <w:jc w:val="left"/>
            </w:pPr>
            <w:r>
              <w:rPr>
                <w:sz w:val="18"/>
              </w:rPr>
              <w:t xml:space="preserve">Microsoft Graph with</w:t>
            </w:r>
            <w:r>
              <w:rPr>
                <w:sz w:val="18"/>
              </w:rPr>
              <w:t xml:space="preserve"> </w:t>
            </w:r>
            <w:r>
              <w:rPr>
                <w:rStyle w:val="VerbatimChar"/>
                <w:sz w:val="18"/>
              </w:rPr>
              <w:t xml:space="preserve">Sites.Selected</w:t>
            </w:r>
            <w:r>
              <w:rPr>
                <w:sz w:val="18"/>
              </w:rPr>
              <w:t xml:space="preserve"> </w:t>
            </w:r>
            <w:r>
              <w:rPr>
                <w:sz w:val="18"/>
              </w:rPr>
              <w:t xml:space="preserve">for the granted site only</w:t>
            </w:r>
          </w:p>
        </w:tc>
        <w:tc>
          <w:tcPr>
            <w:tcW w:w="4204" w:type="dxa"/>
          </w:tcPr>
          <w:p>
            <w:pPr>
              <w:pStyle w:val="Compact"/>
              <w:spacing w:after="40"/>
              <w:jc w:val="left"/>
            </w:pPr>
            <w:r>
              <w:rPr>
                <w:sz w:val="18"/>
              </w:rPr>
              <w:t xml:space="preserve">Only if the RE’s tenant data location for that workload is India, attested by the RE’s IT head and re-attested annually [VERIFY: Graph property; RE confirms Microsoft 365 data residency]</w:t>
            </w:r>
          </w:p>
        </w:tc>
      </w:tr>
      <w:tr>
        <w:tc>
          <w:tcPr>
            <w:tcW w:w="2044" w:type="dxa"/>
          </w:tcPr>
          <w:p>
            <w:pPr>
              <w:pStyle w:val="Compact"/>
              <w:spacing w:after="40"/>
              <w:jc w:val="left"/>
            </w:pPr>
            <w:r>
              <w:rPr>
                <w:sz w:val="18"/>
              </w:rPr>
              <w:t xml:space="preserve">RE data centre</w:t>
            </w:r>
          </w:p>
        </w:tc>
        <w:tc>
          <w:tcPr>
            <w:tcW w:w="3390" w:type="dxa"/>
          </w:tcPr>
          <w:p>
            <w:pPr>
              <w:pStyle w:val="Compact"/>
              <w:spacing w:after="40"/>
              <w:jc w:val="left"/>
            </w:pPr>
            <w:r>
              <w:rPr>
                <w:sz w:val="18"/>
              </w:rPr>
              <w:t xml:space="preserve">SFTP (ed25519 keys, pinned host key) to an India-hosted endpoint, or an outbound-only mTLS pull agent installed by the RE</w:t>
            </w:r>
          </w:p>
        </w:tc>
        <w:tc>
          <w:tcPr>
            <w:tcW w:w="4204" w:type="dxa"/>
          </w:tcPr>
          <w:p>
            <w:pPr>
              <w:pStyle w:val="Compact"/>
              <w:spacing w:after="40"/>
              <w:jc w:val="left"/>
            </w:pPr>
            <w:r>
              <w:rPr>
                <w:sz w:val="18"/>
              </w:rPr>
              <w:t xml:space="preserve">India only, by signed RE attestation</w:t>
            </w:r>
          </w:p>
        </w:tc>
      </w:tr>
      <w:tr>
        <w:tc>
          <w:tcPr>
            <w:tcW w:w="2044" w:type="dxa"/>
          </w:tcPr>
          <w:p>
            <w:pPr>
              <w:pStyle w:val="Compact"/>
              <w:spacing w:after="40"/>
              <w:jc w:val="left"/>
            </w:pPr>
            <w:r>
              <w:rPr>
                <w:sz w:val="18"/>
              </w:rPr>
              <w:t xml:space="preserve">Google Drive</w:t>
            </w:r>
          </w:p>
        </w:tc>
        <w:tc>
          <w:tcPr>
            <w:tcW w:w="3390" w:type="dxa"/>
          </w:tcPr>
          <w:p>
            <w:pPr>
              <w:pStyle w:val="Compact"/>
              <w:spacing w:after="40"/>
              <w:jc w:val="left"/>
            </w:pPr>
            <w:r>
              <w:rPr>
                <w:sz w:val="18"/>
              </w:rPr>
              <w:t xml:space="preserve">Shared drive only, minimal scope</w:t>
            </w:r>
          </w:p>
        </w:tc>
        <w:tc>
          <w:tcPr>
            <w:tcW w:w="4204" w:type="dxa"/>
          </w:tcPr>
          <w:p>
            <w:pPr>
              <w:pStyle w:val="Compact"/>
              <w:spacing w:after="40"/>
              <w:jc w:val="left"/>
            </w:pPr>
            <w:r>
              <w:rPr>
                <w:bCs/>
                <w:b/>
                <w:sz w:val="18"/>
              </w:rPr>
              <w:t xml:space="preserve">Non-regulated data only</w:t>
            </w:r>
            <w:r>
              <w:rPr>
                <w:sz w:val="18"/>
              </w:rPr>
              <w:t xml:space="preserve"> </w:t>
            </w:r>
            <w:r>
              <w:rPr>
                <w:sz w:val="18"/>
              </w:rPr>
              <w:t xml:space="preserve">(no personal data, books of account, returns, loan or HR data): never borrower data, because Google Workspace offers no India data region</w:t>
            </w:r>
          </w:p>
        </w:tc>
      </w:tr>
    </w:tbl>
    <w:p>
      <w:pPr>
        <w:numPr>
          <w:ilvl w:val="0"/>
          <w:numId w:val="1240"/>
        </w:numPr>
        <w:pStyle w:val="Compact"/>
      </w:pPr>
      <w:r>
        <w:rPr>
          <w:bCs/>
          <w:b/>
        </w:rPr>
        <w:t xml:space="preserve">Region validation</w:t>
      </w:r>
      <w:r>
        <w:t xml:space="preserve"> </w:t>
      </w:r>
      <w:r>
        <w:t xml:space="preserve">at registration, weekly and before every full or exit export (</w:t>
      </w:r>
      <w:r>
        <w:rPr>
          <w:rStyle w:val="VerbatimChar"/>
        </w:rPr>
        <w:t xml:space="preserve">StorageTarget.verifyResidency()</w:t>
      </w:r>
      <w:r>
        <w:t xml:space="preserve">, Integration Spec 12.2): a non-India or unverifiable region blocks the target (CF para 14(4); OUT para 74(vi)); a canary write and read-back follow;</w:t>
      </w:r>
      <w:r>
        <w:t xml:space="preserve"> </w:t>
      </w:r>
      <w:r>
        <w:rPr>
          <w:rStyle w:val="VerbatimChar"/>
        </w:rPr>
        <w:t xml:space="preserve">StorageTargetConnected</w:t>
      </w:r>
      <w:r>
        <w:t xml:space="preserve"> </w:t>
      </w:r>
      <w:r>
        <w:t xml:space="preserve">on success.</w:t>
      </w:r>
    </w:p>
    <w:p>
      <w:pPr>
        <w:numPr>
          <w:ilvl w:val="0"/>
          <w:numId w:val="1240"/>
        </w:numPr>
        <w:pStyle w:val="Compact"/>
      </w:pPr>
      <w:r>
        <w:rPr>
          <w:bCs/>
          <w:b/>
        </w:rPr>
        <w:t xml:space="preserve">Health:</w:t>
      </w:r>
      <w:r>
        <w:t xml:space="preserve"> </w:t>
      </w:r>
      <w:r>
        <w:t xml:space="preserve">daily health check and canary; credential-expiry warning 30 days ahead; one missed backup raises a P2 alert, two consecutive misses a P1 alert and an RE notice.</w:t>
      </w:r>
    </w:p>
    <w:p>
      <w:pPr>
        <w:numPr>
          <w:ilvl w:val="0"/>
          <w:numId w:val="1240"/>
        </w:numPr>
        <w:pStyle w:val="Compact"/>
      </w:pPr>
      <w:r>
        <w:rPr>
          <w:bCs/>
          <w:b/>
        </w:rPr>
        <w:t xml:space="preserve">Encryption:</w:t>
      </w:r>
      <w:r>
        <w:t xml:space="preserve"> </w:t>
      </w:r>
      <w:r>
        <w:t xml:space="preserve">archives encrypted at rest under the RE’s per-tenant KMS key; optional encryption to the RE’s public key so that only the RE can open them; BYOK where the RE requires (Part 10.6).</w:t>
      </w:r>
    </w:p>
    <w:p>
      <w:pPr>
        <w:numPr>
          <w:ilvl w:val="0"/>
          <w:numId w:val="1240"/>
        </w:numPr>
        <w:pStyle w:val="Compact"/>
      </w:pPr>
      <w:r>
        <w:rPr>
          <w:bCs/>
          <w:b/>
        </w:rPr>
        <w:t xml:space="preserve">No arbitrary disk attachment</w:t>
      </w:r>
      <w:r>
        <w:t xml:space="preserve"> </w:t>
      </w:r>
      <w:r>
        <w:t xml:space="preserve">and no promise of recovery after the RE purges its own store.</w:t>
      </w:r>
    </w:p>
    <w:bookmarkEnd w:id="396"/>
    <w:bookmarkStart w:id="397" w:name="X544ddbdb8b8ead4da4545024a23c005cbd148af"/>
    <w:p>
      <w:pPr>
        <w:pStyle w:val="Heading3"/>
      </w:pPr>
      <w:r>
        <w:t xml:space="preserve">RA3.5 Backups to RE storage and restore testing</w:t>
      </w:r>
    </w:p>
    <w:p>
      <w:pPr>
        <w:numPr>
          <w:ilvl w:val="0"/>
          <w:numId w:val="1241"/>
        </w:numPr>
        <w:pStyle w:val="Compact"/>
      </w:pPr>
      <w:r>
        <w:rPr>
          <w:bCs/>
          <w:b/>
        </w:rPr>
        <w:t xml:space="preserve">Optional per deal:</w:t>
      </w:r>
      <w:r>
        <w:t xml:space="preserve"> </w:t>
      </w:r>
      <w:r>
        <w:t xml:space="preserve">daily encrypted incremental archive to the RE’s target plus a weekly full archive;</w:t>
      </w:r>
      <w:r>
        <w:t xml:space="preserve"> </w:t>
      </w:r>
      <w:r>
        <w:rPr>
          <w:rStyle w:val="VerbatimChar"/>
        </w:rPr>
        <w:t xml:space="preserve">BackupCompleted</w:t>
      </w:r>
      <w:r>
        <w:t xml:space="preserve"> </w:t>
      </w:r>
      <w:r>
        <w:t xml:space="preserve">with manifest hash.</w:t>
      </w:r>
    </w:p>
    <w:p>
      <w:pPr>
        <w:numPr>
          <w:ilvl w:val="0"/>
          <w:numId w:val="1241"/>
        </w:numPr>
        <w:pStyle w:val="Compact"/>
      </w:pPr>
      <w:r>
        <w:rPr>
          <w:bCs/>
          <w:b/>
        </w:rPr>
        <w:t xml:space="preserve">Restore test</w:t>
      </w:r>
      <w:r>
        <w:t xml:space="preserve"> </w:t>
      </w:r>
      <w:r>
        <w:t xml:space="preserve">at least quarterly: the RE (or Udofin on the RE’s instruction in a sandbox) restores the latest archive with the verifier, reconciles record counts and checksums, and signs off;</w:t>
      </w:r>
      <w:r>
        <w:t xml:space="preserve"> </w:t>
      </w:r>
      <w:r>
        <w:rPr>
          <w:rStyle w:val="VerbatimChar"/>
        </w:rPr>
        <w:t xml:space="preserve">RestoreTested</w:t>
      </w:r>
      <w:r>
        <w:t xml:space="preserve">. Udofin’s own platform backups and restore tests remain as Part 10.5.</w:t>
      </w:r>
    </w:p>
    <w:p>
      <w:pPr>
        <w:numPr>
          <w:ilvl w:val="0"/>
          <w:numId w:val="1241"/>
        </w:numPr>
        <w:pStyle w:val="Compact"/>
      </w:pPr>
      <w:r>
        <w:rPr>
          <w:bCs/>
          <w:b/>
        </w:rPr>
        <w:t xml:space="preserve">Exit:</w:t>
      </w:r>
      <w:r>
        <w:t xml:space="preserve"> </w:t>
      </w:r>
      <w:r>
        <w:t xml:space="preserve">during transition Udofin does not erase, purge or alter the RE’s data unless RBI or the RE instructs (OUT para 87); purge after the RE’s sign-off with a purge certificate and independent assurance (OUT para 97(xvi)); run by Part 7B UP5.</w:t>
      </w:r>
    </w:p>
    <w:bookmarkEnd w:id="397"/>
    <w:bookmarkStart w:id="398" w:name="settings-and-options-ra3"/>
    <w:p>
      <w:pPr>
        <w:pStyle w:val="Heading3"/>
      </w:pPr>
      <w:r>
        <w:t xml:space="preserve">Settings and options (RA3)</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55"/>
        <w:gridCol w:w="1382"/>
        <w:gridCol w:w="3485"/>
        <w:gridCol w:w="2816"/>
      </w:tblGrid>
      <w:tr>
        <w:trPr>
          <w:tblHeader w:val="true"/>
          <w:tblHeader w:val="true"/>
        </w:trPr>
        <w:tc>
          <w:tcPr>
            <w:tcW w:w="1955" w:type="dxa"/>
            <w:shd w:val="clear" w:color="auto" w:fill="1F3A5F"/>
          </w:tcPr>
          <w:p>
            <w:pPr>
              <w:pStyle w:val="Compact"/>
              <w:spacing w:after="40"/>
              <w:jc w:val="left"/>
            </w:pPr>
            <w:r>
              <w:rPr>
                <w:b/>
                <w:color w:val="FFFFFF"/>
                <w:sz w:val="18"/>
              </w:rPr>
              <w:t xml:space="preserve">Setting</w:t>
            </w:r>
          </w:p>
        </w:tc>
        <w:tc>
          <w:tcPr>
            <w:tcW w:w="1382" w:type="dxa"/>
            <w:shd w:val="clear" w:color="auto" w:fill="1F3A5F"/>
          </w:tcPr>
          <w:p>
            <w:pPr>
              <w:pStyle w:val="Compact"/>
              <w:spacing w:after="40"/>
              <w:jc w:val="left"/>
            </w:pPr>
            <w:r>
              <w:rPr>
                <w:b/>
                <w:color w:val="FFFFFF"/>
                <w:sz w:val="18"/>
              </w:rPr>
              <w:t xml:space="preserve">Level</w:t>
            </w:r>
          </w:p>
        </w:tc>
        <w:tc>
          <w:tcPr>
            <w:tcW w:w="3485" w:type="dxa"/>
            <w:shd w:val="clear" w:color="auto" w:fill="1F3A5F"/>
          </w:tcPr>
          <w:p>
            <w:pPr>
              <w:pStyle w:val="Compact"/>
              <w:spacing w:after="40"/>
              <w:jc w:val="left"/>
            </w:pPr>
            <w:r>
              <w:rPr>
                <w:b/>
                <w:color w:val="FFFFFF"/>
                <w:sz w:val="18"/>
              </w:rPr>
              <w:t xml:space="preserve">Default</w:t>
            </w:r>
          </w:p>
        </w:tc>
        <w:tc>
          <w:tcPr>
            <w:tcW w:w="2816" w:type="dxa"/>
            <w:shd w:val="clear" w:color="auto" w:fill="1F3A5F"/>
          </w:tcPr>
          <w:p>
            <w:pPr>
              <w:pStyle w:val="Compact"/>
              <w:spacing w:after="40"/>
              <w:jc w:val="left"/>
            </w:pPr>
            <w:r>
              <w:rPr>
                <w:b/>
                <w:color w:val="FFFFFF"/>
                <w:sz w:val="18"/>
              </w:rPr>
              <w:t xml:space="preserve">Nature</w:t>
            </w:r>
          </w:p>
        </w:tc>
      </w:tr>
      <w:tr>
        <w:tc>
          <w:tcPr>
            <w:tcW w:w="1955" w:type="dxa"/>
          </w:tcPr>
          <w:p>
            <w:pPr>
              <w:pStyle w:val="Compact"/>
              <w:spacing w:after="40"/>
              <w:jc w:val="left"/>
            </w:pPr>
            <w:r>
              <w:rPr>
                <w:sz w:val="18"/>
              </w:rPr>
              <w:t xml:space="preserve">Scheduled incremental export</w:t>
            </w:r>
          </w:p>
        </w:tc>
        <w:tc>
          <w:tcPr>
            <w:tcW w:w="1382" w:type="dxa"/>
          </w:tcPr>
          <w:p>
            <w:pPr>
              <w:pStyle w:val="Compact"/>
              <w:spacing w:after="40"/>
              <w:jc w:val="left"/>
            </w:pPr>
            <w:r>
              <w:rPr>
                <w:sz w:val="18"/>
              </w:rPr>
              <w:t xml:space="preserve">RE deal</w:t>
            </w:r>
          </w:p>
        </w:tc>
        <w:tc>
          <w:tcPr>
            <w:tcW w:w="3485" w:type="dxa"/>
          </w:tcPr>
          <w:p>
            <w:pPr>
              <w:pStyle w:val="Compact"/>
              <w:spacing w:after="40"/>
              <w:jc w:val="left"/>
            </w:pPr>
            <w:r>
              <w:rPr>
                <w:sz w:val="18"/>
              </w:rPr>
              <w:t xml:space="preserve">Off; when on, monthly</w:t>
            </w:r>
          </w:p>
        </w:tc>
        <w:tc>
          <w:tcPr>
            <w:tcW w:w="2816" w:type="dxa"/>
          </w:tcPr>
          <w:p>
            <w:pPr>
              <w:pStyle w:val="Compact"/>
              <w:spacing w:after="40"/>
              <w:jc w:val="left"/>
            </w:pPr>
            <w:r>
              <w:rPr>
                <w:sz w:val="18"/>
              </w:rPr>
              <w:t xml:space="preserve">RE choice (daily, weekly or monthly)</w:t>
            </w:r>
          </w:p>
        </w:tc>
      </w:tr>
      <w:tr>
        <w:tc>
          <w:tcPr>
            <w:tcW w:w="1955" w:type="dxa"/>
          </w:tcPr>
          <w:p>
            <w:pPr>
              <w:pStyle w:val="Compact"/>
              <w:spacing w:after="40"/>
              <w:jc w:val="left"/>
            </w:pPr>
            <w:r>
              <w:rPr>
                <w:sz w:val="18"/>
              </w:rPr>
              <w:t xml:space="preserve">Backups to RE storage</w:t>
            </w:r>
          </w:p>
        </w:tc>
        <w:tc>
          <w:tcPr>
            <w:tcW w:w="1382" w:type="dxa"/>
          </w:tcPr>
          <w:p>
            <w:pPr>
              <w:pStyle w:val="Compact"/>
              <w:spacing w:after="40"/>
              <w:jc w:val="left"/>
            </w:pPr>
            <w:r>
              <w:rPr>
                <w:sz w:val="18"/>
              </w:rPr>
              <w:t xml:space="preserve">RE deal</w:t>
            </w:r>
          </w:p>
        </w:tc>
        <w:tc>
          <w:tcPr>
            <w:tcW w:w="3485" w:type="dxa"/>
          </w:tcPr>
          <w:p>
            <w:pPr>
              <w:pStyle w:val="Compact"/>
              <w:spacing w:after="40"/>
              <w:jc w:val="left"/>
            </w:pPr>
            <w:r>
              <w:rPr>
                <w:sz w:val="18"/>
              </w:rPr>
              <w:t xml:space="preserve">Off; when on, daily incremental and weekly full</w:t>
            </w:r>
          </w:p>
        </w:tc>
        <w:tc>
          <w:tcPr>
            <w:tcW w:w="2816" w:type="dxa"/>
          </w:tcPr>
          <w:p>
            <w:pPr>
              <w:pStyle w:val="Compact"/>
              <w:spacing w:after="40"/>
              <w:jc w:val="left"/>
            </w:pPr>
            <w:r>
              <w:rPr>
                <w:sz w:val="18"/>
              </w:rPr>
              <w:t xml:space="preserve">RE choice</w:t>
            </w:r>
          </w:p>
        </w:tc>
      </w:tr>
      <w:tr>
        <w:tc>
          <w:tcPr>
            <w:tcW w:w="1955" w:type="dxa"/>
          </w:tcPr>
          <w:p>
            <w:pPr>
              <w:pStyle w:val="Compact"/>
              <w:spacing w:after="40"/>
              <w:jc w:val="left"/>
            </w:pPr>
            <w:r>
              <w:rPr>
                <w:sz w:val="18"/>
              </w:rPr>
              <w:t xml:space="preserve">Restore test</w:t>
            </w:r>
          </w:p>
        </w:tc>
        <w:tc>
          <w:tcPr>
            <w:tcW w:w="1382" w:type="dxa"/>
          </w:tcPr>
          <w:p>
            <w:pPr>
              <w:pStyle w:val="Compact"/>
              <w:spacing w:after="40"/>
              <w:jc w:val="left"/>
            </w:pPr>
            <w:r>
              <w:rPr>
                <w:sz w:val="18"/>
              </w:rPr>
              <w:t xml:space="preserve">RE deal</w:t>
            </w:r>
          </w:p>
        </w:tc>
        <w:tc>
          <w:tcPr>
            <w:tcW w:w="3485" w:type="dxa"/>
          </w:tcPr>
          <w:p>
            <w:pPr>
              <w:pStyle w:val="Compact"/>
              <w:spacing w:after="40"/>
              <w:jc w:val="left"/>
            </w:pPr>
            <w:r>
              <w:rPr>
                <w:sz w:val="18"/>
              </w:rPr>
              <w:t xml:space="preserve">Quarterly</w:t>
            </w:r>
          </w:p>
        </w:tc>
        <w:tc>
          <w:tcPr>
            <w:tcW w:w="2816" w:type="dxa"/>
          </w:tcPr>
          <w:p>
            <w:pPr>
              <w:pStyle w:val="Compact"/>
              <w:spacing w:after="40"/>
              <w:jc w:val="left"/>
            </w:pPr>
            <w:r>
              <w:rPr>
                <w:sz w:val="18"/>
              </w:rPr>
              <w:t xml:space="preserve">Floor once backups are on</w:t>
            </w:r>
          </w:p>
        </w:tc>
      </w:tr>
      <w:tr>
        <w:tc>
          <w:tcPr>
            <w:tcW w:w="1955" w:type="dxa"/>
          </w:tcPr>
          <w:p>
            <w:pPr>
              <w:pStyle w:val="Compact"/>
              <w:spacing w:after="40"/>
              <w:jc w:val="left"/>
            </w:pPr>
            <w:r>
              <w:rPr>
                <w:sz w:val="18"/>
              </w:rPr>
              <w:t xml:space="preserve">Download-link validity</w:t>
            </w:r>
          </w:p>
        </w:tc>
        <w:tc>
          <w:tcPr>
            <w:tcW w:w="1382" w:type="dxa"/>
          </w:tcPr>
          <w:p>
            <w:pPr>
              <w:pStyle w:val="Compact"/>
              <w:spacing w:after="40"/>
              <w:jc w:val="left"/>
            </w:pPr>
            <w:r>
              <w:rPr>
                <w:sz w:val="18"/>
              </w:rPr>
              <w:t xml:space="preserve">Platform</w:t>
            </w:r>
          </w:p>
        </w:tc>
        <w:tc>
          <w:tcPr>
            <w:tcW w:w="3485" w:type="dxa"/>
          </w:tcPr>
          <w:p>
            <w:pPr>
              <w:pStyle w:val="Compact"/>
              <w:spacing w:after="40"/>
              <w:jc w:val="left"/>
            </w:pPr>
            <w:r>
              <w:rPr>
                <w:sz w:val="18"/>
              </w:rPr>
              <w:t xml:space="preserve">7 days</w:t>
            </w:r>
          </w:p>
        </w:tc>
        <w:tc>
          <w:tcPr>
            <w:tcW w:w="2816" w:type="dxa"/>
          </w:tcPr>
          <w:p>
            <w:pPr>
              <w:pStyle w:val="Compact"/>
              <w:spacing w:after="40"/>
              <w:jc w:val="left"/>
            </w:pPr>
            <w:r>
              <w:rPr>
                <w:sz w:val="18"/>
              </w:rPr>
              <w:t xml:space="preserve">May only be shortened</w:t>
            </w:r>
          </w:p>
        </w:tc>
      </w:tr>
      <w:tr>
        <w:tc>
          <w:tcPr>
            <w:tcW w:w="1955" w:type="dxa"/>
          </w:tcPr>
          <w:p>
            <w:pPr>
              <w:pStyle w:val="Compact"/>
              <w:spacing w:after="40"/>
              <w:jc w:val="left"/>
            </w:pPr>
            <w:r>
              <w:rPr>
                <w:sz w:val="18"/>
              </w:rPr>
              <w:t xml:space="preserve">Archive language</w:t>
            </w:r>
          </w:p>
        </w:tc>
        <w:tc>
          <w:tcPr>
            <w:tcW w:w="1382" w:type="dxa"/>
          </w:tcPr>
          <w:p>
            <w:pPr>
              <w:pStyle w:val="Compact"/>
              <w:spacing w:after="40"/>
              <w:jc w:val="left"/>
            </w:pPr>
            <w:r>
              <w:rPr>
                <w:sz w:val="18"/>
              </w:rPr>
              <w:t xml:space="preserve">RE</w:t>
            </w:r>
          </w:p>
        </w:tc>
        <w:tc>
          <w:tcPr>
            <w:tcW w:w="3485" w:type="dxa"/>
          </w:tcPr>
          <w:p>
            <w:pPr>
              <w:pStyle w:val="Compact"/>
              <w:spacing w:after="40"/>
              <w:jc w:val="left"/>
            </w:pPr>
            <w:r>
              <w:rPr>
                <w:sz w:val="18"/>
              </w:rPr>
              <w:t xml:space="preserve">English README; Hindi optional</w:t>
            </w:r>
          </w:p>
        </w:tc>
        <w:tc>
          <w:tcPr>
            <w:tcW w:w="2816" w:type="dxa"/>
          </w:tcPr>
          <w:p>
            <w:pPr>
              <w:pStyle w:val="Compact"/>
              <w:spacing w:after="40"/>
              <w:jc w:val="left"/>
            </w:pPr>
            <w:r>
              <w:rPr>
                <w:sz w:val="18"/>
              </w:rPr>
              <w:t xml:space="preserve">RE choice</w:t>
            </w:r>
          </w:p>
        </w:tc>
      </w:tr>
      <w:tr>
        <w:tc>
          <w:tcPr>
            <w:tcW w:w="1955" w:type="dxa"/>
          </w:tcPr>
          <w:p>
            <w:pPr>
              <w:pStyle w:val="Compact"/>
              <w:spacing w:after="40"/>
              <w:jc w:val="left"/>
            </w:pPr>
            <w:r>
              <w:rPr>
                <w:sz w:val="18"/>
              </w:rPr>
              <w:t xml:space="preserve">Key mode</w:t>
            </w:r>
          </w:p>
        </w:tc>
        <w:tc>
          <w:tcPr>
            <w:tcW w:w="1382" w:type="dxa"/>
          </w:tcPr>
          <w:p>
            <w:pPr>
              <w:pStyle w:val="Compact"/>
              <w:spacing w:after="40"/>
              <w:jc w:val="left"/>
            </w:pPr>
            <w:r>
              <w:rPr>
                <w:sz w:val="18"/>
              </w:rPr>
              <w:t xml:space="preserve">RE</w:t>
            </w:r>
          </w:p>
        </w:tc>
        <w:tc>
          <w:tcPr>
            <w:tcW w:w="3485" w:type="dxa"/>
          </w:tcPr>
          <w:p>
            <w:pPr>
              <w:pStyle w:val="Compact"/>
              <w:spacing w:after="40"/>
              <w:jc w:val="left"/>
            </w:pPr>
            <w:r>
              <w:rPr>
                <w:sz w:val="18"/>
              </w:rPr>
              <w:t xml:space="preserve">Platform-managed per-tenant KMS key; BYOK or encryption to the RE’s public key on request</w:t>
            </w:r>
          </w:p>
        </w:tc>
        <w:tc>
          <w:tcPr>
            <w:tcW w:w="2816" w:type="dxa"/>
          </w:tcPr>
          <w:p>
            <w:pPr>
              <w:pStyle w:val="Compact"/>
              <w:spacing w:after="40"/>
              <w:jc w:val="left"/>
            </w:pPr>
            <w:r>
              <w:rPr>
                <w:sz w:val="18"/>
              </w:rPr>
              <w:t xml:space="preserve">RE choice; HYOK only with the RE’s written risk acceptance</w:t>
            </w:r>
          </w:p>
        </w:tc>
      </w:tr>
      <w:tr>
        <w:tc>
          <w:tcPr>
            <w:tcW w:w="1955" w:type="dxa"/>
          </w:tcPr>
          <w:p>
            <w:pPr>
              <w:pStyle w:val="Compact"/>
              <w:spacing w:after="40"/>
              <w:jc w:val="left"/>
            </w:pPr>
            <w:r>
              <w:rPr>
                <w:sz w:val="18"/>
              </w:rPr>
              <w:t xml:space="preserve">Write-once on target</w:t>
            </w:r>
          </w:p>
        </w:tc>
        <w:tc>
          <w:tcPr>
            <w:tcW w:w="1382" w:type="dxa"/>
          </w:tcPr>
          <w:p>
            <w:pPr>
              <w:pStyle w:val="Compact"/>
              <w:spacing w:after="40"/>
              <w:jc w:val="left"/>
            </w:pPr>
            <w:r>
              <w:rPr>
                <w:sz w:val="18"/>
              </w:rPr>
              <w:t xml:space="preserve">RE, per target</w:t>
            </w:r>
          </w:p>
        </w:tc>
        <w:tc>
          <w:tcPr>
            <w:tcW w:w="3485" w:type="dxa"/>
          </w:tcPr>
          <w:p>
            <w:pPr>
              <w:pStyle w:val="Compact"/>
              <w:spacing w:after="40"/>
              <w:jc w:val="left"/>
            </w:pPr>
            <w:r>
              <w:rPr>
                <w:sz w:val="18"/>
              </w:rPr>
              <w:t xml:space="preserve">Off</w:t>
            </w:r>
          </w:p>
        </w:tc>
        <w:tc>
          <w:tcPr>
            <w:tcW w:w="2816" w:type="dxa"/>
          </w:tcPr>
          <w:p>
            <w:pPr>
              <w:pStyle w:val="Compact"/>
              <w:spacing w:after="40"/>
              <w:jc w:val="left"/>
            </w:pPr>
            <w:r>
              <w:rPr>
                <w:sz w:val="18"/>
              </w:rPr>
              <w:t xml:space="preserve">RE choice where the provider supports a lock</w:t>
            </w:r>
          </w:p>
        </w:tc>
      </w:tr>
    </w:tbl>
    <w:bookmarkEnd w:id="398"/>
    <w:bookmarkStart w:id="399" w:name="menu-and-screens-lender-portal-channel-d"/>
    <w:p>
      <w:pPr>
        <w:pStyle w:val="Heading3"/>
      </w:pPr>
      <w:r>
        <w:t xml:space="preserve">Menu and screens (lender portal, channel 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39"/>
        <w:gridCol w:w="4849"/>
        <w:gridCol w:w="2350"/>
      </w:tblGrid>
      <w:tr>
        <w:trPr>
          <w:tblHeader w:val="true"/>
          <w:tblHeader w:val="true"/>
        </w:trPr>
        <w:tc>
          <w:tcPr>
            <w:tcW w:w="2439" w:type="dxa"/>
            <w:shd w:val="clear" w:color="auto" w:fill="1F3A5F"/>
          </w:tcPr>
          <w:p>
            <w:pPr>
              <w:pStyle w:val="Compact"/>
              <w:spacing w:after="40"/>
              <w:jc w:val="left"/>
            </w:pPr>
            <w:r>
              <w:rPr>
                <w:b/>
                <w:color w:val="FFFFFF"/>
                <w:sz w:val="18"/>
              </w:rPr>
              <w:t xml:space="preserve">Path</w:t>
            </w:r>
          </w:p>
        </w:tc>
        <w:tc>
          <w:tcPr>
            <w:tcW w:w="4849" w:type="dxa"/>
            <w:shd w:val="clear" w:color="auto" w:fill="1F3A5F"/>
          </w:tcPr>
          <w:p>
            <w:pPr>
              <w:pStyle w:val="Compact"/>
              <w:spacing w:after="40"/>
              <w:jc w:val="left"/>
            </w:pPr>
            <w:r>
              <w:rPr>
                <w:b/>
                <w:color w:val="FFFFFF"/>
                <w:sz w:val="18"/>
              </w:rPr>
              <w:t xml:space="preserve">Main screens and key actions</w:t>
            </w:r>
          </w:p>
        </w:tc>
        <w:tc>
          <w:tcPr>
            <w:tcW w:w="2350" w:type="dxa"/>
            <w:shd w:val="clear" w:color="auto" w:fill="1F3A5F"/>
          </w:tcPr>
          <w:p>
            <w:pPr>
              <w:pStyle w:val="Compact"/>
              <w:spacing w:after="40"/>
              <w:jc w:val="left"/>
            </w:pPr>
            <w:r>
              <w:rPr>
                <w:b/>
                <w:color w:val="FFFFFF"/>
                <w:sz w:val="18"/>
              </w:rPr>
              <w:t xml:space="preserve">Roles</w:t>
            </w:r>
          </w:p>
        </w:tc>
      </w:tr>
      <w:tr>
        <w:tc>
          <w:tcPr>
            <w:tcW w:w="2439" w:type="dxa"/>
          </w:tcPr>
          <w:p>
            <w:pPr>
              <w:pStyle w:val="Compact"/>
              <w:spacing w:after="40"/>
              <w:jc w:val="left"/>
            </w:pPr>
            <w:r>
              <w:rPr>
                <w:rStyle w:val="VerbatimChar"/>
                <w:sz w:val="18"/>
              </w:rPr>
              <w:t xml:space="preserve">Exports › New export</w:t>
            </w:r>
          </w:p>
        </w:tc>
        <w:tc>
          <w:tcPr>
            <w:tcW w:w="4849" w:type="dxa"/>
          </w:tcPr>
          <w:p>
            <w:pPr>
              <w:pStyle w:val="Compact"/>
              <w:spacing w:after="40"/>
              <w:jc w:val="left"/>
            </w:pPr>
            <w:r>
              <w:rPr>
                <w:sz w:val="18"/>
              </w:rPr>
              <w:t xml:space="preserve">Wizard: type (full, period, dataset, incremental), datasets, period, restricted folder request, target or download; second-approver step for full and exit exports</w:t>
            </w:r>
          </w:p>
        </w:tc>
        <w:tc>
          <w:tcPr>
            <w:tcW w:w="2350" w:type="dxa"/>
          </w:tcPr>
          <w:p>
            <w:pPr>
              <w:pStyle w:val="Compact"/>
              <w:spacing w:after="40"/>
              <w:jc w:val="left"/>
            </w:pPr>
            <w:r>
              <w:rPr>
                <w:sz w:val="18"/>
              </w:rPr>
              <w:t xml:space="preserve">RE admin (maker), second RE approver</w:t>
            </w:r>
          </w:p>
        </w:tc>
      </w:tr>
      <w:tr>
        <w:tc>
          <w:tcPr>
            <w:tcW w:w="2439" w:type="dxa"/>
          </w:tcPr>
          <w:p>
            <w:pPr>
              <w:pStyle w:val="Compact"/>
              <w:spacing w:after="40"/>
              <w:jc w:val="left"/>
            </w:pPr>
            <w:r>
              <w:rPr>
                <w:rStyle w:val="VerbatimChar"/>
                <w:sz w:val="18"/>
              </w:rPr>
              <w:t xml:space="preserve">Exports › Jobs</w:t>
            </w:r>
          </w:p>
        </w:tc>
        <w:tc>
          <w:tcPr>
            <w:tcW w:w="4849" w:type="dxa"/>
          </w:tcPr>
          <w:p>
            <w:pPr>
              <w:pStyle w:val="Compact"/>
              <w:spacing w:after="40"/>
              <w:jc w:val="left"/>
            </w:pPr>
            <w:r>
              <w:rPr>
                <w:sz w:val="18"/>
              </w:rPr>
              <w:t xml:space="preserve">Job list by state with progress, control-total check, manifest hash, download (link countdown), retry or cancel before SIGN; filters by type, state and date</w:t>
            </w:r>
          </w:p>
        </w:tc>
        <w:tc>
          <w:tcPr>
            <w:tcW w:w="2350" w:type="dxa"/>
          </w:tcPr>
          <w:p>
            <w:pPr>
              <w:pStyle w:val="Compact"/>
              <w:spacing w:after="40"/>
              <w:jc w:val="left"/>
            </w:pPr>
            <w:r>
              <w:rPr>
                <w:sz w:val="18"/>
              </w:rPr>
              <w:t xml:space="preserve">RE admin</w:t>
            </w:r>
          </w:p>
        </w:tc>
      </w:tr>
      <w:tr>
        <w:tc>
          <w:tcPr>
            <w:tcW w:w="2439" w:type="dxa"/>
          </w:tcPr>
          <w:p>
            <w:pPr>
              <w:pStyle w:val="Compact"/>
              <w:spacing w:after="40"/>
              <w:jc w:val="left"/>
            </w:pPr>
            <w:r>
              <w:rPr>
                <w:rStyle w:val="VerbatimChar"/>
                <w:sz w:val="18"/>
              </w:rPr>
              <w:t xml:space="preserve">Exports › Storage targets</w:t>
            </w:r>
          </w:p>
        </w:tc>
        <w:tc>
          <w:tcPr>
            <w:tcW w:w="4849" w:type="dxa"/>
          </w:tcPr>
          <w:p>
            <w:pPr>
              <w:pStyle w:val="Compact"/>
              <w:spacing w:after="40"/>
              <w:jc w:val="left"/>
            </w:pPr>
            <w:r>
              <w:rPr>
                <w:sz w:val="18"/>
              </w:rPr>
              <w:t xml:space="preserve">Register a target (wizard with residency check and canary), health status, re-attestation dates, disable</w:t>
            </w:r>
          </w:p>
        </w:tc>
        <w:tc>
          <w:tcPr>
            <w:tcW w:w="2350" w:type="dxa"/>
          </w:tcPr>
          <w:p>
            <w:pPr>
              <w:pStyle w:val="Compact"/>
              <w:spacing w:after="40"/>
              <w:jc w:val="left"/>
            </w:pPr>
            <w:r>
              <w:rPr>
                <w:sz w:val="18"/>
              </w:rPr>
              <w:t xml:space="preserve">RE IT admin (maker), RE CISO (checker)</w:t>
            </w:r>
          </w:p>
        </w:tc>
      </w:tr>
      <w:tr>
        <w:tc>
          <w:tcPr>
            <w:tcW w:w="2439" w:type="dxa"/>
          </w:tcPr>
          <w:p>
            <w:pPr>
              <w:pStyle w:val="Compact"/>
              <w:spacing w:after="40"/>
              <w:jc w:val="left"/>
            </w:pPr>
            <w:r>
              <w:rPr>
                <w:rStyle w:val="VerbatimChar"/>
                <w:sz w:val="18"/>
              </w:rPr>
              <w:t xml:space="preserve">Exports › Backups and restore tests</w:t>
            </w:r>
          </w:p>
        </w:tc>
        <w:tc>
          <w:tcPr>
            <w:tcW w:w="4849" w:type="dxa"/>
          </w:tcPr>
          <w:p>
            <w:pPr>
              <w:pStyle w:val="Compact"/>
              <w:spacing w:after="40"/>
              <w:jc w:val="left"/>
            </w:pPr>
            <w:r>
              <w:rPr>
                <w:sz w:val="18"/>
              </w:rPr>
              <w:t xml:space="preserve">Backup runs, restore-test records and sign-off, failed-test issues</w:t>
            </w:r>
          </w:p>
        </w:tc>
        <w:tc>
          <w:tcPr>
            <w:tcW w:w="2350" w:type="dxa"/>
          </w:tcPr>
          <w:p>
            <w:pPr>
              <w:pStyle w:val="Compact"/>
              <w:spacing w:after="40"/>
              <w:jc w:val="left"/>
            </w:pPr>
            <w:r>
              <w:rPr>
                <w:sz w:val="18"/>
              </w:rPr>
              <w:t xml:space="preserve">RE IT admin</w:t>
            </w:r>
          </w:p>
        </w:tc>
      </w:tr>
      <w:tr>
        <w:tc>
          <w:tcPr>
            <w:tcW w:w="2439" w:type="dxa"/>
          </w:tcPr>
          <w:p>
            <w:pPr>
              <w:pStyle w:val="Compact"/>
              <w:spacing w:after="40"/>
              <w:jc w:val="left"/>
            </w:pPr>
            <w:r>
              <w:rPr>
                <w:sz w:val="18"/>
              </w:rPr>
              <w:t xml:space="preserve">Operations portal (C):</w:t>
            </w:r>
            <w:r>
              <w:rPr>
                <w:sz w:val="18"/>
              </w:rPr>
              <w:t xml:space="preserve"> </w:t>
            </w:r>
            <w:r>
              <w:rPr>
                <w:rStyle w:val="VerbatimChar"/>
                <w:sz w:val="18"/>
              </w:rPr>
              <w:t xml:space="preserve">Portability › Jobs</w:t>
            </w:r>
          </w:p>
        </w:tc>
        <w:tc>
          <w:tcPr>
            <w:tcW w:w="4849" w:type="dxa"/>
          </w:tcPr>
          <w:p>
            <w:pPr>
              <w:pStyle w:val="Compact"/>
              <w:spacing w:after="40"/>
              <w:jc w:val="left"/>
            </w:pPr>
            <w:r>
              <w:rPr>
                <w:sz w:val="18"/>
              </w:rPr>
              <w:t xml:space="preserve">Cross-RE job health (counts and states only), Udofin operations checker for full and exit exports</w:t>
            </w:r>
          </w:p>
        </w:tc>
        <w:tc>
          <w:tcPr>
            <w:tcW w:w="2350" w:type="dxa"/>
          </w:tcPr>
          <w:p>
            <w:pPr>
              <w:pStyle w:val="Compact"/>
              <w:spacing w:after="40"/>
              <w:jc w:val="left"/>
            </w:pPr>
            <w:r>
              <w:rPr>
                <w:sz w:val="18"/>
              </w:rPr>
              <w:t xml:space="preserve">Udofin operations</w:t>
            </w:r>
          </w:p>
        </w:tc>
      </w:tr>
    </w:tbl>
    <w:p>
      <w:pPr>
        <w:pStyle w:val="BodyText"/>
      </w:pPr>
      <w:r>
        <w:t xml:space="preserve">Empty state:</w:t>
      </w:r>
      <w:r>
        <w:t xml:space="preserve"> </w:t>
      </w:r>
      <w:r>
        <w:t xml:space="preserve">“</w:t>
      </w:r>
      <w:r>
        <w:t xml:space="preserve">No storage target is registered. Archives can be downloaded from Jobs, or register an India-region target.</w:t>
      </w:r>
      <w:r>
        <w:t xml:space="preserve">”</w:t>
      </w:r>
    </w:p>
    <w:bookmarkEnd w:id="399"/>
    <w:bookmarkStart w:id="400" w:name="acceptance-tests-27"/>
    <w:p>
      <w:pPr>
        <w:pStyle w:val="Heading3"/>
      </w:pPr>
      <w:r>
        <w:t xml:space="preserve">Acceptance tests</w:t>
      </w:r>
    </w:p>
    <w:p>
      <w:pPr>
        <w:numPr>
          <w:ilvl w:val="0"/>
          <w:numId w:val="1242"/>
        </w:numPr>
        <w:pStyle w:val="Compact"/>
      </w:pPr>
      <w:r>
        <w:t xml:space="preserve">A Google Drive target cannot be selected for any borrower data class, and an S3, Azure or GCS target in a non-India region cannot be registered for an RE.</w:t>
      </w:r>
    </w:p>
    <w:p>
      <w:pPr>
        <w:numPr>
          <w:ilvl w:val="0"/>
          <w:numId w:val="1242"/>
        </w:numPr>
        <w:pStyle w:val="Compact"/>
      </w:pPr>
      <w:r>
        <w:t xml:space="preserve">An RE archive never contains wellness, credit-report or insurance data, or another RE’s data (content scan).</w:t>
      </w:r>
    </w:p>
    <w:p>
      <w:pPr>
        <w:numPr>
          <w:ilvl w:val="0"/>
          <w:numId w:val="1242"/>
        </w:numPr>
        <w:pStyle w:val="Compact"/>
      </w:pPr>
      <w:r>
        <w:t xml:space="preserve">A full export without a second RE approver stays in</w:t>
      </w:r>
      <w:r>
        <w:t xml:space="preserve"> </w:t>
      </w:r>
      <w:r>
        <w:rPr>
          <w:rStyle w:val="VerbatimChar"/>
        </w:rPr>
        <w:t xml:space="preserve">REQUESTED</w:t>
      </w:r>
      <w:r>
        <w:t xml:space="preserve">; links expire after 7 days.</w:t>
      </w:r>
    </w:p>
    <w:p>
      <w:pPr>
        <w:numPr>
          <w:ilvl w:val="0"/>
          <w:numId w:val="1242"/>
        </w:numPr>
        <w:pStyle w:val="Compact"/>
      </w:pPr>
      <w:r>
        <w:t xml:space="preserve">The verifier validates the signed manifest and detects a single altered byte.</w:t>
      </w:r>
    </w:p>
    <w:p>
      <w:pPr>
        <w:numPr>
          <w:ilvl w:val="0"/>
          <w:numId w:val="1242"/>
        </w:numPr>
        <w:pStyle w:val="Compact"/>
      </w:pPr>
      <w:r>
        <w:t xml:space="preserve">Generated XLSX, DOCX and PDF/A files open in headless LibreOffice in CI.</w:t>
      </w:r>
    </w:p>
    <w:p>
      <w:pPr>
        <w:numPr>
          <w:ilvl w:val="0"/>
          <w:numId w:val="1242"/>
        </w:numPr>
        <w:pStyle w:val="Compact"/>
      </w:pPr>
      <w:r>
        <w:t xml:space="preserve">A quarterly restore test produces matching record counts and checksums; a failed test raises an issue.</w:t>
      </w:r>
    </w:p>
    <w:p>
      <w:r>
        <w:pict>
          <v:rect style="width:0;height:1.5pt" o:hralign="center" o:hrstd="t" o:hr="t"/>
        </w:pict>
      </w:r>
    </w:p>
    <w:bookmarkEnd w:id="400"/>
    <w:bookmarkEnd w:id="401"/>
    <w:bookmarkStart w:id="409" w:name="X37dcdb9510ebbf89b6b56c6bf8e547a2a2013da"/>
    <w:p>
      <w:pPr>
        <w:pStyle w:val="Heading2"/>
      </w:pPr>
      <w:r>
        <w:t xml:space="preserve">RA4. Engineering operations and certification readiness</w:t>
      </w:r>
    </w:p>
    <w:bookmarkStart w:id="402" w:name="ra4.1-same-programme-as-finbyx"/>
    <w:p>
      <w:pPr>
        <w:pStyle w:val="Heading3"/>
      </w:pPr>
      <w:r>
        <w:t xml:space="preserve">RA4.1 Same programme as Finbyx</w:t>
      </w:r>
    </w:p>
    <w:p>
      <w:pPr>
        <w:pStyle w:val="FirstParagraph"/>
      </w:pPr>
      <w:r>
        <w:t xml:space="preserve">Udofin runs the</w:t>
      </w:r>
      <w:r>
        <w:t xml:space="preserve"> </w:t>
      </w:r>
      <w:r>
        <w:rPr>
          <w:bCs/>
          <w:b/>
        </w:rPr>
        <w:t xml:space="preserve">same engineering-operations programme as Finbyx Part 7L (EO1–EO5)</w:t>
      </w:r>
      <w:r>
        <w:t xml:space="preserve">, with the evidence collected in the Operations Hub engineering-operations console and control library (OH13, OH14): GitHub rulesets and branch protection, CODEOWNERS for sensitive paths, signed commits, required checks, production environments with reviewers, change and patch management with the platform SLAs of Finbyx EO1.6 for product code and infrastructure (from triage: critical, KEV-listed or actively exploited 72 hours; high 7 days; medium 30 days; low 90 days; a stricter RE contract value wins; CYB paras 125–126), SBOM and supply-chain controls, VA every 6 months and PT every 12 months (CYB paras 121–126), backup and restore evidence, CYB para 105 escrow and para 106 certificates for REs that require them (Part 10.8 items 10–11), and the common control framework. This section adds only what is specific to Udofin as a mobile, borrower-facing DLA. Releases emit</w:t>
      </w:r>
      <w:r>
        <w:t xml:space="preserve"> </w:t>
      </w:r>
      <w:r>
        <w:rPr>
          <w:rStyle w:val="VerbatimChar"/>
        </w:rPr>
        <w:t xml:space="preserve">ReleasePublished</w:t>
      </w:r>
      <w:r>
        <w:t xml:space="preserve">; approved changes emit</w:t>
      </w:r>
      <w:r>
        <w:t xml:space="preserve"> </w:t>
      </w:r>
      <w:r>
        <w:rPr>
          <w:rStyle w:val="VerbatimChar"/>
        </w:rPr>
        <w:t xml:space="preserve">ChangeApproved</w:t>
      </w:r>
      <w:r>
        <w:t xml:space="preserve">; collected evidence emits</w:t>
      </w:r>
      <w:r>
        <w:t xml:space="preserve"> </w:t>
      </w:r>
      <w:r>
        <w:rPr>
          <w:rStyle w:val="VerbatimChar"/>
        </w:rPr>
        <w:t xml:space="preserve">ControlEvidenceCollected</w:t>
      </w:r>
      <w:r>
        <w:t xml:space="preserve">.</w:t>
      </w:r>
    </w:p>
    <w:bookmarkEnd w:id="402"/>
    <w:bookmarkStart w:id="403" w:name="ra4.2-app-store-release-controls"/>
    <w:p>
      <w:pPr>
        <w:pStyle w:val="Heading3"/>
      </w:pPr>
      <w:r>
        <w:t xml:space="preserve">RA4.2 App-store release controls</w:t>
      </w:r>
    </w:p>
    <w:p>
      <w:pPr>
        <w:numPr>
          <w:ilvl w:val="0"/>
          <w:numId w:val="1243"/>
        </w:numPr>
        <w:pStyle w:val="Compact"/>
      </w:pPr>
      <w:r>
        <w:rPr>
          <w:bCs/>
          <w:b/>
        </w:rPr>
        <w:t xml:space="preserve">Build provenance:</w:t>
      </w:r>
      <w:r>
        <w:t xml:space="preserve"> </w:t>
      </w:r>
      <w:r>
        <w:t xml:space="preserve">production builds only from protected tags in CI (Part 10.3); EAS production profile; build number, commit, SBOM and permission manifest stored in the release record.</w:t>
      </w:r>
    </w:p>
    <w:p>
      <w:pPr>
        <w:numPr>
          <w:ilvl w:val="0"/>
          <w:numId w:val="1243"/>
        </w:numPr>
        <w:pStyle w:val="Compact"/>
      </w:pPr>
      <w:r>
        <w:rPr>
          <w:bCs/>
          <w:b/>
        </w:rPr>
        <w:t xml:space="preserve">Store-declaration gate:</w:t>
      </w:r>
      <w:r>
        <w:t xml:space="preserve"> </w:t>
      </w:r>
      <w:r>
        <w:t xml:space="preserve">every release compares the merged Android manifest, iOS Info.plist and privacy manifest, the Google Play Data safety form, the Financial features declaration (including the India personal-loan declaration), Apple’s privacy labels and the App Store review notes with the approved versions; any difference blocks submission until Compliance approves and the declarations are updated.</w:t>
      </w:r>
    </w:p>
    <w:p>
      <w:pPr>
        <w:numPr>
          <w:ilvl w:val="0"/>
          <w:numId w:val="1243"/>
        </w:numPr>
        <w:pStyle w:val="Compact"/>
      </w:pPr>
      <w:r>
        <w:rPr>
          <w:bCs/>
          <w:b/>
        </w:rPr>
        <w:t xml:space="preserve">Partner-list check:</w:t>
      </w:r>
      <w:r>
        <w:t xml:space="preserve"> </w:t>
      </w:r>
      <w:r>
        <w:t xml:space="preserve">the Play listing’s partner-RE list and the in-app partner list match the DLA register; adding an RE to the listing is blocked until that RE confirms its CIMS DLA entry (Appendix B item 1).</w:t>
      </w:r>
    </w:p>
    <w:p>
      <w:pPr>
        <w:numPr>
          <w:ilvl w:val="0"/>
          <w:numId w:val="1243"/>
        </w:numPr>
        <w:pStyle w:val="Compact"/>
      </w:pPr>
      <w:r>
        <w:rPr>
          <w:bCs/>
          <w:b/>
        </w:rPr>
        <w:t xml:space="preserve">Staged rollout:</w:t>
      </w:r>
      <w:r>
        <w:t xml:space="preserve"> </w:t>
      </w:r>
      <w:r>
        <w:t xml:space="preserve">Play staged percentages (for example 1%, 5%, 20%, 50%, 100%) and App Store phased release, with automatic halt when crash-free sessions fall below 99.5%, ANR exceeds Play’s bad-behaviour threshold, or a P1 incident opens.</w:t>
      </w:r>
    </w:p>
    <w:p>
      <w:pPr>
        <w:numPr>
          <w:ilvl w:val="0"/>
          <w:numId w:val="1243"/>
        </w:numPr>
        <w:pStyle w:val="Compact"/>
      </w:pPr>
      <w:r>
        <w:rPr>
          <w:bCs/>
          <w:b/>
        </w:rPr>
        <w:t xml:space="preserve">OTA policy enforcement:</w:t>
      </w:r>
      <w:r>
        <w:t xml:space="preserve"> </w:t>
      </w:r>
      <w:r>
        <w:t xml:space="preserve">an OTA update that changes permissions, data collection, consent or disclosure screens, payment flows, product availability or a security control is rejected by the release pipeline (Part 10.3).</w:t>
      </w:r>
    </w:p>
    <w:p>
      <w:pPr>
        <w:numPr>
          <w:ilvl w:val="0"/>
          <w:numId w:val="1243"/>
        </w:numPr>
        <w:pStyle w:val="Compact"/>
      </w:pPr>
      <w:r>
        <w:rPr>
          <w:bCs/>
          <w:b/>
        </w:rPr>
        <w:t xml:space="preserve">Account security:</w:t>
      </w:r>
      <w:r>
        <w:t xml:space="preserve"> </w:t>
      </w:r>
      <w:r>
        <w:t xml:space="preserve">organisation accounts; hardware-key MFA for every Play Console and App Store Connect user; least-privilege roles; two-person rule for release to production and for signing-key operations; quarterly access review.</w:t>
      </w:r>
    </w:p>
    <w:p>
      <w:pPr>
        <w:numPr>
          <w:ilvl w:val="0"/>
          <w:numId w:val="1243"/>
        </w:numPr>
        <w:pStyle w:val="Compact"/>
      </w:pPr>
      <w:r>
        <w:rPr>
          <w:bCs/>
          <w:b/>
        </w:rPr>
        <w:t xml:space="preserve">Policy watch:</w:t>
      </w:r>
      <w:r>
        <w:t xml:space="preserve"> </w:t>
      </w:r>
      <w:r>
        <w:t xml:space="preserve">Google Play Financial Services and Personal Loans policy, Apple App Review Guidelines 3.2.2, target-API-level deadlines and SDK policy changes tracked in the regulatory register with owners and dates (R14).</w:t>
      </w:r>
    </w:p>
    <w:p>
      <w:pPr>
        <w:numPr>
          <w:ilvl w:val="0"/>
          <w:numId w:val="1243"/>
        </w:numPr>
        <w:pStyle w:val="Compact"/>
      </w:pPr>
      <w:r>
        <w:rPr>
          <w:bCs/>
          <w:b/>
        </w:rPr>
        <w:t xml:space="preserve">Release evidence pack:</w:t>
      </w:r>
      <w:r>
        <w:t xml:space="preserve"> </w:t>
      </w:r>
      <w:r>
        <w:t xml:space="preserve">change ticket, test results, VAPT status, declaration diff, rollout log, rollback plan; filed to OH13.</w:t>
      </w:r>
    </w:p>
    <w:bookmarkEnd w:id="403"/>
    <w:bookmarkStart w:id="404" w:name="ra4.3-mobile-app-vapt-and-masvs"/>
    <w:p>
      <w:pPr>
        <w:pStyle w:val="Heading3"/>
      </w:pPr>
      <w:r>
        <w:t xml:space="preserve">RA4.3 Mobile app VAPT and MASVS</w:t>
      </w:r>
    </w:p>
    <w:p>
      <w:pPr>
        <w:numPr>
          <w:ilvl w:val="0"/>
          <w:numId w:val="1244"/>
        </w:numPr>
        <w:pStyle w:val="Compact"/>
      </w:pPr>
      <w:r>
        <w:rPr>
          <w:bCs/>
          <w:b/>
        </w:rPr>
        <w:t xml:space="preserve">Standard:</w:t>
      </w:r>
      <w:r>
        <w:t xml:space="preserve"> </w:t>
      </w:r>
      <w:r>
        <w:t xml:space="preserve">OWASP MASVS v2.1.0 controls tested with the OWASP MASTG under the MAS-L2 and MAS-R testing profiles (MASVS v2 itself has no levels; Part 10.1), with MASWE weakness IDs, mapped to the Part 10.6 control table.</w:t>
      </w:r>
    </w:p>
    <w:p>
      <w:pPr>
        <w:numPr>
          <w:ilvl w:val="0"/>
          <w:numId w:val="1244"/>
        </w:numPr>
        <w:pStyle w:val="Compact"/>
      </w:pPr>
      <w:r>
        <w:rPr>
          <w:bCs/>
          <w:b/>
        </w:rPr>
        <w:t xml:space="preserve">Scope:</w:t>
      </w:r>
      <w:r>
        <w:t xml:space="preserve"> </w:t>
      </w:r>
      <w:r>
        <w:t xml:space="preserve">Android and iOS borrower apps, the field app (channel E), and their APIs; web and PWA to OWASP ASVS L2.</w:t>
      </w:r>
    </w:p>
    <w:p>
      <w:pPr>
        <w:numPr>
          <w:ilvl w:val="0"/>
          <w:numId w:val="1244"/>
        </w:numPr>
        <w:pStyle w:val="Compact"/>
      </w:pPr>
      <w:r>
        <w:rPr>
          <w:bCs/>
          <w:b/>
        </w:rPr>
        <w:t xml:space="preserve">Techniques:</w:t>
      </w:r>
      <w:r>
        <w:t xml:space="preserve"> </w:t>
      </w:r>
      <w:r>
        <w:t xml:space="preserve">static analysis of source and binaries; dynamic testing with runtime instrumentation; network interception against pinning; storage and keychain review; deep-link and WebView abuse; permission and FLAG_SECURE checks; root, jailbreak, hooking, emulator and repackaging resistance; third-party SDK inventory and data-flow review.</w:t>
      </w:r>
    </w:p>
    <w:p>
      <w:pPr>
        <w:numPr>
          <w:ilvl w:val="0"/>
          <w:numId w:val="1244"/>
        </w:numPr>
        <w:pStyle w:val="Compact"/>
      </w:pPr>
      <w:r>
        <w:rPr>
          <w:bCs/>
          <w:b/>
        </w:rPr>
        <w:t xml:space="preserve">Frequency:</w:t>
      </w:r>
      <w:r>
        <w:t xml:space="preserve"> </w:t>
      </w:r>
      <w:r>
        <w:t xml:space="preserve">before each major release, after any change to authentication, payment, consent or KYC flows, and at least annually; plus the CYB cadence for internet-facing systems; retest after remediation.</w:t>
      </w:r>
    </w:p>
    <w:p>
      <w:pPr>
        <w:numPr>
          <w:ilvl w:val="0"/>
          <w:numId w:val="1244"/>
        </w:numPr>
        <w:pStyle w:val="Compact"/>
      </w:pPr>
      <w:r>
        <w:rPr>
          <w:bCs/>
          <w:b/>
        </w:rPr>
        <w:t xml:space="preserve">Testers:</w:t>
      </w:r>
      <w:r>
        <w:t xml:space="preserve"> </w:t>
      </w:r>
      <w:r>
        <w:t xml:space="preserve">independent and appropriately trained (CYB para 122); CERT-In-empanelled by Udofin policy.</w:t>
      </w:r>
    </w:p>
    <w:p>
      <w:pPr>
        <w:numPr>
          <w:ilvl w:val="0"/>
          <w:numId w:val="1244"/>
        </w:numPr>
        <w:pStyle w:val="Compact"/>
      </w:pPr>
      <w:r>
        <w:rPr>
          <w:bCs/>
          <w:b/>
        </w:rPr>
        <w:t xml:space="preserve">Findings:</w:t>
      </w:r>
      <w:r>
        <w:t xml:space="preserve"> </w:t>
      </w:r>
      <w:r>
        <w:t xml:space="preserve">tracked to closure under the EO1.6 platform SLAs above, whoever raised them (including an RE-commissioned VAPT); retest by the tester; exceptions only with a CISO risk acceptance expiring within 90 days; summaries and remediation status shared with REs (Part 10.8 item 10).</w:t>
      </w:r>
    </w:p>
    <w:bookmarkEnd w:id="404"/>
    <w:bookmarkStart w:id="405" w:name="ra4.4-certification-readiness"/>
    <w:p>
      <w:pPr>
        <w:pStyle w:val="Heading3"/>
      </w:pPr>
      <w:r>
        <w:t xml:space="preserve">RA4.4 Certification readiness</w:t>
      </w:r>
    </w:p>
    <w:p>
      <w:pPr>
        <w:numPr>
          <w:ilvl w:val="0"/>
          <w:numId w:val="1245"/>
        </w:numPr>
        <w:pStyle w:val="Compact"/>
      </w:pPr>
      <w:r>
        <w:rPr>
          <w:bCs/>
          <w:b/>
        </w:rPr>
        <w:t xml:space="preserve">Targets</w:t>
      </w:r>
      <w:r>
        <w:t xml:space="preserve"> </w:t>
      </w:r>
      <w:r>
        <w:t xml:space="preserve">[REC]: ISO/IEC 27001:2022 (with Amendment 1:2024) for the Udofin platform; SOC 2 Type 1, then Type 2 over at least 6 months; ISO/IEC 27701:2025 (stand-alone privacy management system) after 27001; ISO 22301 later; ISO/IEC 42001 only if AI becomes material; PCI DSS SAQ A for Udofin’s own billing (Part 7G RV3).</w:t>
      </w:r>
    </w:p>
    <w:p>
      <w:pPr>
        <w:numPr>
          <w:ilvl w:val="0"/>
          <w:numId w:val="1245"/>
        </w:numPr>
        <w:pStyle w:val="Compact"/>
      </w:pPr>
      <w:r>
        <w:rPr>
          <w:bCs/>
          <w:b/>
        </w:rPr>
        <w:t xml:space="preserve">Udofin-specific controls</w:t>
      </w:r>
      <w:r>
        <w:t xml:space="preserve"> </w:t>
      </w:r>
      <w:r>
        <w:t xml:space="preserve">added to the common control library: CF paras 13–16 (permissions, consent, minimal data, localisation); DLA register currency (CF para 18); offer neutrality (CF para 7); fund-flow guards (CF para 10); DLT template and number-series routing (RA5); app-store declaration gate (RA4.2); MASVS testing (RA4.3).</w:t>
      </w:r>
    </w:p>
    <w:p>
      <w:pPr>
        <w:numPr>
          <w:ilvl w:val="0"/>
          <w:numId w:val="1245"/>
        </w:numPr>
        <w:pStyle w:val="Compact"/>
      </w:pPr>
      <w:r>
        <w:rPr>
          <w:bCs/>
          <w:b/>
        </w:rPr>
        <w:t xml:space="preserve">Claims rule:</w:t>
      </w:r>
      <w:r>
        <w:t xml:space="preserve"> </w:t>
      </w:r>
      <w:r>
        <w:t xml:space="preserve">no certification, report or</w:t>
      </w:r>
      <w:r>
        <w:t xml:space="preserve"> </w:t>
      </w:r>
      <w:r>
        <w:t xml:space="preserve">“</w:t>
      </w:r>
      <w:r>
        <w:t xml:space="preserve">compliant</w:t>
      </w:r>
      <w:r>
        <w:t xml:space="preserve">”</w:t>
      </w:r>
      <w:r>
        <w:t xml:space="preserve"> </w:t>
      </w:r>
      <w:r>
        <w:t xml:space="preserve">claim in any store listing, website, sales or RE document until the certificate or report is issued;</w:t>
      </w:r>
      <w:r>
        <w:t xml:space="preserve"> </w:t>
      </w:r>
      <w:r>
        <w:t xml:space="preserve">“</w:t>
      </w:r>
      <w:r>
        <w:t xml:space="preserve">aligned to</w:t>
      </w:r>
      <w:r>
        <w:t xml:space="preserve">”</w:t>
      </w:r>
      <w:r>
        <w:t xml:space="preserve"> </w:t>
      </w:r>
      <w:r>
        <w:t xml:space="preserve">or</w:t>
      </w:r>
      <w:r>
        <w:t xml:space="preserve"> </w:t>
      </w:r>
      <w:r>
        <w:t xml:space="preserve">“</w:t>
      </w:r>
      <w:r>
        <w:t xml:space="preserve">in progress</w:t>
      </w:r>
      <w:r>
        <w:t xml:space="preserve">”</w:t>
      </w:r>
      <w:r>
        <w:t xml:space="preserve"> </w:t>
      </w:r>
      <w:r>
        <w:t xml:space="preserve">only; a copy linter checks marketing and listing text for certification claims.</w:t>
      </w:r>
    </w:p>
    <w:bookmarkEnd w:id="405"/>
    <w:bookmarkStart w:id="406" w:name="settings-and-options-ra4"/>
    <w:p>
      <w:pPr>
        <w:pStyle w:val="Heading3"/>
      </w:pPr>
      <w:r>
        <w:t xml:space="preserve">Settings and options (RA4)</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26"/>
        <w:gridCol w:w="2253"/>
        <w:gridCol w:w="3152"/>
        <w:gridCol w:w="2207"/>
      </w:tblGrid>
      <w:tr>
        <w:trPr>
          <w:tblHeader w:val="true"/>
          <w:tblHeader w:val="true"/>
        </w:trPr>
        <w:tc>
          <w:tcPr>
            <w:tcW w:w="2026" w:type="dxa"/>
            <w:shd w:val="clear" w:color="auto" w:fill="1F3A5F"/>
          </w:tcPr>
          <w:p>
            <w:pPr>
              <w:pStyle w:val="Compact"/>
              <w:spacing w:after="40"/>
              <w:jc w:val="left"/>
            </w:pPr>
            <w:r>
              <w:rPr>
                <w:b/>
                <w:color w:val="FFFFFF"/>
                <w:sz w:val="18"/>
              </w:rPr>
              <w:t xml:space="preserve">Setting</w:t>
            </w:r>
          </w:p>
        </w:tc>
        <w:tc>
          <w:tcPr>
            <w:tcW w:w="2253" w:type="dxa"/>
            <w:shd w:val="clear" w:color="auto" w:fill="1F3A5F"/>
          </w:tcPr>
          <w:p>
            <w:pPr>
              <w:pStyle w:val="Compact"/>
              <w:spacing w:after="40"/>
              <w:jc w:val="left"/>
            </w:pPr>
            <w:r>
              <w:rPr>
                <w:b/>
                <w:color w:val="FFFFFF"/>
                <w:sz w:val="18"/>
              </w:rPr>
              <w:t xml:space="preserve">Level</w:t>
            </w:r>
          </w:p>
        </w:tc>
        <w:tc>
          <w:tcPr>
            <w:tcW w:w="3152" w:type="dxa"/>
            <w:shd w:val="clear" w:color="auto" w:fill="1F3A5F"/>
          </w:tcPr>
          <w:p>
            <w:pPr>
              <w:pStyle w:val="Compact"/>
              <w:spacing w:after="40"/>
              <w:jc w:val="left"/>
            </w:pPr>
            <w:r>
              <w:rPr>
                <w:b/>
                <w:color w:val="FFFFFF"/>
                <w:sz w:val="18"/>
              </w:rPr>
              <w:t xml:space="preserve">Default</w:t>
            </w:r>
          </w:p>
        </w:tc>
        <w:tc>
          <w:tcPr>
            <w:tcW w:w="2207" w:type="dxa"/>
            <w:shd w:val="clear" w:color="auto" w:fill="1F3A5F"/>
          </w:tcPr>
          <w:p>
            <w:pPr>
              <w:pStyle w:val="Compact"/>
              <w:spacing w:after="40"/>
              <w:jc w:val="left"/>
            </w:pPr>
            <w:r>
              <w:rPr>
                <w:b/>
                <w:color w:val="FFFFFF"/>
                <w:sz w:val="18"/>
              </w:rPr>
              <w:t xml:space="preserve">Nature</w:t>
            </w:r>
          </w:p>
        </w:tc>
      </w:tr>
      <w:tr>
        <w:tc>
          <w:tcPr>
            <w:tcW w:w="2026" w:type="dxa"/>
          </w:tcPr>
          <w:p>
            <w:pPr>
              <w:pStyle w:val="Compact"/>
              <w:spacing w:after="40"/>
              <w:jc w:val="left"/>
            </w:pPr>
            <w:r>
              <w:rPr>
                <w:sz w:val="18"/>
              </w:rPr>
              <w:t xml:space="preserve">Patch SLAs and exception expiry</w:t>
            </w:r>
          </w:p>
        </w:tc>
        <w:tc>
          <w:tcPr>
            <w:tcW w:w="2253" w:type="dxa"/>
          </w:tcPr>
          <w:p>
            <w:pPr>
              <w:pStyle w:val="Compact"/>
              <w:spacing w:after="40"/>
              <w:jc w:val="left"/>
            </w:pPr>
            <w:r>
              <w:rPr>
                <w:sz w:val="18"/>
              </w:rPr>
              <w:t xml:space="preserve">Platform (all group repositories, through OH13)</w:t>
            </w:r>
          </w:p>
        </w:tc>
        <w:tc>
          <w:tcPr>
            <w:tcW w:w="3152" w:type="dxa"/>
          </w:tcPr>
          <w:p>
            <w:pPr>
              <w:pStyle w:val="Compact"/>
              <w:spacing w:after="40"/>
              <w:jc w:val="left"/>
            </w:pPr>
            <w:r>
              <w:rPr>
                <w:sz w:val="18"/>
              </w:rPr>
              <w:t xml:space="preserve">EO1.6: 72 hours, 7, 30 and 90 days; exceptions ≤ 90 days</w:t>
            </w:r>
          </w:p>
        </w:tc>
        <w:tc>
          <w:tcPr>
            <w:tcW w:w="2207" w:type="dxa"/>
          </w:tcPr>
          <w:p>
            <w:pPr>
              <w:pStyle w:val="Compact"/>
              <w:spacing w:after="40"/>
              <w:jc w:val="left"/>
            </w:pPr>
            <w:r>
              <w:rPr>
                <w:sz w:val="18"/>
              </w:rPr>
              <w:t xml:space="preserve">Floor; an RE contract may only shorten</w:t>
            </w:r>
          </w:p>
        </w:tc>
      </w:tr>
      <w:tr>
        <w:tc>
          <w:tcPr>
            <w:tcW w:w="2026" w:type="dxa"/>
          </w:tcPr>
          <w:p>
            <w:pPr>
              <w:pStyle w:val="Compact"/>
              <w:spacing w:after="40"/>
              <w:jc w:val="left"/>
            </w:pPr>
            <w:r>
              <w:rPr>
                <w:sz w:val="18"/>
              </w:rPr>
              <w:t xml:space="preserve">Staged-rollout steps and halt criteria</w:t>
            </w:r>
          </w:p>
        </w:tc>
        <w:tc>
          <w:tcPr>
            <w:tcW w:w="2253" w:type="dxa"/>
          </w:tcPr>
          <w:p>
            <w:pPr>
              <w:pStyle w:val="Compact"/>
              <w:spacing w:after="40"/>
              <w:jc w:val="left"/>
            </w:pPr>
            <w:r>
              <w:rPr>
                <w:sz w:val="18"/>
              </w:rPr>
              <w:t xml:space="preserve">Platform</w:t>
            </w:r>
          </w:p>
        </w:tc>
        <w:tc>
          <w:tcPr>
            <w:tcW w:w="3152" w:type="dxa"/>
          </w:tcPr>
          <w:p>
            <w:pPr>
              <w:pStyle w:val="Compact"/>
              <w:spacing w:after="40"/>
              <w:jc w:val="left"/>
            </w:pPr>
            <w:r>
              <w:rPr>
                <w:sz w:val="18"/>
              </w:rPr>
              <w:t xml:space="preserve">1%, 5%, 20%, 50%, 100%; halt below 99.5% crash-free, on Play’s ANR threshold or a P1</w:t>
            </w:r>
          </w:p>
        </w:tc>
        <w:tc>
          <w:tcPr>
            <w:tcW w:w="2207" w:type="dxa"/>
          </w:tcPr>
          <w:p>
            <w:pPr>
              <w:pStyle w:val="Compact"/>
              <w:spacing w:after="40"/>
              <w:jc w:val="left"/>
            </w:pPr>
            <w:r>
              <w:rPr>
                <w:sz w:val="18"/>
              </w:rPr>
              <w:t xml:space="preserve">Floor; steps may be slower</w:t>
            </w:r>
          </w:p>
        </w:tc>
      </w:tr>
      <w:tr>
        <w:tc>
          <w:tcPr>
            <w:tcW w:w="2026" w:type="dxa"/>
          </w:tcPr>
          <w:p>
            <w:pPr>
              <w:pStyle w:val="Compact"/>
              <w:spacing w:after="40"/>
              <w:jc w:val="left"/>
            </w:pPr>
            <w:r>
              <w:rPr>
                <w:sz w:val="18"/>
              </w:rPr>
              <w:t xml:space="preserve">OTA allow-list</w:t>
            </w:r>
          </w:p>
        </w:tc>
        <w:tc>
          <w:tcPr>
            <w:tcW w:w="2253" w:type="dxa"/>
          </w:tcPr>
          <w:p>
            <w:pPr>
              <w:pStyle w:val="Compact"/>
              <w:spacing w:after="40"/>
              <w:jc w:val="left"/>
            </w:pPr>
            <w:r>
              <w:rPr>
                <w:sz w:val="18"/>
              </w:rPr>
              <w:t xml:space="preserve">Platform</w:t>
            </w:r>
          </w:p>
        </w:tc>
        <w:tc>
          <w:tcPr>
            <w:tcW w:w="3152" w:type="dxa"/>
          </w:tcPr>
          <w:p>
            <w:pPr>
              <w:pStyle w:val="Compact"/>
              <w:spacing w:after="40"/>
              <w:jc w:val="left"/>
            </w:pPr>
            <w:r>
              <w:rPr>
                <w:sz w:val="18"/>
              </w:rPr>
              <w:t xml:space="preserve">JavaScript and asset fixes only</w:t>
            </w:r>
          </w:p>
        </w:tc>
        <w:tc>
          <w:tcPr>
            <w:tcW w:w="2207" w:type="dxa"/>
          </w:tcPr>
          <w:p>
            <w:pPr>
              <w:pStyle w:val="Compact"/>
              <w:spacing w:after="40"/>
              <w:jc w:val="left"/>
            </w:pPr>
            <w:r>
              <w:rPr>
                <w:sz w:val="18"/>
              </w:rPr>
              <w:t xml:space="preserve">Floor</w:t>
            </w:r>
          </w:p>
        </w:tc>
      </w:tr>
      <w:tr>
        <w:tc>
          <w:tcPr>
            <w:tcW w:w="2026" w:type="dxa"/>
          </w:tcPr>
          <w:p>
            <w:pPr>
              <w:pStyle w:val="Compact"/>
              <w:spacing w:after="40"/>
              <w:jc w:val="left"/>
            </w:pPr>
            <w:r>
              <w:rPr>
                <w:sz w:val="18"/>
              </w:rPr>
              <w:t xml:space="preserve">Store-declaration approvers</w:t>
            </w:r>
          </w:p>
        </w:tc>
        <w:tc>
          <w:tcPr>
            <w:tcW w:w="2253" w:type="dxa"/>
          </w:tcPr>
          <w:p>
            <w:pPr>
              <w:pStyle w:val="Compact"/>
              <w:spacing w:after="40"/>
              <w:jc w:val="left"/>
            </w:pPr>
            <w:r>
              <w:rPr>
                <w:sz w:val="18"/>
              </w:rPr>
              <w:t xml:space="preserve">Platform</w:t>
            </w:r>
          </w:p>
        </w:tc>
        <w:tc>
          <w:tcPr>
            <w:tcW w:w="3152" w:type="dxa"/>
          </w:tcPr>
          <w:p>
            <w:pPr>
              <w:pStyle w:val="Compact"/>
              <w:spacing w:after="40"/>
              <w:jc w:val="left"/>
            </w:pPr>
            <w:r>
              <w:rPr>
                <w:sz w:val="18"/>
              </w:rPr>
              <w:t xml:space="preserve">Compliance and the CISO</w:t>
            </w:r>
          </w:p>
        </w:tc>
        <w:tc>
          <w:tcPr>
            <w:tcW w:w="2207" w:type="dxa"/>
          </w:tcPr>
          <w:p>
            <w:pPr>
              <w:pStyle w:val="Compact"/>
              <w:spacing w:after="40"/>
              <w:jc w:val="left"/>
            </w:pPr>
            <w:r>
              <w:rPr>
                <w:sz w:val="18"/>
              </w:rPr>
              <w:t xml:space="preserve">Floor (two-person rule)</w:t>
            </w:r>
          </w:p>
        </w:tc>
      </w:tr>
      <w:tr>
        <w:tc>
          <w:tcPr>
            <w:tcW w:w="2026" w:type="dxa"/>
          </w:tcPr>
          <w:p>
            <w:pPr>
              <w:pStyle w:val="Compact"/>
              <w:spacing w:after="40"/>
              <w:jc w:val="left"/>
            </w:pPr>
            <w:r>
              <w:rPr>
                <w:sz w:val="18"/>
              </w:rPr>
              <w:t xml:space="preserve">VAPT cadence</w:t>
            </w:r>
          </w:p>
        </w:tc>
        <w:tc>
          <w:tcPr>
            <w:tcW w:w="2253" w:type="dxa"/>
          </w:tcPr>
          <w:p>
            <w:pPr>
              <w:pStyle w:val="Compact"/>
              <w:spacing w:after="40"/>
              <w:jc w:val="left"/>
            </w:pPr>
            <w:r>
              <w:rPr>
                <w:sz w:val="18"/>
              </w:rPr>
              <w:t xml:space="preserve">Platform</w:t>
            </w:r>
          </w:p>
        </w:tc>
        <w:tc>
          <w:tcPr>
            <w:tcW w:w="3152" w:type="dxa"/>
          </w:tcPr>
          <w:p>
            <w:pPr>
              <w:pStyle w:val="Compact"/>
              <w:spacing w:after="40"/>
              <w:jc w:val="left"/>
            </w:pPr>
            <w:r>
              <w:rPr>
                <w:sz w:val="18"/>
              </w:rPr>
              <w:t xml:space="preserve">VA every 6 months, PT every 12 months, MAS-L2 and MAS-R before each major release and yearly</w:t>
            </w:r>
          </w:p>
        </w:tc>
        <w:tc>
          <w:tcPr>
            <w:tcW w:w="2207" w:type="dxa"/>
          </w:tcPr>
          <w:p>
            <w:pPr>
              <w:pStyle w:val="Compact"/>
              <w:spacing w:after="40"/>
              <w:jc w:val="left"/>
            </w:pPr>
            <w:r>
              <w:rPr>
                <w:sz w:val="18"/>
              </w:rPr>
              <w:t xml:space="preserve">Floor</w:t>
            </w:r>
          </w:p>
        </w:tc>
      </w:tr>
      <w:tr>
        <w:tc>
          <w:tcPr>
            <w:tcW w:w="2026" w:type="dxa"/>
          </w:tcPr>
          <w:p>
            <w:pPr>
              <w:pStyle w:val="Compact"/>
              <w:spacing w:after="40"/>
              <w:jc w:val="left"/>
            </w:pPr>
            <w:r>
              <w:rPr>
                <w:sz w:val="18"/>
              </w:rPr>
              <w:t xml:space="preserve">RE evidence recipients</w:t>
            </w:r>
          </w:p>
        </w:tc>
        <w:tc>
          <w:tcPr>
            <w:tcW w:w="2253" w:type="dxa"/>
          </w:tcPr>
          <w:p>
            <w:pPr>
              <w:pStyle w:val="Compact"/>
              <w:spacing w:after="40"/>
              <w:jc w:val="left"/>
            </w:pPr>
            <w:r>
              <w:rPr>
                <w:sz w:val="18"/>
              </w:rPr>
              <w:t xml:space="preserve">RE</w:t>
            </w:r>
          </w:p>
        </w:tc>
        <w:tc>
          <w:tcPr>
            <w:tcW w:w="3152" w:type="dxa"/>
          </w:tcPr>
          <w:p>
            <w:pPr>
              <w:pStyle w:val="Compact"/>
              <w:spacing w:after="40"/>
              <w:jc w:val="left"/>
            </w:pPr>
            <w:r>
              <w:rPr>
                <w:sz w:val="18"/>
              </w:rPr>
              <w:t xml:space="preserve">RE CISO and CCO</w:t>
            </w:r>
          </w:p>
        </w:tc>
        <w:tc>
          <w:tcPr>
            <w:tcW w:w="2207" w:type="dxa"/>
          </w:tcPr>
          <w:p>
            <w:pPr>
              <w:pStyle w:val="Compact"/>
              <w:spacing w:after="40"/>
              <w:jc w:val="left"/>
            </w:pPr>
            <w:r>
              <w:rPr>
                <w:sz w:val="18"/>
              </w:rPr>
              <w:t xml:space="preserve">RE may add recipients; full reports under NDA</w:t>
            </w:r>
          </w:p>
        </w:tc>
      </w:tr>
    </w:tbl>
    <w:bookmarkEnd w:id="406"/>
    <w:bookmarkStart w:id="407" w:name="X304e2dfd72b25d87de31079c788a81cc0d68d67"/>
    <w:p>
      <w:pPr>
        <w:pStyle w:val="Heading3"/>
      </w:pPr>
      <w:r>
        <w:t xml:space="preserve">Menu and screens (operations portal, channel C; lender portal, channel 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98"/>
        <w:gridCol w:w="5127"/>
        <w:gridCol w:w="1913"/>
      </w:tblGrid>
      <w:tr>
        <w:trPr>
          <w:tblHeader w:val="true"/>
          <w:tblHeader w:val="true"/>
        </w:trPr>
        <w:tc>
          <w:tcPr>
            <w:tcW w:w="2598" w:type="dxa"/>
            <w:shd w:val="clear" w:color="auto" w:fill="1F3A5F"/>
          </w:tcPr>
          <w:p>
            <w:pPr>
              <w:pStyle w:val="Compact"/>
              <w:spacing w:after="40"/>
              <w:jc w:val="left"/>
            </w:pPr>
            <w:r>
              <w:rPr>
                <w:b/>
                <w:color w:val="FFFFFF"/>
                <w:sz w:val="18"/>
              </w:rPr>
              <w:t xml:space="preserve">Path</w:t>
            </w:r>
          </w:p>
        </w:tc>
        <w:tc>
          <w:tcPr>
            <w:tcW w:w="5127" w:type="dxa"/>
            <w:shd w:val="clear" w:color="auto" w:fill="1F3A5F"/>
          </w:tcPr>
          <w:p>
            <w:pPr>
              <w:pStyle w:val="Compact"/>
              <w:spacing w:after="40"/>
              <w:jc w:val="left"/>
            </w:pPr>
            <w:r>
              <w:rPr>
                <w:b/>
                <w:color w:val="FFFFFF"/>
                <w:sz w:val="18"/>
              </w:rPr>
              <w:t xml:space="preserve">Main screens and key actions</w:t>
            </w:r>
          </w:p>
        </w:tc>
        <w:tc>
          <w:tcPr>
            <w:tcW w:w="1913" w:type="dxa"/>
            <w:shd w:val="clear" w:color="auto" w:fill="1F3A5F"/>
          </w:tcPr>
          <w:p>
            <w:pPr>
              <w:pStyle w:val="Compact"/>
              <w:spacing w:after="40"/>
              <w:jc w:val="left"/>
            </w:pPr>
            <w:r>
              <w:rPr>
                <w:b/>
                <w:color w:val="FFFFFF"/>
                <w:sz w:val="18"/>
              </w:rPr>
              <w:t xml:space="preserve">Roles</w:t>
            </w:r>
          </w:p>
        </w:tc>
      </w:tr>
      <w:tr>
        <w:tc>
          <w:tcPr>
            <w:tcW w:w="2598" w:type="dxa"/>
          </w:tcPr>
          <w:p>
            <w:pPr>
              <w:pStyle w:val="Compact"/>
              <w:spacing w:after="40"/>
              <w:jc w:val="left"/>
            </w:pPr>
            <w:r>
              <w:rPr>
                <w:rStyle w:val="VerbatimChar"/>
                <w:sz w:val="18"/>
              </w:rPr>
              <w:t xml:space="preserve">Engineering › Releases</w:t>
            </w:r>
          </w:p>
        </w:tc>
        <w:tc>
          <w:tcPr>
            <w:tcW w:w="5127" w:type="dxa"/>
          </w:tcPr>
          <w:p>
            <w:pPr>
              <w:pStyle w:val="Compact"/>
              <w:spacing w:after="40"/>
              <w:jc w:val="left"/>
            </w:pPr>
            <w:r>
              <w:rPr>
                <w:sz w:val="18"/>
              </w:rPr>
              <w:t xml:space="preserve">Release records (build, commit, SBOM, permission-manifest hash), gate results with the failing gate named, evidence pack, rollout log, halt and rollback</w:t>
            </w:r>
          </w:p>
        </w:tc>
        <w:tc>
          <w:tcPr>
            <w:tcW w:w="1913" w:type="dxa"/>
          </w:tcPr>
          <w:p>
            <w:pPr>
              <w:pStyle w:val="Compact"/>
              <w:spacing w:after="40"/>
              <w:jc w:val="left"/>
            </w:pPr>
            <w:r>
              <w:rPr>
                <w:sz w:val="18"/>
              </w:rPr>
              <w:t xml:space="preserve">Release manager, CISO</w:t>
            </w:r>
          </w:p>
        </w:tc>
      </w:tr>
      <w:tr>
        <w:tc>
          <w:tcPr>
            <w:tcW w:w="2598" w:type="dxa"/>
          </w:tcPr>
          <w:p>
            <w:pPr>
              <w:pStyle w:val="Compact"/>
              <w:spacing w:after="40"/>
              <w:jc w:val="left"/>
            </w:pPr>
            <w:r>
              <w:rPr>
                <w:rStyle w:val="VerbatimChar"/>
                <w:sz w:val="18"/>
              </w:rPr>
              <w:t xml:space="preserve">Engineering › Store declarations</w:t>
            </w:r>
          </w:p>
        </w:tc>
        <w:tc>
          <w:tcPr>
            <w:tcW w:w="5127" w:type="dxa"/>
          </w:tcPr>
          <w:p>
            <w:pPr>
              <w:pStyle w:val="Compact"/>
              <w:spacing w:after="40"/>
              <w:jc w:val="left"/>
            </w:pPr>
            <w:r>
              <w:rPr>
                <w:sz w:val="18"/>
              </w:rPr>
              <w:t xml:space="preserve">Approved versions and diffs (manifest, Info.plist, privacy manifest, Data safety, Financial features, privacy labels), approve with two people; partner-list check against the DLA register</w:t>
            </w:r>
          </w:p>
        </w:tc>
        <w:tc>
          <w:tcPr>
            <w:tcW w:w="1913" w:type="dxa"/>
          </w:tcPr>
          <w:p>
            <w:pPr>
              <w:pStyle w:val="Compact"/>
              <w:spacing w:after="40"/>
              <w:jc w:val="left"/>
            </w:pPr>
            <w:r>
              <w:rPr>
                <w:sz w:val="18"/>
              </w:rPr>
              <w:t xml:space="preserve">Compliance, CISO</w:t>
            </w:r>
          </w:p>
        </w:tc>
      </w:tr>
      <w:tr>
        <w:tc>
          <w:tcPr>
            <w:tcW w:w="2598" w:type="dxa"/>
          </w:tcPr>
          <w:p>
            <w:pPr>
              <w:pStyle w:val="Compact"/>
              <w:spacing w:after="40"/>
              <w:jc w:val="left"/>
            </w:pPr>
            <w:r>
              <w:rPr>
                <w:rStyle w:val="VerbatimChar"/>
                <w:sz w:val="18"/>
              </w:rPr>
              <w:t xml:space="preserve">Engineering › Vulnerabilities and VAPT</w:t>
            </w:r>
          </w:p>
        </w:tc>
        <w:tc>
          <w:tcPr>
            <w:tcW w:w="5127" w:type="dxa"/>
          </w:tcPr>
          <w:p>
            <w:pPr>
              <w:pStyle w:val="Compact"/>
              <w:spacing w:after="40"/>
              <w:jc w:val="left"/>
            </w:pPr>
            <w:r>
              <w:rPr>
                <w:sz w:val="18"/>
              </w:rPr>
              <w:t xml:space="preserve">Findings by severity with SLA clocks, exceptions with expiry, MASVS and VAPT reports, retests</w:t>
            </w:r>
          </w:p>
        </w:tc>
        <w:tc>
          <w:tcPr>
            <w:tcW w:w="1913" w:type="dxa"/>
          </w:tcPr>
          <w:p>
            <w:pPr>
              <w:pStyle w:val="Compact"/>
              <w:spacing w:after="40"/>
              <w:jc w:val="left"/>
            </w:pPr>
            <w:r>
              <w:rPr>
                <w:sz w:val="18"/>
              </w:rPr>
              <w:t xml:space="preserve">Security engineering, CISO</w:t>
            </w:r>
          </w:p>
        </w:tc>
      </w:tr>
      <w:tr>
        <w:tc>
          <w:tcPr>
            <w:tcW w:w="2598" w:type="dxa"/>
          </w:tcPr>
          <w:p>
            <w:pPr>
              <w:pStyle w:val="Compact"/>
              <w:spacing w:after="40"/>
              <w:jc w:val="left"/>
            </w:pPr>
            <w:r>
              <w:rPr>
                <w:rStyle w:val="VerbatimChar"/>
                <w:sz w:val="18"/>
              </w:rPr>
              <w:t xml:space="preserve">Engineering › Certification</w:t>
            </w:r>
          </w:p>
        </w:tc>
        <w:tc>
          <w:tcPr>
            <w:tcW w:w="5127" w:type="dxa"/>
          </w:tcPr>
          <w:p>
            <w:pPr>
              <w:pStyle w:val="Compact"/>
              <w:spacing w:after="40"/>
              <w:jc w:val="left"/>
            </w:pPr>
            <w:r>
              <w:rPr>
                <w:sz w:val="18"/>
              </w:rPr>
              <w:t xml:space="preserve">Readiness by scheme (ISO/IEC 27001, SOC 2, ISO/IEC 27701, PCI DSS SAQ A), control evidence status, claims-linter results; issued certificates only in the register</w:t>
            </w:r>
          </w:p>
        </w:tc>
        <w:tc>
          <w:tcPr>
            <w:tcW w:w="1913" w:type="dxa"/>
          </w:tcPr>
          <w:p>
            <w:pPr>
              <w:pStyle w:val="Compact"/>
              <w:spacing w:after="40"/>
              <w:jc w:val="left"/>
            </w:pPr>
            <w:r>
              <w:rPr>
                <w:sz w:val="18"/>
              </w:rPr>
              <w:t xml:space="preserve">CISO, Compliance</w:t>
            </w:r>
          </w:p>
        </w:tc>
      </w:tr>
      <w:tr>
        <w:tc>
          <w:tcPr>
            <w:tcW w:w="2598" w:type="dxa"/>
          </w:tcPr>
          <w:p>
            <w:pPr>
              <w:pStyle w:val="Compact"/>
              <w:spacing w:after="40"/>
              <w:jc w:val="left"/>
            </w:pPr>
            <w:r>
              <w:rPr>
                <w:sz w:val="18"/>
              </w:rPr>
              <w:t xml:space="preserve">Lender portal (D):</w:t>
            </w:r>
            <w:r>
              <w:rPr>
                <w:sz w:val="18"/>
              </w:rPr>
              <w:t xml:space="preserve"> </w:t>
            </w:r>
            <w:r>
              <w:rPr>
                <w:rStyle w:val="VerbatimChar"/>
                <w:sz w:val="18"/>
              </w:rPr>
              <w:t xml:space="preserve">Settings › Security and trust</w:t>
            </w:r>
          </w:p>
        </w:tc>
        <w:tc>
          <w:tcPr>
            <w:tcW w:w="5127" w:type="dxa"/>
          </w:tcPr>
          <w:p>
            <w:pPr>
              <w:pStyle w:val="Compact"/>
              <w:spacing w:after="40"/>
              <w:jc w:val="left"/>
            </w:pPr>
            <w:r>
              <w:rPr>
                <w:sz w:val="18"/>
              </w:rPr>
              <w:t xml:space="preserve">Release notes with regulatory impact, VAPT and MASVS summaries, SBOM, sub-processor list, CYB para 106 certificate and escrow status where required, issued certificates only</w:t>
            </w:r>
          </w:p>
        </w:tc>
        <w:tc>
          <w:tcPr>
            <w:tcW w:w="1913" w:type="dxa"/>
          </w:tcPr>
          <w:p>
            <w:pPr>
              <w:pStyle w:val="Compact"/>
              <w:spacing w:after="40"/>
              <w:jc w:val="left"/>
            </w:pPr>
            <w:r>
              <w:rPr>
                <w:sz w:val="18"/>
              </w:rPr>
              <w:t xml:space="preserve">RE CISO, CCO</w:t>
            </w:r>
          </w:p>
        </w:tc>
      </w:tr>
    </w:tbl>
    <w:bookmarkEnd w:id="407"/>
    <w:bookmarkStart w:id="408" w:name="acceptance-tests-28"/>
    <w:p>
      <w:pPr>
        <w:pStyle w:val="Heading3"/>
      </w:pPr>
      <w:r>
        <w:t xml:space="preserve">Acceptance tests</w:t>
      </w:r>
    </w:p>
    <w:p>
      <w:pPr>
        <w:numPr>
          <w:ilvl w:val="0"/>
          <w:numId w:val="1246"/>
        </w:numPr>
        <w:pStyle w:val="Compact"/>
      </w:pPr>
      <w:r>
        <w:t xml:space="preserve">A release whose permission manifest or Data safety answers differ from the approved versions cannot be submitted.</w:t>
      </w:r>
    </w:p>
    <w:p>
      <w:pPr>
        <w:numPr>
          <w:ilvl w:val="0"/>
          <w:numId w:val="1246"/>
        </w:numPr>
        <w:pStyle w:val="Compact"/>
      </w:pPr>
      <w:r>
        <w:t xml:space="preserve">Adding an RE to the store listing without its CIMS confirmation fails the release pipeline.</w:t>
      </w:r>
    </w:p>
    <w:p>
      <w:pPr>
        <w:numPr>
          <w:ilvl w:val="0"/>
          <w:numId w:val="1246"/>
        </w:numPr>
        <w:pStyle w:val="Compact"/>
      </w:pPr>
      <w:r>
        <w:t xml:space="preserve">A staged rollout halts automatically when crash-free sessions drop below 99.5% in a test simulation.</w:t>
      </w:r>
    </w:p>
    <w:p>
      <w:pPr>
        <w:numPr>
          <w:ilvl w:val="0"/>
          <w:numId w:val="1246"/>
        </w:numPr>
        <w:pStyle w:val="Compact"/>
      </w:pPr>
      <w:r>
        <w:t xml:space="preserve">An OTA bundle that adds a permission-dependent module is rejected.</w:t>
      </w:r>
    </w:p>
    <w:p>
      <w:pPr>
        <w:numPr>
          <w:ilvl w:val="0"/>
          <w:numId w:val="1246"/>
        </w:numPr>
        <w:pStyle w:val="Compact"/>
      </w:pPr>
      <w:r>
        <w:t xml:space="preserve">The latest MAS-L2 and MAS-R assessment is less than 12 months old and has no open critical or high finding past its EO1.6 SLA before a major release; a critical finding open beyond 72 hours without a risk acceptance blocks release.</w:t>
      </w:r>
    </w:p>
    <w:p>
      <w:pPr>
        <w:numPr>
          <w:ilvl w:val="0"/>
          <w:numId w:val="1246"/>
        </w:numPr>
        <w:pStyle w:val="Compact"/>
      </w:pPr>
      <w:r>
        <w:t xml:space="preserve">The copy linter fails a build whose store listing or website says</w:t>
      </w:r>
      <w:r>
        <w:t xml:space="preserve"> </w:t>
      </w:r>
      <w:r>
        <w:t xml:space="preserve">“</w:t>
      </w:r>
      <w:r>
        <w:t xml:space="preserve">ISO 27001 certified</w:t>
      </w:r>
      <w:r>
        <w:t xml:space="preserve">”</w:t>
      </w:r>
      <w:r>
        <w:t xml:space="preserve"> </w:t>
      </w:r>
      <w:r>
        <w:t xml:space="preserve">or</w:t>
      </w:r>
      <w:r>
        <w:t xml:space="preserve"> </w:t>
      </w:r>
      <w:r>
        <w:t xml:space="preserve">“</w:t>
      </w:r>
      <w:r>
        <w:t xml:space="preserve">SOC 2 compliant</w:t>
      </w:r>
      <w:r>
        <w:t xml:space="preserve">”</w:t>
      </w:r>
      <w:r>
        <w:t xml:space="preserve"> </w:t>
      </w:r>
      <w:r>
        <w:t xml:space="preserve">without an issued certificate record.</w:t>
      </w:r>
    </w:p>
    <w:p>
      <w:r>
        <w:pict>
          <v:rect style="width:0;height:1.5pt" o:hralign="center" o:hrstd="t" o:hr="t"/>
        </w:pict>
      </w:r>
    </w:p>
    <w:bookmarkEnd w:id="408"/>
    <w:bookmarkEnd w:id="409"/>
    <w:bookmarkStart w:id="420" w:name="X19d26a6252b1ac3a1fb02970fe00f1e254b491e"/>
    <w:p>
      <w:pPr>
        <w:pStyle w:val="Heading2"/>
      </w:pPr>
      <w:r>
        <w:t xml:space="preserve">RA5. Voice, AI contact-centre and Jio adapters</w:t>
      </w:r>
    </w:p>
    <w:bookmarkStart w:id="410" w:name="ra5.1-adapters"/>
    <w:p>
      <w:pPr>
        <w:pStyle w:val="Heading3"/>
      </w:pPr>
      <w:r>
        <w:t xml:space="preserve">RA5.1 Adapters</w:t>
      </w:r>
    </w:p>
    <w:p>
      <w:pPr>
        <w:pStyle w:val="FirstParagraph"/>
      </w:pPr>
      <w:r>
        <w:t xml:space="preserve">Provider-neutral interfaces in U21 (Part 9), extending U16 (communications), U20 (AI) and Part 7A UR4 (recovery calls); the Finbyx counterpart is Finbyx Part 7L EO6:</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728"/>
        <w:gridCol w:w="5910"/>
      </w:tblGrid>
      <w:tr>
        <w:trPr>
          <w:tblHeader w:val="true"/>
          <w:tblHeader w:val="true"/>
        </w:trPr>
        <w:tc>
          <w:tcPr>
            <w:tcW w:w="3728" w:type="dxa"/>
            <w:shd w:val="clear" w:color="auto" w:fill="1F3A5F"/>
          </w:tcPr>
          <w:p>
            <w:pPr>
              <w:pStyle w:val="Compact"/>
              <w:spacing w:after="40"/>
              <w:jc w:val="left"/>
            </w:pPr>
            <w:r>
              <w:rPr>
                <w:b/>
                <w:color w:val="FFFFFF"/>
                <w:sz w:val="18"/>
              </w:rPr>
              <w:t xml:space="preserve">Interface</w:t>
            </w:r>
          </w:p>
        </w:tc>
        <w:tc>
          <w:tcPr>
            <w:tcW w:w="5910" w:type="dxa"/>
            <w:shd w:val="clear" w:color="auto" w:fill="1F3A5F"/>
          </w:tcPr>
          <w:p>
            <w:pPr>
              <w:pStyle w:val="Compact"/>
              <w:spacing w:after="40"/>
              <w:jc w:val="left"/>
            </w:pPr>
            <w:r>
              <w:rPr>
                <w:b/>
                <w:color w:val="FFFFFF"/>
                <w:sz w:val="18"/>
              </w:rPr>
              <w:t xml:space="preserve">Capabilities</w:t>
            </w:r>
          </w:p>
        </w:tc>
      </w:tr>
      <w:tr>
        <w:tc>
          <w:tcPr>
            <w:tcW w:w="3728" w:type="dxa"/>
          </w:tcPr>
          <w:p>
            <w:pPr>
              <w:pStyle w:val="Compact"/>
              <w:spacing w:after="40"/>
              <w:jc w:val="left"/>
            </w:pPr>
            <w:r>
              <w:rPr>
                <w:rStyle w:val="VerbatimChar"/>
                <w:sz w:val="18"/>
              </w:rPr>
              <w:t xml:space="preserve">NotificationProvider</w:t>
            </w:r>
            <w:r>
              <w:rPr>
                <w:sz w:val="18"/>
              </w:rPr>
              <w:t xml:space="preserve"> </w:t>
            </w:r>
            <w:r>
              <w:rPr>
                <w:sz w:val="18"/>
              </w:rPr>
              <w:t xml:space="preserve">(existing, Part 9.1)</w:t>
            </w:r>
          </w:p>
        </w:tc>
        <w:tc>
          <w:tcPr>
            <w:tcW w:w="5910" w:type="dxa"/>
          </w:tcPr>
          <w:p>
            <w:pPr>
              <w:pStyle w:val="Compact"/>
              <w:spacing w:after="40"/>
              <w:jc w:val="left"/>
            </w:pPr>
            <w:r>
              <w:rPr>
                <w:sz w:val="18"/>
              </w:rPr>
              <w:t xml:space="preserve">SMS on DLT templates and headers, WhatsApp Business, RCS, email</w:t>
            </w:r>
          </w:p>
        </w:tc>
      </w:tr>
      <w:tr>
        <w:tc>
          <w:tcPr>
            <w:tcW w:w="3728" w:type="dxa"/>
          </w:tcPr>
          <w:p>
            <w:pPr>
              <w:pStyle w:val="Compact"/>
              <w:spacing w:after="40"/>
              <w:jc w:val="left"/>
            </w:pPr>
            <w:r>
              <w:rPr>
                <w:rStyle w:val="VerbatimChar"/>
                <w:sz w:val="18"/>
              </w:rPr>
              <w:t xml:space="preserve">VoiceProvider</w:t>
            </w:r>
          </w:p>
        </w:tc>
        <w:tc>
          <w:tcPr>
            <w:tcW w:w="5910" w:type="dxa"/>
          </w:tcPr>
          <w:p>
            <w:pPr>
              <w:pStyle w:val="Compact"/>
              <w:spacing w:after="40"/>
              <w:jc w:val="left"/>
            </w:pPr>
            <w:r>
              <w:rPr>
                <w:sz w:val="18"/>
              </w:rPr>
              <w:t xml:space="preserve">Number pools, IVR, outbound dialler, click-to-call, call recording, number masking, call-detail records</w:t>
            </w:r>
          </w:p>
        </w:tc>
      </w:tr>
      <w:tr>
        <w:tc>
          <w:tcPr>
            <w:tcW w:w="3728" w:type="dxa"/>
          </w:tcPr>
          <w:p>
            <w:pPr>
              <w:pStyle w:val="Compact"/>
              <w:spacing w:after="40"/>
              <w:jc w:val="left"/>
            </w:pPr>
            <w:r>
              <w:rPr>
                <w:rStyle w:val="VerbatimChar"/>
                <w:sz w:val="18"/>
              </w:rPr>
              <w:t xml:space="preserve">SpeechProvider</w:t>
            </w:r>
          </w:p>
        </w:tc>
        <w:tc>
          <w:tcPr>
            <w:tcW w:w="5910" w:type="dxa"/>
          </w:tcPr>
          <w:p>
            <w:pPr>
              <w:pStyle w:val="Compact"/>
              <w:spacing w:after="40"/>
              <w:jc w:val="left"/>
            </w:pPr>
            <w:r>
              <w:rPr>
                <w:sz w:val="18"/>
              </w:rPr>
              <w:t xml:space="preserve">Speech recognition and text-to-speech in Indian languages</w:t>
            </w:r>
          </w:p>
        </w:tc>
      </w:tr>
      <w:tr>
        <w:tc>
          <w:tcPr>
            <w:tcW w:w="3728" w:type="dxa"/>
          </w:tcPr>
          <w:p>
            <w:pPr>
              <w:pStyle w:val="Compact"/>
              <w:spacing w:after="40"/>
              <w:jc w:val="left"/>
            </w:pPr>
            <w:r>
              <w:rPr>
                <w:rStyle w:val="VerbatimChar"/>
                <w:sz w:val="18"/>
              </w:rPr>
              <w:t xml:space="preserve">LlmProvider</w:t>
            </w:r>
            <w:r>
              <w:rPr>
                <w:sz w:val="18"/>
              </w:rPr>
              <w:t xml:space="preserve"> </w:t>
            </w:r>
            <w:r>
              <w:rPr>
                <w:sz w:val="18"/>
              </w:rPr>
              <w:t xml:space="preserve">(existing, Part 9.1)</w:t>
            </w:r>
          </w:p>
        </w:tc>
        <w:tc>
          <w:tcPr>
            <w:tcW w:w="5910" w:type="dxa"/>
          </w:tcPr>
          <w:p>
            <w:pPr>
              <w:pStyle w:val="Compact"/>
              <w:spacing w:after="40"/>
              <w:jc w:val="left"/>
            </w:pPr>
            <w:r>
              <w:rPr>
                <w:sz w:val="18"/>
              </w:rPr>
              <w:t xml:space="preserve">Text generation for assistants, under U20 governance</w:t>
            </w:r>
          </w:p>
        </w:tc>
      </w:tr>
      <w:tr>
        <w:tc>
          <w:tcPr>
            <w:tcW w:w="3728" w:type="dxa"/>
          </w:tcPr>
          <w:p>
            <w:pPr>
              <w:pStyle w:val="Compact"/>
              <w:spacing w:after="40"/>
              <w:jc w:val="left"/>
            </w:pPr>
            <w:r>
              <w:rPr>
                <w:rStyle w:val="VerbatimChar"/>
                <w:sz w:val="18"/>
              </w:rPr>
              <w:t xml:space="preserve">ConversationAgent</w:t>
            </w:r>
          </w:p>
        </w:tc>
        <w:tc>
          <w:tcPr>
            <w:tcW w:w="5910" w:type="dxa"/>
          </w:tcPr>
          <w:p>
            <w:pPr>
              <w:pStyle w:val="Compact"/>
              <w:spacing w:after="40"/>
              <w:jc w:val="left"/>
            </w:pPr>
            <w:r>
              <w:rPr>
                <w:sz w:val="18"/>
              </w:rPr>
              <w:t xml:space="preserve">Orchestrates voice or chat bots over the above, with the RA5.4 rules built in</w:t>
            </w:r>
          </w:p>
        </w:tc>
      </w:tr>
    </w:tbl>
    <w:p>
      <w:pPr>
        <w:pStyle w:val="BodyText"/>
      </w:pPr>
      <w:r>
        <w:rPr>
          <w:bCs/>
          <w:b/>
        </w:rPr>
        <w:t xml:space="preserve">Selection criteria:</w:t>
      </w:r>
      <w:r>
        <w:t xml:space="preserve"> </w:t>
      </w:r>
      <w:r>
        <w:t xml:space="preserve">India data residency for recordings, transcripts and inference (proved contractually; CF para 14(4)); DPA and sub-processor list; DLT and 1600 or 140 support; no training on Udofin data and zero retention at the model provider; uptime SLA; price.</w:t>
      </w:r>
    </w:p>
    <w:bookmarkEnd w:id="410"/>
    <w:bookmarkStart w:id="411" w:name="ra5.2-jio-and-other-candidates"/>
    <w:p>
      <w:pPr>
        <w:pStyle w:val="Heading3"/>
      </w:pPr>
      <w:r>
        <w:t xml:space="preserve">RA5.2 Jio and other candidates</w:t>
      </w:r>
    </w:p>
    <w:p>
      <w:pPr>
        <w:numPr>
          <w:ilvl w:val="0"/>
          <w:numId w:val="1247"/>
        </w:numPr>
        <w:pStyle w:val="Compact"/>
      </w:pPr>
      <w:r>
        <w:rPr>
          <w:bCs/>
          <w:b/>
        </w:rPr>
        <w:t xml:space="preserve">JioCX (Jio Things Ltd):</w:t>
      </w:r>
      <w:r>
        <w:t xml:space="preserve"> </w:t>
      </w:r>
      <w:r>
        <w:t xml:space="preserve">publicly lists CPaaS services (SMS, RCS, WhatsApp, voice including click-to-call, IVR, missed call, voice OTP and outbound dialling, email, branded caller ID) with sales-led onboarding and no published rates, API documentation, data-residency statement or AI voice-agent product. Onboard through Jio’s business sales channel; before any build obtain API documentation, the DPA, residency proof, DLT and 1600 or 140 support, the AI voice roadmap and rates [VERIFY].</w:t>
      </w:r>
    </w:p>
    <w:p>
      <w:pPr>
        <w:numPr>
          <w:ilvl w:val="0"/>
          <w:numId w:val="1247"/>
        </w:numPr>
        <w:pStyle w:val="Compact"/>
      </w:pPr>
      <w:r>
        <w:rPr>
          <w:bCs/>
          <w:b/>
        </w:rPr>
        <w:t xml:space="preserve">Jio Business:</w:t>
      </w:r>
      <w:r>
        <w:t xml:space="preserve"> </w:t>
      </w:r>
      <w:r>
        <w:t xml:space="preserve">SIP trunking, toll-free numbers, IP Centrex and cloud services (including Azure through JioCloud) are possible infrastructure options; residency and terms to be confirmed [VERIFY].</w:t>
      </w:r>
    </w:p>
    <w:p>
      <w:pPr>
        <w:numPr>
          <w:ilvl w:val="0"/>
          <w:numId w:val="1247"/>
        </w:numPr>
        <w:pStyle w:val="Compact"/>
      </w:pPr>
      <w:r>
        <w:rPr>
          <w:bCs/>
          <w:b/>
        </w:rPr>
        <w:t xml:space="preserve">Reliance AI announcements</w:t>
      </w:r>
      <w:r>
        <w:t xml:space="preserve"> </w:t>
      </w:r>
      <w:r>
        <w:t xml:space="preserve">(Reliance–Meta enterprise AI joint venture; JioBrain): no published customer-service API at the time of writing; a reported</w:t>
      </w:r>
      <w:r>
        <w:t xml:space="preserve"> </w:t>
      </w:r>
      <w:r>
        <w:t xml:space="preserve">“</w:t>
      </w:r>
      <w:r>
        <w:t xml:space="preserve">JioBrain Indic LLM</w:t>
      </w:r>
      <w:r>
        <w:t xml:space="preserve">”</w:t>
      </w:r>
      <w:r>
        <w:t xml:space="preserve"> </w:t>
      </w:r>
      <w:r>
        <w:t xml:space="preserve">price is uncorroborated and must not be relied on [VERIFY].</w:t>
      </w:r>
    </w:p>
    <w:p>
      <w:pPr>
        <w:numPr>
          <w:ilvl w:val="0"/>
          <w:numId w:val="1247"/>
        </w:numPr>
        <w:pStyle w:val="Compact"/>
      </w:pPr>
      <w:r>
        <w:rPr>
          <w:bCs/>
          <w:b/>
        </w:rPr>
        <w:t xml:space="preserve">Alternatives to evaluate behind the same interfaces:</w:t>
      </w:r>
      <w:r>
        <w:t xml:space="preserve"> </w:t>
      </w:r>
      <w:r>
        <w:t xml:space="preserve">Exotel, Ozonetel, Knowlarity, Gupshup (voice and messaging) [VERIFY]; Bhashini (MeitY National Language Translation Mission) and Sarvam AI for Indian-language speech and translation [VERIFY: terms, residency and model availability]; LLMs hosted in India regions.</w:t>
      </w:r>
    </w:p>
    <w:bookmarkEnd w:id="411"/>
    <w:bookmarkStart w:id="412" w:name="X5dcda2cbeecbfa9991e2d91c1141acac868586e"/>
    <w:p>
      <w:pPr>
        <w:pStyle w:val="Heading3"/>
      </w:pPr>
      <w:r>
        <w:t xml:space="preserve">RA5.3 Routing rules (computed for every outbound communication)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06"/>
        <w:gridCol w:w="8032"/>
      </w:tblGrid>
      <w:tr>
        <w:trPr>
          <w:tblHeader w:val="true"/>
          <w:tblHeader w:val="true"/>
        </w:trPr>
        <w:tc>
          <w:tcPr>
            <w:tcW w:w="1606" w:type="dxa"/>
            <w:shd w:val="clear" w:color="auto" w:fill="1F3A5F"/>
          </w:tcPr>
          <w:p>
            <w:pPr>
              <w:pStyle w:val="Compact"/>
              <w:spacing w:after="40"/>
              <w:jc w:val="left"/>
            </w:pPr>
            <w:r>
              <w:rPr>
                <w:b/>
                <w:color w:val="FFFFFF"/>
                <w:sz w:val="18"/>
              </w:rPr>
              <w:t xml:space="preserve">Attribute</w:t>
            </w:r>
          </w:p>
        </w:tc>
        <w:tc>
          <w:tcPr>
            <w:tcW w:w="8032" w:type="dxa"/>
            <w:shd w:val="clear" w:color="auto" w:fill="1F3A5F"/>
          </w:tcPr>
          <w:p>
            <w:pPr>
              <w:pStyle w:val="Compact"/>
              <w:spacing w:after="40"/>
              <w:jc w:val="left"/>
            </w:pPr>
            <w:r>
              <w:rPr>
                <w:b/>
                <w:color w:val="FFFFFF"/>
                <w:sz w:val="18"/>
              </w:rPr>
              <w:t xml:space="preserve">Rule</w:t>
            </w:r>
          </w:p>
        </w:tc>
      </w:tr>
      <w:tr>
        <w:tc>
          <w:tcPr>
            <w:tcW w:w="1606" w:type="dxa"/>
          </w:tcPr>
          <w:p>
            <w:pPr>
              <w:pStyle w:val="Compact"/>
              <w:spacing w:after="40"/>
              <w:jc w:val="left"/>
            </w:pPr>
            <w:r>
              <w:rPr>
                <w:rStyle w:val="VerbatimChar"/>
                <w:sz w:val="18"/>
              </w:rPr>
              <w:t xml:space="preserve">purpose</w:t>
            </w:r>
          </w:p>
        </w:tc>
        <w:tc>
          <w:tcPr>
            <w:tcW w:w="8032" w:type="dxa"/>
          </w:tcPr>
          <w:p>
            <w:pPr>
              <w:pStyle w:val="Compact"/>
              <w:spacing w:after="40"/>
              <w:jc w:val="left"/>
            </w:pPr>
            <w:r>
              <w:rPr>
                <w:sz w:val="18"/>
              </w:rPr>
              <w:t xml:space="preserve">SERVICE, TRANSACTIONAL, RECOVERY or PROMOTIONAL</w:t>
            </w:r>
          </w:p>
        </w:tc>
      </w:tr>
      <w:tr>
        <w:tc>
          <w:tcPr>
            <w:tcW w:w="1606" w:type="dxa"/>
          </w:tcPr>
          <w:p>
            <w:pPr>
              <w:pStyle w:val="Compact"/>
              <w:spacing w:after="40"/>
              <w:jc w:val="left"/>
            </w:pPr>
            <w:r>
              <w:rPr>
                <w:rStyle w:val="VerbatimChar"/>
                <w:sz w:val="18"/>
              </w:rPr>
              <w:t xml:space="preserve">principal_entity</w:t>
            </w:r>
          </w:p>
        </w:tc>
        <w:tc>
          <w:tcPr>
            <w:tcW w:w="8032" w:type="dxa"/>
          </w:tcPr>
          <w:p>
            <w:pPr>
              <w:pStyle w:val="Compact"/>
              <w:spacing w:after="40"/>
              <w:jc w:val="left"/>
            </w:pPr>
            <w:r>
              <w:rPr>
                <w:sz w:val="18"/>
              </w:rPr>
              <w:t xml:space="preserve">The RE (for its customers’ loan matters), the society (Part 7E), or Udofin (its own products and promotions)</w:t>
            </w:r>
          </w:p>
        </w:tc>
      </w:tr>
      <w:tr>
        <w:tc>
          <w:tcPr>
            <w:tcW w:w="1606" w:type="dxa"/>
          </w:tcPr>
          <w:p>
            <w:pPr>
              <w:pStyle w:val="Compact"/>
              <w:spacing w:after="40"/>
              <w:jc w:val="left"/>
            </w:pPr>
            <w:r>
              <w:rPr>
                <w:rStyle w:val="VerbatimChar"/>
                <w:sz w:val="18"/>
              </w:rPr>
              <w:t xml:space="preserve">number_series</w:t>
            </w:r>
          </w:p>
        </w:tc>
        <w:tc>
          <w:tcPr>
            <w:tcW w:w="8032" w:type="dxa"/>
          </w:tcPr>
          <w:p>
            <w:pPr>
              <w:pStyle w:val="Compact"/>
              <w:spacing w:after="40"/>
              <w:jc w:val="left"/>
            </w:pPr>
            <w:r>
              <w:rPr>
                <w:sz w:val="18"/>
              </w:rPr>
              <w:t xml:space="preserve">RE service, transactional and recovery calls: the RE’s 1600-series number under the RE’s principal-entity registration (TRAI Direction 19 Nov 2025: NBFCs above ₹5,000 crore from 1 Feb 2026; other NBFCs and co-operative banks from 1 Mar 2026; vendor material says the 1601 sub-series is for RBI, SEBI, IRDAI and PFRDA entities) [VERIFY]. Udofin probably cannot hold 1600-series numbers in its own name [VERIFY: DoT and TRAI eligibility for LSPs, and whether an LSP may originate calls on the RE’s number], so RE-service calls are made from the RE’s numbers through the RE’s trunk or a provider the RE authorises. Udofin promotional calls: 140-series through a registered telemarketer, with consent and DND scrubbing. Udofin’s own service calls: no outbound voice until the eligible series is confirmed [VERIFY]; use in-app, SMS on service templates, email and inbound numbers. Ordinary 10-digit numbers are never used for telemarketing or RE service calls. Non-RE lenders: as their counsel confirms [VERIFY]</w:t>
            </w:r>
          </w:p>
        </w:tc>
      </w:tr>
      <w:tr>
        <w:tc>
          <w:tcPr>
            <w:tcW w:w="1606" w:type="dxa"/>
          </w:tcPr>
          <w:p>
            <w:pPr>
              <w:pStyle w:val="Compact"/>
              <w:spacing w:after="40"/>
              <w:jc w:val="left"/>
            </w:pPr>
            <w:r>
              <w:rPr>
                <w:rStyle w:val="VerbatimChar"/>
                <w:sz w:val="18"/>
              </w:rPr>
              <w:t xml:space="preserve">consent_check</w:t>
            </w:r>
          </w:p>
        </w:tc>
        <w:tc>
          <w:tcPr>
            <w:tcW w:w="8032" w:type="dxa"/>
          </w:tcPr>
          <w:p>
            <w:pPr>
              <w:pStyle w:val="Compact"/>
              <w:spacing w:after="40"/>
              <w:jc w:val="left"/>
            </w:pPr>
            <w:r>
              <w:rPr>
                <w:sz w:val="18"/>
              </w:rPr>
              <w:t xml:space="preserve">Promotional: explicit promotional consent (TCCCPR; RBC Second Amendment draft para 101L), opt-out honoured, 90 days before re-seeking consent after an opt-out. Service: inferred consent only while the contract lasts. Transactional consent valid 7 days</w:t>
            </w:r>
          </w:p>
        </w:tc>
      </w:tr>
      <w:tr>
        <w:tc>
          <w:tcPr>
            <w:tcW w:w="1606" w:type="dxa"/>
          </w:tcPr>
          <w:p>
            <w:pPr>
              <w:pStyle w:val="Compact"/>
              <w:spacing w:after="40"/>
              <w:jc w:val="left"/>
            </w:pPr>
            <w:r>
              <w:rPr>
                <w:rStyle w:val="VerbatimChar"/>
                <w:sz w:val="18"/>
              </w:rPr>
              <w:t xml:space="preserve">time_window</w:t>
            </w:r>
          </w:p>
        </w:tc>
        <w:tc>
          <w:tcPr>
            <w:tcW w:w="8032" w:type="dxa"/>
          </w:tcPr>
          <w:p>
            <w:pPr>
              <w:pStyle w:val="Compact"/>
              <w:spacing w:after="40"/>
              <w:jc w:val="left"/>
            </w:pPr>
            <w:r>
              <w:rPr>
                <w:sz w:val="18"/>
              </w:rPr>
              <w:t xml:space="preserve">Effective-dated rule pack. Until 31 Dec 2026: recovery 08:00–19:00 (RBC para 100); microfinance and low-income member loans 09:00–18:00 (RBC para 91(2); Part 7E). From 1 Jan 2027: the RBC Third Amendment rule pack (RBI/2026-27/230; pack B para 100Y(4)) for recovery and microfinance calls [VERIFY: official text; Part 8A.17.1 item 28]; an RE may only narrow it. Sales and promotional 09:00–18:00 [VERIFY: final para 101O]. The borrower’s preferred window narrows these; sensitive-occasion blackouts (Part 7A UR4)</w:t>
            </w:r>
          </w:p>
        </w:tc>
      </w:tr>
      <w:tr>
        <w:tc>
          <w:tcPr>
            <w:tcW w:w="1606" w:type="dxa"/>
          </w:tcPr>
          <w:p>
            <w:pPr>
              <w:pStyle w:val="Compact"/>
              <w:spacing w:after="40"/>
              <w:jc w:val="left"/>
            </w:pPr>
            <w:r>
              <w:rPr>
                <w:rStyle w:val="VerbatimChar"/>
                <w:sz w:val="18"/>
              </w:rPr>
              <w:t xml:space="preserve">frequency_cap</w:t>
            </w:r>
          </w:p>
        </w:tc>
        <w:tc>
          <w:tcPr>
            <w:tcW w:w="8032" w:type="dxa"/>
          </w:tcPr>
          <w:p>
            <w:pPr>
              <w:pStyle w:val="Compact"/>
              <w:spacing w:after="40"/>
              <w:jc w:val="left"/>
            </w:pPr>
            <w:r>
              <w:rPr>
                <w:sz w:val="18"/>
              </w:rPr>
              <w:t xml:space="preserve">No persistent calling (RBC paras 91(2), 100); the RE’s Board cap; default at most 3 attempts and 1 connected recovery call per day unless the borrower asks [REC]</w:t>
            </w:r>
          </w:p>
        </w:tc>
      </w:tr>
      <w:tr>
        <w:tc>
          <w:tcPr>
            <w:tcW w:w="1606" w:type="dxa"/>
          </w:tcPr>
          <w:p>
            <w:pPr>
              <w:pStyle w:val="Compact"/>
              <w:spacing w:after="40"/>
              <w:jc w:val="left"/>
            </w:pPr>
            <w:r>
              <w:rPr>
                <w:rStyle w:val="VerbatimChar"/>
                <w:sz w:val="18"/>
              </w:rPr>
              <w:t xml:space="preserve">language</w:t>
            </w:r>
          </w:p>
        </w:tc>
        <w:tc>
          <w:tcPr>
            <w:tcW w:w="8032" w:type="dxa"/>
          </w:tcPr>
          <w:p>
            <w:pPr>
              <w:pStyle w:val="Compact"/>
              <w:spacing w:after="40"/>
              <w:jc w:val="left"/>
            </w:pPr>
            <w:r>
              <w:rPr>
                <w:sz w:val="18"/>
              </w:rPr>
              <w:t xml:space="preserve">The borrower’s chosen language</w:t>
            </w:r>
          </w:p>
        </w:tc>
      </w:tr>
      <w:tr>
        <w:tc>
          <w:tcPr>
            <w:tcW w:w="1606" w:type="dxa"/>
          </w:tcPr>
          <w:p>
            <w:pPr>
              <w:pStyle w:val="Compact"/>
              <w:spacing w:after="40"/>
              <w:jc w:val="left"/>
            </w:pPr>
            <w:r>
              <w:rPr>
                <w:rStyle w:val="VerbatimChar"/>
                <w:sz w:val="18"/>
              </w:rPr>
              <w:t xml:space="preserve">auto_dialler</w:t>
            </w:r>
          </w:p>
        </w:tc>
        <w:tc>
          <w:tcPr>
            <w:tcW w:w="8032" w:type="dxa"/>
          </w:tcPr>
          <w:p>
            <w:pPr>
              <w:pStyle w:val="Compact"/>
              <w:spacing w:after="40"/>
              <w:jc w:val="left"/>
            </w:pPr>
            <w:r>
              <w:rPr>
                <w:sz w:val="18"/>
              </w:rPr>
              <w:t xml:space="preserve">Robo-calls and auto-diallers notified in advance to the originating access provider with their purpose (TCCCPR reg 4 as amended 12 Feb 2025)</w:t>
            </w:r>
          </w:p>
        </w:tc>
      </w:tr>
    </w:tbl>
    <w:p>
      <w:pPr>
        <w:pStyle w:val="BodyText"/>
      </w:pPr>
      <w:r>
        <w:t xml:space="preserve">A denied communication is logged with the rule that denied it; RE service calls from an unregistered number are treated as an incident (TRAI sanctions include disconnection and blacklisting).</w:t>
      </w:r>
    </w:p>
    <w:bookmarkEnd w:id="412"/>
    <w:bookmarkStart w:id="413" w:name="ra5.4-ai-contact-centre-rules"/>
    <w:p>
      <w:pPr>
        <w:pStyle w:val="Heading3"/>
      </w:pPr>
      <w:r>
        <w:t xml:space="preserve">RA5.4 AI contact-centre rules</w:t>
      </w:r>
    </w:p>
    <w:p>
      <w:pPr>
        <w:numPr>
          <w:ilvl w:val="0"/>
          <w:numId w:val="1248"/>
        </w:numPr>
        <w:pStyle w:val="Compact"/>
      </w:pPr>
      <w:r>
        <w:rPr>
          <w:bCs/>
          <w:b/>
        </w:rPr>
        <w:t xml:space="preserve">Disclosure first:</w:t>
      </w:r>
      <w:r>
        <w:t xml:space="preserve"> </w:t>
      </w:r>
      <w:r>
        <w:t xml:space="preserve">every bot call or chat starts by saying it is an automated assistant acting for [RE name] or Udofin; the disclosure is in the borrower’s language and cannot be configured off (RBI FREE-AI report; guidance).</w:t>
      </w:r>
    </w:p>
    <w:p>
      <w:pPr>
        <w:numPr>
          <w:ilvl w:val="0"/>
          <w:numId w:val="1248"/>
        </w:numPr>
        <w:pStyle w:val="Compact"/>
      </w:pPr>
      <w:r>
        <w:rPr>
          <w:bCs/>
          <w:b/>
        </w:rPr>
        <w:t xml:space="preserve">Human handover</w:t>
      </w:r>
      <w:r>
        <w:t xml:space="preserve"> </w:t>
      </w:r>
      <w:r>
        <w:t xml:space="preserve">at any turn, by voice or keypad, per the RA5.5 workflow; a request for a human is never refused or delayed beyond the RE’s service level.</w:t>
      </w:r>
    </w:p>
    <w:p>
      <w:pPr>
        <w:numPr>
          <w:ilvl w:val="0"/>
          <w:numId w:val="1248"/>
        </w:numPr>
        <w:pStyle w:val="Compact"/>
      </w:pPr>
      <w:r>
        <w:rPr>
          <w:bCs/>
          <w:b/>
        </w:rPr>
        <w:t xml:space="preserve">No threats, no misstatement</w:t>
      </w:r>
      <w:r>
        <w:t xml:space="preserve"> </w:t>
      </w:r>
      <w:r>
        <w:t xml:space="preserve">of the debt or consequences, no disclosure to third parties, no contact with references or family (RBC paras 91, 100; pack B).</w:t>
      </w:r>
    </w:p>
    <w:p>
      <w:pPr>
        <w:numPr>
          <w:ilvl w:val="0"/>
          <w:numId w:val="1248"/>
        </w:numPr>
        <w:pStyle w:val="Compact"/>
      </w:pPr>
      <w:r>
        <w:rPr>
          <w:bCs/>
          <w:b/>
        </w:rPr>
        <w:t xml:space="preserve">No decisions:</w:t>
      </w:r>
      <w:r>
        <w:t xml:space="preserve"> </w:t>
      </w:r>
      <w:r>
        <w:t xml:space="preserve">no settlement, waiver, restructuring, credit, claim or complaint decision; figures only from RE-issued offers (Part 7A UR1, UR4); AI never closes, rejects or settles a complaint (Part 7C UB3).</w:t>
      </w:r>
    </w:p>
    <w:p>
      <w:pPr>
        <w:numPr>
          <w:ilvl w:val="0"/>
          <w:numId w:val="1248"/>
        </w:numPr>
        <w:pStyle w:val="Compact"/>
      </w:pPr>
      <w:r>
        <w:rPr>
          <w:bCs/>
          <w:b/>
        </w:rPr>
        <w:t xml:space="preserve">Approved scripts and prompts:</w:t>
      </w:r>
      <w:r>
        <w:t xml:space="preserve"> </w:t>
      </w:r>
      <w:r>
        <w:t xml:space="preserve">the RE’s compliance team approves scripts, prompts and knowledge sources for its customers; Udofin compliance for Udofin’s own; versions logged.</w:t>
      </w:r>
    </w:p>
    <w:p>
      <w:pPr>
        <w:numPr>
          <w:ilvl w:val="0"/>
          <w:numId w:val="1248"/>
        </w:numPr>
        <w:pStyle w:val="Compact"/>
      </w:pPr>
      <w:r>
        <w:rPr>
          <w:bCs/>
          <w:b/>
        </w:rPr>
        <w:t xml:space="preserve">Logs:</w:t>
      </w:r>
      <w:r>
        <w:t xml:space="preserve"> </w:t>
      </w:r>
      <w:r>
        <w:t xml:space="preserve">model, version, prompt version, transcript and outcome kept in India with the recording; QA sampling feeds KRI R15.</w:t>
      </w:r>
    </w:p>
    <w:bookmarkEnd w:id="413"/>
    <w:bookmarkStart w:id="414" w:name="Xbe81947e6acdaf89b9909d666602df01fb4f098"/>
    <w:p>
      <w:pPr>
        <w:pStyle w:val="Heading3"/>
      </w:pPr>
      <w:r>
        <w:t xml:space="preserve">RA5.5 Handover to a human, recording consent and retention</w:t>
      </w:r>
    </w:p>
    <w:p>
      <w:pPr>
        <w:pStyle w:val="FirstParagraph"/>
      </w:pPr>
      <w:r>
        <w:rPr>
          <w:bCs/>
          <w:b/>
        </w:rPr>
        <w:t xml:space="preserve">Handover workflow</w:t>
      </w:r>
      <w:r>
        <w:t xml:space="preserve"> </w:t>
      </w:r>
      <w:r>
        <w:t xml:space="preserve">(</w:t>
      </w:r>
      <w:r>
        <w:rPr>
          <w:rStyle w:val="VerbatimChar"/>
        </w:rPr>
        <w:t xml:space="preserve">bot_conversation</w:t>
      </w:r>
      <w:r>
        <w:t xml:space="preserve"> </w:t>
      </w:r>
      <w:r>
        <w:t xml:space="preserve">→</w:t>
      </w:r>
      <w:r>
        <w:t xml:space="preserve"> </w:t>
      </w:r>
      <w:r>
        <w:rPr>
          <w:rStyle w:val="VerbatimChar"/>
        </w:rPr>
        <w:t xml:space="preserve">bot_handover</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41"/>
        <w:gridCol w:w="7697"/>
      </w:tblGrid>
      <w:tr>
        <w:trPr>
          <w:tblHeader w:val="true"/>
          <w:tblHeader w:val="true"/>
        </w:trPr>
        <w:tc>
          <w:tcPr>
            <w:tcW w:w="1941" w:type="dxa"/>
            <w:shd w:val="clear" w:color="auto" w:fill="1F3A5F"/>
          </w:tcPr>
          <w:p>
            <w:pPr>
              <w:pStyle w:val="Compact"/>
              <w:spacing w:after="40"/>
              <w:jc w:val="left"/>
            </w:pPr>
            <w:r>
              <w:rPr>
                <w:b/>
                <w:color w:val="FFFFFF"/>
                <w:sz w:val="18"/>
              </w:rPr>
              <w:t xml:space="preserve">Step</w:t>
            </w:r>
          </w:p>
        </w:tc>
        <w:tc>
          <w:tcPr>
            <w:tcW w:w="7697" w:type="dxa"/>
            <w:shd w:val="clear" w:color="auto" w:fill="1F3A5F"/>
          </w:tcPr>
          <w:p>
            <w:pPr>
              <w:pStyle w:val="Compact"/>
              <w:spacing w:after="40"/>
              <w:jc w:val="left"/>
            </w:pPr>
            <w:r>
              <w:rPr>
                <w:b/>
                <w:color w:val="FFFFFF"/>
                <w:sz w:val="18"/>
              </w:rPr>
              <w:t xml:space="preserve">Rule</w:t>
            </w:r>
          </w:p>
        </w:tc>
      </w:tr>
      <w:tr>
        <w:tc>
          <w:tcPr>
            <w:tcW w:w="1941" w:type="dxa"/>
          </w:tcPr>
          <w:p>
            <w:pPr>
              <w:pStyle w:val="Compact"/>
              <w:spacing w:after="40"/>
              <w:jc w:val="left"/>
            </w:pPr>
            <w:r>
              <w:rPr>
                <w:sz w:val="18"/>
              </w:rPr>
              <w:t xml:space="preserve">Triggers</w:t>
            </w:r>
          </w:p>
        </w:tc>
        <w:tc>
          <w:tcPr>
            <w:tcW w:w="7697" w:type="dxa"/>
          </w:tcPr>
          <w:p>
            <w:pPr>
              <w:pStyle w:val="Compact"/>
              <w:spacing w:after="40"/>
              <w:jc w:val="left"/>
            </w:pPr>
            <w:r>
              <w:rPr>
                <w:sz w:val="18"/>
              </w:rPr>
              <w:t xml:space="preserve">The borrower asks for a human (any language, keypad 0 or</w:t>
            </w:r>
            <w:r>
              <w:rPr>
                <w:sz w:val="18"/>
              </w:rPr>
              <w:t xml:space="preserve"> </w:t>
            </w:r>
            <w:r>
              <w:rPr>
                <w:sz w:val="18"/>
              </w:rPr>
              <w:t xml:space="preserve">“</w:t>
            </w:r>
            <w:r>
              <w:rPr>
                <w:sz w:val="18"/>
              </w:rPr>
              <w:t xml:space="preserve">agent</w:t>
            </w:r>
            <w:r>
              <w:rPr>
                <w:sz w:val="18"/>
              </w:rPr>
              <w:t xml:space="preserve">”</w:t>
            </w:r>
            <w:r>
              <w:rPr>
                <w:sz w:val="18"/>
              </w:rPr>
              <w:t xml:space="preserve">); two consecutive turns not understood; a complaint, dispute, hardship, bereavement or fraud cue; a request for a settlement, waiver or any figure not in an RE-issued offer; any sign of vulnerability; a technical fault</w:t>
            </w:r>
          </w:p>
        </w:tc>
      </w:tr>
      <w:tr>
        <w:tc>
          <w:tcPr>
            <w:tcW w:w="1941" w:type="dxa"/>
          </w:tcPr>
          <w:p>
            <w:pPr>
              <w:pStyle w:val="Compact"/>
              <w:spacing w:after="40"/>
              <w:jc w:val="left"/>
            </w:pPr>
            <w:r>
              <w:rPr>
                <w:sz w:val="18"/>
              </w:rPr>
              <w:t xml:space="preserve">Warm transfer</w:t>
            </w:r>
          </w:p>
        </w:tc>
        <w:tc>
          <w:tcPr>
            <w:tcW w:w="7697" w:type="dxa"/>
          </w:tcPr>
          <w:p>
            <w:pPr>
              <w:pStyle w:val="Compact"/>
              <w:spacing w:after="40"/>
              <w:jc w:val="left"/>
            </w:pPr>
            <w:r>
              <w:rPr>
                <w:sz w:val="18"/>
              </w:rPr>
              <w:t xml:space="preserve">The bot says it is transferring and why; the human agent receives a context summary (intent, verified identity level, steps done, transcript link) so the borrower does not repeat themselves; identity is never re-asked beyond the agent’s step-up rule</w:t>
            </w:r>
          </w:p>
        </w:tc>
      </w:tr>
      <w:tr>
        <w:tc>
          <w:tcPr>
            <w:tcW w:w="1941" w:type="dxa"/>
          </w:tcPr>
          <w:p>
            <w:pPr>
              <w:pStyle w:val="Compact"/>
              <w:spacing w:after="40"/>
              <w:jc w:val="left"/>
            </w:pPr>
            <w:r>
              <w:rPr>
                <w:sz w:val="18"/>
              </w:rPr>
              <w:t xml:space="preserve">Service level</w:t>
            </w:r>
          </w:p>
        </w:tc>
        <w:tc>
          <w:tcPr>
            <w:tcW w:w="7697" w:type="dxa"/>
          </w:tcPr>
          <w:p>
            <w:pPr>
              <w:pStyle w:val="Compact"/>
              <w:spacing w:after="40"/>
              <w:jc w:val="left"/>
            </w:pPr>
            <w:r>
              <w:rPr>
                <w:sz w:val="18"/>
              </w:rPr>
              <w:t xml:space="preserve">Voice: answered by a human within the RE’s service level (default 60 seconds [REC]); chat: 2 minutes [REC]</w:t>
            </w:r>
          </w:p>
        </w:tc>
      </w:tr>
      <w:tr>
        <w:tc>
          <w:tcPr>
            <w:tcW w:w="1941" w:type="dxa"/>
          </w:tcPr>
          <w:p>
            <w:pPr>
              <w:pStyle w:val="Compact"/>
              <w:spacing w:after="40"/>
              <w:jc w:val="left"/>
            </w:pPr>
            <w:r>
              <w:rPr>
                <w:sz w:val="18"/>
              </w:rPr>
              <w:t xml:space="preserve">No agent available</w:t>
            </w:r>
          </w:p>
        </w:tc>
        <w:tc>
          <w:tcPr>
            <w:tcW w:w="7697" w:type="dxa"/>
          </w:tcPr>
          <w:p>
            <w:pPr>
              <w:pStyle w:val="Compact"/>
              <w:spacing w:after="40"/>
              <w:jc w:val="left"/>
            </w:pPr>
            <w:r>
              <w:rPr>
                <w:sz w:val="18"/>
              </w:rPr>
              <w:t xml:space="preserve">Offer a callback slot inside the permitted window or a written channel; create a ticket with the slot; never end the contact silently; a missed callback escalates to the team lead</w:t>
            </w:r>
          </w:p>
        </w:tc>
      </w:tr>
      <w:tr>
        <w:tc>
          <w:tcPr>
            <w:tcW w:w="1941" w:type="dxa"/>
          </w:tcPr>
          <w:p>
            <w:pPr>
              <w:pStyle w:val="Compact"/>
              <w:spacing w:after="40"/>
              <w:jc w:val="left"/>
            </w:pPr>
            <w:r>
              <w:rPr>
                <w:sz w:val="18"/>
              </w:rPr>
              <w:t xml:space="preserve">Complaints</w:t>
            </w:r>
          </w:p>
        </w:tc>
        <w:tc>
          <w:tcPr>
            <w:tcW w:w="7697" w:type="dxa"/>
          </w:tcPr>
          <w:p>
            <w:pPr>
              <w:pStyle w:val="Compact"/>
              <w:spacing w:after="40"/>
              <w:jc w:val="left"/>
            </w:pPr>
            <w:r>
              <w:rPr>
                <w:sz w:val="18"/>
              </w:rPr>
              <w:t xml:space="preserve">A complaint raised during the contact is logged in U15 or UB3 with the contact time as receipt time; the bot never classifies it as resolved</w:t>
            </w:r>
          </w:p>
        </w:tc>
      </w:tr>
      <w:tr>
        <w:tc>
          <w:tcPr>
            <w:tcW w:w="1941" w:type="dxa"/>
          </w:tcPr>
          <w:p>
            <w:pPr>
              <w:pStyle w:val="Compact"/>
              <w:spacing w:after="40"/>
              <w:jc w:val="left"/>
            </w:pPr>
            <w:r>
              <w:rPr>
                <w:sz w:val="18"/>
              </w:rPr>
              <w:t xml:space="preserve">Records</w:t>
            </w:r>
          </w:p>
        </w:tc>
        <w:tc>
          <w:tcPr>
            <w:tcW w:w="7697" w:type="dxa"/>
          </w:tcPr>
          <w:p>
            <w:pPr>
              <w:pStyle w:val="Compact"/>
              <w:spacing w:after="40"/>
              <w:jc w:val="left"/>
            </w:pPr>
            <w:r>
              <w:rPr>
                <w:sz w:val="18"/>
              </w:rPr>
              <w:t xml:space="preserve">Trigger, wait time, agent, outcome and transcript are kept with the recording; handover statistics feed KRI R15</w:t>
            </w:r>
          </w:p>
        </w:tc>
      </w:tr>
    </w:tbl>
    <w:p>
      <w:pPr>
        <w:pStyle w:val="BodyText"/>
      </w:pPr>
      <w:r>
        <w:rPr>
          <w:bCs/>
          <w:b/>
        </w:rPr>
        <w:t xml:space="preserve">Recording consent and retention:</w:t>
      </w:r>
    </w:p>
    <w:p>
      <w:pPr>
        <w:numPr>
          <w:ilvl w:val="0"/>
          <w:numId w:val="1249"/>
        </w:numPr>
        <w:pStyle w:val="Compact"/>
      </w:pPr>
      <w:r>
        <w:t xml:space="preserve">Announce at the start of every recorded call that it is recorded and why; the human agent repeats the notice after a transfer; send the DPDP notice link by SMS on a service template.</w:t>
      </w:r>
    </w:p>
    <w:p>
      <w:pPr>
        <w:numPr>
          <w:ilvl w:val="0"/>
          <w:numId w:val="1249"/>
        </w:numPr>
        <w:pStyle w:val="Compact"/>
      </w:pPr>
      <w:r>
        <w:rPr>
          <w:bCs/>
          <w:b/>
        </w:rPr>
        <w:t xml:space="preserve">Recovery calls</w:t>
      </w:r>
      <w:r>
        <w:t xml:space="preserve"> </w:t>
      </w:r>
      <w:r>
        <w:t xml:space="preserve">(where Udofin is appointed): recorded with disclosure; recording cannot be switched off for a recovery call, so a borrower who objects is offered a written channel instead; kept at least 6 months and until final disposal if sub judice (pack B para 100P from 1 Jan 2027) [VERIFY]; Udofin default 12 months (Part 7A.0.3).</w:t>
      </w:r>
    </w:p>
    <w:p>
      <w:pPr>
        <w:numPr>
          <w:ilvl w:val="0"/>
          <w:numId w:val="1249"/>
        </w:numPr>
        <w:pStyle w:val="Compact"/>
      </w:pPr>
      <w:r>
        <w:rPr>
          <w:bCs/>
          <w:b/>
        </w:rPr>
        <w:t xml:space="preserve">Service calls:</w:t>
      </w:r>
      <w:r>
        <w:t xml:space="preserve"> </w:t>
      </w:r>
      <w:r>
        <w:t xml:space="preserve">where the borrower objects, switch to</w:t>
      </w:r>
      <w:r>
        <w:t xml:space="preserve"> </w:t>
      </w:r>
      <w:r>
        <w:rPr>
          <w:rStyle w:val="VerbatimChar"/>
        </w:rPr>
        <w:t xml:space="preserve">UNRECORDED_BY_OBJECTION</w:t>
      </w:r>
      <w:r>
        <w:t xml:space="preserve"> </w:t>
      </w:r>
      <w:r>
        <w:t xml:space="preserve">mode (recording stops; call metadata and the agent’s notes stay) or offer a written channel or a human callback without recording, unless the RE’s policy requires recording for that call type, in which case the written channel is offered [REC].</w:t>
      </w:r>
    </w:p>
    <w:p>
      <w:pPr>
        <w:numPr>
          <w:ilvl w:val="0"/>
          <w:numId w:val="1249"/>
        </w:numPr>
        <w:pStyle w:val="Compact"/>
      </w:pPr>
      <w:r>
        <w:t xml:space="preserve">Recordings and transcripts are encrypted, stored in India, access-logged, purged at the retention date unless on legal hold, and included in RE archives only in the restricted folder (RA3).</w:t>
      </w:r>
    </w:p>
    <w:bookmarkEnd w:id="414"/>
    <w:bookmarkStart w:id="415" w:name="ra5.6-indian-languages"/>
    <w:p>
      <w:pPr>
        <w:pStyle w:val="Heading3"/>
      </w:pPr>
      <w:r>
        <w:t xml:space="preserve">RA5.6 Indian languages</w:t>
      </w:r>
    </w:p>
    <w:p>
      <w:pPr>
        <w:numPr>
          <w:ilvl w:val="0"/>
          <w:numId w:val="1250"/>
        </w:numPr>
        <w:pStyle w:val="Compact"/>
      </w:pPr>
      <w:r>
        <w:t xml:space="preserve">Speech and translation through</w:t>
      </w:r>
      <w:r>
        <w:t xml:space="preserve"> </w:t>
      </w:r>
      <w:r>
        <w:rPr>
          <w:rStyle w:val="VerbatimChar"/>
        </w:rPr>
        <w:t xml:space="preserve">SpeechProvider</w:t>
      </w:r>
      <w:r>
        <w:t xml:space="preserve"> </w:t>
      </w:r>
      <w:r>
        <w:t xml:space="preserve">(Bhashini or Sarvam AI options, or others) with a per-language acceptance test by native reviewers (word error rate and meaning checks on financial vocabulary) before a language goes live.</w:t>
      </w:r>
    </w:p>
    <w:p>
      <w:pPr>
        <w:numPr>
          <w:ilvl w:val="0"/>
          <w:numId w:val="1250"/>
        </w:numPr>
        <w:pStyle w:val="Compact"/>
      </w:pPr>
      <w:r>
        <w:t xml:space="preserve">Regulatory text (KFS summaries, loan cards, disclosures) is never freely generated by an LLM: only text-to-speech of the RE-approved translation is played.</w:t>
      </w:r>
    </w:p>
    <w:bookmarkEnd w:id="415"/>
    <w:bookmarkStart w:id="416" w:name="Xe8decb6d552d61bf763b4a8ecdc4def1833d92a"/>
    <w:p>
      <w:pPr>
        <w:pStyle w:val="Heading3"/>
      </w:pPr>
      <w:r>
        <w:t xml:space="preserve">RA5.7 Provider, number and script lifecycles</w:t>
      </w:r>
    </w:p>
    <w:p>
      <w:pPr>
        <w:numPr>
          <w:ilvl w:val="0"/>
          <w:numId w:val="1251"/>
        </w:numPr>
        <w:pStyle w:val="Compact"/>
      </w:pPr>
      <w:r>
        <w:rPr>
          <w:bCs/>
          <w:b/>
        </w:rPr>
        <w:t xml:space="preserve">Provider:</w:t>
      </w:r>
      <w:r>
        <w:t xml:space="preserve"> </w:t>
      </w:r>
      <w:r>
        <w:rPr>
          <w:rStyle w:val="VerbatimChar"/>
        </w:rPr>
        <w:t xml:space="preserve">PROPOSED → DUE_DILIGENCE (DPA, residency proof, DLT and series support, zero retention) → CONTRACTED → SANDBOX_CERTIFIED → PRODUCTION_ENABLED ⇄ SUSPENDED → RETIRED</w:t>
      </w:r>
      <w:r>
        <w:t xml:space="preserve">; residency proof older than 12 months or a failed certification re-run suspends production traffic, and routing fails over only to another certified provider.</w:t>
      </w:r>
    </w:p>
    <w:p>
      <w:pPr>
        <w:numPr>
          <w:ilvl w:val="0"/>
          <w:numId w:val="1251"/>
        </w:numPr>
        <w:pStyle w:val="Compact"/>
      </w:pPr>
      <w:r>
        <w:rPr>
          <w:bCs/>
          <w:b/>
        </w:rPr>
        <w:t xml:space="preserve">Numbers and headers:</w:t>
      </w:r>
      <w:r>
        <w:t xml:space="preserve"> </w:t>
      </w:r>
      <w:r>
        <w:t xml:space="preserve">each number carries series, circle, purpose, principal entity and DLT entity ID; a number whose series does not fit its purpose cannot be assigned.</w:t>
      </w:r>
    </w:p>
    <w:p>
      <w:pPr>
        <w:numPr>
          <w:ilvl w:val="0"/>
          <w:numId w:val="1251"/>
        </w:numPr>
        <w:pStyle w:val="Compact"/>
      </w:pPr>
      <w:r>
        <w:rPr>
          <w:bCs/>
          <w:b/>
        </w:rPr>
        <w:t xml:space="preserve">Scripts and prompts:</w:t>
      </w:r>
      <w:r>
        <w:t xml:space="preserve"> </w:t>
      </w:r>
      <w:r>
        <w:rPr>
          <w:rStyle w:val="VerbatimChar"/>
        </w:rPr>
        <w:t xml:space="preserve">DRAFT → LEGAL_REVIEW → APPROVED (RE compliance for its customers; Udofin compliance for its own) → LIVE → RETIRED</w:t>
      </w:r>
      <w:r>
        <w:t xml:space="preserve">, versioned; changing a live prompt creates a new version needing fresh approval.</w:t>
      </w:r>
    </w:p>
    <w:bookmarkEnd w:id="416"/>
    <w:bookmarkStart w:id="417" w:name="settings-and-options-ra5"/>
    <w:p>
      <w:pPr>
        <w:pStyle w:val="Heading3"/>
      </w:pPr>
      <w:r>
        <w:t xml:space="preserve">Settings and options (RA5)</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53"/>
        <w:gridCol w:w="1820"/>
        <w:gridCol w:w="3182"/>
        <w:gridCol w:w="2483"/>
      </w:tblGrid>
      <w:tr>
        <w:trPr>
          <w:tblHeader w:val="true"/>
          <w:tblHeader w:val="true"/>
        </w:trPr>
        <w:tc>
          <w:tcPr>
            <w:tcW w:w="2153" w:type="dxa"/>
            <w:shd w:val="clear" w:color="auto" w:fill="1F3A5F"/>
          </w:tcPr>
          <w:p>
            <w:pPr>
              <w:pStyle w:val="Compact"/>
              <w:spacing w:after="40"/>
              <w:jc w:val="left"/>
            </w:pPr>
            <w:r>
              <w:rPr>
                <w:b/>
                <w:color w:val="FFFFFF"/>
                <w:sz w:val="18"/>
              </w:rPr>
              <w:t xml:space="preserve">Setting</w:t>
            </w:r>
          </w:p>
        </w:tc>
        <w:tc>
          <w:tcPr>
            <w:tcW w:w="1820" w:type="dxa"/>
            <w:shd w:val="clear" w:color="auto" w:fill="1F3A5F"/>
          </w:tcPr>
          <w:p>
            <w:pPr>
              <w:pStyle w:val="Compact"/>
              <w:spacing w:after="40"/>
              <w:jc w:val="left"/>
            </w:pPr>
            <w:r>
              <w:rPr>
                <w:b/>
                <w:color w:val="FFFFFF"/>
                <w:sz w:val="18"/>
              </w:rPr>
              <w:t xml:space="preserve">Level</w:t>
            </w:r>
          </w:p>
        </w:tc>
        <w:tc>
          <w:tcPr>
            <w:tcW w:w="3182" w:type="dxa"/>
            <w:shd w:val="clear" w:color="auto" w:fill="1F3A5F"/>
          </w:tcPr>
          <w:p>
            <w:pPr>
              <w:pStyle w:val="Compact"/>
              <w:spacing w:after="40"/>
              <w:jc w:val="left"/>
            </w:pPr>
            <w:r>
              <w:rPr>
                <w:b/>
                <w:color w:val="FFFFFF"/>
                <w:sz w:val="18"/>
              </w:rPr>
              <w:t xml:space="preserve">Default</w:t>
            </w:r>
          </w:p>
        </w:tc>
        <w:tc>
          <w:tcPr>
            <w:tcW w:w="2483" w:type="dxa"/>
            <w:shd w:val="clear" w:color="auto" w:fill="1F3A5F"/>
          </w:tcPr>
          <w:p>
            <w:pPr>
              <w:pStyle w:val="Compact"/>
              <w:spacing w:after="40"/>
              <w:jc w:val="left"/>
            </w:pPr>
            <w:r>
              <w:rPr>
                <w:b/>
                <w:color w:val="FFFFFF"/>
                <w:sz w:val="18"/>
              </w:rPr>
              <w:t xml:space="preserve">Nature</w:t>
            </w:r>
          </w:p>
        </w:tc>
      </w:tr>
      <w:tr>
        <w:tc>
          <w:tcPr>
            <w:tcW w:w="2153" w:type="dxa"/>
          </w:tcPr>
          <w:p>
            <w:pPr>
              <w:pStyle w:val="Compact"/>
              <w:spacing w:after="40"/>
              <w:jc w:val="left"/>
            </w:pPr>
            <w:r>
              <w:rPr>
                <w:sz w:val="18"/>
              </w:rPr>
              <w:t xml:space="preserve">Contact windows, frequency caps and consent rules</w:t>
            </w:r>
          </w:p>
        </w:tc>
        <w:tc>
          <w:tcPr>
            <w:tcW w:w="1820" w:type="dxa"/>
          </w:tcPr>
          <w:p>
            <w:pPr>
              <w:pStyle w:val="Compact"/>
              <w:spacing w:after="40"/>
              <w:jc w:val="left"/>
            </w:pPr>
            <w:r>
              <w:rPr>
                <w:sz w:val="18"/>
              </w:rPr>
              <w:t xml:space="preserve">Platform rule pack, effective-dated</w:t>
            </w:r>
          </w:p>
        </w:tc>
        <w:tc>
          <w:tcPr>
            <w:tcW w:w="3182" w:type="dxa"/>
          </w:tcPr>
          <w:p>
            <w:pPr>
              <w:pStyle w:val="Compact"/>
              <w:spacing w:after="40"/>
              <w:jc w:val="left"/>
            </w:pPr>
            <w:r>
              <w:rPr>
                <w:sz w:val="18"/>
              </w:rPr>
              <w:t xml:space="preserve">RA5.3</w:t>
            </w:r>
          </w:p>
        </w:tc>
        <w:tc>
          <w:tcPr>
            <w:tcW w:w="2483" w:type="dxa"/>
          </w:tcPr>
          <w:p>
            <w:pPr>
              <w:pStyle w:val="Compact"/>
              <w:spacing w:after="40"/>
              <w:jc w:val="left"/>
            </w:pPr>
            <w:r>
              <w:rPr>
                <w:sz w:val="18"/>
              </w:rPr>
              <w:t xml:space="preserve">Floor; an RE or the borrower may only narrow</w:t>
            </w:r>
          </w:p>
        </w:tc>
      </w:tr>
      <w:tr>
        <w:tc>
          <w:tcPr>
            <w:tcW w:w="2153" w:type="dxa"/>
          </w:tcPr>
          <w:p>
            <w:pPr>
              <w:pStyle w:val="Compact"/>
              <w:spacing w:after="40"/>
              <w:jc w:val="left"/>
            </w:pPr>
            <w:r>
              <w:rPr>
                <w:sz w:val="18"/>
              </w:rPr>
              <w:t xml:space="preserve">Series-to-purpose mapping</w:t>
            </w:r>
          </w:p>
        </w:tc>
        <w:tc>
          <w:tcPr>
            <w:tcW w:w="1820" w:type="dxa"/>
          </w:tcPr>
          <w:p>
            <w:pPr>
              <w:pStyle w:val="Compact"/>
              <w:spacing w:after="40"/>
              <w:jc w:val="left"/>
            </w:pPr>
            <w:r>
              <w:rPr>
                <w:sz w:val="18"/>
              </w:rPr>
              <w:t xml:space="preserve">Platform</w:t>
            </w:r>
          </w:p>
        </w:tc>
        <w:tc>
          <w:tcPr>
            <w:tcW w:w="3182" w:type="dxa"/>
          </w:tcPr>
          <w:p>
            <w:pPr>
              <w:pStyle w:val="Compact"/>
              <w:spacing w:after="40"/>
              <w:jc w:val="left"/>
            </w:pPr>
            <w:r>
              <w:rPr>
                <w:sz w:val="18"/>
              </w:rPr>
              <w:t xml:space="preserve">1600 for RE service, transactional and recovery; 140 for promotional</w:t>
            </w:r>
          </w:p>
        </w:tc>
        <w:tc>
          <w:tcPr>
            <w:tcW w:w="2483" w:type="dxa"/>
          </w:tcPr>
          <w:p>
            <w:pPr>
              <w:pStyle w:val="Compact"/>
              <w:spacing w:after="40"/>
              <w:jc w:val="left"/>
            </w:pPr>
            <w:r>
              <w:rPr>
                <w:sz w:val="18"/>
              </w:rPr>
              <w:t xml:space="preserve">Regulatory floor</w:t>
            </w:r>
          </w:p>
        </w:tc>
      </w:tr>
      <w:tr>
        <w:tc>
          <w:tcPr>
            <w:tcW w:w="2153" w:type="dxa"/>
          </w:tcPr>
          <w:p>
            <w:pPr>
              <w:pStyle w:val="Compact"/>
              <w:spacing w:after="40"/>
              <w:jc w:val="left"/>
            </w:pPr>
            <w:r>
              <w:rPr>
                <w:sz w:val="18"/>
              </w:rPr>
              <w:t xml:space="preserve">Udofin’s own outbound service voice</w:t>
            </w:r>
          </w:p>
        </w:tc>
        <w:tc>
          <w:tcPr>
            <w:tcW w:w="1820" w:type="dxa"/>
          </w:tcPr>
          <w:p>
            <w:pPr>
              <w:pStyle w:val="Compact"/>
              <w:spacing w:after="40"/>
              <w:jc w:val="left"/>
            </w:pPr>
            <w:r>
              <w:rPr>
                <w:sz w:val="18"/>
              </w:rPr>
              <w:t xml:space="preserve">Platform</w:t>
            </w:r>
          </w:p>
        </w:tc>
        <w:tc>
          <w:tcPr>
            <w:tcW w:w="3182" w:type="dxa"/>
          </w:tcPr>
          <w:p>
            <w:pPr>
              <w:pStyle w:val="Compact"/>
              <w:spacing w:after="40"/>
              <w:jc w:val="left"/>
            </w:pPr>
            <w:r>
              <w:rPr>
                <w:sz w:val="18"/>
              </w:rPr>
              <w:t xml:space="preserve">Off until 1600-series eligibility is confirmed (Appendix B item 36)</w:t>
            </w:r>
          </w:p>
        </w:tc>
        <w:tc>
          <w:tcPr>
            <w:tcW w:w="2483" w:type="dxa"/>
          </w:tcPr>
          <w:p>
            <w:pPr>
              <w:pStyle w:val="Compact"/>
              <w:spacing w:after="40"/>
              <w:jc w:val="left"/>
            </w:pPr>
            <w:r>
              <w:rPr>
                <w:sz w:val="18"/>
              </w:rPr>
              <w:t xml:space="preserve">Owner decision</w:t>
            </w:r>
          </w:p>
        </w:tc>
      </w:tr>
      <w:tr>
        <w:tc>
          <w:tcPr>
            <w:tcW w:w="2153" w:type="dxa"/>
          </w:tcPr>
          <w:p>
            <w:pPr>
              <w:pStyle w:val="Compact"/>
              <w:spacing w:after="40"/>
              <w:jc w:val="left"/>
            </w:pPr>
            <w:r>
              <w:rPr>
                <w:sz w:val="18"/>
              </w:rPr>
              <w:t xml:space="preserve">Attempt and connected-call caps</w:t>
            </w:r>
          </w:p>
        </w:tc>
        <w:tc>
          <w:tcPr>
            <w:tcW w:w="1820" w:type="dxa"/>
          </w:tcPr>
          <w:p>
            <w:pPr>
              <w:pStyle w:val="Compact"/>
              <w:spacing w:after="40"/>
              <w:jc w:val="left"/>
            </w:pPr>
            <w:r>
              <w:rPr>
                <w:sz w:val="18"/>
              </w:rPr>
              <w:t xml:space="preserve">RE</w:t>
            </w:r>
          </w:p>
        </w:tc>
        <w:tc>
          <w:tcPr>
            <w:tcW w:w="3182" w:type="dxa"/>
          </w:tcPr>
          <w:p>
            <w:pPr>
              <w:pStyle w:val="Compact"/>
              <w:spacing w:after="40"/>
              <w:jc w:val="left"/>
            </w:pPr>
            <w:r>
              <w:rPr>
                <w:sz w:val="18"/>
              </w:rPr>
              <w:t xml:space="preserve">≤ 3 attempts and 1 connected recovery call a day [REC]</w:t>
            </w:r>
          </w:p>
        </w:tc>
        <w:tc>
          <w:tcPr>
            <w:tcW w:w="2483" w:type="dxa"/>
          </w:tcPr>
          <w:p>
            <w:pPr>
              <w:pStyle w:val="Compact"/>
              <w:spacing w:after="40"/>
              <w:jc w:val="left"/>
            </w:pPr>
            <w:r>
              <w:rPr>
                <w:sz w:val="18"/>
              </w:rPr>
              <w:t xml:space="preserve">RE may lower</w:t>
            </w:r>
          </w:p>
        </w:tc>
      </w:tr>
      <w:tr>
        <w:tc>
          <w:tcPr>
            <w:tcW w:w="2153" w:type="dxa"/>
          </w:tcPr>
          <w:p>
            <w:pPr>
              <w:pStyle w:val="Compact"/>
              <w:spacing w:after="40"/>
              <w:jc w:val="left"/>
            </w:pPr>
            <w:r>
              <w:rPr>
                <w:sz w:val="18"/>
              </w:rPr>
              <w:t xml:space="preserve">AI assistant (inbound chat or voice)</w:t>
            </w:r>
          </w:p>
        </w:tc>
        <w:tc>
          <w:tcPr>
            <w:tcW w:w="1820" w:type="dxa"/>
          </w:tcPr>
          <w:p>
            <w:pPr>
              <w:pStyle w:val="Compact"/>
              <w:spacing w:after="40"/>
              <w:jc w:val="left"/>
            </w:pPr>
            <w:r>
              <w:rPr>
                <w:sz w:val="18"/>
              </w:rPr>
              <w:t xml:space="preserve">RE; Udofin for its own channels</w:t>
            </w:r>
          </w:p>
        </w:tc>
        <w:tc>
          <w:tcPr>
            <w:tcW w:w="3182" w:type="dxa"/>
          </w:tcPr>
          <w:p>
            <w:pPr>
              <w:pStyle w:val="Compact"/>
              <w:spacing w:after="40"/>
              <w:jc w:val="left"/>
            </w:pPr>
            <w:r>
              <w:rPr>
                <w:sz w:val="18"/>
              </w:rPr>
              <w:t xml:space="preserve">Off</w:t>
            </w:r>
          </w:p>
        </w:tc>
        <w:tc>
          <w:tcPr>
            <w:tcW w:w="2483" w:type="dxa"/>
          </w:tcPr>
          <w:p>
            <w:pPr>
              <w:pStyle w:val="Compact"/>
              <w:spacing w:after="40"/>
              <w:jc w:val="left"/>
            </w:pPr>
            <w:r>
              <w:rPr>
                <w:sz w:val="18"/>
              </w:rPr>
              <w:t xml:space="preserve">Commercial choice; disclosure and handover cannot be switched off</w:t>
            </w:r>
          </w:p>
        </w:tc>
      </w:tr>
      <w:tr>
        <w:tc>
          <w:tcPr>
            <w:tcW w:w="2153" w:type="dxa"/>
          </w:tcPr>
          <w:p>
            <w:pPr>
              <w:pStyle w:val="Compact"/>
              <w:spacing w:after="40"/>
              <w:jc w:val="left"/>
            </w:pPr>
            <w:r>
              <w:rPr>
                <w:sz w:val="18"/>
              </w:rPr>
              <w:t xml:space="preserve">Human-handover service level</w:t>
            </w:r>
          </w:p>
        </w:tc>
        <w:tc>
          <w:tcPr>
            <w:tcW w:w="1820" w:type="dxa"/>
          </w:tcPr>
          <w:p>
            <w:pPr>
              <w:pStyle w:val="Compact"/>
              <w:spacing w:after="40"/>
              <w:jc w:val="left"/>
            </w:pPr>
            <w:r>
              <w:rPr>
                <w:sz w:val="18"/>
              </w:rPr>
              <w:t xml:space="preserve">RE</w:t>
            </w:r>
          </w:p>
        </w:tc>
        <w:tc>
          <w:tcPr>
            <w:tcW w:w="3182" w:type="dxa"/>
          </w:tcPr>
          <w:p>
            <w:pPr>
              <w:pStyle w:val="Compact"/>
              <w:spacing w:after="40"/>
              <w:jc w:val="left"/>
            </w:pPr>
            <w:r>
              <w:rPr>
                <w:sz w:val="18"/>
              </w:rPr>
              <w:t xml:space="preserve">60 seconds voice, 2 minutes chat [REC]</w:t>
            </w:r>
          </w:p>
        </w:tc>
        <w:tc>
          <w:tcPr>
            <w:tcW w:w="2483" w:type="dxa"/>
          </w:tcPr>
          <w:p>
            <w:pPr>
              <w:pStyle w:val="Compact"/>
              <w:spacing w:after="40"/>
              <w:jc w:val="left"/>
            </w:pPr>
            <w:r>
              <w:rPr>
                <w:sz w:val="18"/>
              </w:rPr>
              <w:t xml:space="preserve">RE may shorten</w:t>
            </w:r>
          </w:p>
        </w:tc>
      </w:tr>
      <w:tr>
        <w:tc>
          <w:tcPr>
            <w:tcW w:w="2153" w:type="dxa"/>
          </w:tcPr>
          <w:p>
            <w:pPr>
              <w:pStyle w:val="Compact"/>
              <w:spacing w:after="40"/>
              <w:jc w:val="left"/>
            </w:pPr>
            <w:r>
              <w:rPr>
                <w:sz w:val="18"/>
              </w:rPr>
              <w:t xml:space="preserve">Recording retention</w:t>
            </w:r>
          </w:p>
        </w:tc>
        <w:tc>
          <w:tcPr>
            <w:tcW w:w="1820" w:type="dxa"/>
          </w:tcPr>
          <w:p>
            <w:pPr>
              <w:pStyle w:val="Compact"/>
              <w:spacing w:after="40"/>
              <w:jc w:val="left"/>
            </w:pPr>
            <w:r>
              <w:rPr>
                <w:sz w:val="18"/>
              </w:rPr>
              <w:t xml:space="preserve">RE</w:t>
            </w:r>
          </w:p>
        </w:tc>
        <w:tc>
          <w:tcPr>
            <w:tcW w:w="3182" w:type="dxa"/>
          </w:tcPr>
          <w:p>
            <w:pPr>
              <w:pStyle w:val="Compact"/>
              <w:spacing w:after="40"/>
              <w:jc w:val="left"/>
            </w:pPr>
            <w:r>
              <w:rPr>
                <w:sz w:val="18"/>
              </w:rPr>
              <w:t xml:space="preserve">Recovery 12 months (floor 6 months and until disposal if sub judice from 1 Jan 2027); service per RE policy</w:t>
            </w:r>
          </w:p>
        </w:tc>
        <w:tc>
          <w:tcPr>
            <w:tcW w:w="2483" w:type="dxa"/>
          </w:tcPr>
          <w:p>
            <w:pPr>
              <w:pStyle w:val="Compact"/>
              <w:spacing w:after="40"/>
              <w:jc w:val="left"/>
            </w:pPr>
            <w:r>
              <w:rPr>
                <w:sz w:val="18"/>
              </w:rPr>
              <w:t xml:space="preserve">Floor</w:t>
            </w:r>
          </w:p>
        </w:tc>
      </w:tr>
      <w:tr>
        <w:tc>
          <w:tcPr>
            <w:tcW w:w="2153" w:type="dxa"/>
          </w:tcPr>
          <w:p>
            <w:pPr>
              <w:pStyle w:val="Compact"/>
              <w:spacing w:after="40"/>
              <w:jc w:val="left"/>
            </w:pPr>
            <w:r>
              <w:rPr>
                <w:sz w:val="18"/>
              </w:rPr>
              <w:t xml:space="preserve">Languages and voices</w:t>
            </w:r>
          </w:p>
        </w:tc>
        <w:tc>
          <w:tcPr>
            <w:tcW w:w="1820" w:type="dxa"/>
          </w:tcPr>
          <w:p>
            <w:pPr>
              <w:pStyle w:val="Compact"/>
              <w:spacing w:after="40"/>
              <w:jc w:val="left"/>
            </w:pPr>
            <w:r>
              <w:rPr>
                <w:sz w:val="18"/>
              </w:rPr>
              <w:t xml:space="preserve">Platform</w:t>
            </w:r>
          </w:p>
        </w:tc>
        <w:tc>
          <w:tcPr>
            <w:tcW w:w="3182" w:type="dxa"/>
          </w:tcPr>
          <w:p>
            <w:pPr>
              <w:pStyle w:val="Compact"/>
              <w:spacing w:after="40"/>
              <w:jc w:val="left"/>
            </w:pPr>
            <w:r>
              <w:rPr>
                <w:sz w:val="18"/>
              </w:rPr>
              <w:t xml:space="preserve">English and Hindi; others after the acceptance test</w:t>
            </w:r>
          </w:p>
        </w:tc>
        <w:tc>
          <w:tcPr>
            <w:tcW w:w="2483" w:type="dxa"/>
          </w:tcPr>
          <w:p>
            <w:pPr>
              <w:pStyle w:val="Compact"/>
              <w:spacing w:after="40"/>
              <w:jc w:val="left"/>
            </w:pPr>
            <w:r>
              <w:rPr>
                <w:sz w:val="18"/>
              </w:rPr>
              <w:t xml:space="preserve">A language goes live only with its test record</w:t>
            </w:r>
          </w:p>
        </w:tc>
      </w:tr>
      <w:tr>
        <w:tc>
          <w:tcPr>
            <w:tcW w:w="2153" w:type="dxa"/>
          </w:tcPr>
          <w:p>
            <w:pPr>
              <w:pStyle w:val="Compact"/>
              <w:spacing w:after="40"/>
              <w:jc w:val="left"/>
            </w:pPr>
            <w:r>
              <w:rPr>
                <w:sz w:val="18"/>
              </w:rPr>
              <w:t xml:space="preserve">Borrower contact preferences</w:t>
            </w:r>
          </w:p>
        </w:tc>
        <w:tc>
          <w:tcPr>
            <w:tcW w:w="1820" w:type="dxa"/>
          </w:tcPr>
          <w:p>
            <w:pPr>
              <w:pStyle w:val="Compact"/>
              <w:spacing w:after="40"/>
              <w:jc w:val="left"/>
            </w:pPr>
            <w:r>
              <w:rPr>
                <w:sz w:val="18"/>
              </w:rPr>
              <w:t xml:space="preserve">Borrower</w:t>
            </w:r>
          </w:p>
        </w:tc>
        <w:tc>
          <w:tcPr>
            <w:tcW w:w="3182" w:type="dxa"/>
          </w:tcPr>
          <w:p>
            <w:pPr>
              <w:pStyle w:val="Compact"/>
              <w:spacing w:after="40"/>
              <w:jc w:val="left"/>
            </w:pPr>
            <w:r>
              <w:rPr>
                <w:sz w:val="18"/>
              </w:rPr>
              <w:t xml:space="preserve">Preferred window, language and channel unset; marketing off</w:t>
            </w:r>
          </w:p>
        </w:tc>
        <w:tc>
          <w:tcPr>
            <w:tcW w:w="2483" w:type="dxa"/>
          </w:tcPr>
          <w:p>
            <w:pPr>
              <w:pStyle w:val="Compact"/>
              <w:spacing w:after="40"/>
              <w:jc w:val="left"/>
            </w:pPr>
            <w:r>
              <w:rPr>
                <w:sz w:val="18"/>
              </w:rPr>
              <w:t xml:space="preserve">Borrower choice (</w:t>
            </w:r>
            <w:r>
              <w:rPr>
                <w:rStyle w:val="VerbatimChar"/>
                <w:sz w:val="18"/>
              </w:rPr>
              <w:t xml:space="preserve">Account › Settings › Contact preferences</w:t>
            </w:r>
            <w:r>
              <w:rPr>
                <w:sz w:val="18"/>
              </w:rPr>
              <w:t xml:space="preserve">)</w:t>
            </w:r>
          </w:p>
        </w:tc>
      </w:tr>
    </w:tbl>
    <w:bookmarkEnd w:id="417"/>
    <w:bookmarkStart w:id="418" w:name="menu-and-screens-18"/>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418"/>
        <w:gridCol w:w="4142"/>
        <w:gridCol w:w="2078"/>
      </w:tblGrid>
      <w:tr>
        <w:trPr>
          <w:tblHeader w:val="true"/>
          <w:tblHeader w:val="true"/>
        </w:trPr>
        <w:tc>
          <w:tcPr>
            <w:tcW w:w="3418" w:type="dxa"/>
            <w:shd w:val="clear" w:color="auto" w:fill="1F3A5F"/>
          </w:tcPr>
          <w:p>
            <w:pPr>
              <w:pStyle w:val="Compact"/>
              <w:spacing w:after="40"/>
              <w:jc w:val="left"/>
            </w:pPr>
            <w:r>
              <w:rPr>
                <w:b/>
                <w:color w:val="FFFFFF"/>
                <w:sz w:val="18"/>
              </w:rPr>
              <w:t xml:space="preserve">Channel and path</w:t>
            </w:r>
          </w:p>
        </w:tc>
        <w:tc>
          <w:tcPr>
            <w:tcW w:w="4142" w:type="dxa"/>
            <w:shd w:val="clear" w:color="auto" w:fill="1F3A5F"/>
          </w:tcPr>
          <w:p>
            <w:pPr>
              <w:pStyle w:val="Compact"/>
              <w:spacing w:after="40"/>
              <w:jc w:val="left"/>
            </w:pPr>
            <w:r>
              <w:rPr>
                <w:b/>
                <w:color w:val="FFFFFF"/>
                <w:sz w:val="18"/>
              </w:rPr>
              <w:t xml:space="preserve">Main screens and key actions</w:t>
            </w:r>
          </w:p>
        </w:tc>
        <w:tc>
          <w:tcPr>
            <w:tcW w:w="2078" w:type="dxa"/>
            <w:shd w:val="clear" w:color="auto" w:fill="1F3A5F"/>
          </w:tcPr>
          <w:p>
            <w:pPr>
              <w:pStyle w:val="Compact"/>
              <w:spacing w:after="40"/>
              <w:jc w:val="left"/>
            </w:pPr>
            <w:r>
              <w:rPr>
                <w:b/>
                <w:color w:val="FFFFFF"/>
                <w:sz w:val="18"/>
              </w:rPr>
              <w:t xml:space="preserve">Roles</w:t>
            </w:r>
          </w:p>
        </w:tc>
      </w:tr>
      <w:tr>
        <w:tc>
          <w:tcPr>
            <w:tcW w:w="3418" w:type="dxa"/>
          </w:tcPr>
          <w:p>
            <w:pPr>
              <w:pStyle w:val="Compact"/>
              <w:spacing w:after="40"/>
              <w:jc w:val="left"/>
            </w:pPr>
            <w:r>
              <w:rPr>
                <w:sz w:val="18"/>
              </w:rPr>
              <w:t xml:space="preserve">Operations portal (C):</w:t>
            </w:r>
            <w:r>
              <w:rPr>
                <w:sz w:val="18"/>
              </w:rPr>
              <w:t xml:space="preserve"> </w:t>
            </w:r>
            <w:r>
              <w:rPr>
                <w:rStyle w:val="VerbatimChar"/>
                <w:sz w:val="18"/>
              </w:rPr>
              <w:t xml:space="preserve">Communications › Providers</w:t>
            </w:r>
          </w:p>
        </w:tc>
        <w:tc>
          <w:tcPr>
            <w:tcW w:w="4142" w:type="dxa"/>
          </w:tcPr>
          <w:p>
            <w:pPr>
              <w:pStyle w:val="Compact"/>
              <w:spacing w:after="40"/>
              <w:jc w:val="left"/>
            </w:pPr>
            <w:r>
              <w:rPr>
                <w:sz w:val="18"/>
              </w:rPr>
              <w:t xml:space="preserve">Provider accounts by state, due-diligence checklist, certification results, enable or suspend</w:t>
            </w:r>
          </w:p>
        </w:tc>
        <w:tc>
          <w:tcPr>
            <w:tcW w:w="2078" w:type="dxa"/>
          </w:tcPr>
          <w:p>
            <w:pPr>
              <w:pStyle w:val="Compact"/>
              <w:spacing w:after="40"/>
              <w:jc w:val="left"/>
            </w:pPr>
            <w:r>
              <w:rPr>
                <w:sz w:val="18"/>
              </w:rPr>
              <w:t xml:space="preserve">Udofin operations (maker), CISO (checker)</w:t>
            </w:r>
          </w:p>
        </w:tc>
      </w:tr>
      <w:tr>
        <w:tc>
          <w:tcPr>
            <w:tcW w:w="3418" w:type="dxa"/>
          </w:tcPr>
          <w:p>
            <w:pPr>
              <w:pStyle w:val="Compact"/>
              <w:spacing w:after="40"/>
              <w:jc w:val="left"/>
            </w:pPr>
            <w:r>
              <w:rPr>
                <w:sz w:val="18"/>
              </w:rPr>
              <w:t xml:space="preserve">C:</w:t>
            </w:r>
            <w:r>
              <w:rPr>
                <w:sz w:val="18"/>
              </w:rPr>
              <w:t xml:space="preserve"> </w:t>
            </w:r>
            <w:r>
              <w:rPr>
                <w:rStyle w:val="VerbatimChar"/>
                <w:sz w:val="18"/>
              </w:rPr>
              <w:t xml:space="preserve">Communications › Numbers and DLT</w:t>
            </w:r>
          </w:p>
        </w:tc>
        <w:tc>
          <w:tcPr>
            <w:tcW w:w="4142" w:type="dxa"/>
          </w:tcPr>
          <w:p>
            <w:pPr>
              <w:pStyle w:val="Compact"/>
              <w:spacing w:after="40"/>
              <w:jc w:val="left"/>
            </w:pPr>
            <w:r>
              <w:rPr>
                <w:sz w:val="18"/>
              </w:rPr>
              <w:t xml:space="preserve">Numbers by series, purpose and principal entity; DLT headers and templates; robo-call notifications</w:t>
            </w:r>
          </w:p>
        </w:tc>
        <w:tc>
          <w:tcPr>
            <w:tcW w:w="2078" w:type="dxa"/>
          </w:tcPr>
          <w:p>
            <w:pPr>
              <w:pStyle w:val="Compact"/>
              <w:spacing w:after="40"/>
              <w:jc w:val="left"/>
            </w:pPr>
            <w:r>
              <w:rPr>
                <w:sz w:val="18"/>
              </w:rPr>
              <w:t xml:space="preserve">Communications operations</w:t>
            </w:r>
          </w:p>
        </w:tc>
      </w:tr>
      <w:tr>
        <w:tc>
          <w:tcPr>
            <w:tcW w:w="3418" w:type="dxa"/>
          </w:tcPr>
          <w:p>
            <w:pPr>
              <w:pStyle w:val="Compact"/>
              <w:spacing w:after="40"/>
              <w:jc w:val="left"/>
            </w:pPr>
            <w:r>
              <w:rPr>
                <w:sz w:val="18"/>
              </w:rPr>
              <w:t xml:space="preserve">C:</w:t>
            </w:r>
            <w:r>
              <w:rPr>
                <w:sz w:val="18"/>
              </w:rPr>
              <w:t xml:space="preserve"> </w:t>
            </w:r>
            <w:r>
              <w:rPr>
                <w:rStyle w:val="VerbatimChar"/>
                <w:sz w:val="18"/>
              </w:rPr>
              <w:t xml:space="preserve">Communications › Routing policy</w:t>
            </w:r>
          </w:p>
        </w:tc>
        <w:tc>
          <w:tcPr>
            <w:tcW w:w="4142" w:type="dxa"/>
          </w:tcPr>
          <w:p>
            <w:pPr>
              <w:pStyle w:val="Compact"/>
              <w:spacing w:after="40"/>
              <w:jc w:val="left"/>
            </w:pPr>
            <w:r>
              <w:rPr>
                <w:sz w:val="18"/>
              </w:rPr>
              <w:t xml:space="preserve">Active and future rule-pack versions with effective dates; simulator (</w:t>
            </w:r>
            <w:r>
              <w:rPr>
                <w:sz w:val="18"/>
              </w:rPr>
              <w:t xml:space="preserve">“</w:t>
            </w:r>
            <w:r>
              <w:rPr>
                <w:sz w:val="18"/>
              </w:rPr>
              <w:t xml:space="preserve">can we contact this borrower now, from which number?</w:t>
            </w:r>
            <w:r>
              <w:rPr>
                <w:sz w:val="18"/>
              </w:rPr>
              <w:t xml:space="preserve">”</w:t>
            </w:r>
            <w:r>
              <w:rPr>
                <w:sz w:val="18"/>
              </w:rPr>
              <w:t xml:space="preserve">) showing the deciding rule; denial log</w:t>
            </w:r>
          </w:p>
        </w:tc>
        <w:tc>
          <w:tcPr>
            <w:tcW w:w="2078" w:type="dxa"/>
          </w:tcPr>
          <w:p>
            <w:pPr>
              <w:pStyle w:val="Compact"/>
              <w:spacing w:after="40"/>
              <w:jc w:val="left"/>
            </w:pPr>
            <w:r>
              <w:rPr>
                <w:sz w:val="18"/>
              </w:rPr>
              <w:t xml:space="preserve">Compliance</w:t>
            </w:r>
          </w:p>
        </w:tc>
      </w:tr>
      <w:tr>
        <w:tc>
          <w:tcPr>
            <w:tcW w:w="3418" w:type="dxa"/>
          </w:tcPr>
          <w:p>
            <w:pPr>
              <w:pStyle w:val="Compact"/>
              <w:spacing w:after="40"/>
              <w:jc w:val="left"/>
            </w:pPr>
            <w:r>
              <w:rPr>
                <w:sz w:val="18"/>
              </w:rPr>
              <w:t xml:space="preserve">C:</w:t>
            </w:r>
            <w:r>
              <w:rPr>
                <w:sz w:val="18"/>
              </w:rPr>
              <w:t xml:space="preserve"> </w:t>
            </w:r>
            <w:r>
              <w:rPr>
                <w:rStyle w:val="VerbatimChar"/>
                <w:sz w:val="18"/>
              </w:rPr>
              <w:t xml:space="preserve">Communications › AI assistant</w:t>
            </w:r>
          </w:p>
        </w:tc>
        <w:tc>
          <w:tcPr>
            <w:tcW w:w="4142" w:type="dxa"/>
          </w:tcPr>
          <w:p>
            <w:pPr>
              <w:pStyle w:val="Compact"/>
              <w:spacing w:after="40"/>
              <w:jc w:val="left"/>
            </w:pPr>
            <w:r>
              <w:rPr>
                <w:sz w:val="18"/>
              </w:rPr>
              <w:t xml:space="preserve">Use cases, script and prompt versions with approvals, QA samples, handover statistics, language acceptance records</w:t>
            </w:r>
          </w:p>
        </w:tc>
        <w:tc>
          <w:tcPr>
            <w:tcW w:w="2078" w:type="dxa"/>
          </w:tcPr>
          <w:p>
            <w:pPr>
              <w:pStyle w:val="Compact"/>
              <w:spacing w:after="40"/>
              <w:jc w:val="left"/>
            </w:pPr>
            <w:r>
              <w:rPr>
                <w:sz w:val="18"/>
              </w:rPr>
              <w:t xml:space="preserve">Compliance, AI owner (U20)</w:t>
            </w:r>
          </w:p>
        </w:tc>
      </w:tr>
      <w:tr>
        <w:tc>
          <w:tcPr>
            <w:tcW w:w="3418" w:type="dxa"/>
          </w:tcPr>
          <w:p>
            <w:pPr>
              <w:pStyle w:val="Compact"/>
              <w:spacing w:after="40"/>
              <w:jc w:val="left"/>
            </w:pPr>
            <w:r>
              <w:rPr>
                <w:sz w:val="18"/>
              </w:rPr>
              <w:t xml:space="preserve">C:</w:t>
            </w:r>
            <w:r>
              <w:rPr>
                <w:sz w:val="18"/>
              </w:rPr>
              <w:t xml:space="preserve"> </w:t>
            </w:r>
            <w:r>
              <w:rPr>
                <w:rStyle w:val="VerbatimChar"/>
                <w:sz w:val="18"/>
              </w:rPr>
              <w:t xml:space="preserve">Communications › Recordings</w:t>
            </w:r>
          </w:p>
        </w:tc>
        <w:tc>
          <w:tcPr>
            <w:tcW w:w="4142" w:type="dxa"/>
          </w:tcPr>
          <w:p>
            <w:pPr>
              <w:pStyle w:val="Compact"/>
              <w:spacing w:after="40"/>
              <w:jc w:val="left"/>
            </w:pPr>
            <w:r>
              <w:rPr>
                <w:sz w:val="18"/>
              </w:rPr>
              <w:t xml:space="preserve">Search by RE and date (masked), playback with access log, legal holds, purge schedule</w:t>
            </w:r>
          </w:p>
        </w:tc>
        <w:tc>
          <w:tcPr>
            <w:tcW w:w="2078" w:type="dxa"/>
          </w:tcPr>
          <w:p>
            <w:pPr>
              <w:pStyle w:val="Compact"/>
              <w:spacing w:after="40"/>
              <w:jc w:val="left"/>
            </w:pPr>
            <w:r>
              <w:rPr>
                <w:sz w:val="18"/>
              </w:rPr>
              <w:t xml:space="preserve">Compliance; restricted</w:t>
            </w:r>
          </w:p>
        </w:tc>
      </w:tr>
      <w:tr>
        <w:tc>
          <w:tcPr>
            <w:tcW w:w="3418" w:type="dxa"/>
          </w:tcPr>
          <w:p>
            <w:pPr>
              <w:pStyle w:val="Compact"/>
              <w:spacing w:after="40"/>
              <w:jc w:val="left"/>
            </w:pPr>
            <w:r>
              <w:rPr>
                <w:sz w:val="18"/>
              </w:rPr>
              <w:t xml:space="preserve">Lender portal (D):</w:t>
            </w:r>
            <w:r>
              <w:rPr>
                <w:sz w:val="18"/>
              </w:rPr>
              <w:t xml:space="preserve"> </w:t>
            </w:r>
            <w:r>
              <w:rPr>
                <w:rStyle w:val="VerbatimChar"/>
                <w:sz w:val="18"/>
              </w:rPr>
              <w:t xml:space="preserve">Settings › Communications</w:t>
            </w:r>
          </w:p>
        </w:tc>
        <w:tc>
          <w:tcPr>
            <w:tcW w:w="4142" w:type="dxa"/>
          </w:tcPr>
          <w:p>
            <w:pPr>
              <w:pStyle w:val="Compact"/>
              <w:spacing w:after="40"/>
              <w:jc w:val="left"/>
            </w:pPr>
            <w:r>
              <w:rPr>
                <w:sz w:val="18"/>
              </w:rPr>
              <w:t xml:space="preserve">The RE’s 1600 numbers and trunk or authorised provider, approved scripts and prompts for its customers, caps, recording policy</w:t>
            </w:r>
          </w:p>
        </w:tc>
        <w:tc>
          <w:tcPr>
            <w:tcW w:w="2078" w:type="dxa"/>
          </w:tcPr>
          <w:p>
            <w:pPr>
              <w:pStyle w:val="Compact"/>
              <w:spacing w:after="40"/>
              <w:jc w:val="left"/>
            </w:pPr>
            <w:r>
              <w:rPr>
                <w:sz w:val="18"/>
              </w:rPr>
              <w:t xml:space="preserve">RE compliance, RE collections head</w:t>
            </w:r>
          </w:p>
        </w:tc>
      </w:tr>
      <w:tr>
        <w:tc>
          <w:tcPr>
            <w:tcW w:w="3418" w:type="dxa"/>
          </w:tcPr>
          <w:p>
            <w:pPr>
              <w:pStyle w:val="Compact"/>
              <w:spacing w:after="40"/>
              <w:jc w:val="left"/>
            </w:pPr>
            <w:r>
              <w:rPr>
                <w:sz w:val="18"/>
              </w:rPr>
              <w:t xml:space="preserve">Borrower app and web (A, B):</w:t>
            </w:r>
            <w:r>
              <w:rPr>
                <w:sz w:val="18"/>
              </w:rPr>
              <w:t xml:space="preserve"> </w:t>
            </w:r>
            <w:r>
              <w:rPr>
                <w:rStyle w:val="VerbatimChar"/>
                <w:sz w:val="18"/>
              </w:rPr>
              <w:t xml:space="preserve">Account › Settings › Contact preferences</w:t>
            </w:r>
            <w:r>
              <w:rPr>
                <w:sz w:val="18"/>
              </w:rPr>
              <w:t xml:space="preserve"> </w:t>
            </w:r>
            <w:r>
              <w:rPr>
                <w:sz w:val="18"/>
              </w:rPr>
              <w:t xml:space="preserve">and in-call or in-chat</w:t>
            </w:r>
            <w:r>
              <w:rPr>
                <w:sz w:val="18"/>
              </w:rPr>
              <w:t xml:space="preserve"> </w:t>
            </w:r>
            <w:r>
              <w:rPr>
                <w:sz w:val="18"/>
              </w:rPr>
              <w:t xml:space="preserve">“</w:t>
            </w:r>
            <w:r>
              <w:rPr>
                <w:sz w:val="18"/>
              </w:rPr>
              <w:t xml:space="preserve">Talk to a person</w:t>
            </w:r>
            <w:r>
              <w:rPr>
                <w:sz w:val="18"/>
              </w:rPr>
              <w:t xml:space="preserve">”</w:t>
            </w:r>
          </w:p>
        </w:tc>
        <w:tc>
          <w:tcPr>
            <w:tcW w:w="4142" w:type="dxa"/>
          </w:tcPr>
          <w:p>
            <w:pPr>
              <w:pStyle w:val="Compact"/>
              <w:spacing w:after="40"/>
              <w:jc w:val="left"/>
            </w:pPr>
            <w:r>
              <w:rPr>
                <w:sz w:val="18"/>
              </w:rPr>
              <w:t xml:space="preserve">Preferred window, language and channel; marketing consent; recording objection for service calls</w:t>
            </w:r>
          </w:p>
        </w:tc>
        <w:tc>
          <w:tcPr>
            <w:tcW w:w="2078" w:type="dxa"/>
          </w:tcPr>
          <w:p>
            <w:pPr>
              <w:pStyle w:val="Compact"/>
              <w:spacing w:after="40"/>
              <w:jc w:val="left"/>
            </w:pPr>
            <w:r>
              <w:rPr>
                <w:sz w:val="18"/>
              </w:rPr>
              <w:t xml:space="preserve">Borrower</w:t>
            </w:r>
          </w:p>
        </w:tc>
      </w:tr>
    </w:tbl>
    <w:bookmarkEnd w:id="418"/>
    <w:bookmarkStart w:id="419" w:name="acceptance-tests-29"/>
    <w:p>
      <w:pPr>
        <w:pStyle w:val="Heading3"/>
      </w:pPr>
      <w:r>
        <w:t xml:space="preserve">Acceptance tests</w:t>
      </w:r>
    </w:p>
    <w:p>
      <w:pPr>
        <w:numPr>
          <w:ilvl w:val="0"/>
          <w:numId w:val="1252"/>
        </w:numPr>
        <w:pStyle w:val="Compact"/>
      </w:pPr>
      <w:r>
        <w:t xml:space="preserve">An RE service call request without an RE 1600-series number configured is blocked; a Udofin promotional call without promotional consent, from a non-140 number or outside 09:00–18:00 is blocked.</w:t>
      </w:r>
    </w:p>
    <w:p>
      <w:pPr>
        <w:numPr>
          <w:ilvl w:val="0"/>
          <w:numId w:val="1252"/>
        </w:numPr>
        <w:pStyle w:val="Compact"/>
      </w:pPr>
      <w:r>
        <w:t xml:space="preserve">Until 31 Dec 2026 a recovery call at 07:59 or 19:01 and a microfinance call at 08:59 or 18:01 are denied and logged with the rule; from 1 Jan 2027 the Third Amendment rule-pack version decides, with no code change.</w:t>
      </w:r>
    </w:p>
    <w:p>
      <w:pPr>
        <w:numPr>
          <w:ilvl w:val="0"/>
          <w:numId w:val="1252"/>
        </w:numPr>
        <w:pStyle w:val="Compact"/>
      </w:pPr>
      <w:r>
        <w:t xml:space="preserve">A bot call without the opening disclosure fails the conversation test suite;</w:t>
      </w:r>
      <w:r>
        <w:t xml:space="preserve"> </w:t>
      </w:r>
      <w:r>
        <w:t xml:space="preserve">“</w:t>
      </w:r>
      <w:r>
        <w:t xml:space="preserve">talk to a human</w:t>
      </w:r>
      <w:r>
        <w:t xml:space="preserve">”</w:t>
      </w:r>
      <w:r>
        <w:t xml:space="preserve"> </w:t>
      </w:r>
      <w:r>
        <w:t xml:space="preserve">transfers within the configured service level with a context summary; with no agent available a callback ticket inside the permitted window is created and the contact is never ended silently.</w:t>
      </w:r>
    </w:p>
    <w:p>
      <w:pPr>
        <w:numPr>
          <w:ilvl w:val="0"/>
          <w:numId w:val="1252"/>
        </w:numPr>
        <w:pStyle w:val="Compact"/>
      </w:pPr>
      <w:r>
        <w:t xml:space="preserve">A bot asked for a settlement figure not in an RE offer says it cannot provide one and offers a human.</w:t>
      </w:r>
    </w:p>
    <w:p>
      <w:pPr>
        <w:numPr>
          <w:ilvl w:val="0"/>
          <w:numId w:val="1252"/>
        </w:numPr>
        <w:pStyle w:val="Compact"/>
      </w:pPr>
      <w:r>
        <w:t xml:space="preserve">A provider without an India residency attestation cannot be enabled for recordings, transcripts or inference.</w:t>
      </w:r>
    </w:p>
    <w:p>
      <w:pPr>
        <w:numPr>
          <w:ilvl w:val="0"/>
          <w:numId w:val="1252"/>
        </w:numPr>
        <w:pStyle w:val="Compact"/>
      </w:pPr>
      <w:r>
        <w:t xml:space="preserve">Recordings older than their retention date are purged unless a legal hold applies; a legal hold prevents purge.</w:t>
      </w:r>
    </w:p>
    <w:p>
      <w:pPr>
        <w:numPr>
          <w:ilvl w:val="0"/>
          <w:numId w:val="1252"/>
        </w:numPr>
        <w:pStyle w:val="Compact"/>
      </w:pPr>
      <w:r>
        <w:t xml:space="preserve">A language cannot be enabled for voice without a passed acceptance test record.</w:t>
      </w:r>
    </w:p>
    <w:p>
      <w:pPr>
        <w:numPr>
          <w:ilvl w:val="0"/>
          <w:numId w:val="1252"/>
        </w:numPr>
        <w:pStyle w:val="Compact"/>
      </w:pPr>
      <w:r>
        <w:t xml:space="preserve">A service-call recording objection switches the call to unrecorded mode (or offers the written channel where the RE requires recording); a recovery-call objection never stops recording and offers the written channel.</w:t>
      </w:r>
    </w:p>
    <w:p>
      <w:r>
        <w:pict>
          <v:rect style="width:0;height:1.5pt" o:hralign="center" o:hrstd="t" o:hr="t"/>
        </w:pict>
      </w:r>
    </w:p>
    <w:bookmarkEnd w:id="419"/>
    <w:bookmarkEnd w:id="420"/>
    <w:bookmarkEnd w:id="421"/>
    <w:bookmarkStart w:id="424" w:name="X80bd763409cfb571281c60da52ed4fa9a65bc30"/>
    <w:p>
      <w:pPr>
        <w:pStyle w:val="Heading1"/>
      </w:pPr>
      <w:r>
        <w:t xml:space="preserve">PART 8 — REGULATORY BASELINE (STARTING REGISTER — VERIFY BEFORE EACH MODULE)</w:t>
      </w:r>
    </w:p>
    <w:bookmarkStart w:id="422" w:name="rules-for-handling-regulation"/>
    <w:p>
      <w:pPr>
        <w:pStyle w:val="Heading2"/>
      </w:pPr>
      <w:r>
        <w:t xml:space="preserve">8.1 Rules for handling regulation</w:t>
      </w:r>
    </w:p>
    <w:p>
      <w:pPr>
        <w:pStyle w:val="FirstParagraph"/>
      </w:pPr>
      <w:r>
        <w:t xml:space="preserve">Before implementing any regulated workflow:</w:t>
      </w:r>
    </w:p>
    <w:p>
      <w:pPr>
        <w:numPr>
          <w:ilvl w:val="0"/>
          <w:numId w:val="1253"/>
        </w:numPr>
        <w:pStyle w:val="Compact"/>
      </w:pPr>
      <w:r>
        <w:t xml:space="preserve">Research the current authoritative source: rbi.org.in, the official gazette, MeitY, UIDAI, NPCI, TRAI, CERT-In, CERSAI, NeSL, DigiLocker, and the current Google Play and Apple App Store policy pages.</w:t>
      </w:r>
    </w:p>
    <w:p>
      <w:pPr>
        <w:numPr>
          <w:ilvl w:val="0"/>
          <w:numId w:val="1253"/>
        </w:numPr>
        <w:pStyle w:val="Compact"/>
      </w:pPr>
      <w:r>
        <w:t xml:space="preserve">Record in</w:t>
      </w:r>
      <w:r>
        <w:t xml:space="preserve"> </w:t>
      </w:r>
      <w:r>
        <w:rPr>
          <w:rStyle w:val="VerbatimChar"/>
        </w:rPr>
        <w:t xml:space="preserve">docs/compliance/requirements-to-controls.md</w:t>
      </w:r>
      <w:r>
        <w:t xml:space="preserve">:</w:t>
      </w:r>
    </w:p>
    <w:p>
      <w:pPr>
        <w:numPr>
          <w:ilvl w:val="1"/>
          <w:numId w:val="1254"/>
        </w:numPr>
        <w:pStyle w:val="Compact"/>
      </w:pPr>
      <w:r>
        <w:t xml:space="preserve">instrument;</w:t>
      </w:r>
    </w:p>
    <w:p>
      <w:pPr>
        <w:numPr>
          <w:ilvl w:val="1"/>
          <w:numId w:val="1254"/>
        </w:numPr>
        <w:pStyle w:val="Compact"/>
      </w:pPr>
      <w:r>
        <w:t xml:space="preserve">paragraph;</w:t>
      </w:r>
    </w:p>
    <w:p>
      <w:pPr>
        <w:numPr>
          <w:ilvl w:val="1"/>
          <w:numId w:val="1254"/>
        </w:numPr>
        <w:pStyle w:val="Compact"/>
      </w:pPr>
      <w:r>
        <w:t xml:space="preserve">date and</w:t>
      </w:r>
      <w:r>
        <w:t xml:space="preserve"> </w:t>
      </w:r>
      <w:r>
        <w:t xml:space="preserve">“</w:t>
      </w:r>
      <w:r>
        <w:t xml:space="preserve">updated as on</w:t>
      </w:r>
      <w:r>
        <w:t xml:space="preserve">”</w:t>
      </w:r>
      <w:r>
        <w:t xml:space="preserve"> </w:t>
      </w:r>
      <w:r>
        <w:t xml:space="preserve">version;</w:t>
      </w:r>
    </w:p>
    <w:p>
      <w:pPr>
        <w:numPr>
          <w:ilvl w:val="1"/>
          <w:numId w:val="1254"/>
        </w:numPr>
        <w:pStyle w:val="Compact"/>
      </w:pPr>
      <w:r>
        <w:t xml:space="preserve">applicability conditions (RE type, layer, product, channel, Udofin role);</w:t>
      </w:r>
    </w:p>
    <w:p>
      <w:pPr>
        <w:numPr>
          <w:ilvl w:val="1"/>
          <w:numId w:val="1254"/>
        </w:numPr>
        <w:pStyle w:val="Compact"/>
      </w:pPr>
      <w:r>
        <w:t xml:space="preserve">responsible party, tagged</w:t>
      </w:r>
      <w:r>
        <w:t xml:space="preserve"> </w:t>
      </w:r>
      <w:r>
        <w:rPr>
          <w:bCs/>
          <w:b/>
        </w:rPr>
        <w:t xml:space="preserve">[RE]</w:t>
      </w:r>
      <w:r>
        <w:t xml:space="preserve">,</w:t>
      </w:r>
      <w:r>
        <w:t xml:space="preserve"> </w:t>
      </w:r>
      <w:r>
        <w:rPr>
          <w:bCs/>
          <w:b/>
        </w:rPr>
        <w:t xml:space="preserve">[UDOFIN]</w:t>
      </w:r>
      <w:r>
        <w:t xml:space="preserve"> </w:t>
      </w:r>
      <w:r>
        <w:t xml:space="preserve">or</w:t>
      </w:r>
      <w:r>
        <w:t xml:space="preserve"> </w:t>
      </w:r>
      <w:r>
        <w:rPr>
          <w:bCs/>
          <w:b/>
        </w:rPr>
        <w:t xml:space="preserve">[RE→UDOFIN contract]</w:t>
      </w:r>
      <w:r>
        <w:t xml:space="preserve">;</w:t>
      </w:r>
    </w:p>
    <w:p>
      <w:pPr>
        <w:numPr>
          <w:ilvl w:val="1"/>
          <w:numId w:val="1254"/>
        </w:numPr>
        <w:pStyle w:val="Compact"/>
      </w:pPr>
      <w:r>
        <w:t xml:space="preserve">system control;</w:t>
      </w:r>
    </w:p>
    <w:p>
      <w:pPr>
        <w:numPr>
          <w:ilvl w:val="1"/>
          <w:numId w:val="1254"/>
        </w:numPr>
        <w:pStyle w:val="Compact"/>
      </w:pPr>
      <w:r>
        <w:t xml:space="preserve">evidence produced;</w:t>
      </w:r>
    </w:p>
    <w:p>
      <w:pPr>
        <w:numPr>
          <w:ilvl w:val="1"/>
          <w:numId w:val="1254"/>
        </w:numPr>
        <w:pStyle w:val="Compact"/>
      </w:pPr>
      <w:r>
        <w:t xml:space="preserve">test case;</w:t>
      </w:r>
    </w:p>
    <w:p>
      <w:pPr>
        <w:numPr>
          <w:ilvl w:val="1"/>
          <w:numId w:val="1254"/>
        </w:numPr>
        <w:pStyle w:val="Compact"/>
      </w:pPr>
      <w:r>
        <w:t xml:space="preserve">open questions.</w:t>
      </w:r>
    </w:p>
    <w:p>
      <w:pPr>
        <w:numPr>
          <w:ilvl w:val="0"/>
          <w:numId w:val="1253"/>
        </w:numPr>
        <w:pStyle w:val="Compact"/>
      </w:pPr>
      <w:r>
        <w:t xml:space="preserve">Keep confirmed legal requirements separate from interpretations, recommendations and assumptions. Never claim regulatory compliance merely because a feature exists.</w:t>
      </w:r>
    </w:p>
    <w:p>
      <w:pPr>
        <w:numPr>
          <w:ilvl w:val="0"/>
          <w:numId w:val="1253"/>
        </w:numPr>
        <w:pStyle w:val="Compact"/>
      </w:pPr>
      <w:r>
        <w:rPr>
          <w:bCs/>
          <w:b/>
        </w:rPr>
        <w:t xml:space="preserve">Most RBI obligations bind the RE, not Udofin.</w:t>
      </w:r>
      <w:r>
        <w:t xml:space="preserve"> </w:t>
      </w:r>
      <w:r>
        <w:t xml:space="preserve">Udofin is an LSP: an agent of the RE that carries out part of the RE’s digital lending functions under a contract (CF para 4(1)(xix)). An RBI Direction reaches Udofin through three routes only:</w:t>
      </w:r>
    </w:p>
    <w:p>
      <w:pPr>
        <w:numPr>
          <w:ilvl w:val="1"/>
          <w:numId w:val="1255"/>
        </w:numPr>
        <w:pStyle w:val="Compact"/>
      </w:pPr>
      <w:r>
        <w:t xml:space="preserve">the RE must ensure that its LSP and DLAs comply (CF paras 6(6), 13–16);</w:t>
      </w:r>
    </w:p>
    <w:p>
      <w:pPr>
        <w:numPr>
          <w:ilvl w:val="1"/>
          <w:numId w:val="1255"/>
        </w:numPr>
        <w:pStyle w:val="Compact"/>
      </w:pPr>
      <w:r>
        <w:t xml:space="preserve">the RE must put specific terms in the LSP and outsourcing contracts (CF para 22; OUT paras 33–34, 74);</w:t>
      </w:r>
    </w:p>
    <w:p>
      <w:pPr>
        <w:numPr>
          <w:ilvl w:val="1"/>
          <w:numId w:val="1255"/>
        </w:numPr>
        <w:pStyle w:val="Compact"/>
      </w:pPr>
      <w:r>
        <w:t xml:space="preserve">the RE needs data, evidence or system behaviour from Udofin to discharge its own obligation (for example CIMS DLA reporting under CF para 18, or the 6-hour incident clock under OUT para 61).</w:t>
      </w:r>
      <w:r>
        <w:t xml:space="preserve"> </w:t>
      </w:r>
      <w:r>
        <w:t xml:space="preserve">Record the route for every REQ-ID. Never design a control that makes Udofin the decision-maker for a function the RE cannot outsource (OUT para 15; KYC para 13).</w:t>
      </w:r>
    </w:p>
    <w:p>
      <w:pPr>
        <w:numPr>
          <w:ilvl w:val="0"/>
          <w:numId w:val="1253"/>
        </w:numPr>
        <w:pStyle w:val="Compact"/>
      </w:pPr>
      <w:r>
        <w:t xml:space="preserve">Never assume one obligation applies identically to every RE. Applicability depends on:</w:t>
      </w:r>
    </w:p>
    <w:p>
      <w:pPr>
        <w:numPr>
          <w:ilvl w:val="1"/>
          <w:numId w:val="1256"/>
        </w:numPr>
        <w:pStyle w:val="Compact"/>
      </w:pPr>
      <w:r>
        <w:t xml:space="preserve">entity type (NBFC / HFC / bank / UCB);</w:t>
      </w:r>
    </w:p>
    <w:p>
      <w:pPr>
        <w:numPr>
          <w:ilvl w:val="1"/>
          <w:numId w:val="1256"/>
        </w:numPr>
        <w:pStyle w:val="Compact"/>
      </w:pPr>
      <w:r>
        <w:t xml:space="preserve">layer and asset size (CYB chapter; FRM; CMP; OUT Chapter IV scope);</w:t>
      </w:r>
    </w:p>
    <w:p>
      <w:pPr>
        <w:numPr>
          <w:ilvl w:val="1"/>
          <w:numId w:val="1256"/>
        </w:numPr>
        <w:pStyle w:val="Compact"/>
      </w:pPr>
      <w:r>
        <w:t xml:space="preserve">deposit-taking status;</w:t>
      </w:r>
    </w:p>
    <w:p>
      <w:pPr>
        <w:numPr>
          <w:ilvl w:val="1"/>
          <w:numId w:val="1256"/>
        </w:numPr>
        <w:pStyle w:val="Compact"/>
      </w:pPr>
      <w:r>
        <w:t xml:space="preserve">s.11A PML Act notification status (Aadhaar e-KYC authentication);</w:t>
      </w:r>
    </w:p>
    <w:p>
      <w:pPr>
        <w:numPr>
          <w:ilvl w:val="1"/>
          <w:numId w:val="1256"/>
        </w:numPr>
        <w:pStyle w:val="Compact"/>
      </w:pPr>
      <w:r>
        <w:t xml:space="preserve">product (microfinance by household income, CF para 51; secured; short tenor);</w:t>
      </w:r>
    </w:p>
    <w:p>
      <w:pPr>
        <w:numPr>
          <w:ilvl w:val="1"/>
          <w:numId w:val="1256"/>
        </w:numPr>
        <w:pStyle w:val="Compact"/>
      </w:pPr>
      <w:r>
        <w:t xml:space="preserve">channel (Android app, iOS app, borrower web app, lender portal).</w:t>
      </w:r>
      <w:r>
        <w:t xml:space="preserve"> </w:t>
      </w:r>
      <w:r>
        <w:t xml:space="preserve">Store these as RE profile attributes in U1 and drive every rule pack from them.</w:t>
      </w:r>
    </w:p>
    <w:p>
      <w:pPr>
        <w:numPr>
          <w:ilvl w:val="0"/>
          <w:numId w:val="1253"/>
        </w:numPr>
        <w:pStyle w:val="Compact"/>
      </w:pPr>
      <w:r>
        <w:t xml:space="preserve">On</w:t>
      </w:r>
      <w:r>
        <w:t xml:space="preserve"> </w:t>
      </w:r>
      <w:r>
        <w:rPr>
          <w:bCs/>
          <w:b/>
        </w:rPr>
        <w:t xml:space="preserve">28 November 2025</w:t>
      </w:r>
      <w:r>
        <w:t xml:space="preserve"> </w:t>
      </w:r>
      <w:r>
        <w:t xml:space="preserve">RBI repealed 9,445 circulars and issued 244 entity-wise Master Directions. On</w:t>
      </w:r>
      <w:r>
        <w:t xml:space="preserve"> </w:t>
      </w:r>
      <w:r>
        <w:rPr>
          <w:bCs/>
          <w:b/>
        </w:rPr>
        <w:t xml:space="preserve">31 July 2026</w:t>
      </w:r>
      <w:r>
        <w:t xml:space="preserve"> </w:t>
      </w:r>
      <w:r>
        <w:t xml:space="preserve">it issued</w:t>
      </w:r>
      <w:r>
        <w:t xml:space="preserve"> </w:t>
      </w:r>
      <w:r>
        <w:rPr>
          <w:bCs/>
          <w:b/>
        </w:rPr>
        <w:t xml:space="preserve">64 Department of Supervision Directions</w:t>
      </w:r>
      <w:r>
        <w:t xml:space="preserve">, repealing a further 628 circulars. Older circular references (including the 2022 Digital Lending Guidelines and the Digital Lending Directions, 2025 of 8 May 2025) are legacy. Cite the new Directions; keep the legacy reference only for traceability.</w:t>
      </w:r>
    </w:p>
    <w:p>
      <w:pPr>
        <w:numPr>
          <w:ilvl w:val="0"/>
          <w:numId w:val="1253"/>
        </w:numPr>
        <w:pStyle w:val="Compact"/>
      </w:pPr>
      <w:r>
        <w:t xml:space="preserve">The supplied texts are NBFC versions. For a bank, HFC or UCB partner, load the counterpart Direction for that RE type and re-verify each REQ-ID before go-live with that RE.</w:t>
      </w:r>
    </w:p>
    <w:p>
      <w:pPr>
        <w:numPr>
          <w:ilvl w:val="0"/>
          <w:numId w:val="1253"/>
        </w:numPr>
        <w:pStyle w:val="Compact"/>
      </w:pPr>
      <w:r>
        <w:rPr>
          <w:bCs/>
          <w:b/>
        </w:rPr>
        <w:t xml:space="preserve">App-store policies are binding release conditions, not law.</w:t>
      </w:r>
      <w:r>
        <w:t xml:space="preserve"> </w:t>
      </w:r>
      <w:r>
        <w:t xml:space="preserve">Google Play and Apple can remove the app. Record their requirements in the same register with strength flag</w:t>
      </w:r>
      <w:r>
        <w:t xml:space="preserve"> </w:t>
      </w:r>
      <w:r>
        <w:t xml:space="preserve">“</w:t>
      </w:r>
      <w:r>
        <w:t xml:space="preserve">platform policy</w:t>
      </w:r>
      <w:r>
        <w:t xml:space="preserve">”</w:t>
      </w:r>
      <w:r>
        <w:t xml:space="preserve"> </w:t>
      </w:r>
      <w:r>
        <w:t xml:space="preserve">and re-check them before every store submission (Phase 17).</w:t>
      </w:r>
    </w:p>
    <w:p>
      <w:pPr>
        <w:numPr>
          <w:ilvl w:val="0"/>
          <w:numId w:val="1253"/>
        </w:numPr>
        <w:pStyle w:val="Compact"/>
      </w:pPr>
      <w:r>
        <w:rPr>
          <w:bCs/>
          <w:b/>
        </w:rPr>
        <w:t xml:space="preserve">DPDP and RBI rules apply together.</w:t>
      </w:r>
      <w:r>
        <w:t xml:space="preserve"> </w:t>
      </w:r>
      <w:r>
        <w:t xml:space="preserve">Where both apply, implement the stricter control. Where RBI, PMLA or CIC rules require retention, record that legal basis against the erasure exception in the retention engine (U4).</w:t>
      </w:r>
    </w:p>
    <w:bookmarkEnd w:id="422"/>
    <w:bookmarkStart w:id="423" w:name="starting-register"/>
    <w:p>
      <w:pPr>
        <w:pStyle w:val="Heading2"/>
      </w:pPr>
      <w:r>
        <w:t xml:space="preserve">8.2 Starting register</w:t>
      </w:r>
    </w:p>
    <w:p>
      <w:pPr>
        <w:pStyle w:val="FirstParagraph"/>
      </w:pPr>
      <w:r>
        <w:t xml:space="preserve">All items need confirmation against the primary text. The 8A section named in each row holds the verified paragraph-level requirements.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69"/>
        <w:gridCol w:w="3743"/>
        <w:gridCol w:w="3026"/>
      </w:tblGrid>
      <w:tr>
        <w:trPr>
          <w:tblHeader w:val="true"/>
          <w:tblHeader w:val="true"/>
        </w:trPr>
        <w:tc>
          <w:tcPr>
            <w:tcW w:w="2869" w:type="dxa"/>
            <w:shd w:val="clear" w:color="auto" w:fill="1F3A5F"/>
          </w:tcPr>
          <w:p>
            <w:pPr>
              <w:pStyle w:val="Compact"/>
              <w:spacing w:after="40"/>
              <w:jc w:val="left"/>
            </w:pPr>
            <w:r>
              <w:rPr>
                <w:b/>
                <w:color w:val="FFFFFF"/>
                <w:sz w:val="18"/>
              </w:rPr>
              <w:t xml:space="preserve">Instrument</w:t>
            </w:r>
          </w:p>
        </w:tc>
        <w:tc>
          <w:tcPr>
            <w:tcW w:w="3743" w:type="dxa"/>
            <w:shd w:val="clear" w:color="auto" w:fill="1F3A5F"/>
          </w:tcPr>
          <w:p>
            <w:pPr>
              <w:pStyle w:val="Compact"/>
              <w:spacing w:after="40"/>
              <w:jc w:val="left"/>
            </w:pPr>
            <w:r>
              <w:rPr>
                <w:b/>
                <w:color w:val="FFFFFF"/>
                <w:sz w:val="18"/>
              </w:rPr>
              <w:t xml:space="preserve">Relevance to Udofin</w:t>
            </w:r>
          </w:p>
        </w:tc>
        <w:tc>
          <w:tcPr>
            <w:tcW w:w="3026" w:type="dxa"/>
            <w:shd w:val="clear" w:color="auto" w:fill="1F3A5F"/>
          </w:tcPr>
          <w:p>
            <w:pPr>
              <w:pStyle w:val="Compact"/>
              <w:spacing w:after="40"/>
              <w:jc w:val="left"/>
            </w:pPr>
            <w:r>
              <w:rPr>
                <w:b/>
                <w:color w:val="FFFFFF"/>
                <w:sz w:val="18"/>
              </w:rPr>
              <w:t xml:space="preserve">Status</w:t>
            </w:r>
          </w:p>
        </w:tc>
      </w:tr>
      <w:tr>
        <w:tc>
          <w:tcPr>
            <w:tcW w:w="2869" w:type="dxa"/>
          </w:tcPr>
          <w:p>
            <w:pPr>
              <w:pStyle w:val="Compact"/>
              <w:spacing w:after="40"/>
              <w:jc w:val="left"/>
            </w:pPr>
            <w:r>
              <w:rPr>
                <w:sz w:val="18"/>
              </w:rPr>
              <w:t xml:space="preserve">CF — Credit Facilities Directions, 2025 (RBI/DOR/2025-26/347), Chapter III Digital Lending (paras 6–30) and Ch V microfinance (51–62)</w:t>
            </w:r>
          </w:p>
        </w:tc>
        <w:tc>
          <w:tcPr>
            <w:tcW w:w="3743" w:type="dxa"/>
          </w:tcPr>
          <w:p>
            <w:pPr>
              <w:pStyle w:val="Compact"/>
              <w:spacing w:after="40"/>
              <w:jc w:val="left"/>
            </w:pPr>
            <w:r>
              <w:rPr>
                <w:sz w:val="18"/>
              </w:rPr>
              <w:t xml:space="preserve">Core LSP rulebook: LSP contract and due diligence (6); multi-lender offer view without dark patterns (7); KFS and auto-flow of signed documents (9); RE-to-borrower funds flow and no LSP fees from borrowers (10); cooling-off (11); nodal GRO on the DLA (12); need-based data with minimal permissions (13); minimal storage, no biometrics, India-only (14); privacy policy (15); CIMS DLA reporting (18); DLG (19–29); household-income test for microfinance (51) — Part 8A.1</w:t>
            </w:r>
          </w:p>
        </w:tc>
        <w:tc>
          <w:tcPr>
            <w:tcW w:w="3026" w:type="dxa"/>
          </w:tcPr>
          <w:p>
            <w:pPr>
              <w:pStyle w:val="Compact"/>
              <w:spacing w:after="40"/>
              <w:jc w:val="left"/>
            </w:pPr>
            <w:r>
              <w:rPr>
                <w:sz w:val="18"/>
              </w:rPr>
              <w:t xml:space="preserve">Verified (copy updated as on 1 Apr 2026)</w:t>
            </w:r>
          </w:p>
        </w:tc>
      </w:tr>
      <w:tr>
        <w:tc>
          <w:tcPr>
            <w:tcW w:w="2869" w:type="dxa"/>
          </w:tcPr>
          <w:p>
            <w:pPr>
              <w:pStyle w:val="Compact"/>
              <w:spacing w:after="40"/>
              <w:jc w:val="left"/>
            </w:pPr>
            <w:r>
              <w:rPr>
                <w:sz w:val="18"/>
              </w:rPr>
              <w:t xml:space="preserve">CIR — Credit Information Reporting Directions, 2025 (349), as amended by RBI/DOR/2025-26/117 (4 Dec 2025, effective 1 Jul 2026)</w:t>
            </w:r>
          </w:p>
        </w:tc>
        <w:tc>
          <w:tcPr>
            <w:tcW w:w="3743" w:type="dxa"/>
          </w:tcPr>
          <w:p>
            <w:pPr>
              <w:pStyle w:val="Compact"/>
              <w:spacing w:after="40"/>
              <w:jc w:val="left"/>
            </w:pPr>
            <w:r>
              <w:rPr>
                <w:sz w:val="18"/>
              </w:rPr>
              <w:t xml:space="preserve">Udofin is not a CIC member (CIR para 6 binds the RE); bureau pulls run under the RE’s membership; Udofin supplies data for the RE’s reporting, alerts and complaint handling; no auto-rejection of first-time borrowers in Udofin pre-screens (38(5)) — Part 8A.2</w:t>
            </w:r>
          </w:p>
        </w:tc>
        <w:tc>
          <w:tcPr>
            <w:tcW w:w="3026" w:type="dxa"/>
          </w:tcPr>
          <w:p>
            <w:pPr>
              <w:pStyle w:val="Compact"/>
              <w:spacing w:after="40"/>
              <w:jc w:val="left"/>
            </w:pPr>
            <w:r>
              <w:rPr>
                <w:sz w:val="18"/>
              </w:rPr>
              <w:t xml:space="preserve">Verified (original text); amendment not in supplied copy [VERIFY]</w:t>
            </w:r>
          </w:p>
        </w:tc>
      </w:tr>
      <w:tr>
        <w:tc>
          <w:tcPr>
            <w:tcW w:w="2869" w:type="dxa"/>
          </w:tcPr>
          <w:p>
            <w:pPr>
              <w:pStyle w:val="Compact"/>
              <w:spacing w:after="40"/>
              <w:jc w:val="left"/>
            </w:pPr>
            <w:r>
              <w:rPr>
                <w:sz w:val="18"/>
              </w:rPr>
              <w:t xml:space="preserve">KYC — Know Your Customer Directions, 2025 (361)</w:t>
            </w:r>
          </w:p>
        </w:tc>
        <w:tc>
          <w:tcPr>
            <w:tcW w:w="3743" w:type="dxa"/>
          </w:tcPr>
          <w:p>
            <w:pPr>
              <w:pStyle w:val="Compact"/>
              <w:spacing w:after="40"/>
              <w:jc w:val="left"/>
            </w:pPr>
            <w:r>
              <w:rPr>
                <w:sz w:val="18"/>
              </w:rPr>
              <w:t xml:space="preserve">RE owns the KYC decision (13); CDD modes and Aadhaar use (23); digital KYC (24); OTP e-KYC NFTF term-loan cap ₹60,000 a year (25(5)); V-CIP on RE premises or RE-owned cloud by RE officials (26–27); CKYCR (63) — Part 8A.3</w:t>
            </w:r>
          </w:p>
        </w:tc>
        <w:tc>
          <w:tcPr>
            <w:tcW w:w="3026" w:type="dxa"/>
          </w:tcPr>
          <w:p>
            <w:pPr>
              <w:pStyle w:val="Compact"/>
              <w:spacing w:after="40"/>
              <w:jc w:val="left"/>
            </w:pPr>
            <w:r>
              <w:rPr>
                <w:sz w:val="18"/>
              </w:rPr>
              <w:t xml:space="preserve">Verified (updated as on 29 Dec 2025)</w:t>
            </w:r>
          </w:p>
        </w:tc>
      </w:tr>
      <w:tr>
        <w:tc>
          <w:tcPr>
            <w:tcW w:w="2869" w:type="dxa"/>
          </w:tcPr>
          <w:p>
            <w:pPr>
              <w:pStyle w:val="Compact"/>
              <w:spacing w:after="40"/>
              <w:jc w:val="left"/>
            </w:pPr>
            <w:r>
              <w:rPr>
                <w:sz w:val="18"/>
              </w:rPr>
              <w:t xml:space="preserve">AA — Account Aggregator Directions, 2025 (368)</w:t>
            </w:r>
          </w:p>
        </w:tc>
        <w:tc>
          <w:tcPr>
            <w:tcW w:w="3743" w:type="dxa"/>
          </w:tcPr>
          <w:p>
            <w:pPr>
              <w:pStyle w:val="Compact"/>
              <w:spacing w:after="40"/>
              <w:jc w:val="left"/>
            </w:pPr>
            <w:r>
              <w:rPr>
                <w:sz w:val="18"/>
              </w:rPr>
              <w:t xml:space="preserve">Governs NBFC-AAs. The RE is the FIU; Udofin is a technology service provider; data used only as the consent artefact allows (28) — Part 8A.4</w:t>
            </w:r>
          </w:p>
        </w:tc>
        <w:tc>
          <w:tcPr>
            <w:tcW w:w="3026" w:type="dxa"/>
          </w:tcPr>
          <w:p>
            <w:pPr>
              <w:pStyle w:val="Compact"/>
              <w:spacing w:after="40"/>
              <w:jc w:val="left"/>
            </w:pPr>
            <w:r>
              <w:rPr>
                <w:sz w:val="18"/>
              </w:rPr>
              <w:t xml:space="preserve">Verified (derived FIU-side obligations)</w:t>
            </w:r>
          </w:p>
        </w:tc>
      </w:tr>
      <w:tr>
        <w:tc>
          <w:tcPr>
            <w:tcW w:w="2869" w:type="dxa"/>
          </w:tcPr>
          <w:p>
            <w:pPr>
              <w:pStyle w:val="Compact"/>
              <w:spacing w:after="40"/>
              <w:jc w:val="left"/>
            </w:pPr>
            <w:r>
              <w:rPr>
                <w:sz w:val="18"/>
              </w:rPr>
              <w:t xml:space="preserve">MFI — Microfinance Institution Directions, 2025 (371)</w:t>
            </w:r>
          </w:p>
        </w:tc>
        <w:tc>
          <w:tcPr>
            <w:tcW w:w="3743" w:type="dxa"/>
          </w:tcPr>
          <w:p>
            <w:pPr>
              <w:pStyle w:val="Compact"/>
              <w:spacing w:after="40"/>
              <w:jc w:val="left"/>
            </w:pPr>
            <w:r>
              <w:rPr>
                <w:sz w:val="18"/>
              </w:rPr>
              <w:t xml:space="preserve">Partner NBFC-MFIs; 25% cap on microfinance loans for non-MFI NBFCs (49) affects routing capacity — Part 8A.5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RBC — Responsible Business Conduct Directions, 2025 (362)</w:t>
            </w:r>
          </w:p>
        </w:tc>
        <w:tc>
          <w:tcPr>
            <w:tcW w:w="3743" w:type="dxa"/>
          </w:tcPr>
          <w:p>
            <w:pPr>
              <w:pStyle w:val="Compact"/>
              <w:spacing w:after="40"/>
              <w:jc w:val="left"/>
            </w:pPr>
            <w:r>
              <w:rPr>
                <w:sz w:val="18"/>
              </w:rPr>
              <w:t xml:space="preserve">Vernacular communication and FPC (9–21); KFS with proposal number, validity period and APR (29, Annex I); penal charges (30); prepayment (33–34); recovery agents, DSA/DMA and telemarketers (93–101); Supreme Court order on accessible digital KYC (105) — Part 8A.6</w:t>
            </w:r>
          </w:p>
        </w:tc>
        <w:tc>
          <w:tcPr>
            <w:tcW w:w="3026" w:type="dxa"/>
          </w:tcPr>
          <w:p>
            <w:pPr>
              <w:pStyle w:val="Compact"/>
              <w:spacing w:after="40"/>
              <w:jc w:val="left"/>
            </w:pPr>
            <w:r>
              <w:rPr>
                <w:sz w:val="18"/>
              </w:rPr>
              <w:t xml:space="preserve">Verified (updated as on 1 Apr 2026); Third Amendment Directions, 2026 (RBI/2026-27/230, 6 Aug 2026, in force 1 Jan 2027; paras 89–100 replaced by 100A–100AB) confirmed from the RBI notification, official text not supplied; Second Amendment not supplied [VERIFY]</w:t>
            </w:r>
          </w:p>
        </w:tc>
      </w:tr>
      <w:tr>
        <w:tc>
          <w:tcPr>
            <w:tcW w:w="2869" w:type="dxa"/>
          </w:tcPr>
          <w:p>
            <w:pPr>
              <w:pStyle w:val="Compact"/>
              <w:spacing w:after="40"/>
              <w:jc w:val="left"/>
            </w:pPr>
            <w:r>
              <w:rPr>
                <w:sz w:val="18"/>
              </w:rPr>
              <w:t xml:space="preserve">Recovery and ADR law: A&amp;C Act 1996 (ss.3, 7, 11, 12, 21, 29A, 29B, 34, 36, 62, 73–74); Mediation Act 2023 (ss.4–25 and 27–30 not in force; s.26 in force); LSA Act 1987 (ss.19–22E); NI Act s.138; PSS Act s.25; SARFAESI Act; RDB Act; IBC</w:t>
            </w:r>
          </w:p>
        </w:tc>
        <w:tc>
          <w:tcPr>
            <w:tcW w:w="3743" w:type="dxa"/>
          </w:tcPr>
          <w:p>
            <w:pPr>
              <w:pStyle w:val="Compact"/>
              <w:spacing w:after="40"/>
              <w:jc w:val="left"/>
            </w:pPr>
            <w:r>
              <w:rPr>
                <w:sz w:val="18"/>
              </w:rPr>
              <w:t xml:space="preserve">The RE’s remedies; Udofin never refers, issues notices or litigates and only shows status the RE permits — Part 7A</w:t>
            </w:r>
          </w:p>
        </w:tc>
        <w:tc>
          <w:tcPr>
            <w:tcW w:w="3026" w:type="dxa"/>
          </w:tcPr>
          <w:p>
            <w:pPr>
              <w:pStyle w:val="Compact"/>
              <w:spacing w:after="40"/>
              <w:jc w:val="left"/>
            </w:pPr>
            <w:r>
              <w:rPr>
                <w:sz w:val="18"/>
              </w:rPr>
              <w:t xml:space="preserve">Status per Part 7A.0.1; Mediation Act commencement [VERIFY on egazette]</w:t>
            </w:r>
          </w:p>
        </w:tc>
      </w:tr>
      <w:tr>
        <w:tc>
          <w:tcPr>
            <w:tcW w:w="2869" w:type="dxa"/>
          </w:tcPr>
          <w:p>
            <w:pPr>
              <w:pStyle w:val="Compact"/>
              <w:spacing w:after="40"/>
              <w:jc w:val="left"/>
            </w:pPr>
            <w:r>
              <w:rPr>
                <w:sz w:val="18"/>
              </w:rPr>
              <w:t xml:space="preserve">OUT — Managing Risks in Outsourcing Directions, 2025 (363)</w:t>
            </w:r>
          </w:p>
        </w:tc>
        <w:tc>
          <w:tcPr>
            <w:tcW w:w="3743" w:type="dxa"/>
          </w:tcPr>
          <w:p>
            <w:pPr>
              <w:pStyle w:val="Compact"/>
              <w:spacing w:after="40"/>
              <w:jc w:val="left"/>
            </w:pPr>
            <w:r>
              <w:rPr>
                <w:sz w:val="18"/>
              </w:rPr>
              <w:t xml:space="preserve">Udofin is the RE’s service provider: non-outsourceable functions (15); ownership bar (18(vi), 59); contract clauses (33–34, 74); isolation in multi-tenant platforms (26–27, 70); grievances stay with the RE (54–57); 6-hour cyber clock from Udofin’s detection (61); cloud controls (97) — Part 8A.7</w:t>
            </w:r>
          </w:p>
        </w:tc>
        <w:tc>
          <w:tcPr>
            <w:tcW w:w="3026" w:type="dxa"/>
          </w:tcPr>
          <w:p>
            <w:pPr>
              <w:pStyle w:val="Compact"/>
              <w:spacing w:after="40"/>
              <w:jc w:val="left"/>
            </w:pPr>
            <w:r>
              <w:rPr>
                <w:sz w:val="18"/>
              </w:rPr>
              <w:t xml:space="preserve">Verified; existing IT agreements had to comply by renewal or 10 Apr 2026 (para 2)</w:t>
            </w:r>
          </w:p>
        </w:tc>
      </w:tr>
      <w:tr>
        <w:tc>
          <w:tcPr>
            <w:tcW w:w="2869" w:type="dxa"/>
          </w:tcPr>
          <w:p>
            <w:pPr>
              <w:pStyle w:val="Compact"/>
              <w:spacing w:after="40"/>
              <w:jc w:val="left"/>
            </w:pPr>
            <w:r>
              <w:rPr>
                <w:sz w:val="18"/>
              </w:rPr>
              <w:t xml:space="preserve">CYB — Cybersecurity, Technology: Risk, Resilience and Assurance Framework Directions, 2026 (461)</w:t>
            </w:r>
          </w:p>
        </w:tc>
        <w:tc>
          <w:tcPr>
            <w:tcW w:w="3743" w:type="dxa"/>
          </w:tcPr>
          <w:p>
            <w:pPr>
              <w:pStyle w:val="Compact"/>
              <w:spacing w:after="40"/>
              <w:jc w:val="left"/>
            </w:pPr>
            <w:r>
              <w:rPr>
                <w:sz w:val="18"/>
              </w:rPr>
              <w:t xml:space="preserve">RE obligations Udofin must support (paras 28, 33 and 62 are in Ch IV, BL ≥ ₹500 crore; paras 105–141 are in Ch V, ML and above): mobile financial services end-to-end encryption (33); DAKSH reporting within 6 hours (28, 141); vendor contract terms and admin audit logs (62); source code or escrow (105); vendor vulnerability certificate (106); VA/PT (121–126); DR (129–138) — Part 8A.8</w:t>
            </w:r>
          </w:p>
        </w:tc>
        <w:tc>
          <w:tcPr>
            <w:tcW w:w="3026" w:type="dxa"/>
          </w:tcPr>
          <w:p>
            <w:pPr>
              <w:pStyle w:val="Compact"/>
              <w:spacing w:after="40"/>
              <w:jc w:val="left"/>
            </w:pPr>
            <w:r>
              <w:rPr>
                <w:sz w:val="18"/>
              </w:rPr>
              <w:t xml:space="preserve">Verified (31 Jul 2026)</w:t>
            </w:r>
          </w:p>
        </w:tc>
      </w:tr>
      <w:tr>
        <w:tc>
          <w:tcPr>
            <w:tcW w:w="2869" w:type="dxa"/>
          </w:tcPr>
          <w:p>
            <w:pPr>
              <w:pStyle w:val="Compact"/>
              <w:spacing w:after="40"/>
              <w:jc w:val="left"/>
            </w:pPr>
            <w:r>
              <w:rPr>
                <w:sz w:val="18"/>
              </w:rPr>
              <w:t xml:space="preserve">FRM — Fraud Risk Management Directions, 2026 (463)</w:t>
            </w:r>
          </w:p>
        </w:tc>
        <w:tc>
          <w:tcPr>
            <w:tcW w:w="3743" w:type="dxa"/>
          </w:tcPr>
          <w:p>
            <w:pPr>
              <w:pStyle w:val="Compact"/>
              <w:spacing w:after="40"/>
              <w:jc w:val="left"/>
            </w:pPr>
            <w:r>
              <w:rPr>
                <w:sz w:val="18"/>
              </w:rPr>
              <w:t xml:space="preserve">RE fraud classification and EWS; Udofin supplies fraud signals and is a</w:t>
            </w:r>
            <w:r>
              <w:rPr>
                <w:sz w:val="18"/>
              </w:rPr>
              <w:t xml:space="preserve"> </w:t>
            </w:r>
            <w:r>
              <w:rPr>
                <w:sz w:val="18"/>
              </w:rPr>
              <w:t xml:space="preserve">“</w:t>
            </w:r>
            <w:r>
              <w:rPr>
                <w:sz w:val="18"/>
              </w:rPr>
              <w:t xml:space="preserve">third-party service provider</w:t>
            </w:r>
            <w:r>
              <w:rPr>
                <w:sz w:val="18"/>
              </w:rPr>
              <w:t xml:space="preserve">”</w:t>
            </w:r>
            <w:r>
              <w:rPr>
                <w:sz w:val="18"/>
              </w:rPr>
              <w:t xml:space="preserve"> </w:t>
            </w:r>
            <w:r>
              <w:rPr>
                <w:sz w:val="18"/>
              </w:rPr>
              <w:t xml:space="preserve">that may receive a show-cause notice (6(1)) and be held accountable by contract (31) — Part 8A.9</w:t>
            </w:r>
          </w:p>
        </w:tc>
        <w:tc>
          <w:tcPr>
            <w:tcW w:w="3026" w:type="dxa"/>
          </w:tcPr>
          <w:p>
            <w:pPr>
              <w:pStyle w:val="Compact"/>
              <w:spacing w:after="40"/>
              <w:jc w:val="left"/>
            </w:pPr>
            <w:r>
              <w:rPr>
                <w:sz w:val="18"/>
              </w:rPr>
              <w:t xml:space="preserve">Verified (UL, ML and BL ≥ ₹500 crore)</w:t>
            </w:r>
          </w:p>
        </w:tc>
      </w:tr>
      <w:tr>
        <w:tc>
          <w:tcPr>
            <w:tcW w:w="2869" w:type="dxa"/>
          </w:tcPr>
          <w:p>
            <w:pPr>
              <w:pStyle w:val="Compact"/>
              <w:spacing w:after="40"/>
              <w:jc w:val="left"/>
            </w:pPr>
            <w:r>
              <w:rPr>
                <w:sz w:val="18"/>
              </w:rPr>
              <w:t xml:space="preserve">WD — Wilful and Large Defaulters Directions, 2025 (358)</w:t>
            </w:r>
          </w:p>
        </w:tc>
        <w:tc>
          <w:tcPr>
            <w:tcW w:w="3743" w:type="dxa"/>
          </w:tcPr>
          <w:p>
            <w:pPr>
              <w:pStyle w:val="Compact"/>
              <w:spacing w:after="40"/>
              <w:jc w:val="left"/>
            </w:pPr>
            <w:r>
              <w:rPr>
                <w:sz w:val="18"/>
              </w:rPr>
              <w:t xml:space="preserve">The bar on further finance to listed wilful defaulters applies to all REs (para 2); routing must honour the RE’s decline, never override it — Part 8A.10</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DPS — Digital Payment Security Controls Directions, 2026 (462)</w:t>
            </w:r>
          </w:p>
        </w:tc>
        <w:tc>
          <w:tcPr>
            <w:tcW w:w="3743" w:type="dxa"/>
          </w:tcPr>
          <w:p>
            <w:pPr>
              <w:pStyle w:val="Compact"/>
              <w:spacing w:after="40"/>
              <w:jc w:val="left"/>
            </w:pPr>
            <w:r>
              <w:rPr>
                <w:sz w:val="18"/>
              </w:rPr>
              <w:t xml:space="preserve">Binds credit-card-issuing NBFCs only. Udofin adopts web (67) and mobile (68) controls as its voluntary baseline: device binding, version sunset within 6 months, root/jailbreak checks, no sensitive data on device — Part 8A.11</w:t>
            </w:r>
          </w:p>
        </w:tc>
        <w:tc>
          <w:tcPr>
            <w:tcW w:w="3026" w:type="dxa"/>
          </w:tcPr>
          <w:p>
            <w:pPr>
              <w:pStyle w:val="Compact"/>
              <w:spacing w:after="40"/>
              <w:jc w:val="left"/>
            </w:pPr>
            <w:r>
              <w:rPr>
                <w:sz w:val="18"/>
              </w:rPr>
              <w:t xml:space="preserve">Verified; voluntary baseline [interpretation]</w:t>
            </w:r>
          </w:p>
        </w:tc>
      </w:tr>
      <w:tr>
        <w:tc>
          <w:tcPr>
            <w:tcW w:w="2869" w:type="dxa"/>
          </w:tcPr>
          <w:p>
            <w:pPr>
              <w:pStyle w:val="Compact"/>
              <w:spacing w:after="40"/>
              <w:jc w:val="left"/>
            </w:pPr>
            <w:r>
              <w:rPr>
                <w:sz w:val="18"/>
              </w:rPr>
              <w:t xml:space="preserve">CMP — Compliance Function Directions, 2026 (460)</w:t>
            </w:r>
          </w:p>
        </w:tc>
        <w:tc>
          <w:tcPr>
            <w:tcW w:w="3743" w:type="dxa"/>
          </w:tcPr>
          <w:p>
            <w:pPr>
              <w:pStyle w:val="Compact"/>
              <w:spacing w:after="40"/>
              <w:jc w:val="left"/>
            </w:pPr>
            <w:r>
              <w:rPr>
                <w:sz w:val="18"/>
              </w:rPr>
              <w:t xml:space="preserve">ML/UL REs’ product and process approval (9(7), 31) covers Udofin-sourced products and DLA changes — Part 8A.12</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GOV — Governance Directions, 2025 (344)</w:t>
            </w:r>
          </w:p>
        </w:tc>
        <w:tc>
          <w:tcPr>
            <w:tcW w:w="3743" w:type="dxa"/>
          </w:tcPr>
          <w:p>
            <w:pPr>
              <w:pStyle w:val="Compact"/>
              <w:spacing w:after="40"/>
              <w:jc w:val="left"/>
            </w:pPr>
            <w:r>
              <w:rPr>
                <w:sz w:val="18"/>
              </w:rPr>
              <w:t xml:space="preserve">RE’s CRO product vetting (19–24) and whistle-blower mechanism — Part 8A.12</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IAF — Internal Audit Function Directions, 2026 (464)</w:t>
            </w:r>
          </w:p>
        </w:tc>
        <w:tc>
          <w:tcPr>
            <w:tcW w:w="3743" w:type="dxa"/>
          </w:tcPr>
          <w:p>
            <w:pPr>
              <w:pStyle w:val="Compact"/>
              <w:spacing w:after="40"/>
              <w:jc w:val="left"/>
            </w:pPr>
            <w:r>
              <w:rPr>
                <w:sz w:val="18"/>
              </w:rPr>
              <w:t xml:space="preserve">RE internal audit universe includes outsourced LSP activity; Udofin gives auditor access — Part 8A.12</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SA — Statutory Audit Directions, 2026 (465)</w:t>
            </w:r>
          </w:p>
        </w:tc>
        <w:tc>
          <w:tcPr>
            <w:tcW w:w="3743" w:type="dxa"/>
          </w:tcPr>
          <w:p>
            <w:pPr>
              <w:pStyle w:val="Compact"/>
              <w:spacing w:after="40"/>
              <w:jc w:val="left"/>
            </w:pPr>
            <w:r>
              <w:rPr>
                <w:sz w:val="18"/>
              </w:rPr>
              <w:t xml:space="preserve">Statutory auditors of the RE may request Udofin evidence — Part 8A.12</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AUD — Auditor’s Report Directions, 2026 (468)</w:t>
            </w:r>
          </w:p>
        </w:tc>
        <w:tc>
          <w:tcPr>
            <w:tcW w:w="3743" w:type="dxa"/>
          </w:tcPr>
          <w:p>
            <w:pPr>
              <w:pStyle w:val="Compact"/>
              <w:spacing w:after="40"/>
              <w:jc w:val="left"/>
            </w:pPr>
            <w:r>
              <w:rPr>
                <w:sz w:val="18"/>
              </w:rPr>
              <w:t xml:space="preserve">RE auditor reporting; Udofin supplies evidence packs on request — Part 8A.12</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IRACP — Income Recognition, Asset Classification and Provisioning Directions, 2025 (356)</w:t>
            </w:r>
          </w:p>
        </w:tc>
        <w:tc>
          <w:tcPr>
            <w:tcW w:w="3743" w:type="dxa"/>
          </w:tcPr>
          <w:p>
            <w:pPr>
              <w:pStyle w:val="Compact"/>
              <w:spacing w:after="40"/>
              <w:jc w:val="left"/>
            </w:pPr>
            <w:r>
              <w:rPr>
                <w:sz w:val="18"/>
              </w:rPr>
              <w:t xml:space="preserve">Classification stays with the RE; DLG in ECL (36A–36C) uses Udofin’s DLG data; loan mirror shows RE classification only — Part 8A.13</w:t>
            </w:r>
          </w:p>
        </w:tc>
        <w:tc>
          <w:tcPr>
            <w:tcW w:w="3026" w:type="dxa"/>
          </w:tcPr>
          <w:p>
            <w:pPr>
              <w:pStyle w:val="Compact"/>
              <w:spacing w:after="40"/>
              <w:jc w:val="left"/>
            </w:pPr>
            <w:r>
              <w:rPr>
                <w:sz w:val="18"/>
              </w:rPr>
              <w:t xml:space="preserve">Verified (updated as on 13 Feb 2026)</w:t>
            </w:r>
          </w:p>
        </w:tc>
      </w:tr>
      <w:tr>
        <w:tc>
          <w:tcPr>
            <w:tcW w:w="2869" w:type="dxa"/>
          </w:tcPr>
          <w:p>
            <w:pPr>
              <w:pStyle w:val="Compact"/>
              <w:spacing w:after="40"/>
              <w:jc w:val="left"/>
            </w:pPr>
            <w:r>
              <w:rPr>
                <w:sz w:val="18"/>
              </w:rPr>
              <w:t xml:space="preserve">RSA — Resolution of Stressed Assets Directions, 2025 (357)</w:t>
            </w:r>
          </w:p>
        </w:tc>
        <w:tc>
          <w:tcPr>
            <w:tcW w:w="3743" w:type="dxa"/>
          </w:tcPr>
          <w:p>
            <w:pPr>
              <w:pStyle w:val="Compact"/>
              <w:spacing w:after="40"/>
              <w:jc w:val="left"/>
            </w:pPr>
            <w:r>
              <w:rPr>
                <w:sz w:val="18"/>
              </w:rPr>
              <w:t xml:space="preserve">Settlement and restructuring decisions are RE decisions; Udofin only relays offers and outcomes — Part 8A.13</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CAP — Capital Adequacy Directions, 2025 (345)</w:t>
            </w:r>
          </w:p>
        </w:tc>
        <w:tc>
          <w:tcPr>
            <w:tcW w:w="3743" w:type="dxa"/>
          </w:tcPr>
          <w:p>
            <w:pPr>
              <w:pStyle w:val="Compact"/>
              <w:spacing w:after="40"/>
              <w:jc w:val="left"/>
            </w:pPr>
            <w:r>
              <w:rPr>
                <w:sz w:val="18"/>
              </w:rPr>
              <w:t xml:space="preserve">RE capital treatment of DLG-covered portfolios (CF para 26); Udofin supplies DLG positions — Part 8A.13</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TDCR — Transfer and Distribution of Credit Risk Directions, 2025 (352)</w:t>
            </w:r>
          </w:p>
        </w:tc>
        <w:tc>
          <w:tcPr>
            <w:tcW w:w="3743" w:type="dxa"/>
          </w:tcPr>
          <w:p>
            <w:pPr>
              <w:pStyle w:val="Compact"/>
              <w:spacing w:after="40"/>
              <w:jc w:val="left"/>
            </w:pPr>
            <w:r>
              <w:rPr>
                <w:sz w:val="18"/>
              </w:rPr>
              <w:t xml:space="preserve">Co-lending (Part B): repayment into the co-lending escrow (CF 10(1) Note); originator DLG ≤ 5% (123); partner list on website (126) — Part 8A.13</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SR — Supervisory Returns Directions, 2026 (466)</w:t>
            </w:r>
          </w:p>
        </w:tc>
        <w:tc>
          <w:tcPr>
            <w:tcW w:w="3743" w:type="dxa"/>
          </w:tcPr>
          <w:p>
            <w:pPr>
              <w:pStyle w:val="Compact"/>
              <w:spacing w:after="40"/>
              <w:jc w:val="left"/>
            </w:pPr>
            <w:r>
              <w:rPr>
                <w:sz w:val="18"/>
              </w:rPr>
              <w:t xml:space="preserve">RE returns; Udofin supplies DLA and sourcing data with lineage — Part 8A.14</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MISC — Miscellaneous Directions, 2025 (373)</w:t>
            </w:r>
          </w:p>
        </w:tc>
        <w:tc>
          <w:tcPr>
            <w:tcW w:w="3743" w:type="dxa"/>
          </w:tcPr>
          <w:p>
            <w:pPr>
              <w:pStyle w:val="Compact"/>
              <w:spacing w:after="40"/>
              <w:jc w:val="left"/>
            </w:pPr>
            <w:r>
              <w:rPr>
                <w:sz w:val="18"/>
              </w:rPr>
              <w:t xml:space="preserve">No fresh PDCs or EMI cheques where NACH is available (23); nearest-rupee rounding (27) — Part 8A.14</w:t>
            </w:r>
          </w:p>
        </w:tc>
        <w:tc>
          <w:tcPr>
            <w:tcW w:w="3026" w:type="dxa"/>
          </w:tcPr>
          <w:p>
            <w:pPr>
              <w:pStyle w:val="Compact"/>
              <w:spacing w:after="40"/>
              <w:jc w:val="left"/>
            </w:pPr>
            <w:r>
              <w:rPr>
                <w:sz w:val="18"/>
              </w:rPr>
              <w:t xml:space="preserve">Verified (updated as on 26 Feb 2026)</w:t>
            </w:r>
          </w:p>
        </w:tc>
      </w:tr>
      <w:tr>
        <w:tc>
          <w:tcPr>
            <w:tcW w:w="2869" w:type="dxa"/>
          </w:tcPr>
          <w:p>
            <w:pPr>
              <w:pStyle w:val="Compact"/>
              <w:spacing w:after="40"/>
              <w:jc w:val="left"/>
            </w:pPr>
            <w:r>
              <w:rPr>
                <w:sz w:val="18"/>
              </w:rPr>
              <w:t xml:space="preserve">SBR — Scale Based Regulation Directions, 2025 (339)</w:t>
            </w:r>
          </w:p>
        </w:tc>
        <w:tc>
          <w:tcPr>
            <w:tcW w:w="3743" w:type="dxa"/>
          </w:tcPr>
          <w:p>
            <w:pPr>
              <w:pStyle w:val="Compact"/>
              <w:spacing w:after="40"/>
              <w:jc w:val="left"/>
            </w:pPr>
            <w:r>
              <w:rPr>
                <w:sz w:val="18"/>
              </w:rPr>
              <w:t xml:space="preserve">RE layer drives applicability of CYB, OUT, FRM and CMP to each partner — Part 8A.14</w:t>
            </w:r>
          </w:p>
        </w:tc>
        <w:tc>
          <w:tcPr>
            <w:tcW w:w="3026" w:type="dxa"/>
          </w:tcPr>
          <w:p>
            <w:pPr>
              <w:pStyle w:val="Compact"/>
              <w:spacing w:after="40"/>
              <w:jc w:val="left"/>
            </w:pPr>
            <w:r>
              <w:rPr>
                <w:sz w:val="18"/>
              </w:rPr>
              <w:t xml:space="preserve">Verified (original text); any 2026 amendment [VERIFY]</w:t>
            </w:r>
          </w:p>
        </w:tc>
      </w:tr>
      <w:tr>
        <w:tc>
          <w:tcPr>
            <w:tcW w:w="2869" w:type="dxa"/>
          </w:tcPr>
          <w:p>
            <w:pPr>
              <w:pStyle w:val="Compact"/>
              <w:spacing w:after="40"/>
              <w:jc w:val="left"/>
            </w:pPr>
            <w:r>
              <w:rPr>
                <w:sz w:val="18"/>
              </w:rPr>
              <w:t xml:space="preserve">ORM — Guidance Note on Operational Risk Management and Operational Resilience (DOR.ORG.REC.301/14.10.001/2025-26)</w:t>
            </w:r>
          </w:p>
        </w:tc>
        <w:tc>
          <w:tcPr>
            <w:tcW w:w="3743" w:type="dxa"/>
          </w:tcPr>
          <w:p>
            <w:pPr>
              <w:pStyle w:val="Compact"/>
              <w:spacing w:after="40"/>
              <w:jc w:val="left"/>
            </w:pPr>
            <w:r>
              <w:rPr>
                <w:sz w:val="18"/>
              </w:rPr>
              <w:t xml:space="preserve">Guidance, not a Direction: third-party due diligence (73), supply-chain responsibility (76), impact tolerances (31–33), lessons learned (99–101) — Part 8A.14</w:t>
            </w:r>
          </w:p>
        </w:tc>
        <w:tc>
          <w:tcPr>
            <w:tcW w:w="3026" w:type="dxa"/>
          </w:tcPr>
          <w:p>
            <w:pPr>
              <w:pStyle w:val="Compact"/>
              <w:spacing w:after="40"/>
              <w:jc w:val="left"/>
            </w:pPr>
            <w:r>
              <w:rPr>
                <w:sz w:val="18"/>
              </w:rPr>
              <w:t xml:space="preserve">Verified; strength flag</w:t>
            </w:r>
            <w:r>
              <w:rPr>
                <w:sz w:val="18"/>
              </w:rPr>
              <w:t xml:space="preserve"> </w:t>
            </w:r>
            <w:r>
              <w:rPr>
                <w:sz w:val="18"/>
              </w:rPr>
              <w:t xml:space="preserve">“</w:t>
            </w:r>
            <w:r>
              <w:rPr>
                <w:sz w:val="18"/>
              </w:rPr>
              <w:t xml:space="preserve">guidance</w:t>
            </w:r>
            <w:r>
              <w:rPr>
                <w:sz w:val="18"/>
              </w:rPr>
              <w:t xml:space="preserve">”</w:t>
            </w:r>
          </w:p>
        </w:tc>
      </w:tr>
      <w:tr>
        <w:tc>
          <w:tcPr>
            <w:tcW w:w="2869" w:type="dxa"/>
          </w:tcPr>
          <w:p>
            <w:pPr>
              <w:pStyle w:val="Compact"/>
              <w:spacing w:after="40"/>
              <w:jc w:val="left"/>
            </w:pPr>
            <w:r>
              <w:rPr>
                <w:sz w:val="18"/>
              </w:rPr>
              <w:t xml:space="preserve">CRM — Credit Risk Management Directions, 2025 (350)</w:t>
            </w:r>
          </w:p>
        </w:tc>
        <w:tc>
          <w:tcPr>
            <w:tcW w:w="3743" w:type="dxa"/>
          </w:tcPr>
          <w:p>
            <w:pPr>
              <w:pStyle w:val="Compact"/>
              <w:spacing w:after="40"/>
              <w:jc w:val="left"/>
            </w:pPr>
            <w:r>
              <w:rPr>
                <w:sz w:val="18"/>
              </w:rPr>
              <w:t xml:space="preserve">No direct Udofin obligation; related-party, LEI and CERSAI gates run at the RE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CON — Concentration Risk Management Directions, 2025 (351)</w:t>
            </w:r>
          </w:p>
        </w:tc>
        <w:tc>
          <w:tcPr>
            <w:tcW w:w="3743" w:type="dxa"/>
          </w:tcPr>
          <w:p>
            <w:pPr>
              <w:pStyle w:val="Compact"/>
              <w:spacing w:after="40"/>
              <w:jc w:val="left"/>
            </w:pPr>
            <w:r>
              <w:rPr>
                <w:sz w:val="18"/>
              </w:rPr>
              <w:t xml:space="preserve">No direct obligation; RE exposure limits may cap routing capacity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INV — Investment Portfolio Directions, 2025 (354)</w:t>
            </w:r>
          </w:p>
        </w:tc>
        <w:tc>
          <w:tcPr>
            <w:tcW w:w="3743" w:type="dxa"/>
          </w:tcPr>
          <w:p>
            <w:pPr>
              <w:pStyle w:val="Compact"/>
              <w:spacing w:after="40"/>
              <w:jc w:val="left"/>
            </w:pPr>
            <w:r>
              <w:rPr>
                <w:sz w:val="18"/>
              </w:rPr>
              <w:t xml:space="preserve">No Udofin obligation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BR — Branch Authorisation Directions, 2025 (342)</w:t>
            </w:r>
          </w:p>
        </w:tc>
        <w:tc>
          <w:tcPr>
            <w:tcW w:w="3743" w:type="dxa"/>
          </w:tcPr>
          <w:p>
            <w:pPr>
              <w:pStyle w:val="Compact"/>
              <w:spacing w:after="40"/>
              <w:jc w:val="left"/>
            </w:pPr>
            <w:r>
              <w:rPr>
                <w:sz w:val="18"/>
              </w:rPr>
              <w:t xml:space="preserve">No Udofin obligation (Udofin offices are not RE branches)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ALM — Asset Liability Management Directions, 2025 (355)</w:t>
            </w:r>
          </w:p>
        </w:tc>
        <w:tc>
          <w:tcPr>
            <w:tcW w:w="3743" w:type="dxa"/>
          </w:tcPr>
          <w:p>
            <w:pPr>
              <w:pStyle w:val="Compact"/>
              <w:spacing w:after="40"/>
              <w:jc w:val="left"/>
            </w:pPr>
            <w:r>
              <w:rPr>
                <w:sz w:val="18"/>
              </w:rPr>
              <w:t xml:space="preserve">No Udofin obligation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FS — Financial Statements Directions, 2025 (359)</w:t>
            </w:r>
          </w:p>
        </w:tc>
        <w:tc>
          <w:tcPr>
            <w:tcW w:w="3743" w:type="dxa"/>
          </w:tcPr>
          <w:p>
            <w:pPr>
              <w:pStyle w:val="Compact"/>
              <w:spacing w:after="40"/>
              <w:jc w:val="left"/>
            </w:pPr>
            <w:r>
              <w:rPr>
                <w:sz w:val="18"/>
              </w:rPr>
              <w:t xml:space="preserve">No Udofin obligation; DLG data may feed RE disclosures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CLM — Climate Finance Directions, 2025 (364)</w:t>
            </w:r>
          </w:p>
        </w:tc>
        <w:tc>
          <w:tcPr>
            <w:tcW w:w="3743" w:type="dxa"/>
          </w:tcPr>
          <w:p>
            <w:pPr>
              <w:pStyle w:val="Compact"/>
              <w:spacing w:after="40"/>
              <w:jc w:val="left"/>
            </w:pPr>
            <w:r>
              <w:rPr>
                <w:sz w:val="18"/>
              </w:rPr>
              <w:t xml:space="preserve">No Udofin obligation (deposit-taking REs only)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DIV — Declaration of Dividends Directions, 2025 (360)</w:t>
            </w:r>
          </w:p>
        </w:tc>
        <w:tc>
          <w:tcPr>
            <w:tcW w:w="3743" w:type="dxa"/>
          </w:tcPr>
          <w:p>
            <w:pPr>
              <w:pStyle w:val="Compact"/>
              <w:spacing w:after="40"/>
              <w:jc w:val="left"/>
            </w:pPr>
            <w:r>
              <w:rPr>
                <w:sz w:val="18"/>
              </w:rPr>
              <w:t xml:space="preserve">No Udofin obligation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SEC — Securitisation Transactions Directions, 2025 (353)</w:t>
            </w:r>
          </w:p>
        </w:tc>
        <w:tc>
          <w:tcPr>
            <w:tcW w:w="3743" w:type="dxa"/>
          </w:tcPr>
          <w:p>
            <w:pPr>
              <w:pStyle w:val="Compact"/>
              <w:spacing w:after="40"/>
              <w:jc w:val="left"/>
            </w:pPr>
            <w:r>
              <w:rPr>
                <w:sz w:val="18"/>
              </w:rPr>
              <w:t xml:space="preserve">No Udofin obligation; pool data comes from the RE’s LMS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MSD — Miscellaneous Supervisory Directions, 2026 (467)</w:t>
            </w:r>
          </w:p>
        </w:tc>
        <w:tc>
          <w:tcPr>
            <w:tcW w:w="3743" w:type="dxa"/>
          </w:tcPr>
          <w:p>
            <w:pPr>
              <w:pStyle w:val="Compact"/>
              <w:spacing w:after="40"/>
              <w:jc w:val="left"/>
            </w:pPr>
            <w:r>
              <w:rPr>
                <w:sz w:val="18"/>
              </w:rPr>
              <w:t xml:space="preserve">No direct obligation; interest from actual disbursement and revised schedules on part-disbursement (7) govern what the loan mirror displays — Part 8A.15</w:t>
            </w:r>
          </w:p>
        </w:tc>
        <w:tc>
          <w:tcPr>
            <w:tcW w:w="3026" w:type="dxa"/>
          </w:tcPr>
          <w:p>
            <w:pPr>
              <w:pStyle w:val="Compact"/>
              <w:spacing w:after="40"/>
              <w:jc w:val="left"/>
            </w:pPr>
            <w:r>
              <w:rPr>
                <w:sz w:val="18"/>
              </w:rPr>
              <w:t xml:space="preserve">Verified</w:t>
            </w:r>
          </w:p>
        </w:tc>
      </w:tr>
      <w:tr>
        <w:tc>
          <w:tcPr>
            <w:tcW w:w="2869" w:type="dxa"/>
          </w:tcPr>
          <w:p>
            <w:pPr>
              <w:pStyle w:val="Compact"/>
              <w:spacing w:after="40"/>
              <w:jc w:val="left"/>
            </w:pPr>
            <w:r>
              <w:rPr>
                <w:sz w:val="18"/>
              </w:rPr>
              <w:t xml:space="preserve">Internal Ombudsman Directions, 2026 (14 Jan 2026) and Reserve Bank – Integrated Ombudsman Scheme, 2026 (RB-IOS 2026; effective 1 Jul 2026)</w:t>
            </w:r>
          </w:p>
        </w:tc>
        <w:tc>
          <w:tcPr>
            <w:tcW w:w="3743" w:type="dxa"/>
          </w:tcPr>
          <w:p>
            <w:pPr>
              <w:pStyle w:val="Compact"/>
              <w:spacing w:after="40"/>
              <w:jc w:val="left"/>
            </w:pPr>
            <w:r>
              <w:rPr>
                <w:sz w:val="18"/>
              </w:rPr>
              <w:t xml:space="preserve">Complaint escalation path shown on the DLA; 30-day RE reply window, then the RBI Ombudsman complaint within 90 days (CF para 12(4); RB-IOS 2026 cl.10(1)(f)–(g)); IO auto-escalation of rejections within 20 days — U15; Part 7C UB3</w:t>
            </w:r>
          </w:p>
        </w:tc>
        <w:tc>
          <w:tcPr>
            <w:tcW w:w="3026" w:type="dxa"/>
          </w:tcPr>
          <w:p>
            <w:pPr>
              <w:pStyle w:val="Compact"/>
              <w:spacing w:after="40"/>
              <w:jc w:val="left"/>
            </w:pPr>
            <w:r>
              <w:rPr>
                <w:sz w:val="18"/>
              </w:rPr>
              <w:t xml:space="preserve">Notified (IO26, RBIOS26 in Part 8A.17); official texts to be committed [VERIFY: clause and paragraph numbers]</w:t>
            </w:r>
          </w:p>
        </w:tc>
      </w:tr>
      <w:tr>
        <w:tc>
          <w:tcPr>
            <w:tcW w:w="2869" w:type="dxa"/>
          </w:tcPr>
          <w:p>
            <w:pPr>
              <w:pStyle w:val="Compact"/>
              <w:spacing w:after="40"/>
              <w:jc w:val="left"/>
            </w:pPr>
            <w:r>
              <w:rPr>
                <w:sz w:val="18"/>
              </w:rPr>
              <w:t xml:space="preserve">Digital Personal Data Protection Act, 2023 and DPDP Rules, 2025 (G.S.R. 846(E), notified 13 Nov 2025)</w:t>
            </w:r>
          </w:p>
        </w:tc>
        <w:tc>
          <w:tcPr>
            <w:tcW w:w="3743" w:type="dxa"/>
          </w:tcPr>
          <w:p>
            <w:pPr>
              <w:pStyle w:val="Compact"/>
              <w:spacing w:after="40"/>
              <w:jc w:val="left"/>
            </w:pPr>
            <w:r>
              <w:rPr>
                <w:sz w:val="18"/>
              </w:rPr>
              <w:t xml:space="preserve">Udofin is a data fiduciary for its own processing and a processor for the RE where it acts on the RE’s instructions [interpretation]. Board rules in force from 13 Nov 2025; consent-manager rule (Rule 4) from 13 Nov 2026; notice, consent, rights, security safeguards, breach intimation (72-hour detailed report), 1-year log retention (Rule 8(3)), 90-day rights response (Rule 14(3)), children’s data (s.9) and penalties from 13 May 2027. Proposal to compress the SDF timeline not gazetted — U4</w:t>
            </w:r>
          </w:p>
        </w:tc>
        <w:tc>
          <w:tcPr>
            <w:tcW w:w="3026" w:type="dxa"/>
          </w:tcPr>
          <w:p>
            <w:pPr>
              <w:pStyle w:val="Compact"/>
              <w:spacing w:after="40"/>
              <w:jc w:val="left"/>
            </w:pPr>
            <w:r>
              <w:rPr>
                <w:sz w:val="18"/>
              </w:rPr>
              <w:t xml:space="preserve">In force in phases [VERIFY: Gazette texts and any compression]</w:t>
            </w:r>
          </w:p>
        </w:tc>
      </w:tr>
      <w:tr>
        <w:tc>
          <w:tcPr>
            <w:tcW w:w="2869" w:type="dxa"/>
          </w:tcPr>
          <w:p>
            <w:pPr>
              <w:pStyle w:val="Compact"/>
              <w:spacing w:after="40"/>
              <w:jc w:val="left"/>
            </w:pPr>
            <w:r>
              <w:rPr>
                <w:sz w:val="18"/>
              </w:rPr>
              <w:t xml:space="preserve">Information Technology Act, 2000 s.43A and SPDI Rules, 2011</w:t>
            </w:r>
          </w:p>
        </w:tc>
        <w:tc>
          <w:tcPr>
            <w:tcW w:w="3743" w:type="dxa"/>
          </w:tcPr>
          <w:p>
            <w:pPr>
              <w:pStyle w:val="Compact"/>
              <w:spacing w:after="40"/>
              <w:jc w:val="left"/>
            </w:pPr>
            <w:r>
              <w:rPr>
                <w:sz w:val="18"/>
              </w:rPr>
              <w:t xml:space="preserve">Reasonable security practices for sensitive personal data until DPDP s.44(2) omits s.43A — U4, U24</w:t>
            </w:r>
          </w:p>
        </w:tc>
        <w:tc>
          <w:tcPr>
            <w:tcW w:w="3026" w:type="dxa"/>
          </w:tcPr>
          <w:p>
            <w:pPr>
              <w:pStyle w:val="Compact"/>
              <w:spacing w:after="40"/>
              <w:jc w:val="left"/>
            </w:pPr>
            <w:r>
              <w:rPr>
                <w:sz w:val="18"/>
              </w:rPr>
              <w:t xml:space="preserve">In force until the DPDP substantive date [VERIFY: commencement of s.44]</w:t>
            </w:r>
          </w:p>
        </w:tc>
      </w:tr>
      <w:tr>
        <w:tc>
          <w:tcPr>
            <w:tcW w:w="2869" w:type="dxa"/>
          </w:tcPr>
          <w:p>
            <w:pPr>
              <w:pStyle w:val="Compact"/>
              <w:spacing w:after="40"/>
              <w:jc w:val="left"/>
            </w:pPr>
            <w:r>
              <w:rPr>
                <w:sz w:val="18"/>
              </w:rPr>
              <w:t xml:space="preserve">IT Act, 2000 s.3A, s.5 and Second Schedule (eSign); First Schedule exclusions; Indian Contract Act, 1872 s.10</w:t>
            </w:r>
          </w:p>
        </w:tc>
        <w:tc>
          <w:tcPr>
            <w:tcW w:w="3743" w:type="dxa"/>
          </w:tcPr>
          <w:p>
            <w:pPr>
              <w:pStyle w:val="Compact"/>
              <w:spacing w:after="40"/>
              <w:jc w:val="left"/>
            </w:pPr>
            <w:r>
              <w:rPr>
                <w:sz w:val="18"/>
              </w:rPr>
              <w:t xml:space="preserve">Aadhaar/other e-KYC eSign through licensed ESPs; physical execution path for excluded instruments (negotiable instruments other than cheques, powers of attorney, trusts, wills, immovable-property conveyances) — U9</w:t>
            </w:r>
          </w:p>
        </w:tc>
        <w:tc>
          <w:tcPr>
            <w:tcW w:w="3026" w:type="dxa"/>
          </w:tcPr>
          <w:p>
            <w:pPr>
              <w:pStyle w:val="Compact"/>
              <w:spacing w:after="40"/>
              <w:jc w:val="left"/>
            </w:pPr>
            <w:r>
              <w:rPr>
                <w:sz w:val="18"/>
              </w:rPr>
              <w:t xml:space="preserve">In force</w:t>
            </w:r>
          </w:p>
        </w:tc>
      </w:tr>
      <w:tr>
        <w:tc>
          <w:tcPr>
            <w:tcW w:w="2869" w:type="dxa"/>
          </w:tcPr>
          <w:p>
            <w:pPr>
              <w:pStyle w:val="Compact"/>
              <w:spacing w:after="40"/>
              <w:jc w:val="left"/>
            </w:pPr>
            <w:r>
              <w:rPr>
                <w:sz w:val="18"/>
              </w:rPr>
              <w:t xml:space="preserve">Indian Stamp Act, 1899 and state stamp Acts; e-stamping through SHCIL (CRA) and state portals</w:t>
            </w:r>
          </w:p>
        </w:tc>
        <w:tc>
          <w:tcPr>
            <w:tcW w:w="3743" w:type="dxa"/>
          </w:tcPr>
          <w:p>
            <w:pPr>
              <w:pStyle w:val="Compact"/>
              <w:spacing w:after="40"/>
              <w:jc w:val="left"/>
            </w:pPr>
            <w:r>
              <w:rPr>
                <w:sz w:val="18"/>
              </w:rPr>
              <w:t xml:space="preserve">Stamp duty by state of execution; eStamp evidence stored with the agreement — U9</w:t>
            </w:r>
          </w:p>
        </w:tc>
        <w:tc>
          <w:tcPr>
            <w:tcW w:w="3026" w:type="dxa"/>
          </w:tcPr>
          <w:p>
            <w:pPr>
              <w:pStyle w:val="Compact"/>
              <w:spacing w:after="40"/>
              <w:jc w:val="left"/>
            </w:pPr>
            <w:r>
              <w:rPr>
                <w:sz w:val="18"/>
              </w:rPr>
              <w:t xml:space="preserve">In force; state-wise rates [VERIFY]</w:t>
            </w:r>
          </w:p>
        </w:tc>
      </w:tr>
      <w:tr>
        <w:tc>
          <w:tcPr>
            <w:tcW w:w="2869" w:type="dxa"/>
          </w:tcPr>
          <w:p>
            <w:pPr>
              <w:pStyle w:val="Compact"/>
              <w:spacing w:after="40"/>
              <w:jc w:val="left"/>
            </w:pPr>
            <w:r>
              <w:rPr>
                <w:sz w:val="18"/>
              </w:rPr>
              <w:t xml:space="preserve">Aadhaar Act, 2016 (ss.4, 8, 8A, 29), Aadhaar (Authentication and Offline Verification) Regulations, 2021, Aadhaar Good Governance Amendment Rules, 2025 (31 Jan 2025); PML Act s.11A; UIDAI Circular No. 14 of 2025 (Aadhaar Data Vault)</w:t>
            </w:r>
          </w:p>
        </w:tc>
        <w:tc>
          <w:tcPr>
            <w:tcW w:w="3743" w:type="dxa"/>
          </w:tcPr>
          <w:p>
            <w:pPr>
              <w:pStyle w:val="Compact"/>
              <w:spacing w:after="40"/>
              <w:jc w:val="left"/>
            </w:pPr>
            <w:r>
              <w:rPr>
                <w:sz w:val="18"/>
              </w:rPr>
              <w:t xml:space="preserve">Aadhaar OTP e-KYC only by REs notified under s.11A acting as KUA or sub-KUA; offline verification (OKYC XML, QR) as OVSE; Udofin never stores the Aadhaar number; ADV duty sits with the requesting entity — U5</w:t>
            </w:r>
          </w:p>
        </w:tc>
        <w:tc>
          <w:tcPr>
            <w:tcW w:w="3026" w:type="dxa"/>
          </w:tcPr>
          <w:p>
            <w:pPr>
              <w:pStyle w:val="Compact"/>
              <w:spacing w:after="40"/>
              <w:jc w:val="left"/>
            </w:pPr>
            <w:r>
              <w:rPr>
                <w:sz w:val="18"/>
              </w:rPr>
              <w:t xml:space="preserve">In force; Circular 14 supersedes Circular 8 of 2025 [VERIFY]</w:t>
            </w:r>
          </w:p>
        </w:tc>
      </w:tr>
      <w:tr>
        <w:tc>
          <w:tcPr>
            <w:tcW w:w="2869" w:type="dxa"/>
          </w:tcPr>
          <w:p>
            <w:pPr>
              <w:pStyle w:val="Compact"/>
              <w:spacing w:after="40"/>
              <w:jc w:val="left"/>
            </w:pPr>
            <w:r>
              <w:rPr>
                <w:sz w:val="18"/>
              </w:rPr>
              <w:t xml:space="preserve">IT (Preservation and Retention of Information by Intermediaries Providing Digital Locker Facilities) Rules, 2016, Rule 9A (2017)</w:t>
            </w:r>
          </w:p>
        </w:tc>
        <w:tc>
          <w:tcPr>
            <w:tcW w:w="3743" w:type="dxa"/>
          </w:tcPr>
          <w:p>
            <w:pPr>
              <w:pStyle w:val="Compact"/>
              <w:spacing w:after="40"/>
              <w:jc w:val="left"/>
            </w:pPr>
            <w:r>
              <w:rPr>
                <w:sz w:val="18"/>
              </w:rPr>
              <w:t xml:space="preserve">DigiLocker-issued documents are deemed at par with originals; the requester entity (preferably the RE) must be onboarded with DigiLocker and fetch each document with the borrower’s consent — U5</w:t>
            </w:r>
          </w:p>
        </w:tc>
        <w:tc>
          <w:tcPr>
            <w:tcW w:w="3026" w:type="dxa"/>
          </w:tcPr>
          <w:p>
            <w:pPr>
              <w:pStyle w:val="Compact"/>
              <w:spacing w:after="40"/>
              <w:jc w:val="left"/>
            </w:pPr>
            <w:r>
              <w:rPr>
                <w:sz w:val="18"/>
              </w:rPr>
              <w:t xml:space="preserve">In force [VERIFY requester terms for an LSP acting for the RE]</w:t>
            </w:r>
          </w:p>
        </w:tc>
      </w:tr>
      <w:tr>
        <w:tc>
          <w:tcPr>
            <w:tcW w:w="2869" w:type="dxa"/>
          </w:tcPr>
          <w:p>
            <w:pPr>
              <w:pStyle w:val="Compact"/>
              <w:spacing w:after="40"/>
              <w:jc w:val="left"/>
            </w:pPr>
            <w:r>
              <w:rPr>
                <w:sz w:val="18"/>
              </w:rPr>
              <w:t xml:space="preserve">PMLA 2002 and PML (Maintenance of Records) Rules, 2005</w:t>
            </w:r>
          </w:p>
        </w:tc>
        <w:tc>
          <w:tcPr>
            <w:tcW w:w="3743" w:type="dxa"/>
          </w:tcPr>
          <w:p>
            <w:pPr>
              <w:pStyle w:val="Compact"/>
              <w:spacing w:after="40"/>
              <w:jc w:val="left"/>
            </w:pPr>
            <w:r>
              <w:rPr>
                <w:sz w:val="18"/>
              </w:rPr>
              <w:t xml:space="preserve">RE is the reporting entity (CDD, STR/CTR, records 5 years); Udofin supplies evidence and flags, never files — U5, U18</w:t>
            </w:r>
          </w:p>
        </w:tc>
        <w:tc>
          <w:tcPr>
            <w:tcW w:w="3026" w:type="dxa"/>
          </w:tcPr>
          <w:p>
            <w:pPr>
              <w:pStyle w:val="Compact"/>
              <w:spacing w:after="40"/>
              <w:jc w:val="left"/>
            </w:pPr>
            <w:r>
              <w:rPr>
                <w:sz w:val="18"/>
              </w:rPr>
              <w:t xml:space="preserve">In force</w:t>
            </w:r>
          </w:p>
        </w:tc>
      </w:tr>
      <w:tr>
        <w:tc>
          <w:tcPr>
            <w:tcW w:w="2869" w:type="dxa"/>
          </w:tcPr>
          <w:p>
            <w:pPr>
              <w:pStyle w:val="Compact"/>
              <w:spacing w:after="40"/>
              <w:jc w:val="left"/>
            </w:pPr>
            <w:r>
              <w:rPr>
                <w:sz w:val="18"/>
              </w:rPr>
              <w:t xml:space="preserve">Credit Information Companies (Regulation) Act, 2005, CIC Rules and Regulations, 2006</w:t>
            </w:r>
          </w:p>
        </w:tc>
        <w:tc>
          <w:tcPr>
            <w:tcW w:w="3743" w:type="dxa"/>
          </w:tcPr>
          <w:p>
            <w:pPr>
              <w:pStyle w:val="Compact"/>
              <w:spacing w:after="40"/>
              <w:jc w:val="left"/>
            </w:pPr>
            <w:r>
              <w:rPr>
                <w:sz w:val="18"/>
              </w:rPr>
              <w:t xml:space="preserve">Credit information is disclosed to members and specified users (CICRA s.2(l)); Udofin is neither today, so pulls run under the RE’s membership with borrower consent, or as a borrower-initiated own-report. CIC Regulations reg. 3 (amended 10 Nov 2021) lets an entity processing information for credit institutions become a specified user if it meets RBI’s criteria of 5 Jan 2022 (Indian-owned and controlled, net worth ≥ ₹2 crore, 3 years’ experience, CISA certification); assess as a later option — U6</w:t>
            </w:r>
          </w:p>
        </w:tc>
        <w:tc>
          <w:tcPr>
            <w:tcW w:w="3026" w:type="dxa"/>
          </w:tcPr>
          <w:p>
            <w:pPr>
              <w:pStyle w:val="Compact"/>
              <w:spacing w:after="40"/>
              <w:jc w:val="left"/>
            </w:pPr>
            <w:r>
              <w:rPr>
                <w:sz w:val="18"/>
              </w:rPr>
              <w:t xml:space="preserve">In force [VERIFY: current criteria and CIC acceptance]</w:t>
            </w:r>
          </w:p>
        </w:tc>
      </w:tr>
      <w:tr>
        <w:tc>
          <w:tcPr>
            <w:tcW w:w="2869" w:type="dxa"/>
          </w:tcPr>
          <w:p>
            <w:pPr>
              <w:pStyle w:val="Compact"/>
              <w:spacing w:after="40"/>
              <w:jc w:val="left"/>
            </w:pPr>
            <w:r>
              <w:rPr>
                <w:sz w:val="18"/>
              </w:rPr>
              <w:t xml:space="preserve">Payment and Settlement Systems Act, 2007 (incl. s.25); RBI (Regulation of Payment Aggregators) Directions, 2025 (15 Sep 2025); NPCI eNACH and UPI AutoPay rules</w:t>
            </w:r>
          </w:p>
        </w:tc>
        <w:tc>
          <w:tcPr>
            <w:tcW w:w="3743" w:type="dxa"/>
          </w:tcPr>
          <w:p>
            <w:pPr>
              <w:pStyle w:val="Compact"/>
              <w:spacing w:after="40"/>
              <w:jc w:val="left"/>
            </w:pPr>
            <w:r>
              <w:rPr>
                <w:sz w:val="18"/>
              </w:rPr>
              <w:t xml:space="preserve">Gateways collect into the RE’s merchant account only; PA-only entities are outside CF (para 4(1)(xix) proviso); UPI AutoPay and card e-mandate debits above ₹15,000 need an additional factor, except up to ₹1 lakh for mutual-fund subscriptions, insurance premiums and credit-card bill payments (RBI, 12 Dec 2023); some PSPs also apply ₹1 lakh to lending MCCs, which is not in the RBI circular [VERIFY NPCI circular before relying on it for EMIs above ₹15,000] — U11</w:t>
            </w:r>
          </w:p>
        </w:tc>
        <w:tc>
          <w:tcPr>
            <w:tcW w:w="3026" w:type="dxa"/>
          </w:tcPr>
          <w:p>
            <w:pPr>
              <w:pStyle w:val="Compact"/>
              <w:spacing w:after="40"/>
              <w:jc w:val="left"/>
            </w:pPr>
            <w:r>
              <w:rPr>
                <w:sz w:val="18"/>
              </w:rPr>
              <w:t xml:space="preserve">In force</w:t>
            </w:r>
          </w:p>
        </w:tc>
      </w:tr>
      <w:tr>
        <w:tc>
          <w:tcPr>
            <w:tcW w:w="2869" w:type="dxa"/>
          </w:tcPr>
          <w:p>
            <w:pPr>
              <w:pStyle w:val="Compact"/>
              <w:spacing w:after="40"/>
              <w:jc w:val="left"/>
            </w:pPr>
            <w:r>
              <w:rPr>
                <w:sz w:val="18"/>
              </w:rPr>
              <w:t xml:space="preserve">Consumer Protection Act, 2019 and CCPA Guidelines for Prevention and Regulation of Dark Patterns, 2023</w:t>
            </w:r>
          </w:p>
        </w:tc>
        <w:tc>
          <w:tcPr>
            <w:tcW w:w="3743" w:type="dxa"/>
          </w:tcPr>
          <w:p>
            <w:pPr>
              <w:pStyle w:val="Compact"/>
              <w:spacing w:after="40"/>
              <w:jc w:val="left"/>
            </w:pPr>
            <w:r>
              <w:rPr>
                <w:sz w:val="18"/>
              </w:rPr>
              <w:t xml:space="preserve">Offer comparison and journey design free of dark patterns (CF para 7(4) Note) — U7, U8, U23</w:t>
            </w:r>
          </w:p>
        </w:tc>
        <w:tc>
          <w:tcPr>
            <w:tcW w:w="3026" w:type="dxa"/>
          </w:tcPr>
          <w:p>
            <w:pPr>
              <w:pStyle w:val="Compact"/>
              <w:spacing w:after="40"/>
              <w:jc w:val="left"/>
            </w:pPr>
            <w:r>
              <w:rPr>
                <w:sz w:val="18"/>
              </w:rPr>
              <w:t xml:space="preserve">In force</w:t>
            </w:r>
          </w:p>
        </w:tc>
      </w:tr>
      <w:tr>
        <w:tc>
          <w:tcPr>
            <w:tcW w:w="2869" w:type="dxa"/>
          </w:tcPr>
          <w:p>
            <w:pPr>
              <w:pStyle w:val="Compact"/>
              <w:spacing w:after="40"/>
              <w:jc w:val="left"/>
            </w:pPr>
            <w:r>
              <w:rPr>
                <w:sz w:val="18"/>
              </w:rPr>
              <w:t xml:space="preserve">TRAI Telecom Commercial Communications Customer Preference Regulations, 2018 (TCCCPR) as amended 12 Feb 2025; TRAI direction of 19 Nov 2025 on 1600-series numbers for RBI-regulated entities</w:t>
            </w:r>
          </w:p>
        </w:tc>
        <w:tc>
          <w:tcPr>
            <w:tcW w:w="3743" w:type="dxa"/>
          </w:tcPr>
          <w:p>
            <w:pPr>
              <w:pStyle w:val="Compact"/>
              <w:spacing w:after="40"/>
              <w:jc w:val="left"/>
            </w:pPr>
            <w:r>
              <w:rPr>
                <w:sz w:val="18"/>
              </w:rPr>
              <w:t xml:space="preserve">DLT-registered headers and templates; 140 series for promotional and 1600 series for service and transactional calls; consent and opt-out windows; the RE’s 1600 obligation extends to calls made on its behalf [VERIFY: TRAI text] — U16, U13</w:t>
            </w:r>
          </w:p>
        </w:tc>
        <w:tc>
          <w:tcPr>
            <w:tcW w:w="3026" w:type="dxa"/>
          </w:tcPr>
          <w:p>
            <w:pPr>
              <w:pStyle w:val="Compact"/>
              <w:spacing w:after="40"/>
              <w:jc w:val="left"/>
            </w:pPr>
            <w:r>
              <w:rPr>
                <w:sz w:val="18"/>
              </w:rPr>
              <w:t xml:space="preserve">In force (direction of 19 Nov 2025: commercial banks from 1 Jan 2026; large NBFCs, payments banks and small finance banks from 1 Feb 2026; other NBFCs, co-operative banks and RRBs from 1 Mar 2026) [VERIFY: TRAI text]</w:t>
            </w:r>
          </w:p>
        </w:tc>
      </w:tr>
      <w:tr>
        <w:tc>
          <w:tcPr>
            <w:tcW w:w="2869" w:type="dxa"/>
          </w:tcPr>
          <w:p>
            <w:pPr>
              <w:pStyle w:val="Compact"/>
              <w:spacing w:after="40"/>
              <w:jc w:val="left"/>
            </w:pPr>
            <w:r>
              <w:rPr>
                <w:sz w:val="18"/>
              </w:rPr>
              <w:t xml:space="preserve">CERT-In Directions under s.70B(6) IT Act (28 Apr 2022)</w:t>
            </w:r>
          </w:p>
        </w:tc>
        <w:tc>
          <w:tcPr>
            <w:tcW w:w="3743" w:type="dxa"/>
          </w:tcPr>
          <w:p>
            <w:pPr>
              <w:pStyle w:val="Compact"/>
              <w:spacing w:after="40"/>
              <w:jc w:val="left"/>
            </w:pPr>
            <w:r>
              <w:rPr>
                <w:sz w:val="18"/>
              </w:rPr>
              <w:t xml:space="preserve">Udofin itself must report specified cyber incidents to CERT-In within 6 hours, keep ICT logs for 180 days within India and synchronise clocks to NTP (NIC/NPL) — U24</w:t>
            </w:r>
          </w:p>
        </w:tc>
        <w:tc>
          <w:tcPr>
            <w:tcW w:w="3026" w:type="dxa"/>
          </w:tcPr>
          <w:p>
            <w:pPr>
              <w:pStyle w:val="Compact"/>
              <w:spacing w:after="40"/>
              <w:jc w:val="left"/>
            </w:pPr>
            <w:r>
              <w:rPr>
                <w:sz w:val="18"/>
              </w:rPr>
              <w:t xml:space="preserve">In force</w:t>
            </w:r>
          </w:p>
        </w:tc>
      </w:tr>
      <w:tr>
        <w:tc>
          <w:tcPr>
            <w:tcW w:w="2869" w:type="dxa"/>
          </w:tcPr>
          <w:p>
            <w:pPr>
              <w:pStyle w:val="Compact"/>
              <w:spacing w:after="40"/>
              <w:jc w:val="left"/>
            </w:pPr>
            <w:r>
              <w:rPr>
                <w:sz w:val="18"/>
              </w:rPr>
              <w:t xml:space="preserve">Rights of Persons with Disabilities Act, 2016; Supreme Court order of 30 Apr 2025 (Pragya Prasun; Amar Jain) referred to in RBC para 105</w:t>
            </w:r>
          </w:p>
        </w:tc>
        <w:tc>
          <w:tcPr>
            <w:tcW w:w="3743" w:type="dxa"/>
          </w:tcPr>
          <w:p>
            <w:pPr>
              <w:pStyle w:val="Compact"/>
              <w:spacing w:after="40"/>
              <w:jc w:val="left"/>
            </w:pPr>
            <w:r>
              <w:rPr>
                <w:sz w:val="18"/>
              </w:rPr>
              <w:t xml:space="preserve">Accessible digital KYC and app journeys (WCAG 2.2 AA, alternatives to blink-based liveness) — U3, U5</w:t>
            </w:r>
          </w:p>
        </w:tc>
        <w:tc>
          <w:tcPr>
            <w:tcW w:w="3026" w:type="dxa"/>
          </w:tcPr>
          <w:p>
            <w:pPr>
              <w:pStyle w:val="Compact"/>
              <w:spacing w:after="40"/>
              <w:jc w:val="left"/>
            </w:pPr>
            <w:r>
              <w:rPr>
                <w:sz w:val="18"/>
              </w:rPr>
              <w:t xml:space="preserve">In force [VERIFY: order text]</w:t>
            </w:r>
          </w:p>
        </w:tc>
      </w:tr>
      <w:tr>
        <w:tc>
          <w:tcPr>
            <w:tcW w:w="2869" w:type="dxa"/>
          </w:tcPr>
          <w:p>
            <w:pPr>
              <w:pStyle w:val="Compact"/>
              <w:spacing w:after="40"/>
              <w:jc w:val="left"/>
            </w:pPr>
            <w:r>
              <w:rPr>
                <w:sz w:val="18"/>
              </w:rPr>
              <w:t xml:space="preserve">Google Play Developer Policy — Financial Services (Personal Loans) and India country requirements</w:t>
            </w:r>
          </w:p>
        </w:tc>
        <w:tc>
          <w:tcPr>
            <w:tcW w:w="3743" w:type="dxa"/>
          </w:tcPr>
          <w:p>
            <w:pPr>
              <w:pStyle w:val="Compact"/>
              <w:spacing w:after="40"/>
              <w:jc w:val="left"/>
            </w:pPr>
            <w:r>
              <w:rPr>
                <w:sz w:val="18"/>
              </w:rPr>
              <w:t xml:space="preserve">App must be on RBI’s</w:t>
            </w:r>
            <w:r>
              <w:rPr>
                <w:sz w:val="18"/>
              </w:rPr>
              <w:t xml:space="preserve"> </w:t>
            </w:r>
            <w:r>
              <w:rPr>
                <w:sz w:val="18"/>
              </w:rPr>
              <w:t xml:space="preserve">“</w:t>
            </w:r>
            <w:r>
              <w:rPr>
                <w:sz w:val="18"/>
              </w:rPr>
              <w:t xml:space="preserve">DLAs deployed by Regulated Entities</w:t>
            </w:r>
            <w:r>
              <w:rPr>
                <w:sz w:val="18"/>
              </w:rPr>
              <w:t xml:space="preserve">”</w:t>
            </w:r>
            <w:r>
              <w:rPr>
                <w:sz w:val="18"/>
              </w:rPr>
              <w:t xml:space="preserve"> </w:t>
            </w:r>
            <w:r>
              <w:rPr>
                <w:sz w:val="18"/>
              </w:rPr>
              <w:t xml:space="preserve">list before it is first published (new apps from 30 Oct 2025; existing apps by 28 Jan 2026), including facilitator apps, with the partner REs’ licences submitted; facilitator declaration; names of all partner NBFCs and banks in the description; minimum/maximum repayment period, maximum APR and representative total cost in metadata; no apps promoting personal loans repayable in full in 60 days or less; prohibited permissions include READ_CONTACTS, READ_EXTERNAL_STORAGE, READ_MEDIA_IMAGES, READ_MEDIA_VIDEO, ACCESS_FINE_LOCATION, READ_PHONE_NUMBERS, QUERY_ALL_PACKAGES, WRITE_EXTERNAL_STORAGE — U23, Phase 17</w:t>
            </w:r>
          </w:p>
        </w:tc>
        <w:tc>
          <w:tcPr>
            <w:tcW w:w="3026" w:type="dxa"/>
          </w:tcPr>
          <w:p>
            <w:pPr>
              <w:pStyle w:val="Compact"/>
              <w:spacing w:after="40"/>
              <w:jc w:val="left"/>
            </w:pPr>
            <w:r>
              <w:rPr>
                <w:sz w:val="18"/>
              </w:rPr>
              <w:t xml:space="preserve">Platform policy; checked Oct 2026</w:t>
            </w:r>
          </w:p>
        </w:tc>
      </w:tr>
      <w:tr>
        <w:tc>
          <w:tcPr>
            <w:tcW w:w="2869" w:type="dxa"/>
          </w:tcPr>
          <w:p>
            <w:pPr>
              <w:pStyle w:val="Compact"/>
              <w:spacing w:after="40"/>
              <w:jc w:val="left"/>
            </w:pPr>
            <w:r>
              <w:rPr>
                <w:sz w:val="18"/>
              </w:rPr>
              <w:t xml:space="preserve">Apple App Store Review Guidelines 3.2.2(ix), 5.1.1(iii) and (ix), 2.5.2; Developer Program License Agreement 3.3</w:t>
            </w:r>
          </w:p>
        </w:tc>
        <w:tc>
          <w:tcPr>
            <w:tcW w:w="3743" w:type="dxa"/>
          </w:tcPr>
          <w:p>
            <w:pPr>
              <w:pStyle w:val="Compact"/>
              <w:spacing w:after="40"/>
              <w:jc w:val="left"/>
            </w:pPr>
            <w:r>
              <w:rPr>
                <w:sz w:val="18"/>
              </w:rPr>
              <w:t xml:space="preserve">Personal loan apps: disclose maximum equivalent APR and due date; maximum APR 36% including costs and fees; no loans repayable in full in 60 days or less; app submitted by a legal entity; data minimisation; interpreted-code updates only within the app’s purpose — U23, Phase 17</w:t>
            </w:r>
          </w:p>
        </w:tc>
        <w:tc>
          <w:tcPr>
            <w:tcW w:w="3026" w:type="dxa"/>
          </w:tcPr>
          <w:p>
            <w:pPr>
              <w:pStyle w:val="Compact"/>
              <w:spacing w:after="40"/>
              <w:jc w:val="left"/>
            </w:pPr>
            <w:r>
              <w:rPr>
                <w:sz w:val="18"/>
              </w:rPr>
              <w:t xml:space="preserve">Platform policy; checked Oct 2026</w:t>
            </w:r>
          </w:p>
        </w:tc>
      </w:tr>
      <w:tr>
        <w:tc>
          <w:tcPr>
            <w:tcW w:w="2869" w:type="dxa"/>
          </w:tcPr>
          <w:p>
            <w:pPr>
              <w:pStyle w:val="Compact"/>
              <w:spacing w:after="40"/>
              <w:jc w:val="left"/>
            </w:pPr>
            <w:r>
              <w:rPr>
                <w:sz w:val="18"/>
              </w:rPr>
              <w:t xml:space="preserve">Companies Act, 2013</w:t>
            </w:r>
          </w:p>
        </w:tc>
        <w:tc>
          <w:tcPr>
            <w:tcW w:w="3743" w:type="dxa"/>
          </w:tcPr>
          <w:p>
            <w:pPr>
              <w:pStyle w:val="Compact"/>
              <w:spacing w:after="40"/>
              <w:jc w:val="left"/>
            </w:pPr>
            <w:r>
              <w:rPr>
                <w:sz w:val="18"/>
              </w:rPr>
              <w:t xml:space="preserve">A DLG provider must be incorporated as a company under it (CF para 19); Udofin’s statutory auditor certifies the DLG declaration (CF para 20(3)) — U14, U17</w:t>
            </w:r>
          </w:p>
        </w:tc>
        <w:tc>
          <w:tcPr>
            <w:tcW w:w="3026" w:type="dxa"/>
          </w:tcPr>
          <w:p>
            <w:pPr>
              <w:pStyle w:val="Compact"/>
              <w:spacing w:after="40"/>
              <w:jc w:val="left"/>
            </w:pPr>
            <w:r>
              <w:rPr>
                <w:sz w:val="18"/>
              </w:rPr>
              <w:t xml:space="preserve">In force</w:t>
            </w:r>
          </w:p>
        </w:tc>
      </w:tr>
      <w:tr>
        <w:tc>
          <w:tcPr>
            <w:tcW w:w="2869" w:type="dxa"/>
          </w:tcPr>
          <w:p>
            <w:pPr>
              <w:pStyle w:val="Compact"/>
              <w:spacing w:after="40"/>
              <w:jc w:val="left"/>
            </w:pPr>
            <w:r>
              <w:rPr>
                <w:sz w:val="18"/>
              </w:rPr>
              <w:t xml:space="preserve">Depositories Act, 1996 and NSDL/CDSL pledge procedures; SEBI requirements on pledge of securities</w:t>
            </w:r>
          </w:p>
        </w:tc>
        <w:tc>
          <w:tcPr>
            <w:tcW w:w="3743" w:type="dxa"/>
          </w:tcPr>
          <w:p>
            <w:pPr>
              <w:pStyle w:val="Compact"/>
              <w:spacing w:after="40"/>
              <w:jc w:val="left"/>
            </w:pPr>
            <w:r>
              <w:rPr>
                <w:sz w:val="18"/>
              </w:rPr>
              <w:t xml:space="preserve">Loan against securities: pledge created in favour of the RE, never Udofin — Phase 18</w:t>
            </w:r>
          </w:p>
        </w:tc>
        <w:tc>
          <w:tcPr>
            <w:tcW w:w="3026" w:type="dxa"/>
          </w:tcPr>
          <w:p>
            <w:pPr>
              <w:pStyle w:val="Compact"/>
              <w:spacing w:after="40"/>
              <w:jc w:val="left"/>
            </w:pPr>
            <w:r>
              <w:rPr>
                <w:sz w:val="18"/>
              </w:rPr>
              <w:t xml:space="preserve">In force [VERIFY: current pledge APIs]</w:t>
            </w:r>
          </w:p>
        </w:tc>
      </w:tr>
      <w:tr>
        <w:tc>
          <w:tcPr>
            <w:tcW w:w="2869" w:type="dxa"/>
          </w:tcPr>
          <w:p>
            <w:pPr>
              <w:pStyle w:val="Compact"/>
              <w:spacing w:after="40"/>
              <w:jc w:val="left"/>
            </w:pPr>
            <w:r>
              <w:rPr>
                <w:sz w:val="18"/>
              </w:rPr>
              <w:t xml:space="preserve">RBI FREE-AI Framework (Aug 2025); draft Guidance on Model Risk Management (Jun 2026)</w:t>
            </w:r>
          </w:p>
        </w:tc>
        <w:tc>
          <w:tcPr>
            <w:tcW w:w="3743" w:type="dxa"/>
          </w:tcPr>
          <w:p>
            <w:pPr>
              <w:pStyle w:val="Compact"/>
              <w:spacing w:after="40"/>
              <w:jc w:val="left"/>
            </w:pPr>
            <w:r>
              <w:rPr>
                <w:sz w:val="18"/>
              </w:rPr>
              <w:t xml:space="preserve">Governance of U20 AI features used for RE processes — U20</w:t>
            </w:r>
          </w:p>
        </w:tc>
        <w:tc>
          <w:tcPr>
            <w:tcW w:w="3026" w:type="dxa"/>
          </w:tcPr>
          <w:p>
            <w:pPr>
              <w:pStyle w:val="Compact"/>
              <w:spacing w:after="40"/>
              <w:jc w:val="left"/>
            </w:pPr>
            <w:r>
              <w:rPr>
                <w:sz w:val="18"/>
              </w:rPr>
              <w:t xml:space="preserve">Framework / draft [VERIFY]</w:t>
            </w:r>
          </w:p>
        </w:tc>
      </w:tr>
    </w:tbl>
    <w:p>
      <w:r>
        <w:pict>
          <v:rect style="width:0;height:1.5pt" o:hralign="center" o:hrstd="t" o:hr="t"/>
        </w:pict>
      </w:r>
    </w:p>
    <w:bookmarkEnd w:id="423"/>
    <w:bookmarkEnd w:id="424"/>
    <w:bookmarkStart w:id="473" w:name="Xc81948a1ef7816e8e97b1868e84c70b9ab822f6"/>
    <w:p>
      <w:pPr>
        <w:pStyle w:val="Heading1"/>
      </w:pPr>
      <w:r>
        <w:t xml:space="preserve">PART 8A — REQUIREMENTS FROM THE RBI DIRECTIONS SUPPLIED BY THE PROJECT OWNER (LSP lens; verified against the official texts)</w:t>
      </w:r>
    </w:p>
    <w:bookmarkStart w:id="427" w:name="a.0-how-to-use-this-part"/>
    <w:p>
      <w:pPr>
        <w:pStyle w:val="Heading2"/>
      </w:pPr>
      <w:r>
        <w:t xml:space="preserve">8A.0 How to use this Part</w:t>
      </w:r>
    </w:p>
    <w:p>
      <w:pPr>
        <w:pStyle w:val="FirstParagraph"/>
      </w:pPr>
      <w:r>
        <w:t xml:space="preserve">The project owner supplied the official RBI texts of 33 Directions and 1 guidance note (the same set as Finbyx v1.3). Each was read in full. This Part restates them</w:t>
      </w:r>
      <w:r>
        <w:t xml:space="preserve"> </w:t>
      </w:r>
      <w:r>
        <w:rPr>
          <w:bCs/>
          <w:b/>
        </w:rPr>
        <w:t xml:space="preserve">from Udofin’s side</w:t>
      </w:r>
      <w:r>
        <w:t xml:space="preserve">: what the partner Regulated Entity (RE) must do, what it must flow down to Udofin by contract, and what Udofin must build or evidence.</w:t>
      </w:r>
    </w:p>
    <w:bookmarkStart w:id="425" w:name="a.0.1-rules-for-claude-code"/>
    <w:p>
      <w:pPr>
        <w:pStyle w:val="Heading3"/>
      </w:pPr>
      <w:r>
        <w:t xml:space="preserve">8A.0.1 Rules for Claude Code</w:t>
      </w:r>
    </w:p>
    <w:p>
      <w:pPr>
        <w:numPr>
          <w:ilvl w:val="0"/>
          <w:numId w:val="1257"/>
        </w:numPr>
        <w:pStyle w:val="Compact"/>
      </w:pPr>
      <w:r>
        <w:rPr>
          <w:bCs/>
          <w:b/>
        </w:rPr>
        <w:t xml:space="preserve">Store the source texts</w:t>
      </w:r>
      <w:r>
        <w:t xml:space="preserve"> </w:t>
      </w:r>
      <w:r>
        <w:t xml:space="preserve">in</w:t>
      </w:r>
      <w:r>
        <w:t xml:space="preserve"> </w:t>
      </w:r>
      <w:r>
        <w:rPr>
          <w:rStyle w:val="VerbatimChar"/>
        </w:rPr>
        <w:t xml:space="preserve">docs/regulations/rbi/</w:t>
      </w:r>
      <w:r>
        <w:t xml:space="preserve"> </w:t>
      </w:r>
      <w:r>
        <w:t xml:space="preserve">(file name = RBI number) and record each file’s SHA-256 hash and</w:t>
      </w:r>
      <w:r>
        <w:t xml:space="preserve"> </w:t>
      </w:r>
      <w:r>
        <w:t xml:space="preserve">“</w:t>
      </w:r>
      <w:r>
        <w:t xml:space="preserve">updated as on</w:t>
      </w:r>
      <w:r>
        <w:t xml:space="preserve">”</w:t>
      </w:r>
      <w:r>
        <w:t xml:space="preserve"> </w:t>
      </w:r>
      <w:r>
        <w:t xml:space="preserve">date in</w:t>
      </w:r>
      <w:r>
        <w:t xml:space="preserve"> </w:t>
      </w:r>
      <w:r>
        <w:rPr>
          <w:rStyle w:val="VerbatimChar"/>
        </w:rPr>
        <w:t xml:space="preserve">docs/regulations/index.md</w:t>
      </w:r>
      <w:r>
        <w:t xml:space="preserve">.</w:t>
      </w:r>
    </w:p>
    <w:p>
      <w:pPr>
        <w:numPr>
          <w:ilvl w:val="0"/>
          <w:numId w:val="1257"/>
        </w:numPr>
        <w:pStyle w:val="Compact"/>
      </w:pPr>
      <w:r>
        <w:rPr>
          <w:bCs/>
          <w:b/>
        </w:rPr>
        <w:t xml:space="preserve">One ecosystem register.</w:t>
      </w:r>
      <w:r>
        <w:t xml:space="preserve"> </w:t>
      </w:r>
      <w:r>
        <w:t xml:space="preserve">Requirement IDs are identical to Finbyx (</w:t>
      </w:r>
      <w:r>
        <w:rPr>
          <w:rStyle w:val="VerbatimChar"/>
        </w:rPr>
        <w:t xml:space="preserve">REQ-&lt;code&gt;-&lt;para&gt;</w:t>
      </w:r>
      <w:r>
        <w:t xml:space="preserve">, for example</w:t>
      </w:r>
      <w:r>
        <w:t xml:space="preserve"> </w:t>
      </w:r>
      <w:r>
        <w:rPr>
          <w:rStyle w:val="VerbatimChar"/>
        </w:rPr>
        <w:t xml:space="preserve">REQ-CF-10(5)</w:t>
      </w:r>
      <w:r>
        <w:t xml:space="preserve">), so a requirement implemented on both sides of the Finbyx ↔ Udofin contract has one ID. Load every requirement below into the U18 regulatory register.</w:t>
      </w:r>
    </w:p>
    <w:p>
      <w:pPr>
        <w:numPr>
          <w:ilvl w:val="0"/>
          <w:numId w:val="1257"/>
        </w:numPr>
        <w:pStyle w:val="Compact"/>
      </w:pPr>
      <w:r>
        <w:rPr>
          <w:bCs/>
          <w:b/>
        </w:rPr>
        <w:t xml:space="preserve">Actor tags.</w:t>
      </w:r>
      <w:r>
        <w:t xml:space="preserve"> </w:t>
      </w:r>
      <w:r>
        <w:t xml:space="preserve">Every requirement is tagged</w:t>
      </w:r>
      <w:r>
        <w:t xml:space="preserve"> </w:t>
      </w:r>
      <w:r>
        <w:rPr>
          <w:bCs/>
          <w:b/>
        </w:rPr>
        <w:t xml:space="preserve">[RE]</w:t>
      </w:r>
      <w:r>
        <w:t xml:space="preserve"> </w:t>
      </w:r>
      <w:r>
        <w:t xml:space="preserve">(the lender’s own obligation; Udofin supplies data or a channel),</w:t>
      </w:r>
      <w:r>
        <w:t xml:space="preserve"> </w:t>
      </w:r>
      <w:r>
        <w:rPr>
          <w:bCs/>
          <w:b/>
        </w:rPr>
        <w:t xml:space="preserve">[UDOFIN]</w:t>
      </w:r>
      <w:r>
        <w:t xml:space="preserve"> </w:t>
      </w:r>
      <w:r>
        <w:t xml:space="preserve">(Udofin must build or do it) or</w:t>
      </w:r>
      <w:r>
        <w:t xml:space="preserve"> </w:t>
      </w:r>
      <w:r>
        <w:rPr>
          <w:bCs/>
          <w:b/>
        </w:rPr>
        <w:t xml:space="preserve">[RE→UDOFIN contract]</w:t>
      </w:r>
      <w:r>
        <w:t xml:space="preserve"> </w:t>
      </w:r>
      <w:r>
        <w:t xml:space="preserve">(the RE must impose it on Udofin through the LSP or outsourcing agreement). A requirement tagged [RE] is never implemented as a Udofin decision.</w:t>
      </w:r>
    </w:p>
    <w:p>
      <w:pPr>
        <w:numPr>
          <w:ilvl w:val="0"/>
          <w:numId w:val="1257"/>
        </w:numPr>
        <w:pStyle w:val="Compact"/>
      </w:pPr>
      <w:r>
        <w:rPr>
          <w:bCs/>
          <w:b/>
        </w:rPr>
        <w:t xml:space="preserve">Status of [VERIFY] items.</w:t>
      </w:r>
      <w:r>
        <w:t xml:space="preserve"> </w:t>
      </w:r>
      <w:r>
        <w:t xml:space="preserve">Paragraphs cited here were checked against the supplied copies. Anything marked [VERIFY] — amendments issued after a copy’s</w:t>
      </w:r>
      <w:r>
        <w:t xml:space="preserve"> </w:t>
      </w:r>
      <w:r>
        <w:t xml:space="preserve">“</w:t>
      </w:r>
      <w:r>
        <w:t xml:space="preserve">updated as on</w:t>
      </w:r>
      <w:r>
        <w:t xml:space="preserve">”</w:t>
      </w:r>
      <w:r>
        <w:t xml:space="preserve"> </w:t>
      </w:r>
      <w:r>
        <w:t xml:space="preserve">date, non-RBI law, platform policies and interpretations — must be checked before the related module is built and the result recorded in the register.</w:t>
      </w:r>
    </w:p>
    <w:p>
      <w:pPr>
        <w:numPr>
          <w:ilvl w:val="0"/>
          <w:numId w:val="1257"/>
        </w:numPr>
        <w:pStyle w:val="Compact"/>
      </w:pPr>
      <w:r>
        <w:rPr>
          <w:bCs/>
          <w:b/>
        </w:rPr>
        <w:t xml:space="preserve">Law, interpretation, recommendation.</w:t>
      </w:r>
      <w:r>
        <w:t xml:space="preserve"> </w:t>
      </w:r>
      <w:r>
        <w:t xml:space="preserve">Record which one each control implements. Udofin-only design choices that go beyond the text (for example a 2-hour incident notice to the RE) are recommendations, not law.</w:t>
      </w:r>
    </w:p>
    <w:p>
      <w:pPr>
        <w:numPr>
          <w:ilvl w:val="0"/>
          <w:numId w:val="1257"/>
        </w:numPr>
        <w:pStyle w:val="Compact"/>
      </w:pPr>
      <w:r>
        <w:rPr>
          <w:bCs/>
          <w:b/>
        </w:rPr>
        <w:t xml:space="preserve">Drafting slips</w:t>
      </w:r>
      <w:r>
        <w:t xml:space="preserve"> </w:t>
      </w:r>
      <w:r>
        <w:t xml:space="preserve">in the official texts are listed in Appendix F. Implement the evident intent, record it in</w:t>
      </w:r>
      <w:r>
        <w:t xml:space="preserve"> </w:t>
      </w:r>
      <w:r>
        <w:rPr>
          <w:rStyle w:val="VerbatimChar"/>
        </w:rPr>
        <w:t xml:space="preserve">docs/regulations/errata.md</w:t>
      </w:r>
      <w:r>
        <w:t xml:space="preserve">, and never</w:t>
      </w:r>
      <w:r>
        <w:t xml:space="preserve"> </w:t>
      </w:r>
      <w:r>
        <w:t xml:space="preserve">“</w:t>
      </w:r>
      <w:r>
        <w:t xml:space="preserve">fix</w:t>
      </w:r>
      <w:r>
        <w:t xml:space="preserve">”</w:t>
      </w:r>
      <w:r>
        <w:t xml:space="preserve"> </w:t>
      </w:r>
      <w:r>
        <w:t xml:space="preserve">a slip silently in code.</w:t>
      </w:r>
    </w:p>
    <w:p>
      <w:pPr>
        <w:numPr>
          <w:ilvl w:val="0"/>
          <w:numId w:val="1257"/>
        </w:numPr>
        <w:pStyle w:val="Compact"/>
      </w:pPr>
      <w:r>
        <w:rPr>
          <w:bCs/>
          <w:b/>
        </w:rPr>
        <w:t xml:space="preserve">Still to be supplied:</w:t>
      </w:r>
      <w:r>
        <w:t xml:space="preserve"> </w:t>
      </w:r>
      <w:r>
        <w:t xml:space="preserve">the Internal Ombudsman Directions and RB-IOS 2026; the RBC Second and Third Amendment Directions, 2026; the HFC Directions; Directions for commercial-bank REs; the PPG.66 repeal circular; a later SBR copy. v1.2 records the content of several of these from RBI notifications and secondary sources, together with the later RBI instruments and the non-RBI sources used by Parts 7B–7H, in Part 8A.17; their official texts are still to be committed.</w:t>
      </w:r>
    </w:p>
    <w:bookmarkEnd w:id="425"/>
    <w:bookmarkStart w:id="426" w:name="a.0.2-directions-and-guidance-covered"/>
    <w:p>
      <w:pPr>
        <w:pStyle w:val="Heading3"/>
      </w:pPr>
      <w:r>
        <w:t xml:space="preserve">8A.0.2 Directions and guidance covered</w:t>
      </w:r>
    </w:p>
    <w:p>
      <w:pPr>
        <w:pStyle w:val="FirstParagraph"/>
      </w:pPr>
      <w:r>
        <w:t xml:space="preserve">The</w:t>
      </w:r>
      <w:r>
        <w:t xml:space="preserve"> </w:t>
      </w:r>
      <w:r>
        <w:t xml:space="preserve">“</w:t>
      </w:r>
      <w:r>
        <w:t xml:space="preserve">Applies to</w:t>
      </w:r>
      <w:r>
        <w:t xml:space="preserve">”</w:t>
      </w:r>
      <w:r>
        <w:t xml:space="preserve"> </w:t>
      </w:r>
      <w:r>
        <w:t xml:space="preserve">column describes the REs the text binds. Udofin’s relevance is in Part 8.2 and in each section below.</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577"/>
        <w:gridCol w:w="1740"/>
        <w:gridCol w:w="1500"/>
        <w:gridCol w:w="3209"/>
        <w:gridCol w:w="2612"/>
      </w:tblGrid>
      <w:tr>
        <w:trPr>
          <w:tblHeader w:val="true"/>
          <w:tblHeader w:val="true"/>
        </w:trPr>
        <w:tc>
          <w:tcPr>
            <w:tcW w:w="577" w:type="dxa"/>
            <w:shd w:val="clear" w:color="auto" w:fill="1F3A5F"/>
          </w:tcPr>
          <w:p>
            <w:pPr>
              <w:pStyle w:val="Compact"/>
              <w:spacing w:after="40"/>
              <w:jc w:val="left"/>
            </w:pPr>
            <w:r>
              <w:rPr>
                <w:b/>
                <w:color w:val="FFFFFF"/>
                <w:sz w:val="18"/>
              </w:rPr>
              <w:t xml:space="preserve">Code</w:t>
            </w:r>
          </w:p>
        </w:tc>
        <w:tc>
          <w:tcPr>
            <w:tcW w:w="1740" w:type="dxa"/>
            <w:shd w:val="clear" w:color="auto" w:fill="1F3A5F"/>
          </w:tcPr>
          <w:p>
            <w:pPr>
              <w:pStyle w:val="Compact"/>
              <w:spacing w:after="40"/>
              <w:jc w:val="left"/>
            </w:pPr>
            <w:r>
              <w:rPr>
                <w:b/>
                <w:color w:val="FFFFFF"/>
                <w:sz w:val="18"/>
              </w:rPr>
              <w:t xml:space="preserve">Direction (all</w:t>
            </w:r>
            <w:r>
              <w:rPr>
                <w:b/>
                <w:color w:val="FFFFFF"/>
                <w:sz w:val="18"/>
              </w:rPr>
              <w:t xml:space="preserve"> </w:t>
            </w:r>
            <w:r>
              <w:rPr>
                <w:b/>
                <w:color w:val="FFFFFF"/>
                <w:sz w:val="18"/>
              </w:rPr>
              <w:t xml:space="preserve">“</w:t>
            </w:r>
            <w:r>
              <w:rPr>
                <w:b/>
                <w:color w:val="FFFFFF"/>
                <w:sz w:val="18"/>
              </w:rPr>
              <w:t xml:space="preserve">Reserve Bank of India (Non-Banking Financial Companies – …) Directions</w:t>
            </w:r>
            <w:r>
              <w:rPr>
                <w:b/>
                <w:color w:val="FFFFFF"/>
                <w:sz w:val="18"/>
              </w:rPr>
              <w:t xml:space="preserve">”</w:t>
            </w:r>
            <w:r>
              <w:rPr>
                <w:b/>
                <w:color w:val="FFFFFF"/>
                <w:sz w:val="18"/>
              </w:rPr>
              <w:t xml:space="preserve">)</w:t>
            </w:r>
          </w:p>
        </w:tc>
        <w:tc>
          <w:tcPr>
            <w:tcW w:w="1500" w:type="dxa"/>
            <w:shd w:val="clear" w:color="auto" w:fill="1F3A5F"/>
          </w:tcPr>
          <w:p>
            <w:pPr>
              <w:pStyle w:val="Compact"/>
              <w:spacing w:after="40"/>
              <w:jc w:val="left"/>
            </w:pPr>
            <w:r>
              <w:rPr>
                <w:b/>
                <w:color w:val="FFFFFF"/>
                <w:sz w:val="18"/>
              </w:rPr>
              <w:t xml:space="preserve">RBI number and reference</w:t>
            </w:r>
          </w:p>
        </w:tc>
        <w:tc>
          <w:tcPr>
            <w:tcW w:w="3209" w:type="dxa"/>
            <w:shd w:val="clear" w:color="auto" w:fill="1F3A5F"/>
          </w:tcPr>
          <w:p>
            <w:pPr>
              <w:pStyle w:val="Compact"/>
              <w:spacing w:after="40"/>
              <w:jc w:val="left"/>
            </w:pPr>
            <w:r>
              <w:rPr>
                <w:b/>
                <w:color w:val="FFFFFF"/>
                <w:sz w:val="18"/>
              </w:rPr>
              <w:t xml:space="preserve">Date / version supplied</w:t>
            </w:r>
          </w:p>
        </w:tc>
        <w:tc>
          <w:tcPr>
            <w:tcW w:w="2612" w:type="dxa"/>
            <w:shd w:val="clear" w:color="auto" w:fill="1F3A5F"/>
          </w:tcPr>
          <w:p>
            <w:pPr>
              <w:pStyle w:val="Compact"/>
              <w:spacing w:after="40"/>
              <w:jc w:val="left"/>
            </w:pPr>
            <w:r>
              <w:rPr>
                <w:b/>
                <w:color w:val="FFFFFF"/>
                <w:sz w:val="18"/>
              </w:rPr>
              <w:t xml:space="preserve">Applies to (summary)</w:t>
            </w:r>
          </w:p>
        </w:tc>
      </w:tr>
      <w:tr>
        <w:tc>
          <w:tcPr>
            <w:tcW w:w="577" w:type="dxa"/>
          </w:tcPr>
          <w:p>
            <w:pPr>
              <w:pStyle w:val="Compact"/>
              <w:spacing w:after="40"/>
              <w:jc w:val="left"/>
            </w:pPr>
            <w:r>
              <w:rPr>
                <w:sz w:val="18"/>
              </w:rPr>
              <w:t xml:space="preserve">CF</w:t>
            </w:r>
          </w:p>
        </w:tc>
        <w:tc>
          <w:tcPr>
            <w:tcW w:w="1740" w:type="dxa"/>
          </w:tcPr>
          <w:p>
            <w:pPr>
              <w:pStyle w:val="Compact"/>
              <w:spacing w:after="40"/>
              <w:jc w:val="left"/>
            </w:pPr>
            <w:r>
              <w:rPr>
                <w:sz w:val="18"/>
              </w:rPr>
              <w:t xml:space="preserve">Credit Facilities, 2025</w:t>
            </w:r>
          </w:p>
        </w:tc>
        <w:tc>
          <w:tcPr>
            <w:tcW w:w="1500" w:type="dxa"/>
          </w:tcPr>
          <w:p>
            <w:pPr>
              <w:pStyle w:val="Compact"/>
              <w:spacing w:after="40"/>
              <w:jc w:val="left"/>
            </w:pPr>
            <w:r>
              <w:rPr>
                <w:sz w:val="18"/>
              </w:rPr>
              <w:t xml:space="preserve">RBI/DOR/2025-26/347; DOR.CRE.REC.No.266/07-01-008/2025-26</w:t>
            </w:r>
          </w:p>
        </w:tc>
        <w:tc>
          <w:tcPr>
            <w:tcW w:w="3209" w:type="dxa"/>
          </w:tcPr>
          <w:p>
            <w:pPr>
              <w:pStyle w:val="Compact"/>
              <w:spacing w:after="40"/>
              <w:jc w:val="left"/>
            </w:pPr>
            <w:r>
              <w:rPr>
                <w:sz w:val="18"/>
              </w:rPr>
              <w:t xml:space="preserve">28 Nov 2025, updated as on 1 Apr 2026</w:t>
            </w:r>
          </w:p>
        </w:tc>
        <w:tc>
          <w:tcPr>
            <w:tcW w:w="2612" w:type="dxa"/>
          </w:tcPr>
          <w:p>
            <w:pPr>
              <w:pStyle w:val="Compact"/>
              <w:spacing w:after="40"/>
              <w:jc w:val="left"/>
            </w:pPr>
            <w:r>
              <w:rPr>
                <w:sz w:val="18"/>
              </w:rPr>
              <w:t xml:space="preserve">NBFC-D, ICC, Factor, MFI, IFC, IDF-NBFC and</w:t>
            </w:r>
            <w:r>
              <w:rPr>
                <w:sz w:val="18"/>
              </w:rPr>
              <w:t xml:space="preserve"> </w:t>
            </w:r>
            <w:r>
              <w:rPr>
                <w:bCs/>
                <w:b/>
                <w:sz w:val="18"/>
              </w:rPr>
              <w:t xml:space="preserve">HFCs</w:t>
            </w:r>
            <w:r>
              <w:rPr>
                <w:sz w:val="18"/>
              </w:rPr>
              <w:t xml:space="preserve"> </w:t>
            </w:r>
            <w:r>
              <w:rPr>
                <w:sz w:val="18"/>
              </w:rPr>
              <w:t xml:space="preserve">(para 3(1)); partial for BL with customer interface but no public funds, CICs, P2P (para 3(2))</w:t>
            </w:r>
          </w:p>
        </w:tc>
      </w:tr>
      <w:tr>
        <w:tc>
          <w:tcPr>
            <w:tcW w:w="577" w:type="dxa"/>
          </w:tcPr>
          <w:p>
            <w:pPr>
              <w:pStyle w:val="Compact"/>
              <w:spacing w:after="40"/>
              <w:jc w:val="left"/>
            </w:pPr>
            <w:r>
              <w:rPr>
                <w:sz w:val="18"/>
              </w:rPr>
              <w:t xml:space="preserve">CIR</w:t>
            </w:r>
          </w:p>
        </w:tc>
        <w:tc>
          <w:tcPr>
            <w:tcW w:w="1740" w:type="dxa"/>
          </w:tcPr>
          <w:p>
            <w:pPr>
              <w:pStyle w:val="Compact"/>
              <w:spacing w:after="40"/>
              <w:jc w:val="left"/>
            </w:pPr>
            <w:r>
              <w:rPr>
                <w:sz w:val="18"/>
              </w:rPr>
              <w:t xml:space="preserve">Credit Information Reporting, 2025</w:t>
            </w:r>
          </w:p>
        </w:tc>
        <w:tc>
          <w:tcPr>
            <w:tcW w:w="1500" w:type="dxa"/>
          </w:tcPr>
          <w:p>
            <w:pPr>
              <w:pStyle w:val="Compact"/>
              <w:spacing w:after="40"/>
              <w:jc w:val="left"/>
            </w:pPr>
            <w:r>
              <w:rPr>
                <w:sz w:val="18"/>
              </w:rPr>
              <w:t xml:space="preserve">RBI/DOR/2025-26/349; DOR.FIN.REC.No.268/20.16.056/2025-26</w:t>
            </w:r>
          </w:p>
        </w:tc>
        <w:tc>
          <w:tcPr>
            <w:tcW w:w="3209" w:type="dxa"/>
          </w:tcPr>
          <w:p>
            <w:pPr>
              <w:pStyle w:val="Compact"/>
              <w:spacing w:after="40"/>
              <w:jc w:val="left"/>
            </w:pPr>
            <w:r>
              <w:rPr>
                <w:sz w:val="18"/>
              </w:rPr>
              <w:t xml:space="preserve">28 Nov 2025 (original text). Amended by RBI/DOR/2025-26/117 (DOR.FIN.REC.No.324/20.16.056/2025-26, 4 Dec 2025, effective 1 Jul 2026), which substitutes paras 10(2) and 15, inserts para 12(10) and adds Annex VI; the amendment is not in the supplied copy</w:t>
            </w:r>
          </w:p>
        </w:tc>
        <w:tc>
          <w:tcPr>
            <w:tcW w:w="2612" w:type="dxa"/>
          </w:tcPr>
          <w:p>
            <w:pPr>
              <w:pStyle w:val="Compact"/>
              <w:spacing w:after="40"/>
              <w:jc w:val="left"/>
            </w:pPr>
            <w:r>
              <w:rPr>
                <w:sz w:val="18"/>
              </w:rPr>
              <w:t xml:space="preserve">All lending NBFCs including HFC, P2P and CIC; not MGC, AA, SPD, NOFHC, or NBFCs without customer interface (para 3)</w:t>
            </w:r>
          </w:p>
        </w:tc>
      </w:tr>
      <w:tr>
        <w:tc>
          <w:tcPr>
            <w:tcW w:w="577" w:type="dxa"/>
          </w:tcPr>
          <w:p>
            <w:pPr>
              <w:pStyle w:val="Compact"/>
              <w:spacing w:after="40"/>
              <w:jc w:val="left"/>
            </w:pPr>
            <w:r>
              <w:rPr>
                <w:sz w:val="18"/>
              </w:rPr>
              <w:t xml:space="preserve">CRM</w:t>
            </w:r>
          </w:p>
        </w:tc>
        <w:tc>
          <w:tcPr>
            <w:tcW w:w="1740" w:type="dxa"/>
          </w:tcPr>
          <w:p>
            <w:pPr>
              <w:pStyle w:val="Compact"/>
              <w:spacing w:after="40"/>
              <w:jc w:val="left"/>
            </w:pPr>
            <w:r>
              <w:rPr>
                <w:sz w:val="18"/>
              </w:rPr>
              <w:t xml:space="preserve">Credit Risk Management, 2025</w:t>
            </w:r>
          </w:p>
        </w:tc>
        <w:tc>
          <w:tcPr>
            <w:tcW w:w="1500" w:type="dxa"/>
          </w:tcPr>
          <w:p>
            <w:pPr>
              <w:pStyle w:val="Compact"/>
              <w:spacing w:after="40"/>
              <w:jc w:val="left"/>
            </w:pPr>
            <w:r>
              <w:rPr>
                <w:sz w:val="18"/>
              </w:rPr>
              <w:t xml:space="preserve">RBI/DOR/2025-26/350; DOR.CRE.REC.No.269/07-02-008/2025-26</w:t>
            </w:r>
          </w:p>
        </w:tc>
        <w:tc>
          <w:tcPr>
            <w:tcW w:w="3209" w:type="dxa"/>
          </w:tcPr>
          <w:p>
            <w:pPr>
              <w:pStyle w:val="Compact"/>
              <w:spacing w:after="40"/>
              <w:jc w:val="left"/>
            </w:pPr>
            <w:r>
              <w:rPr>
                <w:sz w:val="18"/>
              </w:rPr>
              <w:t xml:space="preserve">28 Nov 2025, updated as on 1 Apr 2026 (Amendment of 5 Jan 2026)</w:t>
            </w:r>
          </w:p>
        </w:tc>
        <w:tc>
          <w:tcPr>
            <w:tcW w:w="2612" w:type="dxa"/>
          </w:tcPr>
          <w:p>
            <w:pPr>
              <w:pStyle w:val="Compact"/>
              <w:spacing w:after="40"/>
              <w:jc w:val="left"/>
            </w:pPr>
            <w:r>
              <w:rPr>
                <w:sz w:val="18"/>
              </w:rPr>
              <w:t xml:space="preserve">NBFC-D, ICC, Factor, MFI, IFC, IDF, HFC; paras 6–8 only for</w:t>
            </w:r>
            <w:r>
              <w:rPr>
                <w:sz w:val="18"/>
              </w:rPr>
              <w:t xml:space="preserve"> </w:t>
            </w:r>
            <w:r>
              <w:rPr>
                <w:sz w:val="18"/>
              </w:rPr>
              <w:t xml:space="preserve">“</w:t>
            </w:r>
            <w:r>
              <w:rPr>
                <w:sz w:val="18"/>
              </w:rPr>
              <w:t xml:space="preserve">Notified NBFCs</w:t>
            </w:r>
            <w:r>
              <w:rPr>
                <w:sz w:val="18"/>
              </w:rPr>
              <w:t xml:space="preserve">”</w:t>
            </w:r>
            <w:r>
              <w:rPr>
                <w:sz w:val="18"/>
              </w:rPr>
              <w:t xml:space="preserve"> </w:t>
            </w:r>
            <w:r>
              <w:rPr>
                <w:sz w:val="18"/>
              </w:rPr>
              <w:t xml:space="preserve">(NBFC-Factor, NBFC-D, non-deposit NBFCs ≥ ₹500 crore)</w:t>
            </w:r>
          </w:p>
        </w:tc>
      </w:tr>
      <w:tr>
        <w:tc>
          <w:tcPr>
            <w:tcW w:w="577" w:type="dxa"/>
          </w:tcPr>
          <w:p>
            <w:pPr>
              <w:pStyle w:val="Compact"/>
              <w:spacing w:after="40"/>
              <w:jc w:val="left"/>
            </w:pPr>
            <w:r>
              <w:rPr>
                <w:sz w:val="18"/>
              </w:rPr>
              <w:t xml:space="preserve">CON</w:t>
            </w:r>
          </w:p>
        </w:tc>
        <w:tc>
          <w:tcPr>
            <w:tcW w:w="1740" w:type="dxa"/>
          </w:tcPr>
          <w:p>
            <w:pPr>
              <w:pStyle w:val="Compact"/>
              <w:spacing w:after="40"/>
              <w:jc w:val="left"/>
            </w:pPr>
            <w:r>
              <w:rPr>
                <w:sz w:val="18"/>
              </w:rPr>
              <w:t xml:space="preserve">Concentration Risk Management, 2025</w:t>
            </w:r>
          </w:p>
        </w:tc>
        <w:tc>
          <w:tcPr>
            <w:tcW w:w="1500" w:type="dxa"/>
          </w:tcPr>
          <w:p>
            <w:pPr>
              <w:pStyle w:val="Compact"/>
              <w:spacing w:after="40"/>
              <w:jc w:val="left"/>
            </w:pPr>
            <w:r>
              <w:rPr>
                <w:sz w:val="18"/>
              </w:rPr>
              <w:t xml:space="preserve">RBI/DOR/2025-26/351; DOR.CRE.REC.270/07-03-008/2025-26</w:t>
            </w:r>
          </w:p>
        </w:tc>
        <w:tc>
          <w:tcPr>
            <w:tcW w:w="3209" w:type="dxa"/>
          </w:tcPr>
          <w:p>
            <w:pPr>
              <w:pStyle w:val="Compact"/>
              <w:spacing w:after="40"/>
              <w:jc w:val="left"/>
            </w:pPr>
            <w:r>
              <w:rPr>
                <w:sz w:val="18"/>
              </w:rPr>
              <w:t xml:space="preserve">28 Nov 2025, updated as on 1 Apr 2026 (Amendments of 1 Jan and 10 Mar 2026)</w:t>
            </w:r>
          </w:p>
        </w:tc>
        <w:tc>
          <w:tcPr>
            <w:tcW w:w="2612" w:type="dxa"/>
          </w:tcPr>
          <w:p>
            <w:pPr>
              <w:pStyle w:val="Compact"/>
              <w:spacing w:after="40"/>
              <w:jc w:val="left"/>
            </w:pPr>
            <w:r>
              <w:rPr>
                <w:sz w:val="18"/>
              </w:rPr>
              <w:t xml:space="preserve">NBFC-D, ICC, Factor, MFI, IFC, IDF; HFCs except paras 7, 14, 16, 19, 22, 23</w:t>
            </w:r>
          </w:p>
        </w:tc>
      </w:tr>
      <w:tr>
        <w:tc>
          <w:tcPr>
            <w:tcW w:w="577" w:type="dxa"/>
          </w:tcPr>
          <w:p>
            <w:pPr>
              <w:pStyle w:val="Compact"/>
              <w:spacing w:after="40"/>
              <w:jc w:val="left"/>
            </w:pPr>
            <w:r>
              <w:rPr>
                <w:sz w:val="18"/>
              </w:rPr>
              <w:t xml:space="preserve">INV</w:t>
            </w:r>
          </w:p>
        </w:tc>
        <w:tc>
          <w:tcPr>
            <w:tcW w:w="1740" w:type="dxa"/>
          </w:tcPr>
          <w:p>
            <w:pPr>
              <w:pStyle w:val="Compact"/>
              <w:spacing w:after="40"/>
              <w:jc w:val="left"/>
            </w:pPr>
            <w:r>
              <w:rPr>
                <w:sz w:val="18"/>
              </w:rPr>
              <w:t xml:space="preserve">Classification, Valuation and Operation of Investment Portfolio, 2025</w:t>
            </w:r>
          </w:p>
        </w:tc>
        <w:tc>
          <w:tcPr>
            <w:tcW w:w="1500" w:type="dxa"/>
          </w:tcPr>
          <w:p>
            <w:pPr>
              <w:pStyle w:val="Compact"/>
              <w:spacing w:after="40"/>
              <w:jc w:val="left"/>
            </w:pPr>
            <w:r>
              <w:rPr>
                <w:sz w:val="18"/>
              </w:rPr>
              <w:t xml:space="preserve">RBI/DOR/2025-26/354; DOR.MRG.REC.No.273/00-00-014/2025-26</w:t>
            </w:r>
          </w:p>
        </w:tc>
        <w:tc>
          <w:tcPr>
            <w:tcW w:w="3209" w:type="dxa"/>
          </w:tcPr>
          <w:p>
            <w:pPr>
              <w:pStyle w:val="Compact"/>
              <w:spacing w:after="40"/>
              <w:jc w:val="left"/>
            </w:pPr>
            <w:r>
              <w:rPr>
                <w:sz w:val="18"/>
              </w:rPr>
              <w:t xml:space="preserve">28 Nov 2025</w:t>
            </w:r>
          </w:p>
        </w:tc>
        <w:tc>
          <w:tcPr>
            <w:tcW w:w="2612" w:type="dxa"/>
          </w:tcPr>
          <w:p>
            <w:pPr>
              <w:pStyle w:val="Compact"/>
              <w:spacing w:after="40"/>
              <w:jc w:val="left"/>
            </w:pPr>
            <w:r>
              <w:rPr>
                <w:sz w:val="18"/>
              </w:rPr>
              <w:t xml:space="preserve">NBFC-D, ICC, Factor, MFI, IFC, IDF, HFC, CIC</w:t>
            </w:r>
          </w:p>
        </w:tc>
      </w:tr>
      <w:tr>
        <w:tc>
          <w:tcPr>
            <w:tcW w:w="577" w:type="dxa"/>
          </w:tcPr>
          <w:p>
            <w:pPr>
              <w:pStyle w:val="Compact"/>
              <w:spacing w:after="40"/>
              <w:jc w:val="left"/>
            </w:pPr>
            <w:r>
              <w:rPr>
                <w:sz w:val="18"/>
              </w:rPr>
              <w:t xml:space="preserve">BR</w:t>
            </w:r>
          </w:p>
        </w:tc>
        <w:tc>
          <w:tcPr>
            <w:tcW w:w="1740" w:type="dxa"/>
          </w:tcPr>
          <w:p>
            <w:pPr>
              <w:pStyle w:val="Compact"/>
              <w:spacing w:after="40"/>
              <w:jc w:val="left"/>
            </w:pPr>
            <w:r>
              <w:rPr>
                <w:sz w:val="18"/>
              </w:rPr>
              <w:t xml:space="preserve">Branch Authorisation, 2025</w:t>
            </w:r>
          </w:p>
        </w:tc>
        <w:tc>
          <w:tcPr>
            <w:tcW w:w="1500" w:type="dxa"/>
          </w:tcPr>
          <w:p>
            <w:pPr>
              <w:pStyle w:val="Compact"/>
              <w:spacing w:after="40"/>
              <w:jc w:val="left"/>
            </w:pPr>
            <w:r>
              <w:rPr>
                <w:sz w:val="18"/>
              </w:rPr>
              <w:t xml:space="preserve">RBI/DOR/2025-26/342; DOR.RAUG.REC.No.261/23-27-013/2025-26</w:t>
            </w:r>
          </w:p>
        </w:tc>
        <w:tc>
          <w:tcPr>
            <w:tcW w:w="3209" w:type="dxa"/>
          </w:tcPr>
          <w:p>
            <w:pPr>
              <w:pStyle w:val="Compact"/>
              <w:spacing w:after="40"/>
              <w:jc w:val="left"/>
            </w:pPr>
            <w:r>
              <w:rPr>
                <w:sz w:val="18"/>
              </w:rPr>
              <w:t xml:space="preserve">28 Nov 2025, updated as on 15 Apr 2026</w:t>
            </w:r>
          </w:p>
        </w:tc>
        <w:tc>
          <w:tcPr>
            <w:tcW w:w="2612" w:type="dxa"/>
          </w:tcPr>
          <w:p>
            <w:pPr>
              <w:pStyle w:val="Compact"/>
              <w:spacing w:after="40"/>
              <w:jc w:val="left"/>
            </w:pPr>
            <w:r>
              <w:rPr>
                <w:sz w:val="18"/>
              </w:rPr>
              <w:t xml:space="preserve">NBFCs and HFCs (paras 6 and 12 deposit-taking only); CICs paras 10, 13–15</w:t>
            </w:r>
          </w:p>
        </w:tc>
      </w:tr>
      <w:tr>
        <w:tc>
          <w:tcPr>
            <w:tcW w:w="577" w:type="dxa"/>
          </w:tcPr>
          <w:p>
            <w:pPr>
              <w:pStyle w:val="Compact"/>
              <w:spacing w:after="40"/>
              <w:jc w:val="left"/>
            </w:pPr>
            <w:r>
              <w:rPr>
                <w:sz w:val="18"/>
              </w:rPr>
              <w:t xml:space="preserve">ALM</w:t>
            </w:r>
          </w:p>
        </w:tc>
        <w:tc>
          <w:tcPr>
            <w:tcW w:w="1740" w:type="dxa"/>
          </w:tcPr>
          <w:p>
            <w:pPr>
              <w:pStyle w:val="Compact"/>
              <w:spacing w:after="40"/>
              <w:jc w:val="left"/>
            </w:pPr>
            <w:r>
              <w:rPr>
                <w:sz w:val="18"/>
              </w:rPr>
              <w:t xml:space="preserve">Asset Liability Management, 2025</w:t>
            </w:r>
          </w:p>
        </w:tc>
        <w:tc>
          <w:tcPr>
            <w:tcW w:w="1500" w:type="dxa"/>
          </w:tcPr>
          <w:p>
            <w:pPr>
              <w:pStyle w:val="Compact"/>
              <w:spacing w:after="40"/>
              <w:jc w:val="left"/>
            </w:pPr>
            <w:r>
              <w:rPr>
                <w:sz w:val="18"/>
              </w:rPr>
              <w:t xml:space="preserve">RBI/DoR/2025-26/355; DoR.LRG.REC.No.274/13-10-004/2025-26</w:t>
            </w:r>
          </w:p>
        </w:tc>
        <w:tc>
          <w:tcPr>
            <w:tcW w:w="3209" w:type="dxa"/>
          </w:tcPr>
          <w:p>
            <w:pPr>
              <w:pStyle w:val="Compact"/>
              <w:spacing w:after="40"/>
              <w:jc w:val="left"/>
            </w:pPr>
            <w:r>
              <w:rPr>
                <w:sz w:val="18"/>
              </w:rPr>
              <w:t xml:space="preserve">28 Nov 2025</w:t>
            </w:r>
          </w:p>
        </w:tc>
        <w:tc>
          <w:tcPr>
            <w:tcW w:w="2612" w:type="dxa"/>
          </w:tcPr>
          <w:p>
            <w:pPr>
              <w:pStyle w:val="Compact"/>
              <w:spacing w:after="40"/>
              <w:jc w:val="left"/>
            </w:pPr>
            <w:r>
              <w:rPr>
                <w:sz w:val="18"/>
              </w:rPr>
              <w:t xml:space="preserve">All layers incl. HFC; CICs except Ch III. Ch II only if assets ≥ ₹100 crore; Ch III (LCR) only for NBFC-D and NBFC-ND ≥ ₹5,000 crore</w:t>
            </w:r>
          </w:p>
        </w:tc>
      </w:tr>
      <w:tr>
        <w:tc>
          <w:tcPr>
            <w:tcW w:w="577" w:type="dxa"/>
          </w:tcPr>
          <w:p>
            <w:pPr>
              <w:pStyle w:val="Compact"/>
              <w:spacing w:after="40"/>
              <w:jc w:val="left"/>
            </w:pPr>
            <w:r>
              <w:rPr>
                <w:sz w:val="18"/>
              </w:rPr>
              <w:t xml:space="preserve">FS</w:t>
            </w:r>
          </w:p>
        </w:tc>
        <w:tc>
          <w:tcPr>
            <w:tcW w:w="1740" w:type="dxa"/>
          </w:tcPr>
          <w:p>
            <w:pPr>
              <w:pStyle w:val="Compact"/>
              <w:spacing w:after="40"/>
              <w:jc w:val="left"/>
            </w:pPr>
            <w:r>
              <w:rPr>
                <w:sz w:val="18"/>
              </w:rPr>
              <w:t xml:space="preserve">Financial Statements: Presentation and Disclosures, 2025</w:t>
            </w:r>
          </w:p>
        </w:tc>
        <w:tc>
          <w:tcPr>
            <w:tcW w:w="1500" w:type="dxa"/>
          </w:tcPr>
          <w:p>
            <w:pPr>
              <w:pStyle w:val="Compact"/>
              <w:spacing w:after="40"/>
              <w:jc w:val="left"/>
            </w:pPr>
            <w:r>
              <w:rPr>
                <w:sz w:val="18"/>
              </w:rPr>
              <w:t xml:space="preserve">RBI/DOR/2025-26/359; DOR.ACC.REC.No.278/21.04.018/2025-26</w:t>
            </w:r>
          </w:p>
        </w:tc>
        <w:tc>
          <w:tcPr>
            <w:tcW w:w="3209" w:type="dxa"/>
          </w:tcPr>
          <w:p>
            <w:pPr>
              <w:pStyle w:val="Compact"/>
              <w:spacing w:after="40"/>
              <w:jc w:val="left"/>
            </w:pPr>
            <w:r>
              <w:rPr>
                <w:sz w:val="18"/>
              </w:rPr>
              <w:t xml:space="preserve">28 Nov 2025, updated as on 1 Apr 2026 (para 21(9A) inserted 5 Jan 2026)</w:t>
            </w:r>
          </w:p>
        </w:tc>
        <w:tc>
          <w:tcPr>
            <w:tcW w:w="2612" w:type="dxa"/>
          </w:tcPr>
          <w:p>
            <w:pPr>
              <w:pStyle w:val="Compact"/>
              <w:spacing w:after="40"/>
              <w:jc w:val="left"/>
            </w:pPr>
            <w:r>
              <w:rPr>
                <w:sz w:val="18"/>
              </w:rPr>
              <w:t xml:space="preserve">All incl. HFC, CIC; C.1 all, C.2 ML/UL, C.3 UL</w:t>
            </w:r>
          </w:p>
        </w:tc>
      </w:tr>
      <w:tr>
        <w:tc>
          <w:tcPr>
            <w:tcW w:w="577" w:type="dxa"/>
          </w:tcPr>
          <w:p>
            <w:pPr>
              <w:pStyle w:val="Compact"/>
              <w:spacing w:after="40"/>
              <w:jc w:val="left"/>
            </w:pPr>
            <w:r>
              <w:rPr>
                <w:sz w:val="18"/>
              </w:rPr>
              <w:t xml:space="preserve">CLM</w:t>
            </w:r>
          </w:p>
        </w:tc>
        <w:tc>
          <w:tcPr>
            <w:tcW w:w="1740" w:type="dxa"/>
          </w:tcPr>
          <w:p>
            <w:pPr>
              <w:pStyle w:val="Compact"/>
              <w:spacing w:after="40"/>
              <w:jc w:val="left"/>
            </w:pPr>
            <w:r>
              <w:rPr>
                <w:sz w:val="18"/>
              </w:rPr>
              <w:t xml:space="preserve">Climate Finance and Management of Climate Change Risks, 2025</w:t>
            </w:r>
          </w:p>
        </w:tc>
        <w:tc>
          <w:tcPr>
            <w:tcW w:w="1500" w:type="dxa"/>
          </w:tcPr>
          <w:p>
            <w:pPr>
              <w:pStyle w:val="Compact"/>
              <w:spacing w:after="40"/>
              <w:jc w:val="left"/>
            </w:pPr>
            <w:r>
              <w:rPr>
                <w:sz w:val="18"/>
              </w:rPr>
              <w:t xml:space="preserve">RBI/DOR/2025-26/364; DOR.SFG.REC.No.283/30.01.021/2025-26</w:t>
            </w:r>
          </w:p>
        </w:tc>
        <w:tc>
          <w:tcPr>
            <w:tcW w:w="3209" w:type="dxa"/>
          </w:tcPr>
          <w:p>
            <w:pPr>
              <w:pStyle w:val="Compact"/>
              <w:spacing w:after="40"/>
              <w:jc w:val="left"/>
            </w:pPr>
            <w:r>
              <w:rPr>
                <w:sz w:val="18"/>
              </w:rPr>
              <w:t xml:space="preserve">28 Nov 2025</w:t>
            </w:r>
          </w:p>
        </w:tc>
        <w:tc>
          <w:tcPr>
            <w:tcW w:w="2612" w:type="dxa"/>
          </w:tcPr>
          <w:p>
            <w:pPr>
              <w:pStyle w:val="Compact"/>
              <w:spacing w:after="40"/>
              <w:jc w:val="left"/>
            </w:pPr>
            <w:r>
              <w:rPr>
                <w:bCs/>
                <w:b/>
                <w:sz w:val="18"/>
              </w:rPr>
              <w:t xml:space="preserve">Only NBFC-D and deposit-taking HFCs.</w:t>
            </w:r>
            <w:r>
              <w:rPr>
                <w:sz w:val="18"/>
              </w:rPr>
              <w:t xml:space="preserve"> </w:t>
            </w:r>
            <w:r>
              <w:rPr>
                <w:sz w:val="18"/>
              </w:rPr>
              <w:t xml:space="preserve">In substance a green-deposit framework</w:t>
            </w:r>
          </w:p>
        </w:tc>
      </w:tr>
      <w:tr>
        <w:tc>
          <w:tcPr>
            <w:tcW w:w="577" w:type="dxa"/>
          </w:tcPr>
          <w:p>
            <w:pPr>
              <w:pStyle w:val="Compact"/>
              <w:spacing w:after="40"/>
              <w:jc w:val="left"/>
            </w:pPr>
            <w:r>
              <w:rPr>
                <w:sz w:val="18"/>
              </w:rPr>
              <w:t xml:space="preserve">AA</w:t>
            </w:r>
          </w:p>
        </w:tc>
        <w:tc>
          <w:tcPr>
            <w:tcW w:w="1740" w:type="dxa"/>
          </w:tcPr>
          <w:p>
            <w:pPr>
              <w:pStyle w:val="Compact"/>
              <w:spacing w:after="40"/>
              <w:jc w:val="left"/>
            </w:pPr>
            <w:r>
              <w:rPr>
                <w:sz w:val="18"/>
              </w:rPr>
              <w:t xml:space="preserve">Account Aggregator, 2025</w:t>
            </w:r>
          </w:p>
        </w:tc>
        <w:tc>
          <w:tcPr>
            <w:tcW w:w="1500" w:type="dxa"/>
          </w:tcPr>
          <w:p>
            <w:pPr>
              <w:pStyle w:val="Compact"/>
              <w:spacing w:after="40"/>
              <w:jc w:val="left"/>
            </w:pPr>
            <w:r>
              <w:rPr>
                <w:sz w:val="18"/>
              </w:rPr>
              <w:t xml:space="preserve">RBI/DoR/2025-26/368; DoR.FIN.REC.No.287/03-10-123/2025-26</w:t>
            </w:r>
          </w:p>
        </w:tc>
        <w:tc>
          <w:tcPr>
            <w:tcW w:w="3209" w:type="dxa"/>
          </w:tcPr>
          <w:p>
            <w:pPr>
              <w:pStyle w:val="Compact"/>
              <w:spacing w:after="40"/>
              <w:jc w:val="left"/>
            </w:pPr>
            <w:r>
              <w:rPr>
                <w:sz w:val="18"/>
              </w:rPr>
              <w:t xml:space="preserve">28 Nov 2025</w:t>
            </w:r>
          </w:p>
        </w:tc>
        <w:tc>
          <w:tcPr>
            <w:tcW w:w="2612" w:type="dxa"/>
          </w:tcPr>
          <w:p>
            <w:pPr>
              <w:pStyle w:val="Compact"/>
              <w:spacing w:after="40"/>
              <w:jc w:val="left"/>
            </w:pPr>
            <w:r>
              <w:rPr>
                <w:sz w:val="18"/>
              </w:rPr>
              <w:t xml:space="preserve">NBFC-AAs only; FIU-side obligations derived</w:t>
            </w:r>
          </w:p>
        </w:tc>
      </w:tr>
      <w:tr>
        <w:tc>
          <w:tcPr>
            <w:tcW w:w="577" w:type="dxa"/>
          </w:tcPr>
          <w:p>
            <w:pPr>
              <w:pStyle w:val="Compact"/>
              <w:spacing w:after="40"/>
              <w:jc w:val="left"/>
            </w:pPr>
            <w:r>
              <w:rPr>
                <w:sz w:val="18"/>
              </w:rPr>
              <w:t xml:space="preserve">CMP</w:t>
            </w:r>
          </w:p>
        </w:tc>
        <w:tc>
          <w:tcPr>
            <w:tcW w:w="1740" w:type="dxa"/>
          </w:tcPr>
          <w:p>
            <w:pPr>
              <w:pStyle w:val="Compact"/>
              <w:spacing w:after="40"/>
              <w:jc w:val="left"/>
            </w:pPr>
            <w:r>
              <w:rPr>
                <w:sz w:val="18"/>
              </w:rPr>
              <w:t xml:space="preserve">Compliance Function, 2026</w:t>
            </w:r>
          </w:p>
        </w:tc>
        <w:tc>
          <w:tcPr>
            <w:tcW w:w="1500" w:type="dxa"/>
          </w:tcPr>
          <w:p>
            <w:pPr>
              <w:pStyle w:val="Compact"/>
              <w:spacing w:after="40"/>
              <w:jc w:val="left"/>
            </w:pPr>
            <w:r>
              <w:rPr>
                <w:sz w:val="18"/>
              </w:rPr>
              <w:t xml:space="preserve">RBI/DoS/2026-27/460; DoS.CO.PPG.54/11.01.005/2026-27</w:t>
            </w:r>
          </w:p>
        </w:tc>
        <w:tc>
          <w:tcPr>
            <w:tcW w:w="3209" w:type="dxa"/>
          </w:tcPr>
          <w:p>
            <w:pPr>
              <w:pStyle w:val="Compact"/>
              <w:spacing w:after="40"/>
              <w:jc w:val="left"/>
            </w:pPr>
            <w:r>
              <w:rPr>
                <w:sz w:val="18"/>
              </w:rPr>
              <w:t xml:space="preserve">31 Jul 2026</w:t>
            </w:r>
          </w:p>
        </w:tc>
        <w:tc>
          <w:tcPr>
            <w:tcW w:w="2612" w:type="dxa"/>
          </w:tcPr>
          <w:p>
            <w:pPr>
              <w:pStyle w:val="Compact"/>
              <w:spacing w:after="40"/>
              <w:jc w:val="left"/>
            </w:pPr>
            <w:r>
              <w:rPr>
                <w:bCs/>
                <w:b/>
                <w:sz w:val="18"/>
              </w:rPr>
              <w:t xml:space="preserve">Middle and Upper Layer only</w:t>
            </w:r>
          </w:p>
        </w:tc>
      </w:tr>
      <w:tr>
        <w:tc>
          <w:tcPr>
            <w:tcW w:w="577" w:type="dxa"/>
          </w:tcPr>
          <w:p>
            <w:pPr>
              <w:pStyle w:val="Compact"/>
              <w:spacing w:after="40"/>
              <w:jc w:val="left"/>
            </w:pPr>
            <w:r>
              <w:rPr>
                <w:sz w:val="18"/>
              </w:rPr>
              <w:t xml:space="preserve">CYB</w:t>
            </w:r>
          </w:p>
        </w:tc>
        <w:tc>
          <w:tcPr>
            <w:tcW w:w="1740" w:type="dxa"/>
          </w:tcPr>
          <w:p>
            <w:pPr>
              <w:pStyle w:val="Compact"/>
              <w:spacing w:after="40"/>
              <w:jc w:val="left"/>
            </w:pPr>
            <w:r>
              <w:rPr>
                <w:sz w:val="18"/>
              </w:rPr>
              <w:t xml:space="preserve">Cybersecurity, Technology: Risk, Resilience and Assurance Framework, 2026</w:t>
            </w:r>
          </w:p>
        </w:tc>
        <w:tc>
          <w:tcPr>
            <w:tcW w:w="1500" w:type="dxa"/>
          </w:tcPr>
          <w:p>
            <w:pPr>
              <w:pStyle w:val="Compact"/>
              <w:spacing w:after="40"/>
              <w:jc w:val="left"/>
            </w:pPr>
            <w:r>
              <w:rPr>
                <w:sz w:val="18"/>
              </w:rPr>
              <w:t xml:space="preserve">RBI/DoS/2026-27/461; DoS.CO.CSITEG.55/31.01.015/2026-27</w:t>
            </w:r>
          </w:p>
        </w:tc>
        <w:tc>
          <w:tcPr>
            <w:tcW w:w="3209" w:type="dxa"/>
          </w:tcPr>
          <w:p>
            <w:pPr>
              <w:pStyle w:val="Compact"/>
              <w:spacing w:after="40"/>
              <w:jc w:val="left"/>
            </w:pPr>
            <w:r>
              <w:rPr>
                <w:sz w:val="18"/>
              </w:rPr>
              <w:t xml:space="preserve">31 Jul 2026, immediate effect</w:t>
            </w:r>
          </w:p>
        </w:tc>
        <w:tc>
          <w:tcPr>
            <w:tcW w:w="2612" w:type="dxa"/>
          </w:tcPr>
          <w:p>
            <w:pPr>
              <w:pStyle w:val="Compact"/>
              <w:spacing w:after="40"/>
              <w:jc w:val="left"/>
            </w:pPr>
            <w:r>
              <w:rPr>
                <w:sz w:val="18"/>
              </w:rPr>
              <w:t xml:space="preserve">All NBFCs incl. HFC: Ch II all; Ch III BL &lt; ₹500 crore and all CICs; Ch IV BL ≥ ₹500 crore; Ch V TL/UL/ML excluding CICs</w:t>
            </w:r>
          </w:p>
        </w:tc>
      </w:tr>
      <w:tr>
        <w:tc>
          <w:tcPr>
            <w:tcW w:w="577" w:type="dxa"/>
          </w:tcPr>
          <w:p>
            <w:pPr>
              <w:pStyle w:val="Compact"/>
              <w:spacing w:after="40"/>
              <w:jc w:val="left"/>
            </w:pPr>
            <w:r>
              <w:rPr>
                <w:sz w:val="18"/>
              </w:rPr>
              <w:t xml:space="preserve">DPS</w:t>
            </w:r>
          </w:p>
        </w:tc>
        <w:tc>
          <w:tcPr>
            <w:tcW w:w="1740" w:type="dxa"/>
          </w:tcPr>
          <w:p>
            <w:pPr>
              <w:pStyle w:val="Compact"/>
              <w:spacing w:after="40"/>
              <w:jc w:val="left"/>
            </w:pPr>
            <w:r>
              <w:rPr>
                <w:sz w:val="18"/>
              </w:rPr>
              <w:t xml:space="preserve">Digital Payment Security Controls, 2026</w:t>
            </w:r>
          </w:p>
        </w:tc>
        <w:tc>
          <w:tcPr>
            <w:tcW w:w="1500" w:type="dxa"/>
          </w:tcPr>
          <w:p>
            <w:pPr>
              <w:pStyle w:val="Compact"/>
              <w:spacing w:after="40"/>
              <w:jc w:val="left"/>
            </w:pPr>
            <w:r>
              <w:rPr>
                <w:sz w:val="18"/>
              </w:rPr>
              <w:t xml:space="preserve">RBI/DoS/2026-27/462; DoS.CO.CSITEG.56/31.01.015/2026-27</w:t>
            </w:r>
          </w:p>
        </w:tc>
        <w:tc>
          <w:tcPr>
            <w:tcW w:w="3209" w:type="dxa"/>
          </w:tcPr>
          <w:p>
            <w:pPr>
              <w:pStyle w:val="Compact"/>
              <w:spacing w:after="40"/>
              <w:jc w:val="left"/>
            </w:pPr>
            <w:r>
              <w:rPr>
                <w:sz w:val="18"/>
              </w:rPr>
              <w:t xml:space="preserve">31 Jul 2026</w:t>
            </w:r>
          </w:p>
        </w:tc>
        <w:tc>
          <w:tcPr>
            <w:tcW w:w="2612" w:type="dxa"/>
          </w:tcPr>
          <w:p>
            <w:pPr>
              <w:pStyle w:val="Compact"/>
              <w:spacing w:after="40"/>
              <w:jc w:val="left"/>
            </w:pPr>
            <w:r>
              <w:rPr>
                <w:bCs/>
                <w:b/>
                <w:sz w:val="18"/>
              </w:rPr>
              <w:t xml:space="preserve">Credit-card-issuing NBFCs only</w:t>
            </w:r>
          </w:p>
        </w:tc>
      </w:tr>
      <w:tr>
        <w:tc>
          <w:tcPr>
            <w:tcW w:w="577" w:type="dxa"/>
          </w:tcPr>
          <w:p>
            <w:pPr>
              <w:pStyle w:val="Compact"/>
              <w:spacing w:after="40"/>
              <w:jc w:val="left"/>
            </w:pPr>
            <w:r>
              <w:rPr>
                <w:sz w:val="18"/>
              </w:rPr>
              <w:t xml:space="preserve">FRM</w:t>
            </w:r>
          </w:p>
        </w:tc>
        <w:tc>
          <w:tcPr>
            <w:tcW w:w="1740" w:type="dxa"/>
          </w:tcPr>
          <w:p>
            <w:pPr>
              <w:pStyle w:val="Compact"/>
              <w:spacing w:after="40"/>
              <w:jc w:val="left"/>
            </w:pPr>
            <w:r>
              <w:rPr>
                <w:sz w:val="18"/>
              </w:rPr>
              <w:t xml:space="preserve">Fraud Risk Management, 2026</w:t>
            </w:r>
          </w:p>
        </w:tc>
        <w:tc>
          <w:tcPr>
            <w:tcW w:w="1500" w:type="dxa"/>
          </w:tcPr>
          <w:p>
            <w:pPr>
              <w:pStyle w:val="Compact"/>
              <w:spacing w:after="40"/>
              <w:jc w:val="left"/>
            </w:pPr>
            <w:r>
              <w:rPr>
                <w:sz w:val="18"/>
              </w:rPr>
              <w:t xml:space="preserve">RBI/DoS/2026-27/463; DoS.CO.FMG.57/23.04.001/2026-27</w:t>
            </w:r>
          </w:p>
        </w:tc>
        <w:tc>
          <w:tcPr>
            <w:tcW w:w="3209" w:type="dxa"/>
          </w:tcPr>
          <w:p>
            <w:pPr>
              <w:pStyle w:val="Compact"/>
              <w:spacing w:after="40"/>
              <w:jc w:val="left"/>
            </w:pPr>
            <w:r>
              <w:rPr>
                <w:sz w:val="18"/>
              </w:rPr>
              <w:t xml:space="preserve">31 Jul 2026</w:t>
            </w:r>
          </w:p>
        </w:tc>
        <w:tc>
          <w:tcPr>
            <w:tcW w:w="2612" w:type="dxa"/>
          </w:tcPr>
          <w:p>
            <w:pPr>
              <w:pStyle w:val="Compact"/>
              <w:spacing w:after="40"/>
              <w:jc w:val="left"/>
            </w:pPr>
            <w:r>
              <w:rPr>
                <w:sz w:val="18"/>
              </w:rPr>
              <w:t xml:space="preserve">UL, ML, and BL with assets ≥ ₹500 crore (audited 31 March balance sheet), incl. HFCs (HFC reporting to NHB)</w:t>
            </w:r>
          </w:p>
        </w:tc>
      </w:tr>
      <w:tr>
        <w:tc>
          <w:tcPr>
            <w:tcW w:w="577" w:type="dxa"/>
          </w:tcPr>
          <w:p>
            <w:pPr>
              <w:pStyle w:val="Compact"/>
              <w:spacing w:after="40"/>
              <w:jc w:val="left"/>
            </w:pPr>
            <w:r>
              <w:rPr>
                <w:sz w:val="18"/>
              </w:rPr>
              <w:t xml:space="preserve">AUD</w:t>
            </w:r>
          </w:p>
        </w:tc>
        <w:tc>
          <w:tcPr>
            <w:tcW w:w="1740" w:type="dxa"/>
          </w:tcPr>
          <w:p>
            <w:pPr>
              <w:pStyle w:val="Compact"/>
              <w:spacing w:after="40"/>
              <w:jc w:val="left"/>
            </w:pPr>
            <w:r>
              <w:rPr>
                <w:sz w:val="18"/>
              </w:rPr>
              <w:t xml:space="preserve">Auditor’s Report, 2026</w:t>
            </w:r>
          </w:p>
        </w:tc>
        <w:tc>
          <w:tcPr>
            <w:tcW w:w="1500" w:type="dxa"/>
          </w:tcPr>
          <w:p>
            <w:pPr>
              <w:pStyle w:val="Compact"/>
              <w:spacing w:after="40"/>
              <w:jc w:val="left"/>
            </w:pPr>
            <w:r>
              <w:rPr>
                <w:sz w:val="18"/>
              </w:rPr>
              <w:t xml:space="preserve">RBI/DoS/2026-27/468; DoS.CO.ARG.62/08.91.001/2026-27</w:t>
            </w:r>
          </w:p>
        </w:tc>
        <w:tc>
          <w:tcPr>
            <w:tcW w:w="3209" w:type="dxa"/>
          </w:tcPr>
          <w:p>
            <w:pPr>
              <w:pStyle w:val="Compact"/>
              <w:spacing w:after="40"/>
              <w:jc w:val="left"/>
            </w:pPr>
            <w:r>
              <w:rPr>
                <w:sz w:val="18"/>
              </w:rPr>
              <w:t xml:space="preserve">31 Jul 2026; first applies to FY ending on or after that date</w:t>
            </w:r>
          </w:p>
        </w:tc>
        <w:tc>
          <w:tcPr>
            <w:tcW w:w="2612" w:type="dxa"/>
          </w:tcPr>
          <w:p>
            <w:pPr>
              <w:pStyle w:val="Compact"/>
              <w:spacing w:after="40"/>
              <w:jc w:val="left"/>
            </w:pPr>
            <w:r>
              <w:rPr>
                <w:sz w:val="18"/>
              </w:rPr>
              <w:t xml:space="preserve">Every NBFC auditor (HFC auditors excluded)</w:t>
            </w:r>
          </w:p>
        </w:tc>
      </w:tr>
      <w:tr>
        <w:tc>
          <w:tcPr>
            <w:tcW w:w="577" w:type="dxa"/>
          </w:tcPr>
          <w:p>
            <w:pPr>
              <w:pStyle w:val="Compact"/>
              <w:spacing w:after="40"/>
              <w:jc w:val="left"/>
            </w:pPr>
            <w:r>
              <w:rPr>
                <w:sz w:val="18"/>
              </w:rPr>
              <w:t xml:space="preserve">IRACP</w:t>
            </w:r>
          </w:p>
        </w:tc>
        <w:tc>
          <w:tcPr>
            <w:tcW w:w="1740" w:type="dxa"/>
          </w:tcPr>
          <w:p>
            <w:pPr>
              <w:pStyle w:val="Compact"/>
              <w:spacing w:after="40"/>
              <w:jc w:val="left"/>
            </w:pPr>
            <w:r>
              <w:rPr>
                <w:sz w:val="18"/>
              </w:rPr>
              <w:t xml:space="preserve">Income Recognition, Asset Classification and Provisioning, 2025</w:t>
            </w:r>
          </w:p>
        </w:tc>
        <w:tc>
          <w:tcPr>
            <w:tcW w:w="1500" w:type="dxa"/>
          </w:tcPr>
          <w:p>
            <w:pPr>
              <w:pStyle w:val="Compact"/>
              <w:spacing w:after="40"/>
              <w:jc w:val="left"/>
            </w:pPr>
            <w:r>
              <w:rPr>
                <w:sz w:val="18"/>
              </w:rPr>
              <w:t xml:space="preserve">RBI/DOR/2025-26/356; DOR.STR.REC.No.275/21.04.048/2025-26</w:t>
            </w:r>
          </w:p>
        </w:tc>
        <w:tc>
          <w:tcPr>
            <w:tcW w:w="3209" w:type="dxa"/>
          </w:tcPr>
          <w:p>
            <w:pPr>
              <w:pStyle w:val="Compact"/>
              <w:spacing w:after="40"/>
              <w:jc w:val="left"/>
            </w:pPr>
            <w:r>
              <w:rPr>
                <w:sz w:val="18"/>
              </w:rPr>
              <w:t xml:space="preserve">28 Nov 2025, updated as on 13 Feb 2026 (paras 36A–36C inserted)</w:t>
            </w:r>
          </w:p>
        </w:tc>
        <w:tc>
          <w:tcPr>
            <w:tcW w:w="2612" w:type="dxa"/>
          </w:tcPr>
          <w:p>
            <w:pPr>
              <w:pStyle w:val="Compact"/>
              <w:spacing w:after="40"/>
              <w:jc w:val="left"/>
            </w:pPr>
            <w:r>
              <w:rPr>
                <w:sz w:val="18"/>
              </w:rPr>
              <w:t xml:space="preserve">NBFC-D, ICC, Factor, IFC, IDF (para 3); HFC, MFI, MGC, CIC subject to their own Directions, which prevail (paras 4–7); not P2P, AA, SPD, NOFHC or the two no-public-funds categories (para 10)</w:t>
            </w:r>
          </w:p>
        </w:tc>
      </w:tr>
      <w:tr>
        <w:tc>
          <w:tcPr>
            <w:tcW w:w="577" w:type="dxa"/>
          </w:tcPr>
          <w:p>
            <w:pPr>
              <w:pStyle w:val="Compact"/>
              <w:spacing w:after="40"/>
              <w:jc w:val="left"/>
            </w:pPr>
            <w:r>
              <w:rPr>
                <w:sz w:val="18"/>
              </w:rPr>
              <w:t xml:space="preserve">RSA</w:t>
            </w:r>
          </w:p>
        </w:tc>
        <w:tc>
          <w:tcPr>
            <w:tcW w:w="1740" w:type="dxa"/>
          </w:tcPr>
          <w:p>
            <w:pPr>
              <w:pStyle w:val="Compact"/>
              <w:spacing w:after="40"/>
              <w:jc w:val="left"/>
            </w:pPr>
            <w:r>
              <w:rPr>
                <w:sz w:val="18"/>
              </w:rPr>
              <w:t xml:space="preserve">Resolution of Stressed Assets, 2025</w:t>
            </w:r>
          </w:p>
        </w:tc>
        <w:tc>
          <w:tcPr>
            <w:tcW w:w="1500" w:type="dxa"/>
          </w:tcPr>
          <w:p>
            <w:pPr>
              <w:pStyle w:val="Compact"/>
              <w:spacing w:after="40"/>
              <w:jc w:val="left"/>
            </w:pPr>
            <w:r>
              <w:rPr>
                <w:sz w:val="18"/>
              </w:rPr>
              <w:t xml:space="preserve">RBI/DOR/2025-26/357; DOR.STR.REC.276/21.04.048/2025-26</w:t>
            </w:r>
          </w:p>
        </w:tc>
        <w:tc>
          <w:tcPr>
            <w:tcW w:w="3209" w:type="dxa"/>
          </w:tcPr>
          <w:p>
            <w:pPr>
              <w:pStyle w:val="Compact"/>
              <w:spacing w:after="40"/>
              <w:jc w:val="left"/>
            </w:pPr>
            <w:r>
              <w:rPr>
                <w:sz w:val="18"/>
              </w:rPr>
              <w:t xml:space="preserve">28 Nov 2025 (original;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12" w:type="dxa"/>
          </w:tcPr>
          <w:p>
            <w:pPr>
              <w:pStyle w:val="Compact"/>
              <w:spacing w:after="40"/>
              <w:jc w:val="left"/>
            </w:pPr>
            <w:r>
              <w:rPr>
                <w:sz w:val="18"/>
              </w:rPr>
              <w:t xml:space="preserve">NBFC-D, ICC, Factor, MFI, IFC, IDF (para 3). Part A: NBFC-D and ND ≥ ₹500 crore; Part B: ND &lt; ₹500 crore (paras 7–8, 157–158). HFC paras 86–138 only; MGC 86–100; not CIC, P2P, AA, SPD, NOFHC or the no-public-funds categories (paras 4–6)</w:t>
            </w:r>
          </w:p>
        </w:tc>
      </w:tr>
      <w:tr>
        <w:tc>
          <w:tcPr>
            <w:tcW w:w="577" w:type="dxa"/>
          </w:tcPr>
          <w:p>
            <w:pPr>
              <w:pStyle w:val="Compact"/>
              <w:spacing w:after="40"/>
              <w:jc w:val="left"/>
            </w:pPr>
            <w:r>
              <w:rPr>
                <w:sz w:val="18"/>
              </w:rPr>
              <w:t xml:space="preserve">RBC</w:t>
            </w:r>
          </w:p>
        </w:tc>
        <w:tc>
          <w:tcPr>
            <w:tcW w:w="1740" w:type="dxa"/>
          </w:tcPr>
          <w:p>
            <w:pPr>
              <w:pStyle w:val="Compact"/>
              <w:spacing w:after="40"/>
              <w:jc w:val="left"/>
            </w:pPr>
            <w:r>
              <w:rPr>
                <w:sz w:val="18"/>
              </w:rPr>
              <w:t xml:space="preserve">Responsible Business Conduct, 2025</w:t>
            </w:r>
          </w:p>
        </w:tc>
        <w:tc>
          <w:tcPr>
            <w:tcW w:w="1500" w:type="dxa"/>
          </w:tcPr>
          <w:p>
            <w:pPr>
              <w:pStyle w:val="Compact"/>
              <w:spacing w:after="40"/>
              <w:jc w:val="left"/>
            </w:pPr>
            <w:r>
              <w:rPr>
                <w:sz w:val="18"/>
              </w:rPr>
              <w:t xml:space="preserve">RBI/DOR/2025-26/362; DOR.MCS.REC.No.281/01-01-039/2025-26</w:t>
            </w:r>
          </w:p>
        </w:tc>
        <w:tc>
          <w:tcPr>
            <w:tcW w:w="3209" w:type="dxa"/>
          </w:tcPr>
          <w:p>
            <w:pPr>
              <w:pStyle w:val="Compact"/>
              <w:spacing w:after="40"/>
              <w:jc w:val="left"/>
            </w:pPr>
            <w:r>
              <w:rPr>
                <w:sz w:val="18"/>
              </w:rPr>
              <w:t xml:space="preserve">28 Nov 2025, updated as on 1 Apr 2026 (para 42 and Annex II deleted w.e.f. 1 Apr 2026). Second Amendment (15 Jun 2026, Ch IIIA) and Third Amendment (RBI/2026-27/230, 6 Aug 2026, in force 1 Jan 2027; paras 89–100 replaced by 100A–100AB) not in the supplied copy; the Third Amendment is confirmed from the RBI notification [VERIFY: official text not supplied]</w:t>
            </w:r>
          </w:p>
        </w:tc>
        <w:tc>
          <w:tcPr>
            <w:tcW w:w="2612" w:type="dxa"/>
          </w:tcPr>
          <w:p>
            <w:pPr>
              <w:pStyle w:val="Compact"/>
              <w:spacing w:after="40"/>
              <w:jc w:val="left"/>
            </w:pPr>
            <w:r>
              <w:rPr>
                <w:sz w:val="18"/>
              </w:rPr>
              <w:t xml:space="preserve">NBFC-D, ICC, Factor, MFI, IFC, IDF, HFC, all layers; P2P paras 98–100 only; not MGC, CIC, AA, SPD, NOFHC or NBFCs without customer interface (paras 3–5)</w:t>
            </w:r>
          </w:p>
        </w:tc>
      </w:tr>
      <w:tr>
        <w:tc>
          <w:tcPr>
            <w:tcW w:w="577" w:type="dxa"/>
          </w:tcPr>
          <w:p>
            <w:pPr>
              <w:pStyle w:val="Compact"/>
              <w:spacing w:after="40"/>
              <w:jc w:val="left"/>
            </w:pPr>
            <w:r>
              <w:rPr>
                <w:sz w:val="18"/>
              </w:rPr>
              <w:t xml:space="preserve">WD</w:t>
            </w:r>
          </w:p>
        </w:tc>
        <w:tc>
          <w:tcPr>
            <w:tcW w:w="1740" w:type="dxa"/>
          </w:tcPr>
          <w:p>
            <w:pPr>
              <w:pStyle w:val="Compact"/>
              <w:spacing w:after="40"/>
              <w:jc w:val="left"/>
            </w:pPr>
            <w:r>
              <w:rPr>
                <w:sz w:val="18"/>
              </w:rPr>
              <w:t xml:space="preserve">Treatment of Wilful Defaulters and Large Defaulters, 2025</w:t>
            </w:r>
          </w:p>
        </w:tc>
        <w:tc>
          <w:tcPr>
            <w:tcW w:w="1500" w:type="dxa"/>
          </w:tcPr>
          <w:p>
            <w:pPr>
              <w:pStyle w:val="Compact"/>
              <w:spacing w:after="40"/>
              <w:jc w:val="left"/>
            </w:pPr>
            <w:r>
              <w:rPr>
                <w:sz w:val="18"/>
              </w:rPr>
              <w:t xml:space="preserve">RBI/DOR/2025-26/358; DOR.FIN.REC.No.277/20-16-003/2025-26</w:t>
            </w:r>
          </w:p>
        </w:tc>
        <w:tc>
          <w:tcPr>
            <w:tcW w:w="3209" w:type="dxa"/>
          </w:tcPr>
          <w:p>
            <w:pPr>
              <w:pStyle w:val="Compact"/>
              <w:spacing w:after="40"/>
              <w:jc w:val="left"/>
            </w:pPr>
            <w:r>
              <w:rPr>
                <w:sz w:val="18"/>
              </w:rPr>
              <w:t xml:space="preserve">28 Nov 2025 (original text; immediate effect)</w:t>
            </w:r>
          </w:p>
        </w:tc>
        <w:tc>
          <w:tcPr>
            <w:tcW w:w="2612" w:type="dxa"/>
          </w:tcPr>
          <w:p>
            <w:pPr>
              <w:pStyle w:val="Compact"/>
              <w:spacing w:after="40"/>
              <w:jc w:val="left"/>
            </w:pPr>
            <w:r>
              <w:rPr>
                <w:bCs/>
                <w:b/>
                <w:sz w:val="18"/>
              </w:rPr>
              <w:t xml:space="preserve">ML and above:</w:t>
            </w:r>
            <w:r>
              <w:rPr>
                <w:sz w:val="18"/>
              </w:rPr>
              <w:t xml:space="preserve"> </w:t>
            </w:r>
            <w:r>
              <w:rPr>
                <w:sz w:val="18"/>
              </w:rPr>
              <w:t xml:space="preserve">NBFC-D, ICC, Factor, MFI, IFC, IDF, HFC, CIC; not MGC, P2P, AA, SPD, NOFHC, or NBFCs without public funds and customer interface. The bar on further finance and the large-defaulter provisions apply to all REs (para 2)</w:t>
            </w:r>
          </w:p>
        </w:tc>
      </w:tr>
      <w:tr>
        <w:tc>
          <w:tcPr>
            <w:tcW w:w="577" w:type="dxa"/>
          </w:tcPr>
          <w:p>
            <w:pPr>
              <w:pStyle w:val="Compact"/>
              <w:spacing w:after="40"/>
              <w:jc w:val="left"/>
            </w:pPr>
            <w:r>
              <w:rPr>
                <w:sz w:val="18"/>
              </w:rPr>
              <w:t xml:space="preserve">KYC</w:t>
            </w:r>
          </w:p>
        </w:tc>
        <w:tc>
          <w:tcPr>
            <w:tcW w:w="1740" w:type="dxa"/>
          </w:tcPr>
          <w:p>
            <w:pPr>
              <w:pStyle w:val="Compact"/>
              <w:spacing w:after="40"/>
              <w:jc w:val="left"/>
            </w:pPr>
            <w:r>
              <w:rPr>
                <w:sz w:val="18"/>
              </w:rPr>
              <w:t xml:space="preserve">Know Your Customer, 2025</w:t>
            </w:r>
          </w:p>
        </w:tc>
        <w:tc>
          <w:tcPr>
            <w:tcW w:w="1500" w:type="dxa"/>
          </w:tcPr>
          <w:p>
            <w:pPr>
              <w:pStyle w:val="Compact"/>
              <w:spacing w:after="40"/>
              <w:jc w:val="left"/>
            </w:pPr>
            <w:r>
              <w:rPr>
                <w:sz w:val="18"/>
              </w:rPr>
              <w:t xml:space="preserve">RBI/DOR/2025-26/361; DOR.AML.REC.No.280/14.01.003/2025-26</w:t>
            </w:r>
          </w:p>
        </w:tc>
        <w:tc>
          <w:tcPr>
            <w:tcW w:w="3209" w:type="dxa"/>
          </w:tcPr>
          <w:p>
            <w:pPr>
              <w:pStyle w:val="Compact"/>
              <w:spacing w:after="40"/>
              <w:jc w:val="left"/>
            </w:pPr>
            <w:r>
              <w:rPr>
                <w:sz w:val="18"/>
              </w:rPr>
              <w:t xml:space="preserve">28 Nov 2025, updated as on 29 Dec 2025 (Explanation to para 63(9), CKYCR reliance, inserted w.e.f. 29 Dec 2025)</w:t>
            </w:r>
          </w:p>
        </w:tc>
        <w:tc>
          <w:tcPr>
            <w:tcW w:w="2612" w:type="dxa"/>
          </w:tcPr>
          <w:p>
            <w:pPr>
              <w:pStyle w:val="Compact"/>
              <w:spacing w:after="40"/>
              <w:jc w:val="left"/>
            </w:pPr>
            <w:r>
              <w:rPr>
                <w:sz w:val="18"/>
              </w:rPr>
              <w:t xml:space="preserve">All NBFC categories and layers; not NBFCs without customer interface (para 3); overseas branches and subsidiaries (para 4). Aadhaar e-KYC authentication only for NBFCs notified under PML Act s.11A</w:t>
            </w:r>
          </w:p>
        </w:tc>
      </w:tr>
      <w:tr>
        <w:tc>
          <w:tcPr>
            <w:tcW w:w="577" w:type="dxa"/>
          </w:tcPr>
          <w:p>
            <w:pPr>
              <w:pStyle w:val="Compact"/>
              <w:spacing w:after="40"/>
              <w:jc w:val="left"/>
            </w:pPr>
            <w:r>
              <w:rPr>
                <w:sz w:val="18"/>
              </w:rPr>
              <w:t xml:space="preserve">TDCR</w:t>
            </w:r>
          </w:p>
        </w:tc>
        <w:tc>
          <w:tcPr>
            <w:tcW w:w="1740" w:type="dxa"/>
          </w:tcPr>
          <w:p>
            <w:pPr>
              <w:pStyle w:val="Compact"/>
              <w:spacing w:after="40"/>
              <w:jc w:val="left"/>
            </w:pPr>
            <w:r>
              <w:rPr>
                <w:sz w:val="18"/>
              </w:rPr>
              <w:t xml:space="preserve">Transfer and Distribution of Credit Risk, 2025</w:t>
            </w:r>
          </w:p>
        </w:tc>
        <w:tc>
          <w:tcPr>
            <w:tcW w:w="1500" w:type="dxa"/>
          </w:tcPr>
          <w:p>
            <w:pPr>
              <w:pStyle w:val="Compact"/>
              <w:spacing w:after="40"/>
              <w:jc w:val="left"/>
            </w:pPr>
            <w:r>
              <w:rPr>
                <w:sz w:val="18"/>
              </w:rPr>
              <w:t xml:space="preserve">RBI/DOR/2025-26/352; DOR.STR.REC.271/21.04.048/2025-26</w:t>
            </w:r>
          </w:p>
        </w:tc>
        <w:tc>
          <w:tcPr>
            <w:tcW w:w="3209"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12" w:type="dxa"/>
          </w:tcPr>
          <w:p>
            <w:pPr>
              <w:pStyle w:val="Compact"/>
              <w:spacing w:after="40"/>
              <w:jc w:val="left"/>
            </w:pPr>
            <w:r>
              <w:rPr>
                <w:sz w:val="18"/>
              </w:rPr>
              <w:t xml:space="preserve">NBFC-D, ICC, Factor, MFI, IFC, IDF, HFC, all layers. Not MGC, P2P, AA, CIC, SPD, NOFHC or non-public-fund NBFCs (para 3). Part B (co-lending) from 1 Jan 2026 or an earlier date set by internal policy (paras 2, 95)</w:t>
            </w:r>
          </w:p>
        </w:tc>
      </w:tr>
      <w:tr>
        <w:tc>
          <w:tcPr>
            <w:tcW w:w="577" w:type="dxa"/>
          </w:tcPr>
          <w:p>
            <w:pPr>
              <w:pStyle w:val="Compact"/>
              <w:spacing w:after="40"/>
              <w:jc w:val="left"/>
            </w:pPr>
            <w:r>
              <w:rPr>
                <w:sz w:val="18"/>
              </w:rPr>
              <w:t xml:space="preserve">SEC</w:t>
            </w:r>
          </w:p>
        </w:tc>
        <w:tc>
          <w:tcPr>
            <w:tcW w:w="1740" w:type="dxa"/>
          </w:tcPr>
          <w:p>
            <w:pPr>
              <w:pStyle w:val="Compact"/>
              <w:spacing w:after="40"/>
              <w:jc w:val="left"/>
            </w:pPr>
            <w:r>
              <w:rPr>
                <w:sz w:val="18"/>
              </w:rPr>
              <w:t xml:space="preserve">Securitisation Transactions, 2025</w:t>
            </w:r>
          </w:p>
        </w:tc>
        <w:tc>
          <w:tcPr>
            <w:tcW w:w="1500" w:type="dxa"/>
          </w:tcPr>
          <w:p>
            <w:pPr>
              <w:pStyle w:val="Compact"/>
              <w:spacing w:after="40"/>
              <w:jc w:val="left"/>
            </w:pPr>
            <w:r>
              <w:rPr>
                <w:sz w:val="18"/>
              </w:rPr>
              <w:t xml:space="preserve">RBI/DOR/2025-26/353; DOR.STR.REC.272/21.04.177/2025-26</w:t>
            </w:r>
          </w:p>
        </w:tc>
        <w:tc>
          <w:tcPr>
            <w:tcW w:w="3209"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12" w:type="dxa"/>
          </w:tcPr>
          <w:p>
            <w:pPr>
              <w:pStyle w:val="Compact"/>
              <w:spacing w:after="40"/>
              <w:jc w:val="left"/>
            </w:pPr>
            <w:r>
              <w:rPr>
                <w:sz w:val="18"/>
              </w:rPr>
              <w:t xml:space="preserve">As TDCR (para 3). NBFCs as originators, investors and facility providers</w:t>
            </w:r>
          </w:p>
        </w:tc>
      </w:tr>
      <w:tr>
        <w:tc>
          <w:tcPr>
            <w:tcW w:w="577" w:type="dxa"/>
          </w:tcPr>
          <w:p>
            <w:pPr>
              <w:pStyle w:val="Compact"/>
              <w:spacing w:after="40"/>
              <w:jc w:val="left"/>
            </w:pPr>
            <w:r>
              <w:rPr>
                <w:sz w:val="18"/>
              </w:rPr>
              <w:t xml:space="preserve">CAP</w:t>
            </w:r>
          </w:p>
        </w:tc>
        <w:tc>
          <w:tcPr>
            <w:tcW w:w="1740" w:type="dxa"/>
          </w:tcPr>
          <w:p>
            <w:pPr>
              <w:pStyle w:val="Compact"/>
              <w:spacing w:after="40"/>
              <w:jc w:val="left"/>
            </w:pPr>
            <w:r>
              <w:rPr>
                <w:sz w:val="18"/>
              </w:rPr>
              <w:t xml:space="preserve">Prudential Norms on Capital Adequacy, 2025</w:t>
            </w:r>
          </w:p>
        </w:tc>
        <w:tc>
          <w:tcPr>
            <w:tcW w:w="1500" w:type="dxa"/>
          </w:tcPr>
          <w:p>
            <w:pPr>
              <w:pStyle w:val="Compact"/>
              <w:spacing w:after="40"/>
              <w:jc w:val="left"/>
            </w:pPr>
            <w:r>
              <w:rPr>
                <w:sz w:val="18"/>
              </w:rPr>
              <w:t xml:space="preserve">RBI/DOR/2025-26/345; DOR.CAP.REC.264/21-01-002/2025-26</w:t>
            </w:r>
          </w:p>
        </w:tc>
        <w:tc>
          <w:tcPr>
            <w:tcW w:w="3209" w:type="dxa"/>
          </w:tcPr>
          <w:p>
            <w:pPr>
              <w:pStyle w:val="Compact"/>
              <w:spacing w:after="40"/>
              <w:jc w:val="left"/>
            </w:pPr>
            <w:r>
              <w:rPr>
                <w:sz w:val="18"/>
              </w:rPr>
              <w:t xml:space="preserve">28 Nov 2025, updated as on 1 Apr 2026 (Amendments of 1 Jan 2026, effective 1 Apr 2026, and 10 Mar 2026)</w:t>
            </w:r>
          </w:p>
        </w:tc>
        <w:tc>
          <w:tcPr>
            <w:tcW w:w="2612" w:type="dxa"/>
          </w:tcPr>
          <w:p>
            <w:pPr>
              <w:pStyle w:val="Compact"/>
              <w:spacing w:after="40"/>
              <w:jc w:val="left"/>
            </w:pPr>
            <w:r>
              <w:rPr>
                <w:sz w:val="18"/>
              </w:rPr>
              <w:t xml:space="preserve">NBFC-D, ICC, Factor, IFC, IDF, MFI by layer; HFC, MGC, CIC and SPD for listed paras only; not P2P, AA, NOFHC or no-public-funds NBFCs (para 3)</w:t>
            </w:r>
          </w:p>
        </w:tc>
      </w:tr>
      <w:tr>
        <w:tc>
          <w:tcPr>
            <w:tcW w:w="577" w:type="dxa"/>
          </w:tcPr>
          <w:p>
            <w:pPr>
              <w:pStyle w:val="Compact"/>
              <w:spacing w:after="40"/>
              <w:jc w:val="left"/>
            </w:pPr>
            <w:r>
              <w:rPr>
                <w:sz w:val="18"/>
              </w:rPr>
              <w:t xml:space="preserve">SBR</w:t>
            </w:r>
          </w:p>
        </w:tc>
        <w:tc>
          <w:tcPr>
            <w:tcW w:w="1740" w:type="dxa"/>
          </w:tcPr>
          <w:p>
            <w:pPr>
              <w:pStyle w:val="Compact"/>
              <w:spacing w:after="40"/>
              <w:jc w:val="left"/>
            </w:pPr>
            <w:r>
              <w:rPr>
                <w:sz w:val="18"/>
              </w:rPr>
              <w:t xml:space="preserve">Registration, Exemptions and Framework for Scale Based Regulation, 2025</w:t>
            </w:r>
          </w:p>
        </w:tc>
        <w:tc>
          <w:tcPr>
            <w:tcW w:w="1500" w:type="dxa"/>
          </w:tcPr>
          <w:p>
            <w:pPr>
              <w:pStyle w:val="Compact"/>
              <w:spacing w:after="40"/>
              <w:jc w:val="left"/>
            </w:pPr>
            <w:r>
              <w:rPr>
                <w:sz w:val="18"/>
              </w:rPr>
              <w:t xml:space="preserve">RBI/DOR/2025-26/339; DOR.FIN.REC.No.258/03.10.119/2025-26</w:t>
            </w:r>
          </w:p>
        </w:tc>
        <w:tc>
          <w:tcPr>
            <w:tcW w:w="3209"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 any 2026 amendment not in the copy)</w:t>
            </w:r>
          </w:p>
        </w:tc>
        <w:tc>
          <w:tcPr>
            <w:tcW w:w="2612" w:type="dxa"/>
          </w:tcPr>
          <w:p>
            <w:pPr>
              <w:pStyle w:val="Compact"/>
              <w:spacing w:after="40"/>
              <w:jc w:val="left"/>
            </w:pPr>
            <w:r>
              <w:rPr>
                <w:sz w:val="18"/>
              </w:rPr>
              <w:t xml:space="preserve">All registered NBFCs incl. Government companies; Ch IV exemptions for specified non-banking institutions</w:t>
            </w:r>
          </w:p>
        </w:tc>
      </w:tr>
      <w:tr>
        <w:tc>
          <w:tcPr>
            <w:tcW w:w="577" w:type="dxa"/>
          </w:tcPr>
          <w:p>
            <w:pPr>
              <w:pStyle w:val="Compact"/>
              <w:spacing w:after="40"/>
              <w:jc w:val="left"/>
            </w:pPr>
            <w:r>
              <w:rPr>
                <w:sz w:val="18"/>
              </w:rPr>
              <w:t xml:space="preserve">DIV</w:t>
            </w:r>
          </w:p>
        </w:tc>
        <w:tc>
          <w:tcPr>
            <w:tcW w:w="1740" w:type="dxa"/>
          </w:tcPr>
          <w:p>
            <w:pPr>
              <w:pStyle w:val="Compact"/>
              <w:spacing w:after="40"/>
              <w:jc w:val="left"/>
            </w:pPr>
            <w:r>
              <w:rPr>
                <w:sz w:val="18"/>
              </w:rPr>
              <w:t xml:space="preserve">Prudential Norms on Declaration of Dividends, 2025</w:t>
            </w:r>
          </w:p>
        </w:tc>
        <w:tc>
          <w:tcPr>
            <w:tcW w:w="1500" w:type="dxa"/>
          </w:tcPr>
          <w:p>
            <w:pPr>
              <w:pStyle w:val="Compact"/>
              <w:spacing w:after="40"/>
              <w:jc w:val="left"/>
            </w:pPr>
            <w:r>
              <w:rPr>
                <w:sz w:val="18"/>
              </w:rPr>
              <w:t xml:space="preserve">RBI/DOR/2025-26/360; DOR.ACC.REC.279/21.02.067/2025-26</w:t>
            </w:r>
          </w:p>
        </w:tc>
        <w:tc>
          <w:tcPr>
            <w:tcW w:w="3209" w:type="dxa"/>
          </w:tcPr>
          <w:p>
            <w:pPr>
              <w:pStyle w:val="Compact"/>
              <w:spacing w:after="40"/>
              <w:jc w:val="left"/>
            </w:pPr>
            <w:r>
              <w:rPr>
                <w:sz w:val="18"/>
              </w:rPr>
              <w:t xml:space="preserve">28 Nov 2025</w:t>
            </w:r>
          </w:p>
        </w:tc>
        <w:tc>
          <w:tcPr>
            <w:tcW w:w="2612" w:type="dxa"/>
          </w:tcPr>
          <w:p>
            <w:pPr>
              <w:pStyle w:val="Compact"/>
              <w:spacing w:after="40"/>
              <w:jc w:val="left"/>
            </w:pPr>
            <w:r>
              <w:rPr>
                <w:sz w:val="18"/>
              </w:rPr>
              <w:t xml:space="preserve">All layers incl. HFC, MGC, SPD, CIC, P2P, AA; not NOFHC</w:t>
            </w:r>
          </w:p>
        </w:tc>
      </w:tr>
      <w:tr>
        <w:tc>
          <w:tcPr>
            <w:tcW w:w="577" w:type="dxa"/>
          </w:tcPr>
          <w:p>
            <w:pPr>
              <w:pStyle w:val="Compact"/>
              <w:spacing w:after="40"/>
              <w:jc w:val="left"/>
            </w:pPr>
            <w:r>
              <w:rPr>
                <w:sz w:val="18"/>
              </w:rPr>
              <w:t xml:space="preserve">MISC</w:t>
            </w:r>
          </w:p>
        </w:tc>
        <w:tc>
          <w:tcPr>
            <w:tcW w:w="1740" w:type="dxa"/>
          </w:tcPr>
          <w:p>
            <w:pPr>
              <w:pStyle w:val="Compact"/>
              <w:spacing w:after="40"/>
              <w:jc w:val="left"/>
            </w:pPr>
            <w:r>
              <w:rPr>
                <w:sz w:val="18"/>
              </w:rPr>
              <w:t xml:space="preserve">Miscellaneous, 2025</w:t>
            </w:r>
          </w:p>
        </w:tc>
        <w:tc>
          <w:tcPr>
            <w:tcW w:w="1500" w:type="dxa"/>
          </w:tcPr>
          <w:p>
            <w:pPr>
              <w:pStyle w:val="Compact"/>
              <w:spacing w:after="40"/>
              <w:jc w:val="left"/>
            </w:pPr>
            <w:r>
              <w:rPr>
                <w:sz w:val="18"/>
              </w:rPr>
              <w:t xml:space="preserve">RBI/DOR/2025-26/373; DOR.FIN.REC.No.292/03-10-119/2025-26</w:t>
            </w:r>
          </w:p>
        </w:tc>
        <w:tc>
          <w:tcPr>
            <w:tcW w:w="3209" w:type="dxa"/>
          </w:tcPr>
          <w:p>
            <w:pPr>
              <w:pStyle w:val="Compact"/>
              <w:spacing w:after="40"/>
              <w:jc w:val="left"/>
            </w:pPr>
            <w:r>
              <w:rPr>
                <w:sz w:val="18"/>
              </w:rPr>
              <w:t xml:space="preserve">28 Nov 2025, updated as on 26 Feb 2026</w:t>
            </w:r>
          </w:p>
        </w:tc>
        <w:tc>
          <w:tcPr>
            <w:tcW w:w="2612" w:type="dxa"/>
          </w:tcPr>
          <w:p>
            <w:pPr>
              <w:pStyle w:val="Compact"/>
              <w:spacing w:after="40"/>
              <w:jc w:val="left"/>
            </w:pPr>
            <w:r>
              <w:rPr>
                <w:sz w:val="18"/>
              </w:rPr>
              <w:t xml:space="preserve">Ch II all layers; Ch III ML+; Ch IV Factors; Ch V IDF; HFC, MGC, SPD, P2P, AA and CIC per para 3(1); not NOFHC</w:t>
            </w:r>
          </w:p>
        </w:tc>
      </w:tr>
      <w:tr>
        <w:tc>
          <w:tcPr>
            <w:tcW w:w="577" w:type="dxa"/>
          </w:tcPr>
          <w:p>
            <w:pPr>
              <w:pStyle w:val="Compact"/>
              <w:spacing w:after="40"/>
              <w:jc w:val="left"/>
            </w:pPr>
            <w:r>
              <w:rPr>
                <w:sz w:val="18"/>
              </w:rPr>
              <w:t xml:space="preserve">GOV</w:t>
            </w:r>
          </w:p>
        </w:tc>
        <w:tc>
          <w:tcPr>
            <w:tcW w:w="1740" w:type="dxa"/>
          </w:tcPr>
          <w:p>
            <w:pPr>
              <w:pStyle w:val="Compact"/>
              <w:spacing w:after="40"/>
              <w:jc w:val="left"/>
            </w:pPr>
            <w:r>
              <w:rPr>
                <w:sz w:val="18"/>
              </w:rPr>
              <w:t xml:space="preserve">Governance, 2025</w:t>
            </w:r>
          </w:p>
        </w:tc>
        <w:tc>
          <w:tcPr>
            <w:tcW w:w="1500" w:type="dxa"/>
          </w:tcPr>
          <w:p>
            <w:pPr>
              <w:pStyle w:val="Compact"/>
              <w:spacing w:after="40"/>
              <w:jc w:val="left"/>
            </w:pPr>
            <w:r>
              <w:rPr>
                <w:sz w:val="18"/>
              </w:rPr>
              <w:t xml:space="preserve">RBI/DOR/2025-26/344; DOR.GOV.REC.No.263/18-10-013/2025-26</w:t>
            </w:r>
          </w:p>
        </w:tc>
        <w:tc>
          <w:tcPr>
            <w:tcW w:w="3209"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12" w:type="dxa"/>
          </w:tcPr>
          <w:p>
            <w:pPr>
              <w:pStyle w:val="Compact"/>
              <w:spacing w:after="40"/>
              <w:jc w:val="left"/>
            </w:pPr>
            <w:r>
              <w:rPr>
                <w:sz w:val="18"/>
              </w:rPr>
              <w:t xml:space="preserve">BL Ch III; ML Ch II–IV; UL Ch II–V, incl. HFC; CIC/MGC/SPD/AA/P2P partial (para 3); not NOFHC; paras 29–37 not for government-owned NBFCs</w:t>
            </w:r>
          </w:p>
        </w:tc>
      </w:tr>
      <w:tr>
        <w:tc>
          <w:tcPr>
            <w:tcW w:w="577" w:type="dxa"/>
          </w:tcPr>
          <w:p>
            <w:pPr>
              <w:pStyle w:val="Compact"/>
              <w:spacing w:after="40"/>
              <w:jc w:val="left"/>
            </w:pPr>
            <w:r>
              <w:rPr>
                <w:sz w:val="18"/>
              </w:rPr>
              <w:t xml:space="preserve">OUT</w:t>
            </w:r>
          </w:p>
        </w:tc>
        <w:tc>
          <w:tcPr>
            <w:tcW w:w="1740" w:type="dxa"/>
          </w:tcPr>
          <w:p>
            <w:pPr>
              <w:pStyle w:val="Compact"/>
              <w:spacing w:after="40"/>
              <w:jc w:val="left"/>
            </w:pPr>
            <w:r>
              <w:rPr>
                <w:sz w:val="18"/>
              </w:rPr>
              <w:t xml:space="preserve">Managing Risks in Outsourcing, 2025</w:t>
            </w:r>
          </w:p>
        </w:tc>
        <w:tc>
          <w:tcPr>
            <w:tcW w:w="1500" w:type="dxa"/>
          </w:tcPr>
          <w:p>
            <w:pPr>
              <w:pStyle w:val="Compact"/>
              <w:spacing w:after="40"/>
              <w:jc w:val="left"/>
            </w:pPr>
            <w:r>
              <w:rPr>
                <w:sz w:val="18"/>
              </w:rPr>
              <w:t xml:space="preserve">RBI/DOR/2025-26/363; DOR.ORG.REC.No.282/21-04-158/2025-26</w:t>
            </w:r>
          </w:p>
        </w:tc>
        <w:tc>
          <w:tcPr>
            <w:tcW w:w="3209"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 existing IT agreements compliant by renewal or 10 Apr 2026 (para 2)</w:t>
            </w:r>
          </w:p>
        </w:tc>
        <w:tc>
          <w:tcPr>
            <w:tcW w:w="2612" w:type="dxa"/>
          </w:tcPr>
          <w:p>
            <w:pPr>
              <w:pStyle w:val="Compact"/>
              <w:spacing w:after="40"/>
              <w:jc w:val="left"/>
            </w:pPr>
            <w:r>
              <w:rPr>
                <w:sz w:val="18"/>
              </w:rPr>
              <w:t xml:space="preserve">NBFC-D, ICC, Factor, MFI, IFC, IDF, HFC, SPD, CIC, P2P, AA; BL excludes Ch IV and the IT parts of Ch II; MGC (ML+) Ch IV; not NOFHC</w:t>
            </w:r>
          </w:p>
        </w:tc>
      </w:tr>
      <w:tr>
        <w:tc>
          <w:tcPr>
            <w:tcW w:w="577" w:type="dxa"/>
          </w:tcPr>
          <w:p>
            <w:pPr>
              <w:pStyle w:val="Compact"/>
              <w:spacing w:after="40"/>
              <w:jc w:val="left"/>
            </w:pPr>
            <w:r>
              <w:rPr>
                <w:sz w:val="18"/>
              </w:rPr>
              <w:t xml:space="preserve">ORM</w:t>
            </w:r>
          </w:p>
        </w:tc>
        <w:tc>
          <w:tcPr>
            <w:tcW w:w="1740" w:type="dxa"/>
          </w:tcPr>
          <w:p>
            <w:pPr>
              <w:pStyle w:val="Compact"/>
              <w:spacing w:after="40"/>
              <w:jc w:val="left"/>
            </w:pPr>
            <w:r>
              <w:rPr>
                <w:sz w:val="18"/>
              </w:rPr>
              <w:t xml:space="preserve">Guidance Note on Operational Risk Management and Operational Resilience, 2025 (</w:t>
            </w:r>
            <w:r>
              <w:rPr>
                <w:bCs/>
                <w:b/>
                <w:sz w:val="18"/>
              </w:rPr>
              <w:t xml:space="preserve">guidance, not a Direction</w:t>
            </w:r>
            <w:r>
              <w:rPr>
                <w:sz w:val="18"/>
              </w:rPr>
              <w:t xml:space="preserve">)</w:t>
            </w:r>
          </w:p>
        </w:tc>
        <w:tc>
          <w:tcPr>
            <w:tcW w:w="1500" w:type="dxa"/>
          </w:tcPr>
          <w:p>
            <w:pPr>
              <w:pStyle w:val="Compact"/>
              <w:spacing w:after="40"/>
              <w:jc w:val="left"/>
            </w:pPr>
            <w:r>
              <w:rPr>
                <w:sz w:val="18"/>
              </w:rPr>
              <w:t xml:space="preserve">RBI/2025-26/[number blank in supplied copy]; DOR.ORG.REC.301/14.10.001/2025-26</w:t>
            </w:r>
          </w:p>
        </w:tc>
        <w:tc>
          <w:tcPr>
            <w:tcW w:w="3209" w:type="dxa"/>
          </w:tcPr>
          <w:p>
            <w:pPr>
              <w:pStyle w:val="Compact"/>
              <w:spacing w:after="40"/>
              <w:jc w:val="left"/>
            </w:pPr>
            <w:r>
              <w:rPr>
                <w:sz w:val="18"/>
              </w:rPr>
              <w:t xml:space="preserve">28 Nov 2025</w:t>
            </w:r>
          </w:p>
        </w:tc>
        <w:tc>
          <w:tcPr>
            <w:tcW w:w="2612" w:type="dxa"/>
          </w:tcPr>
          <w:p>
            <w:pPr>
              <w:pStyle w:val="Compact"/>
              <w:spacing w:after="40"/>
              <w:jc w:val="left"/>
            </w:pPr>
            <w:r>
              <w:rPr>
                <w:sz w:val="18"/>
              </w:rPr>
              <w:t xml:space="preserve">Banks (incl. SFB, PB, LAB), RRBs, UCBs, RCBs, AIFIs (incl. NHB), NBFC-BL/ML/UL (para 8); HFCs by implication (9(14)(iii)); BL =</w:t>
            </w:r>
            <w:r>
              <w:rPr>
                <w:sz w:val="18"/>
              </w:rPr>
              <w:t xml:space="preserve"> </w:t>
            </w:r>
            <w:r>
              <w:rPr>
                <w:sz w:val="18"/>
              </w:rPr>
              <w:t xml:space="preserve">“</w:t>
            </w:r>
            <w:r>
              <w:rPr>
                <w:sz w:val="18"/>
              </w:rPr>
              <w:t xml:space="preserve">smaller RE</w:t>
            </w:r>
            <w:r>
              <w:rPr>
                <w:sz w:val="18"/>
              </w:rPr>
              <w:t xml:space="preserve">”</w:t>
            </w:r>
            <w:r>
              <w:rPr>
                <w:sz w:val="18"/>
              </w:rPr>
              <w:t xml:space="preserve"> </w:t>
            </w:r>
            <w:r>
              <w:rPr>
                <w:sz w:val="18"/>
              </w:rPr>
              <w:t xml:space="preserve">(12(2))</w:t>
            </w:r>
          </w:p>
        </w:tc>
      </w:tr>
      <w:tr>
        <w:tc>
          <w:tcPr>
            <w:tcW w:w="577" w:type="dxa"/>
          </w:tcPr>
          <w:p>
            <w:pPr>
              <w:pStyle w:val="Compact"/>
              <w:spacing w:after="40"/>
              <w:jc w:val="left"/>
            </w:pPr>
            <w:r>
              <w:rPr>
                <w:sz w:val="18"/>
              </w:rPr>
              <w:t xml:space="preserve">MFI</w:t>
            </w:r>
          </w:p>
        </w:tc>
        <w:tc>
          <w:tcPr>
            <w:tcW w:w="1740" w:type="dxa"/>
          </w:tcPr>
          <w:p>
            <w:pPr>
              <w:pStyle w:val="Compact"/>
              <w:spacing w:after="40"/>
              <w:jc w:val="left"/>
            </w:pPr>
            <w:r>
              <w:rPr>
                <w:sz w:val="18"/>
              </w:rPr>
              <w:t xml:space="preserve">Microfinance Institution, 2025</w:t>
            </w:r>
          </w:p>
        </w:tc>
        <w:tc>
          <w:tcPr>
            <w:tcW w:w="1500" w:type="dxa"/>
          </w:tcPr>
          <w:p>
            <w:pPr>
              <w:pStyle w:val="Compact"/>
              <w:spacing w:after="40"/>
              <w:jc w:val="left"/>
            </w:pPr>
            <w:r>
              <w:rPr>
                <w:sz w:val="18"/>
              </w:rPr>
              <w:t xml:space="preserve">RBI/DOR/2025-26/371; DOR.FIN.REC.290/03-10-038/2025-26</w:t>
            </w:r>
          </w:p>
        </w:tc>
        <w:tc>
          <w:tcPr>
            <w:tcW w:w="3209"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12" w:type="dxa"/>
          </w:tcPr>
          <w:p>
            <w:pPr>
              <w:pStyle w:val="Compact"/>
              <w:spacing w:after="40"/>
              <w:jc w:val="left"/>
            </w:pPr>
            <w:r>
              <w:rPr>
                <w:sz w:val="18"/>
              </w:rPr>
              <w:t xml:space="preserve">Every NBFC-MFI (non-deposit-taking; ≥ 60% qualifying assets) (paras 3, 8(3)); para 49 (25% cap on microfinance loans) binds all NBFCs</w:t>
            </w:r>
          </w:p>
        </w:tc>
      </w:tr>
      <w:tr>
        <w:tc>
          <w:tcPr>
            <w:tcW w:w="577" w:type="dxa"/>
          </w:tcPr>
          <w:p>
            <w:pPr>
              <w:pStyle w:val="Compact"/>
              <w:spacing w:after="40"/>
              <w:jc w:val="left"/>
            </w:pPr>
            <w:r>
              <w:rPr>
                <w:sz w:val="18"/>
              </w:rPr>
              <w:t xml:space="preserve">IAF</w:t>
            </w:r>
          </w:p>
        </w:tc>
        <w:tc>
          <w:tcPr>
            <w:tcW w:w="1740" w:type="dxa"/>
          </w:tcPr>
          <w:p>
            <w:pPr>
              <w:pStyle w:val="Compact"/>
              <w:spacing w:after="40"/>
              <w:jc w:val="left"/>
            </w:pPr>
            <w:r>
              <w:rPr>
                <w:sz w:val="18"/>
              </w:rPr>
              <w:t xml:space="preserve">Internal Audit Function, 2026</w:t>
            </w:r>
          </w:p>
        </w:tc>
        <w:tc>
          <w:tcPr>
            <w:tcW w:w="1500" w:type="dxa"/>
          </w:tcPr>
          <w:p>
            <w:pPr>
              <w:pStyle w:val="Compact"/>
              <w:spacing w:after="40"/>
              <w:jc w:val="left"/>
            </w:pPr>
            <w:r>
              <w:rPr>
                <w:sz w:val="18"/>
              </w:rPr>
              <w:t xml:space="preserve">RBI/DoS/2026-27/464; DoS.CO.PPG.58/11.01.005/2026-27</w:t>
            </w:r>
          </w:p>
        </w:tc>
        <w:tc>
          <w:tcPr>
            <w:tcW w:w="3209" w:type="dxa"/>
          </w:tcPr>
          <w:p>
            <w:pPr>
              <w:pStyle w:val="Compact"/>
              <w:spacing w:after="40"/>
              <w:jc w:val="left"/>
            </w:pPr>
            <w:r>
              <w:rPr>
                <w:sz w:val="18"/>
              </w:rPr>
              <w:t xml:space="preserve">31 Jul 2026, immediate effect</w:t>
            </w:r>
          </w:p>
        </w:tc>
        <w:tc>
          <w:tcPr>
            <w:tcW w:w="2612" w:type="dxa"/>
          </w:tcPr>
          <w:p>
            <w:pPr>
              <w:pStyle w:val="Compact"/>
              <w:spacing w:after="40"/>
              <w:jc w:val="left"/>
            </w:pPr>
            <w:r>
              <w:rPr>
                <w:sz w:val="18"/>
              </w:rPr>
              <w:t xml:space="preserve">All NBFC-D and HFC-D; NBFC-ND and HFC-ND with assets ≥ ₹5,000 crore (para 3)</w:t>
            </w:r>
          </w:p>
        </w:tc>
      </w:tr>
      <w:tr>
        <w:tc>
          <w:tcPr>
            <w:tcW w:w="577" w:type="dxa"/>
          </w:tcPr>
          <w:p>
            <w:pPr>
              <w:pStyle w:val="Compact"/>
              <w:spacing w:after="40"/>
              <w:jc w:val="left"/>
            </w:pPr>
            <w:r>
              <w:rPr>
                <w:sz w:val="18"/>
              </w:rPr>
              <w:t xml:space="preserve">SA</w:t>
            </w:r>
          </w:p>
        </w:tc>
        <w:tc>
          <w:tcPr>
            <w:tcW w:w="1740" w:type="dxa"/>
          </w:tcPr>
          <w:p>
            <w:pPr>
              <w:pStyle w:val="Compact"/>
              <w:spacing w:after="40"/>
              <w:jc w:val="left"/>
            </w:pPr>
            <w:r>
              <w:rPr>
                <w:sz w:val="18"/>
              </w:rPr>
              <w:t xml:space="preserve">Statutory Audit, 2026</w:t>
            </w:r>
          </w:p>
        </w:tc>
        <w:tc>
          <w:tcPr>
            <w:tcW w:w="1500" w:type="dxa"/>
          </w:tcPr>
          <w:p>
            <w:pPr>
              <w:pStyle w:val="Compact"/>
              <w:spacing w:after="40"/>
              <w:jc w:val="left"/>
            </w:pPr>
            <w:r>
              <w:rPr>
                <w:sz w:val="18"/>
              </w:rPr>
              <w:t xml:space="preserve">RBI/DoS/2026-27/465; DoS.CO.ARG.59/08.91.001/2026-27</w:t>
            </w:r>
          </w:p>
        </w:tc>
        <w:tc>
          <w:tcPr>
            <w:tcW w:w="3209" w:type="dxa"/>
          </w:tcPr>
          <w:p>
            <w:pPr>
              <w:pStyle w:val="Compact"/>
              <w:spacing w:after="40"/>
              <w:jc w:val="left"/>
            </w:pPr>
            <w:r>
              <w:rPr>
                <w:sz w:val="18"/>
              </w:rPr>
              <w:t xml:space="preserve">31 Jul 2026, immediate effect</w:t>
            </w:r>
          </w:p>
        </w:tc>
        <w:tc>
          <w:tcPr>
            <w:tcW w:w="2612" w:type="dxa"/>
          </w:tcPr>
          <w:p>
            <w:pPr>
              <w:pStyle w:val="Compact"/>
              <w:spacing w:after="40"/>
              <w:jc w:val="left"/>
            </w:pPr>
            <w:r>
              <w:rPr>
                <w:sz w:val="18"/>
              </w:rPr>
              <w:t xml:space="preserve">All NBFCs incl. HFCs for SCA/SA appointment; NBFC-ND &lt; ₹1,000 crore may continue extant procedure (para 3)</w:t>
            </w:r>
          </w:p>
        </w:tc>
      </w:tr>
      <w:tr>
        <w:tc>
          <w:tcPr>
            <w:tcW w:w="577" w:type="dxa"/>
          </w:tcPr>
          <w:p>
            <w:pPr>
              <w:pStyle w:val="Compact"/>
              <w:spacing w:after="40"/>
              <w:jc w:val="left"/>
            </w:pPr>
            <w:r>
              <w:rPr>
                <w:sz w:val="18"/>
              </w:rPr>
              <w:t xml:space="preserve">SR</w:t>
            </w:r>
          </w:p>
        </w:tc>
        <w:tc>
          <w:tcPr>
            <w:tcW w:w="1740" w:type="dxa"/>
          </w:tcPr>
          <w:p>
            <w:pPr>
              <w:pStyle w:val="Compact"/>
              <w:spacing w:after="40"/>
              <w:jc w:val="left"/>
            </w:pPr>
            <w:r>
              <w:rPr>
                <w:sz w:val="18"/>
              </w:rPr>
              <w:t xml:space="preserve">Supervisory Returns, 2026</w:t>
            </w:r>
          </w:p>
        </w:tc>
        <w:tc>
          <w:tcPr>
            <w:tcW w:w="1500" w:type="dxa"/>
          </w:tcPr>
          <w:p>
            <w:pPr>
              <w:pStyle w:val="Compact"/>
              <w:spacing w:after="40"/>
              <w:jc w:val="left"/>
            </w:pPr>
            <w:r>
              <w:rPr>
                <w:sz w:val="18"/>
              </w:rPr>
              <w:t xml:space="preserve">RBI/DoS/2026-27/466; DoS.CO.DSG.60/33.01.001/2026-27</w:t>
            </w:r>
          </w:p>
        </w:tc>
        <w:tc>
          <w:tcPr>
            <w:tcW w:w="3209" w:type="dxa"/>
          </w:tcPr>
          <w:p>
            <w:pPr>
              <w:pStyle w:val="Compact"/>
              <w:spacing w:after="40"/>
              <w:jc w:val="left"/>
            </w:pPr>
            <w:r>
              <w:rPr>
                <w:sz w:val="18"/>
              </w:rPr>
              <w:t xml:space="preserve">31 Jul 2026, immediate effect</w:t>
            </w:r>
          </w:p>
        </w:tc>
        <w:tc>
          <w:tcPr>
            <w:tcW w:w="2612" w:type="dxa"/>
          </w:tcPr>
          <w:p>
            <w:pPr>
              <w:pStyle w:val="Compact"/>
              <w:spacing w:after="40"/>
              <w:jc w:val="left"/>
            </w:pPr>
            <w:r>
              <w:rPr>
                <w:sz w:val="18"/>
              </w:rPr>
              <w:t xml:space="preserve">All NBFCs, all layers,</w:t>
            </w:r>
            <w:r>
              <w:rPr>
                <w:sz w:val="18"/>
              </w:rPr>
              <w:t xml:space="preserve"> </w:t>
            </w:r>
            <w:r>
              <w:rPr>
                <w:bCs/>
                <w:b/>
                <w:sz w:val="18"/>
              </w:rPr>
              <w:t xml:space="preserve">HFCs excluded</w:t>
            </w:r>
            <w:r>
              <w:rPr>
                <w:sz w:val="18"/>
              </w:rPr>
              <w:t xml:space="preserve"> </w:t>
            </w:r>
            <w:r>
              <w:rPr>
                <w:sz w:val="18"/>
              </w:rPr>
              <w:t xml:space="preserve">(para 3); return-wise applicability in para 21</w:t>
            </w:r>
          </w:p>
        </w:tc>
      </w:tr>
      <w:tr>
        <w:tc>
          <w:tcPr>
            <w:tcW w:w="577" w:type="dxa"/>
          </w:tcPr>
          <w:p>
            <w:pPr>
              <w:pStyle w:val="Compact"/>
              <w:spacing w:after="40"/>
              <w:jc w:val="left"/>
            </w:pPr>
            <w:r>
              <w:rPr>
                <w:sz w:val="18"/>
              </w:rPr>
              <w:t xml:space="preserve">MSD</w:t>
            </w:r>
          </w:p>
        </w:tc>
        <w:tc>
          <w:tcPr>
            <w:tcW w:w="1740" w:type="dxa"/>
          </w:tcPr>
          <w:p>
            <w:pPr>
              <w:pStyle w:val="Compact"/>
              <w:spacing w:after="40"/>
              <w:jc w:val="left"/>
            </w:pPr>
            <w:r>
              <w:rPr>
                <w:sz w:val="18"/>
              </w:rPr>
              <w:t xml:space="preserve">Miscellaneous Supervisory, 2026</w:t>
            </w:r>
          </w:p>
        </w:tc>
        <w:tc>
          <w:tcPr>
            <w:tcW w:w="1500" w:type="dxa"/>
          </w:tcPr>
          <w:p>
            <w:pPr>
              <w:pStyle w:val="Compact"/>
              <w:spacing w:after="40"/>
              <w:jc w:val="left"/>
            </w:pPr>
            <w:r>
              <w:rPr>
                <w:sz w:val="18"/>
              </w:rPr>
              <w:t xml:space="preserve">RBI/DoS/2026-27/467; DoS.CO.PPG.61/11.01.005/2026-27</w:t>
            </w:r>
          </w:p>
        </w:tc>
        <w:tc>
          <w:tcPr>
            <w:tcW w:w="3209" w:type="dxa"/>
          </w:tcPr>
          <w:p>
            <w:pPr>
              <w:pStyle w:val="Compact"/>
              <w:spacing w:after="40"/>
              <w:jc w:val="left"/>
            </w:pPr>
            <w:r>
              <w:rPr>
                <w:sz w:val="18"/>
              </w:rPr>
              <w:t xml:space="preserve">31 Jul 2026, immediate effect</w:t>
            </w:r>
          </w:p>
        </w:tc>
        <w:tc>
          <w:tcPr>
            <w:tcW w:w="2612" w:type="dxa"/>
          </w:tcPr>
          <w:p>
            <w:pPr>
              <w:pStyle w:val="Compact"/>
              <w:spacing w:after="40"/>
              <w:jc w:val="left"/>
            </w:pPr>
            <w:r>
              <w:rPr>
                <w:sz w:val="18"/>
              </w:rPr>
              <w:t xml:space="preserve">NBFCs and HFCs (para 3); Ch II UL/ML with ≥ 10 fixed point service delivery units; Ch III incl. HFCs and MFIs; Ch IV NBFC-D excl. HFCs; Ch V NBFC-D and ML/UL/TL NBFC-ND excl. no-public-funds NBFCs, PDs, HFCs</w:t>
            </w:r>
          </w:p>
        </w:tc>
      </w:tr>
    </w:tbl>
    <w:p>
      <w:r>
        <w:pict>
          <v:rect style="width:0;height:1.5pt" o:hralign="center" o:hrstd="t" o:hr="t"/>
        </w:pict>
      </w:r>
    </w:p>
    <w:bookmarkEnd w:id="426"/>
    <w:bookmarkEnd w:id="427"/>
    <w:bookmarkStart w:id="440" w:name="a.1-cf-credit-facilities-directions-347"/>
    <w:p>
      <w:pPr>
        <w:pStyle w:val="Heading2"/>
      </w:pPr>
      <w:r>
        <w:t xml:space="preserve">8A.1 CF — Credit Facilities Directions (347)</w:t>
      </w:r>
    </w:p>
    <w:p>
      <w:pPr>
        <w:pStyle w:val="FirstParagraph"/>
      </w:pPr>
      <w:r>
        <w:rPr>
          <w:bCs/>
          <w:b/>
        </w:rPr>
        <w:t xml:space="preserve">Source:</w:t>
      </w:r>
      <w:r>
        <w:t xml:space="preserve"> </w:t>
      </w:r>
      <w:r>
        <w:t xml:space="preserve">RBI/DOR/2025-26/347; DOR.CRE.REC.No.266/07-01-008/2025-26; 28 Nov 2025, updated as on 1 Apr 2026. Chapter III (Digital Lending, paras 6–30) is the core of Udofin’s regulatory position. Chapter V (Microfinance, paras 51–62) applies to any Udofin product reaching a low-income household. Annex-I (CIMS DLA data) was checked against the image in the official PDF.</w:t>
      </w:r>
    </w:p>
    <w:bookmarkStart w:id="428" w:name="applicability-to-udofin"/>
    <w:p>
      <w:pPr>
        <w:pStyle w:val="Heading3"/>
      </w:pPr>
      <w:r>
        <w:t xml:space="preserve">Applicability to Udofin</w:t>
      </w:r>
    </w:p>
    <w:p>
      <w:pPr>
        <w:numPr>
          <w:ilvl w:val="0"/>
          <w:numId w:val="1258"/>
        </w:numPr>
        <w:pStyle w:val="Compact"/>
      </w:pPr>
      <w:r>
        <w:rPr>
          <w:bCs/>
          <w:b/>
        </w:rPr>
        <w:t xml:space="preserve">Through the RE’s contract (primary route).</w:t>
      </w:r>
      <w:r>
        <w:t xml:space="preserve"> </w:t>
      </w:r>
      <w:r>
        <w:t xml:space="preserve">The Directions bind NBFCs and HFCs (para 3(1), which lists HFCs at (vii)), not LSPs. Udofin is bound because:</w:t>
      </w:r>
    </w:p>
    <w:p>
      <w:pPr>
        <w:numPr>
          <w:ilvl w:val="1"/>
          <w:numId w:val="1259"/>
        </w:numPr>
        <w:pStyle w:val="Compact"/>
      </w:pPr>
      <w:r>
        <w:t xml:space="preserve">each RE must</w:t>
      </w:r>
      <w:r>
        <w:t xml:space="preserve"> </w:t>
      </w:r>
      <w:r>
        <w:t xml:space="preserve">“</w:t>
      </w:r>
      <w:r>
        <w:t xml:space="preserve">ensure that the LSPs engaged by them and the DLAs (either of the NBFC or of the LSPs engaged by the NBFC) comply with these Directions</w:t>
      </w:r>
      <w:r>
        <w:t xml:space="preserve">”</w:t>
      </w:r>
      <w:r>
        <w:t xml:space="preserve"> </w:t>
      </w:r>
      <w:r>
        <w:t xml:space="preserve">(para 6(6));</w:t>
      </w:r>
    </w:p>
    <w:p>
      <w:pPr>
        <w:numPr>
          <w:ilvl w:val="1"/>
          <w:numId w:val="1259"/>
        </w:numPr>
        <w:pStyle w:val="Compact"/>
      </w:pPr>
      <w:r>
        <w:t xml:space="preserve">the RE</w:t>
      </w:r>
      <w:r>
        <w:t xml:space="preserve"> </w:t>
      </w:r>
      <w:r>
        <w:t xml:space="preserve">“</w:t>
      </w:r>
      <w:r>
        <w:t xml:space="preserve">shall remain fully responsible and liable for all acts and omissions of the LSP</w:t>
      </w:r>
      <w:r>
        <w:t xml:space="preserve">”</w:t>
      </w:r>
      <w:r>
        <w:t xml:space="preserve"> </w:t>
      </w:r>
      <w:r>
        <w:t xml:space="preserve">(para 6(7)).</w:t>
      </w:r>
    </w:p>
    <w:p>
      <w:pPr>
        <w:numPr>
          <w:ilvl w:val="0"/>
          <w:numId w:val="1258"/>
        </w:numPr>
        <w:pStyle w:val="Compact"/>
      </w:pPr>
      <w:r>
        <w:rPr>
          <w:bCs/>
          <w:b/>
        </w:rPr>
        <w:t xml:space="preserve">Directly, in substance.</w:t>
      </w:r>
      <w:r>
        <w:t xml:space="preserve"> </w:t>
      </w:r>
      <w:r>
        <w:t xml:space="preserve">Several obligations are written in the LSP’s own name. Udofin must treat them as its own obligations, even though RBI enforces them through the RE:</w:t>
      </w:r>
    </w:p>
    <w:p>
      <w:pPr>
        <w:numPr>
          <w:ilvl w:val="1"/>
          <w:numId w:val="1260"/>
        </w:numPr>
        <w:pStyle w:val="Compact"/>
      </w:pPr>
      <w:r>
        <w:t xml:space="preserve">the multi-lender offer view (para 7);</w:t>
      </w:r>
    </w:p>
    <w:p>
      <w:pPr>
        <w:numPr>
          <w:ilvl w:val="1"/>
          <w:numId w:val="1260"/>
        </w:numPr>
        <w:pStyle w:val="Compact"/>
      </w:pPr>
      <w:r>
        <w:t xml:space="preserve">the LSP nodal grievance officer (para 12(1));</w:t>
      </w:r>
    </w:p>
    <w:p>
      <w:pPr>
        <w:numPr>
          <w:ilvl w:val="1"/>
          <w:numId w:val="1260"/>
        </w:numPr>
        <w:pStyle w:val="Compact"/>
      </w:pPr>
      <w:r>
        <w:t xml:space="preserve">the LSP’s storage policy disclosure (para 14(2));</w:t>
      </w:r>
    </w:p>
    <w:p>
      <w:pPr>
        <w:numPr>
          <w:ilvl w:val="1"/>
          <w:numId w:val="1260"/>
        </w:numPr>
        <w:pStyle w:val="Compact"/>
      </w:pPr>
      <w:r>
        <w:t xml:space="preserve">the LSP’s privacy policy (para 15(1));</w:t>
      </w:r>
    </w:p>
    <w:p>
      <w:pPr>
        <w:numPr>
          <w:ilvl w:val="1"/>
          <w:numId w:val="1260"/>
        </w:numPr>
        <w:pStyle w:val="Compact"/>
      </w:pPr>
      <w:r>
        <w:t xml:space="preserve">DLG portfolio publication (para 28).</w:t>
      </w:r>
    </w:p>
    <w:p>
      <w:pPr>
        <w:numPr>
          <w:ilvl w:val="0"/>
          <w:numId w:val="1258"/>
        </w:numPr>
        <w:pStyle w:val="Compact"/>
      </w:pPr>
      <w:r>
        <w:rPr>
          <w:bCs/>
          <w:b/>
        </w:rPr>
        <w:t xml:space="preserve">Bank REs.</w:t>
      </w:r>
      <w:r>
        <w:t xml:space="preserve"> </w:t>
      </w:r>
      <w:r>
        <w:t xml:space="preserve">Where the partner RE is a bank, the corresponding commercial-bank Directions apply instead of 347. Their substance is expected to be the same, but they were not supplied [VERIFY: obtain the commercial bank Credit Facilities / Digital Lending Directions and map any differences].</w:t>
      </w:r>
    </w:p>
    <w:p>
      <w:pPr>
        <w:numPr>
          <w:ilvl w:val="0"/>
          <w:numId w:val="1258"/>
        </w:numPr>
        <w:pStyle w:val="Compact"/>
      </w:pPr>
      <w:r>
        <w:rPr>
          <w:bCs/>
          <w:b/>
        </w:rPr>
        <w:t xml:space="preserve">Definitions that fix Udofin’s position (para 4(1)):</w:t>
      </w:r>
    </w:p>
    <w:p>
      <w:pPr>
        <w:numPr>
          <w:ilvl w:val="1"/>
          <w:numId w:val="1261"/>
        </w:numPr>
        <w:pStyle w:val="Compact"/>
      </w:pPr>
      <w:r>
        <w:rPr>
          <w:bCs/>
          <w:b/>
        </w:rPr>
        <w:t xml:space="preserve">LSP</w:t>
      </w:r>
      <w:r>
        <w:t xml:space="preserve">, para 4(1)(xix):</w:t>
      </w:r>
      <w:r>
        <w:t xml:space="preserve"> </w:t>
      </w:r>
      <w:r>
        <w:t xml:space="preserve">“</w:t>
      </w:r>
      <w:r>
        <w:t xml:space="preserve">an agent of an NBFC (including another lender) who carries out one or more of NBFC’s digital lending functions, or part thereof, in customer acquisition, services incidental to underwriting and pricing, servicing, monitoring, recovery of specific loan or loan portfolio on behalf of the NBFC in conformity with extant outsourcing guidelines</w:t>
      </w:r>
      <w:r>
        <w:t xml:space="preserve">”</w:t>
      </w:r>
      <w:r>
        <w:t xml:space="preserve">. Udofin is an LSP of every partner RE, and is also an outsourcing service provider under OUT (see 8A.7).</w:t>
      </w:r>
    </w:p>
    <w:p>
      <w:pPr>
        <w:numPr>
          <w:ilvl w:val="1"/>
          <w:numId w:val="1261"/>
        </w:numPr>
        <w:pStyle w:val="Compact"/>
      </w:pPr>
      <w:r>
        <w:rPr>
          <w:bCs/>
          <w:b/>
        </w:rPr>
        <w:t xml:space="preserve">DLA</w:t>
      </w:r>
      <w:r>
        <w:t xml:space="preserve">, para 4(1)(x):</w:t>
      </w:r>
      <w:r>
        <w:t xml:space="preserve"> </w:t>
      </w:r>
      <w:r>
        <w:t xml:space="preserve">“</w:t>
      </w:r>
      <w:r>
        <w:t xml:space="preserve">a mobile and / or web-based applications, on a standalone basis or as a part of suite of functions of an application with user interface that facilitate digital lending services</w:t>
      </w:r>
      <w:r>
        <w:t xml:space="preserve">”</w:t>
      </w:r>
      <w:r>
        <w:t xml:space="preserve">. The Android app, the iOS app and the borrower web app/PWA are each a DLA of each partner RE.</w:t>
      </w:r>
    </w:p>
    <w:p>
      <w:pPr>
        <w:numPr>
          <w:ilvl w:val="1"/>
          <w:numId w:val="1261"/>
        </w:numPr>
        <w:pStyle w:val="Compact"/>
      </w:pPr>
      <w:r>
        <w:rPr>
          <w:bCs/>
          <w:b/>
        </w:rPr>
        <w:t xml:space="preserve">Digital lending</w:t>
      </w:r>
      <w:r>
        <w:t xml:space="preserve">, para 4(1)(ix):</w:t>
      </w:r>
      <w:r>
        <w:t xml:space="preserve"> </w:t>
      </w:r>
      <w:r>
        <w:t xml:space="preserve">“</w:t>
      </w:r>
      <w:r>
        <w:t xml:space="preserve">a remote and automated lending process … for customer acquisition, credit assessment, loan approval, disbursement, recovery, and associated customer service</w:t>
      </w:r>
      <w:r>
        <w:t xml:space="preserve">”</w:t>
      </w:r>
      <w:r>
        <w:t xml:space="preserve">.</w:t>
      </w:r>
    </w:p>
    <w:p>
      <w:pPr>
        <w:numPr>
          <w:ilvl w:val="1"/>
          <w:numId w:val="1261"/>
        </w:numPr>
        <w:pStyle w:val="Compact"/>
      </w:pPr>
      <w:r>
        <w:rPr>
          <w:bCs/>
          <w:b/>
        </w:rPr>
        <w:t xml:space="preserve">DLG</w:t>
      </w:r>
      <w:r>
        <w:t xml:space="preserve">, para 4(1)(viii): any contract under which another entity compensates the NBFC for default losses up to a percentage of the portfolio specified upfront. Any</w:t>
      </w:r>
      <w:r>
        <w:t xml:space="preserve"> </w:t>
      </w:r>
      <w:r>
        <w:rPr>
          <w:bCs/>
          <w:b/>
        </w:rPr>
        <w:t xml:space="preserve">implicit guarantee</w:t>
      </w:r>
      <w:r>
        <w:t xml:space="preserve"> </w:t>
      </w:r>
      <w:r>
        <w:t xml:space="preserve">of a similar nature linked to portfolio performance is also DLG.</w:t>
      </w:r>
    </w:p>
    <w:p>
      <w:pPr>
        <w:numPr>
          <w:ilvl w:val="1"/>
          <w:numId w:val="1261"/>
        </w:numPr>
        <w:pStyle w:val="Compact"/>
      </w:pPr>
      <w:r>
        <w:rPr>
          <w:bCs/>
          <w:b/>
        </w:rPr>
        <w:t xml:space="preserve">APR</w:t>
      </w:r>
      <w:r>
        <w:t xml:space="preserve"> </w:t>
      </w:r>
      <w:r>
        <w:t xml:space="preserve">has the RBC meaning (para 4(1)(ii); defined in RBC para 6(1); computation sheet in the KFS under RBC para 29(3)). The KFS itself is governed by RBC (para 9(1); see 8A.6).</w:t>
      </w:r>
    </w:p>
    <w:p>
      <w:pPr>
        <w:numPr>
          <w:ilvl w:val="1"/>
          <w:numId w:val="1261"/>
        </w:numPr>
        <w:pStyle w:val="Compact"/>
      </w:pPr>
      <w:r>
        <w:t xml:space="preserve">The PA proviso in para 4(1)(xix) says that a PA acting as an LSP complies with</w:t>
      </w:r>
      <w:r>
        <w:t xml:space="preserve"> </w:t>
      </w:r>
      <w:r>
        <w:t xml:space="preserve">“</w:t>
      </w:r>
      <w:r>
        <w:t xml:space="preserve">Chapter IV</w:t>
      </w:r>
      <w:r>
        <w:t xml:space="preserve">”</w:t>
      </w:r>
      <w:r>
        <w:t xml:space="preserve">. The evident intent is Chapter III (drafting slip; see Appendix F).</w:t>
      </w:r>
    </w:p>
    <w:p>
      <w:pPr>
        <w:numPr>
          <w:ilvl w:val="0"/>
          <w:numId w:val="1258"/>
        </w:numPr>
        <w:pStyle w:val="Compact"/>
      </w:pPr>
      <w:r>
        <w:rPr>
          <w:bCs/>
          <w:b/>
        </w:rPr>
        <w:t xml:space="preserve">Terminology.</w:t>
      </w:r>
      <w:r>
        <w:t xml:space="preserve"> </w:t>
      </w:r>
      <w:r>
        <w:t xml:space="preserve">The 2025 Directions use</w:t>
      </w:r>
      <w:r>
        <w:t xml:space="preserve"> </w:t>
      </w:r>
      <w:r>
        <w:t xml:space="preserve">“</w:t>
      </w:r>
      <w:r>
        <w:t xml:space="preserve">cooling-off period</w:t>
      </w:r>
      <w:r>
        <w:t xml:space="preserve">”</w:t>
      </w:r>
      <w:r>
        <w:t xml:space="preserve"> </w:t>
      </w:r>
      <w:r>
        <w:t xml:space="preserve">(para 11). The older term</w:t>
      </w:r>
      <w:r>
        <w:t xml:space="preserve"> </w:t>
      </w:r>
      <w:r>
        <w:t xml:space="preserve">“</w:t>
      </w:r>
      <w:r>
        <w:t xml:space="preserve">look-up period</w:t>
      </w:r>
      <w:r>
        <w:t xml:space="preserve">”</w:t>
      </w:r>
      <w:r>
        <w:t xml:space="preserve"> </w:t>
      </w:r>
      <w:r>
        <w:t xml:space="preserve">must not be used in the UI or in contracts.</w:t>
      </w:r>
    </w:p>
    <w:bookmarkEnd w:id="428"/>
    <w:bookmarkStart w:id="429" w:name="X5bf596c220e86a8ff86c3dfe7eda05d30a3c89c"/>
    <w:p>
      <w:pPr>
        <w:pStyle w:val="Heading3"/>
      </w:pPr>
      <w:r>
        <w:t xml:space="preserve">LSP engagement and RE due diligence (para 6)</w:t>
      </w:r>
    </w:p>
    <w:p>
      <w:pPr>
        <w:numPr>
          <w:ilvl w:val="0"/>
          <w:numId w:val="1262"/>
        </w:numPr>
        <w:pStyle w:val="Compact"/>
      </w:pPr>
      <w:r>
        <w:rPr>
          <w:rStyle w:val="VerbatimChar"/>
        </w:rPr>
        <w:t xml:space="preserve">REQ-CF-6(1)</w:t>
      </w:r>
      <w:r>
        <w:t xml:space="preserve"> </w:t>
      </w:r>
      <w:r>
        <w:rPr>
          <w:bCs/>
          <w:b/>
        </w:rPr>
        <w:t xml:space="preserve">[RE→UDOFIN contract]</w:t>
      </w:r>
      <w:r>
        <w:t xml:space="preserve"> </w:t>
      </w:r>
      <w:r>
        <w:t xml:space="preserve">Digital lending through Udofin happens only under a contract that</w:t>
      </w:r>
      <w:r>
        <w:t xml:space="preserve"> </w:t>
      </w:r>
      <w:r>
        <w:t xml:space="preserve">“</w:t>
      </w:r>
      <w:r>
        <w:t xml:space="preserve">clearly defines the respective roles, rights, and obligations of each party</w:t>
      </w:r>
      <w:r>
        <w:t xml:space="preserve">”</w:t>
      </w:r>
      <w:r>
        <w:t xml:space="preserve">.</w:t>
      </w:r>
    </w:p>
    <w:p>
      <w:pPr>
        <w:numPr>
          <w:ilvl w:val="1"/>
          <w:numId w:val="1263"/>
        </w:numPr>
        <w:pStyle w:val="Compact"/>
      </w:pPr>
      <w:r>
        <w:rPr>
          <w:iCs/>
          <w:i/>
        </w:rPr>
        <w:t xml:space="preserve">Build:</w:t>
      </w:r>
      <w:r>
        <w:t xml:space="preserve"> </w:t>
      </w:r>
      <w:r>
        <w:t xml:space="preserve">U1 LSP agreement registry with versioned contract metadata (scope of LSP functions, DLAs covered, recovery-agent appointment yes/no, DLG yes/no, data scope, effective dates). A tenant cannot go live without an active agreement record.</w:t>
      </w:r>
    </w:p>
    <w:p>
      <w:pPr>
        <w:numPr>
          <w:ilvl w:val="0"/>
          <w:numId w:val="1262"/>
        </w:numPr>
        <w:pStyle w:val="Compact"/>
      </w:pPr>
      <w:r>
        <w:rPr>
          <w:rStyle w:val="VerbatimChar"/>
        </w:rPr>
        <w:t xml:space="preserve">REQ-CF-6(2)</w:t>
      </w:r>
      <w:r>
        <w:t xml:space="preserve"> </w:t>
      </w:r>
      <w:r>
        <w:rPr>
          <w:bCs/>
          <w:b/>
        </w:rPr>
        <w:t xml:space="preserve">[RE]</w:t>
      </w:r>
      <w:r>
        <w:t xml:space="preserve"> </w:t>
      </w:r>
      <w:r>
        <w:t xml:space="preserve">Before contracting, the RE conducts enhanced due diligence on: the LSP’s technical capabilities; the robustness of its data privacy policies and storage systems; fairness in its conduct with borrowers; its past record of conduct; its ability to comply with all applicable regulations and statutes.</w:t>
      </w:r>
    </w:p>
    <w:p>
      <w:pPr>
        <w:numPr>
          <w:ilvl w:val="1"/>
          <w:numId w:val="1264"/>
        </w:numPr>
        <w:pStyle w:val="Compact"/>
      </w:pPr>
      <w:r>
        <w:rPr>
          <w:iCs/>
          <w:i/>
        </w:rPr>
        <w:t xml:space="preserve">Build:</w:t>
      </w:r>
      <w:r>
        <w:t xml:space="preserve"> </w:t>
      </w:r>
      <w:r>
        <w:t xml:space="preserve">U18</w:t>
      </w:r>
      <w:r>
        <w:t xml:space="preserve"> </w:t>
      </w:r>
      <w:r>
        <w:t xml:space="preserve">“</w:t>
      </w:r>
      <w:r>
        <w:t xml:space="preserve">RE due-diligence pack</w:t>
      </w:r>
      <w:r>
        <w:t xml:space="preserve">”</w:t>
      </w:r>
      <w:r>
        <w:t xml:space="preserve"> </w:t>
      </w:r>
      <w:r>
        <w:t xml:space="preserve">generator (security certifications, VAPT summaries, privacy and storage policies, grievance statistics, DLA register, sub-processor list) with a versioned evidence index.</w:t>
      </w:r>
    </w:p>
    <w:p>
      <w:pPr>
        <w:numPr>
          <w:ilvl w:val="0"/>
          <w:numId w:val="1262"/>
        </w:numPr>
        <w:pStyle w:val="Compact"/>
      </w:pPr>
      <w:r>
        <w:rPr>
          <w:rStyle w:val="VerbatimChar"/>
        </w:rPr>
        <w:t xml:space="preserve">REQ-CF-6(3)</w:t>
      </w:r>
      <w:r>
        <w:t xml:space="preserve"> </w:t>
      </w:r>
      <w:r>
        <w:rPr>
          <w:bCs/>
          <w:b/>
        </w:rPr>
        <w:t xml:space="preserve">[RE]</w:t>
      </w:r>
      <w:r>
        <w:t xml:space="preserve"> </w:t>
      </w:r>
      <w:r>
        <w:t xml:space="preserve">The RE periodically reviews the LSP’s conduct against the contract.</w:t>
      </w:r>
      <w:r>
        <w:t xml:space="preserve"> </w:t>
      </w:r>
      <w:r>
        <w:rPr>
          <w:rStyle w:val="VerbatimChar"/>
        </w:rPr>
        <w:t xml:space="preserve">REQ-CF-6(4)</w:t>
      </w:r>
      <w:r>
        <w:t xml:space="preserve"> </w:t>
      </w:r>
      <w:r>
        <w:rPr>
          <w:bCs/>
          <w:b/>
        </w:rPr>
        <w:t xml:space="preserve">[RE]</w:t>
      </w:r>
      <w:r>
        <w:t xml:space="preserve"> </w:t>
      </w:r>
      <w:r>
        <w:t xml:space="preserve">The RE sets policy-based monitoring of portfolios originated through LSPs.</w:t>
      </w:r>
    </w:p>
    <w:p>
      <w:pPr>
        <w:numPr>
          <w:ilvl w:val="1"/>
          <w:numId w:val="1265"/>
        </w:numPr>
        <w:pStyle w:val="Compact"/>
      </w:pPr>
      <w:r>
        <w:rPr>
          <w:iCs/>
          <w:i/>
        </w:rPr>
        <w:t xml:space="preserve">Build:</w:t>
      </w:r>
      <w:r>
        <w:t xml:space="preserve"> </w:t>
      </w:r>
      <w:r>
        <w:t xml:space="preserve">U19 lender dashboards (funnel, approval and rejection rates, complaint rates, DPD by vintage for Udofin-sourced loans) and a U18 audit-access role for RE reviewers.</w:t>
      </w:r>
    </w:p>
    <w:p>
      <w:pPr>
        <w:numPr>
          <w:ilvl w:val="0"/>
          <w:numId w:val="1262"/>
        </w:numPr>
        <w:pStyle w:val="Compact"/>
      </w:pPr>
      <w:r>
        <w:rPr>
          <w:rStyle w:val="VerbatimChar"/>
        </w:rPr>
        <w:t xml:space="preserve">REQ-CF-6(5)</w:t>
      </w:r>
      <w:r>
        <w:t xml:space="preserve"> </w:t>
      </w:r>
      <w:r>
        <w:rPr>
          <w:bCs/>
          <w:b/>
        </w:rPr>
        <w:t xml:space="preserve">[RE→UDOFIN contract]</w:t>
      </w:r>
      <w:r>
        <w:t xml:space="preserve"> </w:t>
      </w:r>
      <w:r>
        <w:t xml:space="preserve">Where Udofin acts as recovery agent, the RE guides it to comply with RBC and related instructions.</w:t>
      </w:r>
    </w:p>
    <w:p>
      <w:pPr>
        <w:numPr>
          <w:ilvl w:val="1"/>
          <w:numId w:val="1266"/>
        </w:numPr>
        <w:pStyle w:val="Compact"/>
      </w:pPr>
      <w:r>
        <w:rPr>
          <w:iCs/>
          <w:i/>
        </w:rPr>
        <w:t xml:space="preserve">Build:</w:t>
      </w:r>
      <w:r>
        <w:t xml:space="preserve"> </w:t>
      </w:r>
      <w:r>
        <w:t xml:space="preserve">U13 is enabled per RE only when the U1 agreement records a recovery-agent appointment. RBC conduct rules are loaded as U13 policy (see 8A.6).</w:t>
      </w:r>
    </w:p>
    <w:p>
      <w:pPr>
        <w:numPr>
          <w:ilvl w:val="0"/>
          <w:numId w:val="1262"/>
        </w:numPr>
        <w:pStyle w:val="Compact"/>
      </w:pPr>
      <w:r>
        <w:rPr>
          <w:rStyle w:val="VerbatimChar"/>
        </w:rPr>
        <w:t xml:space="preserve">REQ-CF-6(6)</w:t>
      </w:r>
      <w:r>
        <w:t xml:space="preserve"> </w:t>
      </w:r>
      <w:r>
        <w:rPr>
          <w:rStyle w:val="VerbatimChar"/>
        </w:rPr>
        <w:t xml:space="preserve">REQ-CF-6(7)</w:t>
      </w:r>
      <w:r>
        <w:t xml:space="preserve"> </w:t>
      </w:r>
      <w:r>
        <w:rPr>
          <w:bCs/>
          <w:b/>
        </w:rPr>
        <w:t xml:space="preserve">[RE→UDOFIN contract]</w:t>
      </w:r>
      <w:r>
        <w:t xml:space="preserve"> </w:t>
      </w:r>
      <w:r>
        <w:t xml:space="preserve">Udofin and its DLAs comply with these Directions and with OUT. Outsourcing never dilutes the RE’s liability.</w:t>
      </w:r>
    </w:p>
    <w:p>
      <w:pPr>
        <w:numPr>
          <w:ilvl w:val="1"/>
          <w:numId w:val="1267"/>
        </w:numPr>
        <w:pStyle w:val="Compact"/>
      </w:pPr>
      <w:r>
        <w:rPr>
          <w:iCs/>
          <w:i/>
        </w:rPr>
        <w:t xml:space="preserve">Build:</w:t>
      </w:r>
      <w:r>
        <w:t xml:space="preserve"> </w:t>
      </w:r>
      <w:r>
        <w:t xml:space="preserve">U18 maps every REQ-CF item to a control and to evidence the RE can inspect.</w:t>
      </w:r>
    </w:p>
    <w:bookmarkEnd w:id="429"/>
    <w:bookmarkStart w:id="430" w:name="multi-lender-offer-display-para-7"/>
    <w:p>
      <w:pPr>
        <w:pStyle w:val="Heading3"/>
      </w:pPr>
      <w:r>
        <w:t xml:space="preserve">Multi-lender offer display (para 7)</w:t>
      </w:r>
    </w:p>
    <w:p>
      <w:pPr>
        <w:pStyle w:val="FirstParagraph"/>
      </w:pPr>
      <w:r>
        <w:t xml:space="preserve">Udofin has agreements with several lenders, so para 7 applies to every offer journey.</w:t>
      </w:r>
    </w:p>
    <w:p>
      <w:pPr>
        <w:numPr>
          <w:ilvl w:val="0"/>
          <w:numId w:val="1268"/>
        </w:numPr>
        <w:pStyle w:val="Compact"/>
      </w:pPr>
      <w:r>
        <w:rPr>
          <w:rStyle w:val="VerbatimChar"/>
        </w:rPr>
        <w:t xml:space="preserve">REQ-CF-7(1)</w:t>
      </w:r>
      <w:r>
        <w:t xml:space="preserve"> </w:t>
      </w:r>
      <w:r>
        <w:rPr>
          <w:bCs/>
          <w:b/>
        </w:rPr>
        <w:t xml:space="preserve">[UDOFIN]</w:t>
      </w:r>
      <w:r>
        <w:t xml:space="preserve"> </w:t>
      </w:r>
      <w:r>
        <w:t xml:space="preserve">Show</w:t>
      </w:r>
      <w:r>
        <w:t xml:space="preserve"> </w:t>
      </w:r>
      <w:r>
        <w:t xml:space="preserve">“</w:t>
      </w:r>
      <w:r>
        <w:t xml:space="preserve">a digital view of all the loan offers matching the borrower’s request on the DLA</w:t>
      </w:r>
      <w:r>
        <w:t xml:space="preserve">”</w:t>
      </w:r>
      <w:r>
        <w:t xml:space="preserve">.</w:t>
      </w:r>
      <w:r>
        <w:t xml:space="preserve"> </w:t>
      </w:r>
      <w:r>
        <w:t xml:space="preserve">“</w:t>
      </w:r>
      <w:r>
        <w:t xml:space="preserve">The name of the unmatched lenders shall also be disclosed in the digital view.</w:t>
      </w:r>
      <w:r>
        <w:t xml:space="preserve">”</w:t>
      </w:r>
    </w:p>
    <w:p>
      <w:pPr>
        <w:numPr>
          <w:ilvl w:val="1"/>
          <w:numId w:val="1269"/>
        </w:numPr>
        <w:pStyle w:val="Compact"/>
      </w:pPr>
      <w:r>
        <w:rPr>
          <w:iCs/>
          <w:i/>
        </w:rPr>
        <w:t xml:space="preserve">Build:</w:t>
      </w:r>
      <w:r>
        <w:t xml:space="preserve"> </w:t>
      </w:r>
      <w:r>
        <w:t xml:space="preserve">U7 routing returns matched and unmatched lender sets for each request. U8 renders both. Suppressing an unmatched lender’s name is not configurable.</w:t>
      </w:r>
    </w:p>
    <w:p>
      <w:pPr>
        <w:numPr>
          <w:ilvl w:val="0"/>
          <w:numId w:val="1268"/>
        </w:numPr>
        <w:pStyle w:val="Compact"/>
      </w:pPr>
      <w:r>
        <w:rPr>
          <w:rStyle w:val="VerbatimChar"/>
        </w:rPr>
        <w:t xml:space="preserve">REQ-CF-7(2)</w:t>
      </w:r>
      <w:r>
        <w:t xml:space="preserve"> </w:t>
      </w:r>
      <w:r>
        <w:rPr>
          <w:bCs/>
          <w:b/>
        </w:rPr>
        <w:t xml:space="preserve">[UDOFIN]</w:t>
      </w:r>
      <w:r>
        <w:t xml:space="preserve"> </w:t>
      </w:r>
      <w:r>
        <w:t xml:space="preserve">Any matching mechanism may be used, but it must follow</w:t>
      </w:r>
      <w:r>
        <w:t xml:space="preserve"> </w:t>
      </w:r>
      <w:r>
        <w:t xml:space="preserve">“</w:t>
      </w:r>
      <w:r>
        <w:t xml:space="preserve">a consistent approach for similarly placed borrowers and products</w:t>
      </w:r>
      <w:r>
        <w:t xml:space="preserve">”</w:t>
      </w:r>
      <w:r>
        <w:t xml:space="preserve">. The mechanism and every change to it are documented.</w:t>
      </w:r>
    </w:p>
    <w:p>
      <w:pPr>
        <w:numPr>
          <w:ilvl w:val="1"/>
          <w:numId w:val="1270"/>
        </w:numPr>
        <w:pStyle w:val="Compact"/>
      </w:pPr>
      <w:r>
        <w:rPr>
          <w:iCs/>
          <w:i/>
        </w:rPr>
        <w:t xml:space="preserve">Build:</w:t>
      </w:r>
      <w:r>
        <w:t xml:space="preserve"> </w:t>
      </w:r>
      <w:r>
        <w:t xml:space="preserve">U7 matching rules run in GoRules ZEN as versioned decision models. Every evaluation stores the model version, the inputs and the result. Changes go through maker-checker approval, and an RE-visible change log is kept in U18.</w:t>
      </w:r>
    </w:p>
    <w:p>
      <w:pPr>
        <w:numPr>
          <w:ilvl w:val="0"/>
          <w:numId w:val="1268"/>
        </w:numPr>
        <w:pStyle w:val="Compact"/>
      </w:pPr>
      <w:r>
        <w:rPr>
          <w:rStyle w:val="VerbatimChar"/>
        </w:rPr>
        <w:t xml:space="preserve">REQ-CF-7(3)</w:t>
      </w:r>
      <w:r>
        <w:t xml:space="preserve"> </w:t>
      </w:r>
      <w:r>
        <w:rPr>
          <w:bCs/>
          <w:b/>
        </w:rPr>
        <w:t xml:space="preserve">[UDOFIN]</w:t>
      </w:r>
      <w:r>
        <w:t xml:space="preserve"> </w:t>
      </w:r>
      <w:r>
        <w:t xml:space="preserve">Each offer shows the lender name, the loan amount and tenor, the APR, the monthly repayment obligation and penal charges (if applicable),</w:t>
      </w:r>
      <w:r>
        <w:t xml:space="preserve"> </w:t>
      </w:r>
      <w:r>
        <w:t xml:space="preserve">“</w:t>
      </w:r>
      <w:r>
        <w:t xml:space="preserve">in a way which enables the borrower to make a fair comparison</w:t>
      </w:r>
      <w:r>
        <w:t xml:space="preserve">”</w:t>
      </w:r>
      <w:r>
        <w:t xml:space="preserve">, plus a link to each lender’s KFS.</w:t>
      </w:r>
    </w:p>
    <w:p>
      <w:pPr>
        <w:numPr>
          <w:ilvl w:val="1"/>
          <w:numId w:val="1271"/>
        </w:numPr>
        <w:pStyle w:val="Compact"/>
      </w:pPr>
      <w:r>
        <w:rPr>
          <w:iCs/>
          <w:i/>
        </w:rPr>
        <w:t xml:space="preserve">Build:</w:t>
      </w:r>
      <w:r>
        <w:t xml:space="preserve"> </w:t>
      </w:r>
      <w:r>
        <w:t xml:space="preserve">U8 offer card schema with all fields mandatory. APR and KFS come from the RE (</w:t>
      </w:r>
      <w:r>
        <w:rPr>
          <w:rStyle w:val="VerbatimChar"/>
        </w:rPr>
        <w:t xml:space="preserve">EligibilityCheck</w:t>
      </w:r>
      <w:r>
        <w:t xml:space="preserve">,</w:t>
      </w:r>
      <w:r>
        <w:t xml:space="preserve"> </w:t>
      </w:r>
      <w:r>
        <w:rPr>
          <w:rStyle w:val="VerbatimChar"/>
        </w:rPr>
        <w:t xml:space="preserve">KFSIssued</w:t>
      </w:r>
      <w:r>
        <w:t xml:space="preserve">) and are never computed or edited by Udofin.</w:t>
      </w:r>
    </w:p>
    <w:p>
      <w:pPr>
        <w:numPr>
          <w:ilvl w:val="0"/>
          <w:numId w:val="1268"/>
        </w:numPr>
        <w:pStyle w:val="Compact"/>
      </w:pPr>
      <w:r>
        <w:rPr>
          <w:rStyle w:val="VerbatimChar"/>
        </w:rPr>
        <w:t xml:space="preserve">REQ-CF-7(4)</w:t>
      </w:r>
      <w:r>
        <w:t xml:space="preserve"> </w:t>
      </w:r>
      <w:r>
        <w:rPr>
          <w:bCs/>
          <w:b/>
        </w:rPr>
        <w:t xml:space="preserve">[UDOFIN]</w:t>
      </w:r>
      <w:r>
        <w:t xml:space="preserve"> </w:t>
      </w:r>
      <w:r>
        <w:t xml:space="preserve">Content is</w:t>
      </w:r>
      <w:r>
        <w:t xml:space="preserve"> </w:t>
      </w:r>
      <w:r>
        <w:t xml:space="preserve">“</w:t>
      </w:r>
      <w:r>
        <w:t xml:space="preserve">unbiased, objective</w:t>
      </w:r>
      <w:r>
        <w:t xml:space="preserve">”</w:t>
      </w:r>
      <w:r>
        <w:t xml:space="preserve">. It must not promote or push a lender’s product, directly or indirectly, and must not use dark patterns (as defined in s.2(e) of the CCPA Dark Patterns Guidelines, 2023). Ranking is allowed only on</w:t>
      </w:r>
      <w:r>
        <w:t xml:space="preserve"> </w:t>
      </w:r>
      <w:r>
        <w:t xml:space="preserve">“</w:t>
      </w:r>
      <w:r>
        <w:t xml:space="preserve">a publicly pre-disclosed metric</w:t>
      </w:r>
      <w:r>
        <w:t xml:space="preserve">”</w:t>
      </w:r>
      <w:r>
        <w:t xml:space="preserve">.</w:t>
      </w:r>
    </w:p>
    <w:p>
      <w:pPr>
        <w:numPr>
          <w:ilvl w:val="1"/>
          <w:numId w:val="1272"/>
        </w:numPr>
        <w:pStyle w:val="Compact"/>
      </w:pPr>
      <w:r>
        <w:rPr>
          <w:iCs/>
          <w:i/>
        </w:rPr>
        <w:t xml:space="preserve">Build:</w:t>
      </w:r>
    </w:p>
    <w:p>
      <w:pPr>
        <w:numPr>
          <w:ilvl w:val="2"/>
          <w:numId w:val="1273"/>
        </w:numPr>
        <w:pStyle w:val="Compact"/>
      </w:pPr>
      <w:r>
        <w:t xml:space="preserve">U8 supports only ranking metrics published on Udofin’s website, with the metric version shown on screen.</w:t>
      </w:r>
    </w:p>
    <w:p>
      <w:pPr>
        <w:numPr>
          <w:ilvl w:val="2"/>
          <w:numId w:val="1273"/>
        </w:numPr>
        <w:pStyle w:val="Compact"/>
      </w:pPr>
      <w:r>
        <w:t xml:space="preserve">No</w:t>
      </w:r>
      <w:r>
        <w:t xml:space="preserve"> </w:t>
      </w:r>
      <w:r>
        <w:t xml:space="preserve">“</w:t>
      </w:r>
      <w:r>
        <w:t xml:space="preserve">recommended</w:t>
      </w:r>
      <w:r>
        <w:t xml:space="preserve">”</w:t>
      </w:r>
      <w:r>
        <w:t xml:space="preserve">,</w:t>
      </w:r>
      <w:r>
        <w:t xml:space="preserve"> </w:t>
      </w:r>
      <w:r>
        <w:t xml:space="preserve">“</w:t>
      </w:r>
      <w:r>
        <w:t xml:space="preserve">best</w:t>
      </w:r>
      <w:r>
        <w:t xml:space="preserve">”</w:t>
      </w:r>
      <w:r>
        <w:t xml:space="preserve">, sponsored badge or default pre-selection.</w:t>
      </w:r>
    </w:p>
    <w:p>
      <w:pPr>
        <w:numPr>
          <w:ilvl w:val="2"/>
          <w:numId w:val="1273"/>
        </w:numPr>
        <w:pStyle w:val="Compact"/>
      </w:pPr>
      <w:r>
        <w:t xml:space="preserve">A U18 UI review checklist against the 13 CCPA dark patterns runs before every release [VERIFY: current CCPA dark-pattern list].</w:t>
      </w:r>
    </w:p>
    <w:p>
      <w:pPr>
        <w:numPr>
          <w:ilvl w:val="2"/>
          <w:numId w:val="1273"/>
        </w:numPr>
        <w:pStyle w:val="Compact"/>
      </w:pPr>
      <w:r>
        <w:t xml:space="preserve">Commercial terms (fee rate) are never a ranking input.</w:t>
      </w:r>
    </w:p>
    <w:bookmarkEnd w:id="430"/>
    <w:bookmarkStart w:id="431" w:name="X2ba2fb49fca1b415fd2a405386af19ae9d5195d"/>
    <w:p>
      <w:pPr>
        <w:pStyle w:val="Heading3"/>
      </w:pPr>
      <w:r>
        <w:t xml:space="preserve">Creditworthiness, disclosures and recovery-agent notice (paras 8–9)</w:t>
      </w:r>
    </w:p>
    <w:p>
      <w:pPr>
        <w:numPr>
          <w:ilvl w:val="0"/>
          <w:numId w:val="1274"/>
        </w:numPr>
        <w:pStyle w:val="Compact"/>
      </w:pPr>
      <w:r>
        <w:rPr>
          <w:rStyle w:val="VerbatimChar"/>
        </w:rPr>
        <w:t xml:space="preserve">REQ-CF-8(1)</w:t>
      </w:r>
      <w:r>
        <w:t xml:space="preserve"> </w:t>
      </w:r>
      <w:r>
        <w:rPr>
          <w:bCs/>
          <w:b/>
        </w:rPr>
        <w:t xml:space="preserve">[RE]</w:t>
      </w:r>
      <w:r>
        <w:t xml:space="preserve"> </w:t>
      </w:r>
      <w:r>
        <w:t xml:space="preserve">Before any loan, obtain the borrower’s economic profile, at minimum</w:t>
      </w:r>
      <w:r>
        <w:t xml:space="preserve"> </w:t>
      </w:r>
      <w:r>
        <w:rPr>
          <w:bCs/>
          <w:b/>
        </w:rPr>
        <w:t xml:space="preserve">age, occupation and income</w:t>
      </w:r>
      <w:r>
        <w:t xml:space="preserve">, and keep it for audit.</w:t>
      </w:r>
    </w:p>
    <w:p>
      <w:pPr>
        <w:numPr>
          <w:ilvl w:val="1"/>
          <w:numId w:val="1275"/>
        </w:numPr>
        <w:pStyle w:val="Compact"/>
      </w:pPr>
      <w:r>
        <w:rPr>
          <w:iCs/>
          <w:i/>
        </w:rPr>
        <w:t xml:space="preserve">Build:</w:t>
      </w:r>
      <w:r>
        <w:t xml:space="preserve"> </w:t>
      </w:r>
      <w:r>
        <w:t xml:space="preserve">U6 and U7 make age, occupation and income mandatory fields with source evidence, passed to the RE in</w:t>
      </w:r>
      <w:r>
        <w:t xml:space="preserve"> </w:t>
      </w:r>
      <w:r>
        <w:rPr>
          <w:rStyle w:val="VerbatimChar"/>
        </w:rPr>
        <w:t xml:space="preserve">ApplicationSubmitted</w:t>
      </w:r>
      <w:r>
        <w:t xml:space="preserve">.</w:t>
      </w:r>
    </w:p>
    <w:p>
      <w:pPr>
        <w:numPr>
          <w:ilvl w:val="0"/>
          <w:numId w:val="1274"/>
        </w:numPr>
        <w:pStyle w:val="Compact"/>
      </w:pPr>
      <w:r>
        <w:rPr>
          <w:rStyle w:val="VerbatimChar"/>
        </w:rPr>
        <w:t xml:space="preserve">REQ-CF-8(2)</w:t>
      </w:r>
      <w:r>
        <w:t xml:space="preserve"> </w:t>
      </w:r>
      <w:r>
        <w:rPr>
          <w:bCs/>
          <w:b/>
        </w:rPr>
        <w:t xml:space="preserve">[RE]</w:t>
      </w:r>
      <w:r>
        <w:t xml:space="preserve"> </w:t>
      </w:r>
      <w:r>
        <w:t xml:space="preserve">No automatic increase in credit limit</w:t>
      </w:r>
      <w:r>
        <w:t xml:space="preserve"> </w:t>
      </w:r>
      <w:r>
        <w:t xml:space="preserve">“</w:t>
      </w:r>
      <w:r>
        <w:t xml:space="preserve">unless an explicit request is received, evaluated and kept on record from the borrower</w:t>
      </w:r>
      <w:r>
        <w:t xml:space="preserve">”</w:t>
      </w:r>
      <w:r>
        <w:t xml:space="preserve">.</w:t>
      </w:r>
    </w:p>
    <w:p>
      <w:pPr>
        <w:numPr>
          <w:ilvl w:val="1"/>
          <w:numId w:val="1276"/>
        </w:numPr>
        <w:pStyle w:val="Compact"/>
      </w:pPr>
      <w:r>
        <w:rPr>
          <w:iCs/>
          <w:i/>
        </w:rPr>
        <w:t xml:space="preserve">Build:</w:t>
      </w:r>
      <w:r>
        <w:t xml:space="preserve"> </w:t>
      </w:r>
      <w:r>
        <w:t xml:space="preserve">U12 offers limit increases only on a borrower-initiated, timestamped request event. There are no pre-ticked or auto-accept flows.</w:t>
      </w:r>
    </w:p>
    <w:p>
      <w:pPr>
        <w:numPr>
          <w:ilvl w:val="0"/>
          <w:numId w:val="1274"/>
        </w:numPr>
        <w:pStyle w:val="Compact"/>
      </w:pPr>
      <w:r>
        <w:rPr>
          <w:rStyle w:val="VerbatimChar"/>
        </w:rPr>
        <w:t xml:space="preserve">REQ-CF-9(1)</w:t>
      </w:r>
      <w:r>
        <w:t xml:space="preserve"> </w:t>
      </w:r>
      <w:r>
        <w:rPr>
          <w:rStyle w:val="VerbatimChar"/>
        </w:rPr>
        <w:t xml:space="preserve">REQ-CF-9(2)</w:t>
      </w:r>
      <w:r>
        <w:t xml:space="preserve"> </w:t>
      </w:r>
      <w:r>
        <w:rPr>
          <w:bCs/>
          <w:b/>
        </w:rPr>
        <w:t xml:space="preserve">[RE]</w:t>
      </w:r>
      <w:r>
        <w:t xml:space="preserve"> </w:t>
      </w:r>
      <w:r>
        <w:t xml:space="preserve">The KFS and penal charges follow RBC (see 8A.6).</w:t>
      </w:r>
    </w:p>
    <w:p>
      <w:pPr>
        <w:numPr>
          <w:ilvl w:val="1"/>
          <w:numId w:val="1277"/>
        </w:numPr>
        <w:pStyle w:val="Compact"/>
      </w:pPr>
      <w:r>
        <w:rPr>
          <w:iCs/>
          <w:i/>
        </w:rPr>
        <w:t xml:space="preserve">Build:</w:t>
      </w:r>
      <w:r>
        <w:t xml:space="preserve"> </w:t>
      </w:r>
      <w:r>
        <w:t xml:space="preserve">U8 displays the RE-issued KFS unaltered, with its unique proposal number and validity period (at least 3 working days for tenor of 7 days or more; 1 working day for tenor under 7 days, RBC para 29(2)). Udofin captures the borrower’s acknowledgement.</w:t>
      </w:r>
    </w:p>
    <w:p>
      <w:pPr>
        <w:numPr>
          <w:ilvl w:val="0"/>
          <w:numId w:val="1274"/>
        </w:numPr>
        <w:pStyle w:val="Compact"/>
      </w:pPr>
      <w:r>
        <w:rPr>
          <w:rStyle w:val="VerbatimChar"/>
        </w:rPr>
        <w:t xml:space="preserve">REQ-CF-9(3)</w:t>
      </w:r>
      <w:r>
        <w:t xml:space="preserve"> </w:t>
      </w:r>
      <w:r>
        <w:rPr>
          <w:bCs/>
          <w:b/>
        </w:rPr>
        <w:t xml:space="preserve">[RE]</w:t>
      </w:r>
      <w:r>
        <w:t xml:space="preserve"> </w:t>
      </w:r>
      <w:r>
        <w:t xml:space="preserve">Digitally signed documents</w:t>
      </w:r>
      <w:r>
        <w:t xml:space="preserve"> </w:t>
      </w:r>
      <w:r>
        <w:t xml:space="preserve">“</w:t>
      </w:r>
      <w:r>
        <w:t xml:space="preserve">on the letter head of the NBFC</w:t>
      </w:r>
      <w:r>
        <w:t xml:space="preserve">”</w:t>
      </w:r>
      <w:r>
        <w:t xml:space="preserve"> </w:t>
      </w:r>
      <w:r>
        <w:t xml:space="preserve">automatically flow to the borrower’s registered and verified email/SMS upon execution: KFS; summary of loan product; sanction letter; terms and conditions; account statements; privacy policies of the NBFC/LSP.</w:t>
      </w:r>
    </w:p>
    <w:p>
      <w:pPr>
        <w:numPr>
          <w:ilvl w:val="1"/>
          <w:numId w:val="1278"/>
        </w:numPr>
        <w:pStyle w:val="Compact"/>
      </w:pPr>
      <w:r>
        <w:rPr>
          <w:iCs/>
          <w:i/>
        </w:rPr>
        <w:t xml:space="preserve">Build:</w:t>
      </w:r>
      <w:r>
        <w:t xml:space="preserve"> </w:t>
      </w:r>
      <w:r>
        <w:t xml:space="preserve">U9 and U16 may deliver the RE’s signed pack on the RE’s behalf if the contract says so. Udofin never re-renders RE documents. Udofin supplies its current privacy-policy version to each RE through the U1 onboarding pack.</w:t>
      </w:r>
    </w:p>
    <w:p>
      <w:pPr>
        <w:numPr>
          <w:ilvl w:val="0"/>
          <w:numId w:val="1274"/>
        </w:numPr>
        <w:pStyle w:val="Compact"/>
      </w:pPr>
      <w:r>
        <w:rPr>
          <w:rStyle w:val="VerbatimChar"/>
        </w:rPr>
        <w:t xml:space="preserve">REQ-CF-9(4)</w:t>
      </w:r>
      <w:r>
        <w:t xml:space="preserve"> </w:t>
      </w:r>
      <w:r>
        <w:rPr>
          <w:rStyle w:val="VerbatimChar"/>
        </w:rPr>
        <w:t xml:space="preserve">REQ-CF-9(5)</w:t>
      </w:r>
      <w:r>
        <w:t xml:space="preserve"> </w:t>
      </w:r>
      <w:r>
        <w:rPr>
          <w:bCs/>
          <w:b/>
        </w:rPr>
        <w:t xml:space="preserve">[RE]</w:t>
      </w:r>
      <w:r>
        <w:t xml:space="preserve"> </w:t>
      </w:r>
      <w:r>
        <w:t xml:space="preserve">The RE’s website shows, at</w:t>
      </w:r>
      <w:r>
        <w:t xml:space="preserve"> </w:t>
      </w:r>
      <w:r>
        <w:t xml:space="preserve">“</w:t>
      </w:r>
      <w:r>
        <w:t xml:space="preserve">a prominent single place</w:t>
      </w:r>
      <w:r>
        <w:t xml:space="preserve">”</w:t>
      </w:r>
      <w:r>
        <w:t xml:space="preserve">, its LSPs, their DLAs and the activities they are engaged for. DLAs and LSPs link to that page.</w:t>
      </w:r>
    </w:p>
    <w:p>
      <w:pPr>
        <w:numPr>
          <w:ilvl w:val="1"/>
          <w:numId w:val="1279"/>
        </w:numPr>
        <w:pStyle w:val="Compact"/>
      </w:pPr>
      <w:r>
        <w:rPr>
          <w:iCs/>
          <w:i/>
        </w:rPr>
        <w:t xml:space="preserve">Build:</w:t>
      </w:r>
      <w:r>
        <w:t xml:space="preserve"> </w:t>
      </w:r>
      <w:r>
        <w:t xml:space="preserve">U23 shows a per-RE disclosure panel in every DLA, linking to the RE’s page (the URL comes from</w:t>
      </w:r>
      <w:r>
        <w:t xml:space="preserve"> </w:t>
      </w:r>
      <w:r>
        <w:rPr>
          <w:rStyle w:val="VerbatimChar"/>
        </w:rPr>
        <w:t xml:space="preserve">ProductCatalogPublished</w:t>
      </w:r>
      <w:r>
        <w:t xml:space="preserve">). U1 holds the activity list each RE must publish.</w:t>
      </w:r>
    </w:p>
    <w:p>
      <w:pPr>
        <w:numPr>
          <w:ilvl w:val="0"/>
          <w:numId w:val="1274"/>
        </w:numPr>
        <w:pStyle w:val="Compact"/>
      </w:pPr>
      <w:r>
        <w:rPr>
          <w:rStyle w:val="VerbatimChar"/>
        </w:rPr>
        <w:t xml:space="preserve">REQ-CF-9(6)</w:t>
      </w:r>
      <w:r>
        <w:t xml:space="preserve"> </w:t>
      </w:r>
      <w:r>
        <w:rPr>
          <w:bCs/>
          <w:b/>
        </w:rPr>
        <w:t xml:space="preserve">[RE→UDOFIN contract]</w:t>
      </w:r>
      <w:r>
        <w:t xml:space="preserve"> </w:t>
      </w:r>
      <w:r>
        <w:t xml:space="preserve">When a recovery agent is assigned or changed on a defaulted loan, its particulars are sent to the borrower by email/SMS</w:t>
      </w:r>
      <w:r>
        <w:t xml:space="preserve"> </w:t>
      </w:r>
      <w:r>
        <w:rPr>
          <w:bCs/>
          <w:b/>
        </w:rPr>
        <w:t xml:space="preserve">before</w:t>
      </w:r>
      <w:r>
        <w:t xml:space="preserve"> </w:t>
      </w:r>
      <w:r>
        <w:t xml:space="preserve">the agent contacts the borrower.</w:t>
      </w:r>
    </w:p>
    <w:p>
      <w:pPr>
        <w:numPr>
          <w:ilvl w:val="1"/>
          <w:numId w:val="1280"/>
        </w:numPr>
        <w:pStyle w:val="Compact"/>
      </w:pPr>
      <w:r>
        <w:rPr>
          <w:iCs/>
          <w:i/>
        </w:rPr>
        <w:t xml:space="preserve">Build:</w:t>
      </w:r>
      <w:r>
        <w:t xml:space="preserve"> </w:t>
      </w:r>
      <w:r>
        <w:t xml:space="preserve">U13 hard gate: no call, message or visit task can be created for an allocation until a delivered-notice record exists for that agent and loan. This applies whether the RE sends the notice or Udofin sends it on the RE’s behalf (</w:t>
      </w:r>
      <w:r>
        <w:rPr>
          <w:rStyle w:val="VerbatimChar"/>
        </w:rPr>
        <w:t xml:space="preserve">CollectionAllocated</w:t>
      </w:r>
      <w:r>
        <w:t xml:space="preserve">). RBC paras 95–97 (notice, authorisation letter, ID card) apply as well.</w:t>
      </w:r>
    </w:p>
    <w:bookmarkEnd w:id="431"/>
    <w:bookmarkStart w:id="432" w:name="fund-flows-para-10"/>
    <w:p>
      <w:pPr>
        <w:pStyle w:val="Heading3"/>
      </w:pPr>
      <w:r>
        <w:t xml:space="preserve">Fund flows (para 10)</w:t>
      </w:r>
    </w:p>
    <w:p>
      <w:pPr>
        <w:numPr>
          <w:ilvl w:val="0"/>
          <w:numId w:val="1281"/>
        </w:numPr>
        <w:pStyle w:val="Compact"/>
      </w:pPr>
      <w:r>
        <w:rPr>
          <w:rStyle w:val="VerbatimChar"/>
        </w:rPr>
        <w:t xml:space="preserve">REQ-CF-10(1)</w:t>
      </w:r>
      <w:r>
        <w:t xml:space="preserve"> </w:t>
      </w:r>
      <w:r>
        <w:rPr>
          <w:bCs/>
          <w:b/>
        </w:rPr>
        <w:t xml:space="preserve">[RE]</w:t>
      </w:r>
      <w:r>
        <w:t xml:space="preserve"> </w:t>
      </w:r>
      <w:r>
        <w:t xml:space="preserve">Disbursal always goes into the borrower’s bank account. The only exceptions are:</w:t>
      </w:r>
    </w:p>
    <w:p>
      <w:pPr>
        <w:numPr>
          <w:ilvl w:val="1"/>
          <w:numId w:val="1282"/>
        </w:numPr>
        <w:pStyle w:val="Compact"/>
      </w:pPr>
      <w:r>
        <w:t xml:space="preserve">a statutory or regulatory mandate;</w:t>
      </w:r>
    </w:p>
    <w:p>
      <w:pPr>
        <w:numPr>
          <w:ilvl w:val="1"/>
          <w:numId w:val="1282"/>
        </w:numPr>
        <w:pStyle w:val="Compact"/>
      </w:pPr>
      <w:r>
        <w:t xml:space="preserve">co-lending flows between lenders;</w:t>
      </w:r>
    </w:p>
    <w:p>
      <w:pPr>
        <w:numPr>
          <w:ilvl w:val="1"/>
          <w:numId w:val="1282"/>
        </w:numPr>
        <w:pStyle w:val="Compact"/>
      </w:pPr>
      <w:r>
        <w:t xml:space="preserve">a specific end use, paid directly to the end-beneficiary’s bank account.</w:t>
      </w:r>
    </w:p>
    <w:p>
      <w:pPr>
        <w:numPr>
          <w:ilvl w:val="1"/>
          <w:numId w:val="1282"/>
        </w:numPr>
        <w:pStyle w:val="Compact"/>
      </w:pPr>
      <w:r>
        <w:t xml:space="preserve">It never goes to a third-party or LSP account.</w:t>
      </w:r>
    </w:p>
    <w:p>
      <w:pPr>
        <w:numPr>
          <w:ilvl w:val="1"/>
          <w:numId w:val="1282"/>
        </w:numPr>
        <w:pStyle w:val="Compact"/>
      </w:pPr>
      <w:r>
        <w:t xml:space="preserve">Salary advances may be repaid by the employer by salary deduction, directly from the employer’s bank account, and</w:t>
      </w:r>
      <w:r>
        <w:t xml:space="preserve"> </w:t>
      </w:r>
      <w:r>
        <w:t xml:space="preserve">“</w:t>
      </w:r>
      <w:r>
        <w:t xml:space="preserve">LSPs do not have any control over the flow of funds</w:t>
      </w:r>
      <w:r>
        <w:t xml:space="preserve">”</w:t>
      </w:r>
      <w:r>
        <w:t xml:space="preserve">.</w:t>
      </w:r>
    </w:p>
    <w:p>
      <w:pPr>
        <w:numPr>
          <w:ilvl w:val="1"/>
          <w:numId w:val="1282"/>
        </w:numPr>
        <w:pStyle w:val="Compact"/>
      </w:pPr>
      <w:r>
        <w:rPr>
          <w:iCs/>
          <w:i/>
        </w:rPr>
        <w:t xml:space="preserve">Build:</w:t>
      </w:r>
      <w:r>
        <w:t xml:space="preserve"> </w:t>
      </w:r>
      <w:r>
        <w:t xml:space="preserve">U10 orchestrates status only. U2 product configuration rejects any beneficiary that is not the verified borrower account, except for an RE-flagged end-use product with a verified beneficiary.</w:t>
      </w:r>
    </w:p>
    <w:p>
      <w:pPr>
        <w:numPr>
          <w:ilvl w:val="0"/>
          <w:numId w:val="1281"/>
        </w:numPr>
        <w:pStyle w:val="Compact"/>
      </w:pPr>
      <w:r>
        <w:rPr>
          <w:rStyle w:val="VerbatimChar"/>
        </w:rPr>
        <w:t xml:space="preserve">REQ-CF-10(2)</w:t>
      </w:r>
      <w:r>
        <w:t xml:space="preserve"> </w:t>
      </w:r>
      <w:r>
        <w:rPr>
          <w:rStyle w:val="VerbatimChar"/>
        </w:rPr>
        <w:t xml:space="preserve">REQ-CF-10(3)</w:t>
      </w:r>
      <w:r>
        <w:t xml:space="preserve"> </w:t>
      </w:r>
      <w:r>
        <w:rPr>
          <w:bCs/>
          <w:b/>
        </w:rPr>
        <w:t xml:space="preserve">[RE]</w:t>
      </w:r>
      <w:r>
        <w:t xml:space="preserve"> </w:t>
      </w:r>
      <w:r>
        <w:t xml:space="preserve">All servicing and repayment goes directly to the RE’s bank account, with no pass-through or pool account of any third party, including the LSP. The flow of funds between borrower and RE is not controlled by a third party, directly or indirectly.</w:t>
      </w:r>
    </w:p>
    <w:p>
      <w:pPr>
        <w:numPr>
          <w:ilvl w:val="1"/>
          <w:numId w:val="1283"/>
        </w:numPr>
        <w:pStyle w:val="Compact"/>
      </w:pPr>
      <w:r>
        <w:rPr>
          <w:iCs/>
          <w:i/>
        </w:rPr>
        <w:t xml:space="preserve">Build:</w:t>
      </w:r>
      <w:r>
        <w:t xml:space="preserve"> </w:t>
      </w:r>
      <w:r>
        <w:t xml:space="preserve">U11 creates payment links, UPI intents and mandates only on the RE’s merchant, collection or sponsor-bank accounts, with settlement to the RE. Udofin has no nodal, escrow or virtual account in the money path. A U21 configuration validator blocks any connector setup that names a Udofin account.</w:t>
      </w:r>
    </w:p>
    <w:p>
      <w:pPr>
        <w:numPr>
          <w:ilvl w:val="0"/>
          <w:numId w:val="1281"/>
        </w:numPr>
        <w:pStyle w:val="Compact"/>
      </w:pPr>
      <w:r>
        <w:rPr>
          <w:rStyle w:val="VerbatimChar"/>
        </w:rPr>
        <w:t xml:space="preserve">REQ-CF-10(4)</w:t>
      </w:r>
      <w:r>
        <w:t xml:space="preserve"> </w:t>
      </w:r>
      <w:r>
        <w:rPr>
          <w:bCs/>
          <w:b/>
        </w:rPr>
        <w:t xml:space="preserve">[RE→UDOFIN contract]</w:t>
      </w:r>
      <w:r>
        <w:t xml:space="preserve"> </w:t>
      </w:r>
      <w:r>
        <w:t xml:space="preserve">LSP fees, charges and reimbursements are paid by the RE and</w:t>
      </w:r>
      <w:r>
        <w:t xml:space="preserve"> </w:t>
      </w:r>
      <w:r>
        <w:t xml:space="preserve">“</w:t>
      </w:r>
      <w:r>
        <w:t xml:space="preserve">are not charged to or collected from the borrowers separately by LSP</w:t>
      </w:r>
      <w:r>
        <w:t xml:space="preserve">”</w:t>
      </w:r>
      <w:r>
        <w:t xml:space="preserve">.</w:t>
      </w:r>
    </w:p>
    <w:p>
      <w:pPr>
        <w:numPr>
          <w:ilvl w:val="1"/>
          <w:numId w:val="1284"/>
        </w:numPr>
        <w:pStyle w:val="Compact"/>
      </w:pPr>
      <w:r>
        <w:rPr>
          <w:iCs/>
          <w:i/>
        </w:rPr>
        <w:t xml:space="preserve">Build:</w:t>
      </w:r>
      <w:r>
        <w:t xml:space="preserve"> </w:t>
      </w:r>
      <w:r>
        <w:t xml:space="preserve">U17 invoices the RE only. U2 and U8 cannot create any borrower-facing Udofin fee, including convenience, platform or report fees.</w:t>
      </w:r>
    </w:p>
    <w:p>
      <w:pPr>
        <w:numPr>
          <w:ilvl w:val="0"/>
          <w:numId w:val="1281"/>
        </w:numPr>
        <w:pStyle w:val="Compact"/>
      </w:pPr>
      <w:r>
        <w:rPr>
          <w:rStyle w:val="VerbatimChar"/>
        </w:rPr>
        <w:t xml:space="preserve">REQ-CF-10(5)</w:t>
      </w:r>
      <w:r>
        <w:t xml:space="preserve"> </w:t>
      </w:r>
      <w:r>
        <w:rPr>
          <w:bCs/>
          <w:b/>
        </w:rPr>
        <w:t xml:space="preserve">[RE→UDOFIN contract]</w:t>
      </w:r>
      <w:r>
        <w:t xml:space="preserve"> </w:t>
      </w:r>
      <w:r>
        <w:t xml:space="preserve">For delinquent loans only, the RE may recover in cash through a physical interface. Cash recovered must be</w:t>
      </w:r>
      <w:r>
        <w:t xml:space="preserve"> </w:t>
      </w:r>
      <w:r>
        <w:t xml:space="preserve">“</w:t>
      </w:r>
      <w:r>
        <w:t xml:space="preserve">duly reflected in full in the borrower’s account on the same day</w:t>
      </w:r>
      <w:r>
        <w:t xml:space="preserve">”</w:t>
      </w:r>
      <w:r>
        <w:t xml:space="preserve">, and the LSP’s fees for that recovery are paid by the RE, never deducted from the proceeds.</w:t>
      </w:r>
    </w:p>
    <w:p>
      <w:pPr>
        <w:numPr>
          <w:ilvl w:val="1"/>
          <w:numId w:val="1285"/>
        </w:numPr>
        <w:pStyle w:val="Compact"/>
      </w:pPr>
      <w:r>
        <w:rPr>
          <w:iCs/>
          <w:i/>
        </w:rPr>
        <w:t xml:space="preserve">Build:</w:t>
      </w:r>
    </w:p>
    <w:p>
      <w:pPr>
        <w:numPr>
          <w:ilvl w:val="2"/>
          <w:numId w:val="1286"/>
        </w:numPr>
        <w:pStyle w:val="Compact"/>
      </w:pPr>
      <w:r>
        <w:t xml:space="preserve">U22 and U13 enable cash receipts only on loans with overdue status in the U12 mirror.</w:t>
      </w:r>
    </w:p>
    <w:p>
      <w:pPr>
        <w:numPr>
          <w:ilvl w:val="2"/>
          <w:numId w:val="1286"/>
        </w:numPr>
        <w:pStyle w:val="Compact"/>
      </w:pPr>
      <w:r>
        <w:t xml:space="preserve">Each receipt is issued for the full amount and sent to the RE (</w:t>
      </w:r>
      <w:r>
        <w:rPr>
          <w:rStyle w:val="VerbatimChar"/>
        </w:rPr>
        <w:t xml:space="preserve">ReceiptIssued</w:t>
      </w:r>
      <w:r>
        <w:t xml:space="preserve">) the same day.</w:t>
      </w:r>
    </w:p>
    <w:p>
      <w:pPr>
        <w:numPr>
          <w:ilvl w:val="2"/>
          <w:numId w:val="1286"/>
        </w:numPr>
        <w:pStyle w:val="Compact"/>
      </w:pPr>
      <w:r>
        <w:t xml:space="preserve">Udofin’s fee is never netted.</w:t>
      </w:r>
    </w:p>
    <w:p>
      <w:pPr>
        <w:numPr>
          <w:ilvl w:val="2"/>
          <w:numId w:val="1286"/>
        </w:numPr>
        <w:pStyle w:val="Compact"/>
      </w:pPr>
      <w:r>
        <w:t xml:space="preserve">U17 runs a cash-in-transit ledger and daily reconciliation, and escalates any receipt not acknowledged by the RE’s LMS by end of day.</w:t>
      </w:r>
    </w:p>
    <w:bookmarkEnd w:id="432"/>
    <w:bookmarkStart w:id="433" w:name="cooling-off-para-11"/>
    <w:p>
      <w:pPr>
        <w:pStyle w:val="Heading3"/>
      </w:pPr>
      <w:r>
        <w:t xml:space="preserve">Cooling-off (para 11)</w:t>
      </w:r>
    </w:p>
    <w:p>
      <w:pPr>
        <w:numPr>
          <w:ilvl w:val="0"/>
          <w:numId w:val="1287"/>
        </w:numPr>
        <w:pStyle w:val="Compact"/>
      </w:pPr>
      <w:r>
        <w:rPr>
          <w:rStyle w:val="VerbatimChar"/>
        </w:rPr>
        <w:t xml:space="preserve">REQ-CF-11(1)</w:t>
      </w:r>
      <w:r>
        <w:t xml:space="preserve"> </w:t>
      </w:r>
      <w:r>
        <w:rPr>
          <w:bCs/>
          <w:b/>
        </w:rPr>
        <w:t xml:space="preserve">[RE]</w:t>
      </w:r>
      <w:r>
        <w:t xml:space="preserve"> </w:t>
      </w:r>
      <w:r>
        <w:t xml:space="preserve">The borrower gets</w:t>
      </w:r>
      <w:r>
        <w:t xml:space="preserve"> </w:t>
      </w:r>
      <w:r>
        <w:t xml:space="preserve">“</w:t>
      </w:r>
      <w:r>
        <w:t xml:space="preserve">an explicit option to exit a digital loan by paying the principal and the proportionate APR without any penalty</w:t>
      </w:r>
      <w:r>
        <w:t xml:space="preserve">”</w:t>
      </w:r>
      <w:r>
        <w:t xml:space="preserve"> </w:t>
      </w:r>
      <w:r>
        <w:t xml:space="preserve">during a cooling-off period. The RE fixes the period in its credit policy, and it is</w:t>
      </w:r>
      <w:r>
        <w:t xml:space="preserve"> </w:t>
      </w:r>
      <w:r>
        <w:rPr>
          <w:bCs/>
          <w:b/>
        </w:rPr>
        <w:t xml:space="preserve">not less than one day</w:t>
      </w:r>
      <w:r>
        <w:t xml:space="preserve">. After that, prepayment follows RBC.</w:t>
      </w:r>
    </w:p>
    <w:p>
      <w:pPr>
        <w:numPr>
          <w:ilvl w:val="0"/>
          <w:numId w:val="1287"/>
        </w:numPr>
        <w:pStyle w:val="Compact"/>
      </w:pPr>
      <w:r>
        <w:rPr>
          <w:rStyle w:val="VerbatimChar"/>
        </w:rPr>
        <w:t xml:space="preserve">REQ-CF-11(2)</w:t>
      </w:r>
      <w:r>
        <w:t xml:space="preserve"> </w:t>
      </w:r>
      <w:r>
        <w:rPr>
          <w:bCs/>
          <w:b/>
        </w:rPr>
        <w:t xml:space="preserve">[RE]</w:t>
      </w:r>
      <w:r>
        <w:t xml:space="preserve"> </w:t>
      </w:r>
      <w:r>
        <w:t xml:space="preserve">A</w:t>
      </w:r>
      <w:r>
        <w:t xml:space="preserve"> </w:t>
      </w:r>
      <w:r>
        <w:t xml:space="preserve">“</w:t>
      </w:r>
      <w:r>
        <w:t xml:space="preserve">reasonable one-time processing fee</w:t>
      </w:r>
      <w:r>
        <w:t xml:space="preserve">”</w:t>
      </w:r>
      <w:r>
        <w:t xml:space="preserve"> </w:t>
      </w:r>
      <w:r>
        <w:t xml:space="preserve">may be retained on exit only if disclosed upfront in the KFS.</w:t>
      </w:r>
    </w:p>
    <w:p>
      <w:pPr>
        <w:numPr>
          <w:ilvl w:val="1"/>
          <w:numId w:val="1288"/>
        </w:numPr>
        <w:pStyle w:val="Compact"/>
      </w:pPr>
      <w:r>
        <w:rPr>
          <w:iCs/>
          <w:i/>
        </w:rPr>
        <w:t xml:space="preserve">Build:</w:t>
      </w:r>
    </w:p>
    <w:p>
      <w:pPr>
        <w:numPr>
          <w:ilvl w:val="2"/>
          <w:numId w:val="1289"/>
        </w:numPr>
        <w:pStyle w:val="Compact"/>
      </w:pPr>
      <w:r>
        <w:t xml:space="preserve">U8 shows the RE’s period and exit terms before acceptance.</w:t>
      </w:r>
    </w:p>
    <w:p>
      <w:pPr>
        <w:numPr>
          <w:ilvl w:val="2"/>
          <w:numId w:val="1289"/>
        </w:numPr>
        <w:pStyle w:val="Compact"/>
      </w:pPr>
      <w:r>
        <w:t xml:space="preserve">U12 shows a persistent</w:t>
      </w:r>
      <w:r>
        <w:t xml:space="preserve"> </w:t>
      </w:r>
      <w:r>
        <w:t xml:space="preserve">“</w:t>
      </w:r>
      <w:r>
        <w:t xml:space="preserve">Exit this loan</w:t>
      </w:r>
      <w:r>
        <w:t xml:space="preserve">”</w:t>
      </w:r>
      <w:r>
        <w:t xml:space="preserve"> </w:t>
      </w:r>
      <w:r>
        <w:t xml:space="preserve">action, with the RE-computed exit amount, for the whole period.</w:t>
      </w:r>
    </w:p>
    <w:p>
      <w:pPr>
        <w:numPr>
          <w:ilvl w:val="2"/>
          <w:numId w:val="1289"/>
        </w:numPr>
        <w:pStyle w:val="Compact"/>
      </w:pPr>
      <w:r>
        <w:t xml:space="preserve">The exit request is sent as</w:t>
      </w:r>
      <w:r>
        <w:t xml:space="preserve"> </w:t>
      </w:r>
      <w:r>
        <w:rPr>
          <w:rStyle w:val="VerbatimChar"/>
        </w:rPr>
        <w:t xml:space="preserve">CoolingOffExitRequested</w:t>
      </w:r>
      <w:r>
        <w:t xml:space="preserve">, and payment goes to the RE account (U11).</w:t>
      </w:r>
    </w:p>
    <w:p>
      <w:pPr>
        <w:numPr>
          <w:ilvl w:val="2"/>
          <w:numId w:val="1289"/>
        </w:numPr>
        <w:pStyle w:val="Compact"/>
      </w:pPr>
      <w:r>
        <w:t xml:space="preserve">The period starts on</w:t>
      </w:r>
      <w:r>
        <w:t xml:space="preserve"> </w:t>
      </w:r>
      <w:r>
        <w:rPr>
          <w:rStyle w:val="VerbatimChar"/>
        </w:rPr>
        <w:t xml:space="preserve">LoanDisbursed</w:t>
      </w:r>
      <w:r>
        <w:t xml:space="preserve"> </w:t>
      </w:r>
      <w:r>
        <w:t xml:space="preserve">per the Finbyx contract. Para 11 does not state the start event [VERIFY: confirm the start trigger with each RE’s credit policy].</w:t>
      </w:r>
    </w:p>
    <w:bookmarkEnd w:id="433"/>
    <w:bookmarkStart w:id="434" w:name="grievance-redressal-para-12"/>
    <w:p>
      <w:pPr>
        <w:pStyle w:val="Heading3"/>
      </w:pPr>
      <w:r>
        <w:t xml:space="preserve">Grievance redressal (para 12)</w:t>
      </w:r>
    </w:p>
    <w:p>
      <w:pPr>
        <w:numPr>
          <w:ilvl w:val="0"/>
          <w:numId w:val="1290"/>
        </w:numPr>
        <w:pStyle w:val="Compact"/>
      </w:pPr>
      <w:r>
        <w:rPr>
          <w:rStyle w:val="VerbatimChar"/>
        </w:rPr>
        <w:t xml:space="preserve">REQ-CF-12(1)</w:t>
      </w:r>
      <w:r>
        <w:t xml:space="preserve"> </w:t>
      </w:r>
      <w:r>
        <w:rPr>
          <w:bCs/>
          <w:b/>
        </w:rPr>
        <w:t xml:space="preserve">[UDOFIN]</w:t>
      </w:r>
      <w:r>
        <w:t xml:space="preserve"> </w:t>
      </w:r>
      <w:r>
        <w:t xml:space="preserve">Udofin, as an LSP with a borrower interface, designates a nodal grievance redressal officer for digital lending complaints. The RE designates its own.</w:t>
      </w:r>
    </w:p>
    <w:p>
      <w:pPr>
        <w:numPr>
          <w:ilvl w:val="0"/>
          <w:numId w:val="1290"/>
        </w:numPr>
        <w:pStyle w:val="Compact"/>
      </w:pPr>
      <w:r>
        <w:rPr>
          <w:rStyle w:val="VerbatimChar"/>
        </w:rPr>
        <w:t xml:space="preserve">REQ-CF-12(2)</w:t>
      </w:r>
      <w:r>
        <w:t xml:space="preserve"> </w:t>
      </w:r>
      <w:r>
        <w:rPr>
          <w:bCs/>
          <w:b/>
        </w:rPr>
        <w:t xml:space="preserve">[UDOFIN]</w:t>
      </w:r>
      <w:r>
        <w:t xml:space="preserve"> </w:t>
      </w:r>
      <w:r>
        <w:t xml:space="preserve">The nodal officers’ contact details are prominently displayed on the RE’s website, Udofin’s website and the DLA, and in the KFS.</w:t>
      </w:r>
    </w:p>
    <w:p>
      <w:pPr>
        <w:numPr>
          <w:ilvl w:val="1"/>
          <w:numId w:val="1291"/>
        </w:numPr>
        <w:pStyle w:val="Compact"/>
      </w:pPr>
      <w:r>
        <w:rPr>
          <w:iCs/>
          <w:i/>
        </w:rPr>
        <w:t xml:space="preserve">Build:</w:t>
      </w:r>
      <w:r>
        <w:t xml:space="preserve"> </w:t>
      </w:r>
      <w:r>
        <w:t xml:space="preserve">U15 holds the Udofin nodal officer record. U23 shows it on every DLA screen reachable from the help menu. U1 sends it to each RE for its website and KFS template [decision: carry it in the U1 onboarding pack, or add it to the Part 5 catalogue through a versioned contract change].</w:t>
      </w:r>
    </w:p>
    <w:p>
      <w:pPr>
        <w:numPr>
          <w:ilvl w:val="0"/>
          <w:numId w:val="1290"/>
        </w:numPr>
        <w:pStyle w:val="Compact"/>
      </w:pPr>
      <w:r>
        <w:rPr>
          <w:rStyle w:val="VerbatimChar"/>
        </w:rPr>
        <w:t xml:space="preserve">REQ-CF-12(3)</w:t>
      </w:r>
      <w:r>
        <w:t xml:space="preserve"> </w:t>
      </w:r>
      <w:r>
        <w:rPr>
          <w:bCs/>
          <w:b/>
        </w:rPr>
        <w:t xml:space="preserve">[UDOFIN]</w:t>
      </w:r>
      <w:r>
        <w:t xml:space="preserve"> </w:t>
      </w:r>
      <w:r>
        <w:t xml:space="preserve">Complaints can be lodged on the DLA and the website.</w:t>
      </w:r>
      <w:r>
        <w:t xml:space="preserve"> </w:t>
      </w:r>
      <w:r>
        <w:t xml:space="preserve">“</w:t>
      </w:r>
      <w:r>
        <w:t xml:space="preserve">Responsibility of grievance redressal shall continue to remain with the NBFC.</w:t>
      </w:r>
      <w:r>
        <w:t xml:space="preserve">”</w:t>
      </w:r>
    </w:p>
    <w:p>
      <w:pPr>
        <w:numPr>
          <w:ilvl w:val="1"/>
          <w:numId w:val="1292"/>
        </w:numPr>
        <w:pStyle w:val="Compact"/>
      </w:pPr>
      <w:r>
        <w:rPr>
          <w:iCs/>
          <w:i/>
        </w:rPr>
        <w:t xml:space="preserve">Build:</w:t>
      </w:r>
      <w:r>
        <w:t xml:space="preserve"> </w:t>
      </w:r>
      <w:r>
        <w:t xml:space="preserve">U15 intake in the app and on the web, routed to the RE’s GRO through</w:t>
      </w:r>
      <w:r>
        <w:t xml:space="preserve"> </w:t>
      </w:r>
      <w:r>
        <w:rPr>
          <w:rStyle w:val="VerbatimChar"/>
        </w:rPr>
        <w:t xml:space="preserve">GrievanceRaised</w:t>
      </w:r>
      <w:r>
        <w:t xml:space="preserve">. Udofin never closes a complaint that concerns the RE’s decision or conduct.</w:t>
      </w:r>
    </w:p>
    <w:p>
      <w:pPr>
        <w:numPr>
          <w:ilvl w:val="0"/>
          <w:numId w:val="1290"/>
        </w:numPr>
        <w:pStyle w:val="Compact"/>
      </w:pPr>
      <w:r>
        <w:rPr>
          <w:rStyle w:val="VerbatimChar"/>
        </w:rPr>
        <w:t xml:space="preserve">REQ-CF-12(4)</w:t>
      </w:r>
      <w:r>
        <w:t xml:space="preserve"> </w:t>
      </w:r>
      <w:r>
        <w:rPr>
          <w:bCs/>
          <w:b/>
        </w:rPr>
        <w:t xml:space="preserve">[RE]</w:t>
      </w:r>
      <w:r>
        <w:t xml:space="preserve"> </w:t>
      </w:r>
      <w:r>
        <w:t xml:space="preserve">The borrower may go to the CMS (https://cms.rbi.org.in) or the CRPC, RBI, Sector 17, Chandigarh 160017 if:</w:t>
      </w:r>
    </w:p>
    <w:p>
      <w:pPr>
        <w:numPr>
          <w:ilvl w:val="1"/>
          <w:numId w:val="1293"/>
        </w:numPr>
        <w:pStyle w:val="Compact"/>
      </w:pPr>
      <w:r>
        <w:t xml:space="preserve">the RE rejects the complaint wholly or partly;</w:t>
      </w:r>
    </w:p>
    <w:p>
      <w:pPr>
        <w:numPr>
          <w:ilvl w:val="1"/>
          <w:numId w:val="1293"/>
        </w:numPr>
        <w:pStyle w:val="Compact"/>
      </w:pPr>
      <w:r>
        <w:t xml:space="preserve">the borrower is not satisfied with the reply; or</w:t>
      </w:r>
    </w:p>
    <w:p>
      <w:pPr>
        <w:numPr>
          <w:ilvl w:val="1"/>
          <w:numId w:val="1293"/>
        </w:numPr>
        <w:pStyle w:val="Compact"/>
      </w:pPr>
      <w:r>
        <w:t xml:space="preserve">there is no reply within</w:t>
      </w:r>
      <w:r>
        <w:t xml:space="preserve"> </w:t>
      </w:r>
      <w:r>
        <w:rPr>
          <w:bCs/>
          <w:b/>
        </w:rPr>
        <w:t xml:space="preserve">30 days of receipt by the NBFC</w:t>
      </w:r>
      <w:r>
        <w:t xml:space="preserve">.</w:t>
      </w:r>
    </w:p>
    <w:p>
      <w:pPr>
        <w:numPr>
          <w:ilvl w:val="1"/>
          <w:numId w:val="1293"/>
        </w:numPr>
        <w:pStyle w:val="Compact"/>
      </w:pPr>
      <w:r>
        <w:t xml:space="preserve">This must be conveyed to the borrower.</w:t>
      </w:r>
    </w:p>
    <w:p>
      <w:pPr>
        <w:numPr>
          <w:ilvl w:val="1"/>
          <w:numId w:val="1293"/>
        </w:numPr>
        <w:pStyle w:val="Compact"/>
      </w:pPr>
      <w:r>
        <w:rPr>
          <w:iCs/>
          <w:i/>
        </w:rPr>
        <w:t xml:space="preserve">Build:</w:t>
      </w:r>
      <w:r>
        <w:t xml:space="preserve"> </w:t>
      </w:r>
      <w:r>
        <w:t xml:space="preserve">U15 forwards complaints to the RE immediately (recommended: within one hour, with the delivery acknowledgement stored), because the RE’s 30-day clock depends on it. Escalation text and links are shown on day 31 and on any rejection. Equator referral is an addition, never a substitute.</w:t>
      </w:r>
    </w:p>
    <w:bookmarkEnd w:id="434"/>
    <w:bookmarkStart w:id="435" w:name="X4b3c0f36609dbdfd52495ad3864cbc7f030a8d1"/>
    <w:p>
      <w:pPr>
        <w:pStyle w:val="Heading3"/>
      </w:pPr>
      <w:r>
        <w:t xml:space="preserve">Data collection, storage and privacy (paras 13–16)</w:t>
      </w:r>
    </w:p>
    <w:p>
      <w:pPr>
        <w:numPr>
          <w:ilvl w:val="0"/>
          <w:numId w:val="1294"/>
        </w:numPr>
        <w:pStyle w:val="Compact"/>
      </w:pPr>
      <w:r>
        <w:rPr>
          <w:rStyle w:val="VerbatimChar"/>
        </w:rPr>
        <w:t xml:space="preserve">REQ-CF-13(1)</w:t>
      </w:r>
      <w:r>
        <w:t xml:space="preserve"> </w:t>
      </w:r>
      <w:r>
        <w:rPr>
          <w:bCs/>
          <w:b/>
        </w:rPr>
        <w:t xml:space="preserve">[UDOFIN]</w:t>
      </w:r>
      <w:r>
        <w:t xml:space="preserve"> </w:t>
      </w:r>
      <w:r>
        <w:t xml:space="preserve">Data collection by the DLA is</w:t>
      </w:r>
      <w:r>
        <w:t xml:space="preserve"> </w:t>
      </w:r>
      <w:r>
        <w:t xml:space="preserve">“</w:t>
      </w:r>
      <w:r>
        <w:t xml:space="preserve">need-based and with prior and explicit consent of the borrower having audit trail</w:t>
      </w:r>
      <w:r>
        <w:t xml:space="preserve">”</w:t>
      </w:r>
      <w:r>
        <w:t xml:space="preserve">. DLAs must</w:t>
      </w:r>
      <w:r>
        <w:t xml:space="preserve"> </w:t>
      </w:r>
      <w:r>
        <w:t xml:space="preserve">“</w:t>
      </w:r>
      <w:r>
        <w:t xml:space="preserve">desist from accessing mobile phone resources like file and media, contact list, call logs, telephony functions, etc.</w:t>
      </w:r>
      <w:r>
        <w:t xml:space="preserve">”</w:t>
      </w:r>
      <w:r>
        <w:t xml:space="preserve"> </w:t>
      </w:r>
      <w:r>
        <w:t xml:space="preserve">“</w:t>
      </w:r>
      <w:r>
        <w:t xml:space="preserve">A one-time access can be taken for camera, microphone, location or any other facility necessary for the purpose of on-boarding / KYC requirements only, with the explicit consent of the borrower.</w:t>
      </w:r>
      <w:r>
        <w:t xml:space="preserve">”</w:t>
      </w:r>
    </w:p>
    <w:p>
      <w:pPr>
        <w:numPr>
          <w:ilvl w:val="1"/>
          <w:numId w:val="1295"/>
        </w:numPr>
        <w:pStyle w:val="Compact"/>
      </w:pPr>
      <w:r>
        <w:rPr>
          <w:iCs/>
          <w:i/>
        </w:rPr>
        <w:t xml:space="preserve">Build:</w:t>
      </w:r>
    </w:p>
    <w:p>
      <w:pPr>
        <w:numPr>
          <w:ilvl w:val="2"/>
          <w:numId w:val="1296"/>
        </w:numPr>
        <w:pStyle w:val="Compact"/>
      </w:pPr>
      <w:r>
        <w:t xml:space="preserve">The U3 Android manifest and iOS plist allow-list is enforced in CI. The build fails if any of these is declared:</w:t>
      </w:r>
      <w:r>
        <w:t xml:space="preserve"> </w:t>
      </w:r>
      <w:r>
        <w:rPr>
          <w:rStyle w:val="VerbatimChar"/>
        </w:rPr>
        <w:t xml:space="preserve">READ_CONTACTS</w:t>
      </w:r>
      <w:r>
        <w:t xml:space="preserve">,</w:t>
      </w:r>
      <w:r>
        <w:t xml:space="preserve"> </w:t>
      </w:r>
      <w:r>
        <w:rPr>
          <w:rStyle w:val="VerbatimChar"/>
        </w:rPr>
        <w:t xml:space="preserve">READ_CALL_LOG</w:t>
      </w:r>
      <w:r>
        <w:t xml:space="preserve">,</w:t>
      </w:r>
      <w:r>
        <w:t xml:space="preserve"> </w:t>
      </w:r>
      <w:r>
        <w:rPr>
          <w:rStyle w:val="VerbatimChar"/>
        </w:rPr>
        <w:t xml:space="preserve">READ_PHONE_STATE</w:t>
      </w:r>
      <w:r>
        <w:t xml:space="preserve">,</w:t>
      </w:r>
      <w:r>
        <w:t xml:space="preserve"> </w:t>
      </w:r>
      <w:r>
        <w:rPr>
          <w:rStyle w:val="VerbatimChar"/>
        </w:rPr>
        <w:t xml:space="preserve">READ_PHONE_NUMBERS</w:t>
      </w:r>
      <w:r>
        <w:t xml:space="preserve">,</w:t>
      </w:r>
      <w:r>
        <w:t xml:space="preserve"> </w:t>
      </w:r>
      <w:r>
        <w:rPr>
          <w:rStyle w:val="VerbatimChar"/>
        </w:rPr>
        <w:t xml:space="preserve">CALL_PHONE</w:t>
      </w:r>
      <w:r>
        <w:t xml:space="preserve">,</w:t>
      </w:r>
      <w:r>
        <w:t xml:space="preserve"> </w:t>
      </w:r>
      <w:r>
        <w:rPr>
          <w:rStyle w:val="VerbatimChar"/>
        </w:rPr>
        <w:t xml:space="preserve">READ_SMS</w:t>
      </w:r>
      <w:r>
        <w:t xml:space="preserve">,</w:t>
      </w:r>
      <w:r>
        <w:t xml:space="preserve"> </w:t>
      </w:r>
      <w:r>
        <w:rPr>
          <w:rStyle w:val="VerbatimChar"/>
        </w:rPr>
        <w:t xml:space="preserve">RECEIVE_SMS</w:t>
      </w:r>
      <w:r>
        <w:t xml:space="preserve">,</w:t>
      </w:r>
      <w:r>
        <w:t xml:space="preserve"> </w:t>
      </w:r>
      <w:r>
        <w:rPr>
          <w:rStyle w:val="VerbatimChar"/>
        </w:rPr>
        <w:t xml:space="preserve">SEND_SMS</w:t>
      </w:r>
      <w:r>
        <w:t xml:space="preserve">,</w:t>
      </w:r>
      <w:r>
        <w:t xml:space="preserve"> </w:t>
      </w:r>
      <w:r>
        <w:rPr>
          <w:rStyle w:val="VerbatimChar"/>
        </w:rPr>
        <w:t xml:space="preserve">READ_EXTERNAL_STORAGE</w:t>
      </w:r>
      <w:r>
        <w:t xml:space="preserve">,</w:t>
      </w:r>
      <w:r>
        <w:t xml:space="preserve"> </w:t>
      </w:r>
      <w:r>
        <w:rPr>
          <w:rStyle w:val="VerbatimChar"/>
        </w:rPr>
        <w:t xml:space="preserve">READ_MEDIA_*</w:t>
      </w:r>
      <w:r>
        <w:t xml:space="preserve">,</w:t>
      </w:r>
      <w:r>
        <w:t xml:space="preserve"> </w:t>
      </w:r>
      <w:r>
        <w:rPr>
          <w:rStyle w:val="VerbatimChar"/>
        </w:rPr>
        <w:t xml:space="preserve">MANAGE_EXTERNAL_STORAGE</w:t>
      </w:r>
      <w:r>
        <w:t xml:space="preserve">,</w:t>
      </w:r>
      <w:r>
        <w:t xml:space="preserve"> </w:t>
      </w:r>
      <w:r>
        <w:rPr>
          <w:rStyle w:val="VerbatimChar"/>
        </w:rPr>
        <w:t xml:space="preserve">ACCESS_FINE_LOCATION</w:t>
      </w:r>
      <w:r>
        <w:t xml:space="preserve">,</w:t>
      </w:r>
      <w:r>
        <w:t xml:space="preserve"> </w:t>
      </w:r>
      <w:r>
        <w:rPr>
          <w:rStyle w:val="VerbatimChar"/>
        </w:rPr>
        <w:t xml:space="preserve">ACCESS_BACKGROUND_LOCATION</w:t>
      </w:r>
      <w:r>
        <w:t xml:space="preserve"> </w:t>
      </w:r>
      <w:r>
        <w:t xml:space="preserve">or</w:t>
      </w:r>
      <w:r>
        <w:t xml:space="preserve"> </w:t>
      </w:r>
      <w:r>
        <w:rPr>
          <w:rStyle w:val="VerbatimChar"/>
        </w:rPr>
        <w:t xml:space="preserve">QUERY_ALL_PACKAGES</w:t>
      </w:r>
      <w:r>
        <w:t xml:space="preserve">.</w:t>
      </w:r>
    </w:p>
    <w:p>
      <w:pPr>
        <w:numPr>
          <w:ilvl w:val="2"/>
          <w:numId w:val="1296"/>
        </w:numPr>
        <w:pStyle w:val="Compact"/>
      </w:pPr>
      <w:r>
        <w:t xml:space="preserve">Camera, microphone and foreground location are requested only inside U5 onboarding/KYC steps. Each request has a U4 consent record and is released after the step.</w:t>
      </w:r>
    </w:p>
    <w:p>
      <w:pPr>
        <w:numPr>
          <w:ilvl w:val="2"/>
          <w:numId w:val="1296"/>
        </w:numPr>
        <w:pStyle w:val="Compact"/>
      </w:pPr>
      <w:r>
        <w:t xml:space="preserve">KYC documents are captured with the in-app camera, not from the gallery. Later uploads use the system document or photo picker, which is user-selected and needs no storage permission [interpretation].</w:t>
      </w:r>
    </w:p>
    <w:p>
      <w:pPr>
        <w:numPr>
          <w:ilvl w:val="2"/>
          <w:numId w:val="1296"/>
        </w:numPr>
        <w:pStyle w:val="Compact"/>
      </w:pPr>
      <w:r>
        <w:t xml:space="preserve">OTP autofill uses the SMS Retriever or SMS User Consent API, which need no SMS permission [VERIFY: current Android API behaviour].</w:t>
      </w:r>
    </w:p>
    <w:p>
      <w:pPr>
        <w:numPr>
          <w:ilvl w:val="2"/>
          <w:numId w:val="1296"/>
        </w:numPr>
        <w:pStyle w:val="Compact"/>
      </w:pPr>
      <w:r>
        <w:t xml:space="preserve">The web app requests browser camera and location only in the same steps.</w:t>
      </w:r>
    </w:p>
    <w:p>
      <w:pPr>
        <w:numPr>
          <w:ilvl w:val="2"/>
          <w:numId w:val="1296"/>
        </w:numPr>
        <w:pStyle w:val="Compact"/>
      </w:pPr>
      <w:r>
        <w:t xml:space="preserve">Location is never collected for collections or marketing.</w:t>
      </w:r>
    </w:p>
    <w:p>
      <w:pPr>
        <w:numPr>
          <w:ilvl w:val="0"/>
          <w:numId w:val="1294"/>
        </w:numPr>
        <w:pStyle w:val="Compact"/>
      </w:pPr>
      <w:r>
        <w:rPr>
          <w:rStyle w:val="VerbatimChar"/>
        </w:rPr>
        <w:t xml:space="preserve">REQ-CF-13(2)</w:t>
      </w:r>
      <w:r>
        <w:t xml:space="preserve"> </w:t>
      </w:r>
      <w:r>
        <w:rPr>
          <w:bCs/>
          <w:b/>
        </w:rPr>
        <w:t xml:space="preserve">[UDOFIN]</w:t>
      </w:r>
      <w:r>
        <w:t xml:space="preserve"> </w:t>
      </w:r>
      <w:r>
        <w:t xml:space="preserve">The borrower can: give or deny consent for specific data; restrict disclosure to third parties; choose data retention; revoke consent already granted.</w:t>
      </w:r>
    </w:p>
    <w:p>
      <w:pPr>
        <w:numPr>
          <w:ilvl w:val="1"/>
          <w:numId w:val="1297"/>
        </w:numPr>
        <w:pStyle w:val="Compact"/>
      </w:pPr>
      <w:r>
        <w:t xml:space="preserve">“</w:t>
      </w:r>
      <w:r>
        <w:t xml:space="preserve">make the NBFC / LSP delete / forget the data</w:t>
      </w:r>
      <w:r>
        <w:t xml:space="preserve">”</w:t>
      </w:r>
      <w:r>
        <w:t xml:space="preserve">.</w:t>
      </w:r>
    </w:p>
    <w:p>
      <w:pPr>
        <w:numPr>
          <w:ilvl w:val="1"/>
          <w:numId w:val="1297"/>
        </w:numPr>
        <w:pStyle w:val="Compact"/>
      </w:pPr>
      <w:r>
        <w:rPr>
          <w:iCs/>
          <w:i/>
        </w:rPr>
        <w:t xml:space="preserve">Build:</w:t>
      </w:r>
      <w:r>
        <w:t xml:space="preserve"> </w:t>
      </w:r>
      <w:r>
        <w:t xml:space="preserve">U4 consent centre with granular toggles, revocation and erasure requests. Erasure runs across Udofin stores and sends a deletion request to each RE. Statutory retention held by the RE (for example KYC records, KYC para 47) is explained, not overridden.</w:t>
      </w:r>
    </w:p>
    <w:p>
      <w:pPr>
        <w:numPr>
          <w:ilvl w:val="0"/>
          <w:numId w:val="1294"/>
        </w:numPr>
        <w:pStyle w:val="Compact"/>
      </w:pPr>
      <w:r>
        <w:rPr>
          <w:rStyle w:val="VerbatimChar"/>
        </w:rPr>
        <w:t xml:space="preserve">REQ-CF-13(3)</w:t>
      </w:r>
      <w:r>
        <w:t xml:space="preserve"> </w:t>
      </w:r>
      <w:r>
        <w:rPr>
          <w:bCs/>
          <w:b/>
        </w:rPr>
        <w:t xml:space="preserve">[UDOFIN]</w:t>
      </w:r>
      <w:r>
        <w:t xml:space="preserve"> </w:t>
      </w:r>
      <w:r>
        <w:t xml:space="preserve">The purpose of each consent is disclosed</w:t>
      </w:r>
      <w:r>
        <w:t xml:space="preserve"> </w:t>
      </w:r>
      <w:r>
        <w:t xml:space="preserve">“</w:t>
      </w:r>
      <w:r>
        <w:t xml:space="preserve">at each stage of interface</w:t>
      </w:r>
      <w:r>
        <w:t xml:space="preserve">”</w:t>
      </w:r>
      <w:r>
        <w:t xml:space="preserve">.</w:t>
      </w:r>
      <w:r>
        <w:t xml:space="preserve"> </w:t>
      </w:r>
      <w:r>
        <w:rPr>
          <w:rStyle w:val="VerbatimChar"/>
        </w:rPr>
        <w:t xml:space="preserve">REQ-CF-13(4)</w:t>
      </w:r>
      <w:r>
        <w:t xml:space="preserve"> </w:t>
      </w:r>
      <w:r>
        <w:rPr>
          <w:bCs/>
          <w:b/>
        </w:rPr>
        <w:t xml:space="preserve">[UDOFIN]</w:t>
      </w:r>
      <w:r>
        <w:t xml:space="preserve"> </w:t>
      </w:r>
      <w:r>
        <w:t xml:space="preserve">Explicit consent is taken before personal information is shared with any third party, unless the sharing is statutory or regulatory.</w:t>
      </w:r>
    </w:p>
    <w:p>
      <w:pPr>
        <w:numPr>
          <w:ilvl w:val="1"/>
          <w:numId w:val="1298"/>
        </w:numPr>
        <w:pStyle w:val="Compact"/>
      </w:pPr>
      <w:r>
        <w:rPr>
          <w:iCs/>
          <w:i/>
        </w:rPr>
        <w:t xml:space="preserve">Build:</w:t>
      </w:r>
      <w:r>
        <w:t xml:space="preserve"> </w:t>
      </w:r>
      <w:r>
        <w:t xml:space="preserve">U4 purpose-bound consent artefacts (purpose, data items, recipient RE or vendor, expiry). U21 refuses any outbound call that has no matching live consent ID.</w:t>
      </w:r>
    </w:p>
    <w:p>
      <w:pPr>
        <w:numPr>
          <w:ilvl w:val="0"/>
          <w:numId w:val="1294"/>
        </w:numPr>
        <w:pStyle w:val="Compact"/>
      </w:pPr>
      <w:r>
        <w:rPr>
          <w:rStyle w:val="VerbatimChar"/>
        </w:rPr>
        <w:t xml:space="preserve">REQ-CF-14(1)</w:t>
      </w:r>
      <w:r>
        <w:t xml:space="preserve"> </w:t>
      </w:r>
      <w:r>
        <w:rPr>
          <w:bCs/>
          <w:b/>
        </w:rPr>
        <w:t xml:space="preserve">[RE→UDOFIN contract]</w:t>
      </w:r>
      <w:r>
        <w:t xml:space="preserve"> </w:t>
      </w:r>
      <w:r>
        <w:t xml:space="preserve">The LSP does not store personal information</w:t>
      </w:r>
      <w:r>
        <w:t xml:space="preserve"> </w:t>
      </w:r>
      <w:r>
        <w:t xml:space="preserve">“</w:t>
      </w:r>
      <w:r>
        <w:t xml:space="preserve">except some basic minimal data (viz., name, address, contact details of the customer, etc.)</w:t>
      </w:r>
      <w:r>
        <w:t xml:space="preserve">”</w:t>
      </w:r>
      <w:r>
        <w:t xml:space="preserve"> </w:t>
      </w:r>
      <w:r>
        <w:t xml:space="preserve">needed for its operations within the scope of the NBFC–LSP agreement. Data privacy and security remain the RE’s responsibility.</w:t>
      </w:r>
    </w:p>
    <w:p>
      <w:pPr>
        <w:numPr>
          <w:ilvl w:val="1"/>
          <w:numId w:val="1299"/>
        </w:numPr>
        <w:pStyle w:val="Compact"/>
      </w:pPr>
      <w:r>
        <w:rPr>
          <w:iCs/>
          <w:i/>
        </w:rPr>
        <w:t xml:space="preserve">Build:</w:t>
      </w:r>
    </w:p>
    <w:p>
      <w:pPr>
        <w:numPr>
          <w:ilvl w:val="2"/>
          <w:numId w:val="1300"/>
        </w:numPr>
        <w:pStyle w:val="Compact"/>
      </w:pPr>
      <w:r>
        <w:t xml:space="preserve">U4 data-classification register, with a per-RE</w:t>
      </w:r>
      <w:r>
        <w:t xml:space="preserve"> </w:t>
      </w:r>
      <w:r>
        <w:t xml:space="preserve">“</w:t>
      </w:r>
      <w:r>
        <w:t xml:space="preserve">LSP minimal data set</w:t>
      </w:r>
      <w:r>
        <w:t xml:space="preserve">”</w:t>
      </w:r>
      <w:r>
        <w:t xml:space="preserve"> </w:t>
      </w:r>
      <w:r>
        <w:t xml:space="preserve">defined in the U1 agreement.</w:t>
      </w:r>
    </w:p>
    <w:p>
      <w:pPr>
        <w:numPr>
          <w:ilvl w:val="2"/>
          <w:numId w:val="1300"/>
        </w:numPr>
        <w:pStyle w:val="Compact"/>
      </w:pPr>
      <w:r>
        <w:t xml:space="preserve">KYC artefacts, bureau reports, AA data and bank statements are transient. They are delivered to the RE and then purged on the RE’s acknowledgement, with a retention timer per contract.</w:t>
      </w:r>
    </w:p>
    <w:p>
      <w:pPr>
        <w:numPr>
          <w:ilvl w:val="2"/>
          <w:numId w:val="1300"/>
        </w:numPr>
        <w:pStyle w:val="Compact"/>
      </w:pPr>
      <w:r>
        <w:t xml:space="preserve">The U12 loan mirror holds only what servicing needs.</w:t>
      </w:r>
    </w:p>
    <w:p>
      <w:pPr>
        <w:numPr>
          <w:ilvl w:val="2"/>
          <w:numId w:val="1300"/>
        </w:numPr>
        <w:pStyle w:val="Compact"/>
      </w:pPr>
      <w:r>
        <w:t xml:space="preserve">[decision: the per-RE retention schedule, signed off by each RE.]</w:t>
      </w:r>
    </w:p>
    <w:p>
      <w:pPr>
        <w:numPr>
          <w:ilvl w:val="0"/>
          <w:numId w:val="1294"/>
        </w:numPr>
        <w:pStyle w:val="Compact"/>
      </w:pPr>
      <w:r>
        <w:rPr>
          <w:rStyle w:val="VerbatimChar"/>
        </w:rPr>
        <w:t xml:space="preserve">REQ-CF-14(2)</w:t>
      </w:r>
      <w:r>
        <w:t xml:space="preserve"> </w:t>
      </w:r>
      <w:r>
        <w:rPr>
          <w:bCs/>
          <w:b/>
        </w:rPr>
        <w:t xml:space="preserve">[UDOFIN]</w:t>
      </w:r>
      <w:r>
        <w:t xml:space="preserve"> </w:t>
      </w:r>
      <w:r>
        <w:t xml:space="preserve">A storage policy (data types, retention period, use restrictions, destruction protocol, breach handling) is</w:t>
      </w:r>
      <w:r>
        <w:t xml:space="preserve"> </w:t>
      </w:r>
      <w:r>
        <w:t xml:space="preserve">“</w:t>
      </w:r>
      <w:r>
        <w:t xml:space="preserve">disclosed by the NBFC and the LSP … prominently on their website and DLA at all times</w:t>
      </w:r>
      <w:r>
        <w:t xml:space="preserve">”</w:t>
      </w:r>
      <w:r>
        <w:t xml:space="preserve">.</w:t>
      </w:r>
    </w:p>
    <w:p>
      <w:pPr>
        <w:numPr>
          <w:ilvl w:val="1"/>
          <w:numId w:val="1301"/>
        </w:numPr>
        <w:pStyle w:val="Compact"/>
      </w:pPr>
      <w:r>
        <w:rPr>
          <w:iCs/>
          <w:i/>
        </w:rPr>
        <w:t xml:space="preserve">Build:</w:t>
      </w:r>
      <w:r>
        <w:t xml:space="preserve"> </w:t>
      </w:r>
      <w:r>
        <w:t xml:space="preserve">U23 publishes the policy with a version and hash. U4 implements the destruction protocol and records evidence of each destruction.</w:t>
      </w:r>
    </w:p>
    <w:p>
      <w:pPr>
        <w:numPr>
          <w:ilvl w:val="0"/>
          <w:numId w:val="1294"/>
        </w:numPr>
        <w:pStyle w:val="Compact"/>
      </w:pPr>
      <w:r>
        <w:rPr>
          <w:rStyle w:val="VerbatimChar"/>
        </w:rPr>
        <w:t xml:space="preserve">REQ-CF-14(3)</w:t>
      </w:r>
      <w:r>
        <w:t xml:space="preserve"> </w:t>
      </w:r>
      <w:r>
        <w:rPr>
          <w:bCs/>
          <w:b/>
        </w:rPr>
        <w:t xml:space="preserve">[UDOFIN]</w:t>
      </w:r>
      <w:r>
        <w:t xml:space="preserve"> </w:t>
      </w:r>
      <w:r>
        <w:t xml:space="preserve">“</w:t>
      </w:r>
      <w:r>
        <w:t xml:space="preserve">No biometric data is stored / collected by the NBFC and LSP, unless allowed under extant statutory guidelines.</w:t>
      </w:r>
      <w:r>
        <w:t xml:space="preserve">”</w:t>
      </w:r>
    </w:p>
    <w:p>
      <w:pPr>
        <w:numPr>
          <w:ilvl w:val="1"/>
          <w:numId w:val="1302"/>
        </w:numPr>
        <w:pStyle w:val="Compact"/>
      </w:pPr>
      <w:r>
        <w:rPr>
          <w:iCs/>
          <w:i/>
        </w:rPr>
        <w:t xml:space="preserve">Build:</w:t>
      </w:r>
    </w:p>
    <w:p>
      <w:pPr>
        <w:numPr>
          <w:ilvl w:val="2"/>
          <w:numId w:val="1303"/>
        </w:numPr>
        <w:pStyle w:val="Compact"/>
      </w:pPr>
      <w:r>
        <w:t xml:space="preserve">No fingerprint or iris capture.</w:t>
      </w:r>
    </w:p>
    <w:p>
      <w:pPr>
        <w:numPr>
          <w:ilvl w:val="2"/>
          <w:numId w:val="1303"/>
        </w:numPr>
        <w:pStyle w:val="Compact"/>
      </w:pPr>
      <w:r>
        <w:t xml:space="preserve">Face liveness and face match are run by the RE’s KYC provider on the RE’s account.</w:t>
      </w:r>
    </w:p>
    <w:p>
      <w:pPr>
        <w:numPr>
          <w:ilvl w:val="2"/>
          <w:numId w:val="1303"/>
        </w:numPr>
        <w:pStyle w:val="Compact"/>
      </w:pPr>
      <w:r>
        <w:t xml:space="preserve">Udofin keeps no face templates or embeddings.</w:t>
      </w:r>
    </w:p>
    <w:p>
      <w:pPr>
        <w:numPr>
          <w:ilvl w:val="2"/>
          <w:numId w:val="1303"/>
        </w:numPr>
        <w:pStyle w:val="Compact"/>
      </w:pPr>
      <w:r>
        <w:t xml:space="preserve">Live photographs required by KYC (KYC paras 24, 27) are held only as RE records [VERIFY: whether KYC photographs count as</w:t>
      </w:r>
      <w:r>
        <w:t xml:space="preserve"> </w:t>
      </w:r>
      <w:r>
        <w:t xml:space="preserve">“</w:t>
      </w:r>
      <w:r>
        <w:t xml:space="preserve">biometric</w:t>
      </w:r>
      <w:r>
        <w:t xml:space="preserve">”</w:t>
      </w:r>
      <w:r>
        <w:t xml:space="preserve"> </w:t>
      </w:r>
      <w:r>
        <w:t xml:space="preserve">under the Aadhaar Act s.2(g) definition, and the legal basis for any retention by Udofin].</w:t>
      </w:r>
    </w:p>
    <w:p>
      <w:pPr>
        <w:numPr>
          <w:ilvl w:val="0"/>
          <w:numId w:val="1294"/>
        </w:numPr>
        <w:pStyle w:val="Compact"/>
      </w:pPr>
      <w:r>
        <w:rPr>
          <w:rStyle w:val="VerbatimChar"/>
        </w:rPr>
        <w:t xml:space="preserve">REQ-CF-14(4)</w:t>
      </w:r>
      <w:r>
        <w:t xml:space="preserve"> </w:t>
      </w:r>
      <w:r>
        <w:rPr>
          <w:bCs/>
          <w:b/>
        </w:rPr>
        <w:t xml:space="preserve">[UDOFIN]</w:t>
      </w:r>
      <w:r>
        <w:t xml:space="preserve"> </w:t>
      </w:r>
      <w:r>
        <w:t xml:space="preserve">All data is stored only on servers in India. If data is processed outside India, it is deleted there and</w:t>
      </w:r>
      <w:r>
        <w:t xml:space="preserve"> </w:t>
      </w:r>
      <w:r>
        <w:t xml:space="preserve">“</w:t>
      </w:r>
      <w:r>
        <w:t xml:space="preserve">brought back to India within 24 hours of processing</w:t>
      </w:r>
      <w:r>
        <w:t xml:space="preserve">”</w:t>
      </w:r>
      <w:r>
        <w:t xml:space="preserve">.</w:t>
      </w:r>
    </w:p>
    <w:p>
      <w:pPr>
        <w:numPr>
          <w:ilvl w:val="1"/>
          <w:numId w:val="1304"/>
        </w:numPr>
        <w:pStyle w:val="Compact"/>
      </w:pPr>
      <w:r>
        <w:rPr>
          <w:iCs/>
          <w:i/>
        </w:rPr>
        <w:t xml:space="preserve">Build:</w:t>
      </w:r>
    </w:p>
    <w:p>
      <w:pPr>
        <w:numPr>
          <w:ilvl w:val="2"/>
          <w:numId w:val="1305"/>
        </w:numPr>
        <w:pStyle w:val="Compact"/>
      </w:pPr>
      <w:r>
        <w:t xml:space="preserve">U18 sub-processor register with a processing-location field.</w:t>
      </w:r>
    </w:p>
    <w:p>
      <w:pPr>
        <w:numPr>
          <w:ilvl w:val="2"/>
          <w:numId w:val="1305"/>
        </w:numPr>
        <w:pStyle w:val="Compact"/>
      </w:pPr>
      <w:r>
        <w:t xml:space="preserve">No borrower personal data goes to non-India AI, analytics, crash-reporting or push services. Push payloads carry no personal data.</w:t>
      </w:r>
    </w:p>
    <w:p>
      <w:pPr>
        <w:numPr>
          <w:ilvl w:val="2"/>
          <w:numId w:val="1305"/>
        </w:numPr>
        <w:pStyle w:val="Compact"/>
      </w:pPr>
      <w:r>
        <w:t xml:space="preserve">U20 sends only redacted prompts to models hosted outside India, or uses India-hosted models.</w:t>
      </w:r>
    </w:p>
    <w:p>
      <w:pPr>
        <w:numPr>
          <w:ilvl w:val="2"/>
          <w:numId w:val="1305"/>
        </w:numPr>
        <w:pStyle w:val="Compact"/>
      </w:pPr>
      <w:r>
        <w:t xml:space="preserve">Railway holds synthetic data only.</w:t>
      </w:r>
    </w:p>
    <w:p>
      <w:pPr>
        <w:numPr>
          <w:ilvl w:val="0"/>
          <w:numId w:val="1294"/>
        </w:numPr>
        <w:pStyle w:val="Compact"/>
      </w:pPr>
      <w:r>
        <w:rPr>
          <w:rStyle w:val="VerbatimChar"/>
        </w:rPr>
        <w:t xml:space="preserve">REQ-CF-15</w:t>
      </w:r>
      <w:r>
        <w:t xml:space="preserve"> </w:t>
      </w:r>
      <w:r>
        <w:rPr>
          <w:bCs/>
          <w:b/>
        </w:rPr>
        <w:t xml:space="preserve">[UDOFIN]</w:t>
      </w:r>
      <w:r>
        <w:t xml:space="preserve"> </w:t>
      </w:r>
      <w:r>
        <w:t xml:space="preserve">Udofin publishes a comprehensive privacy policy on its website (para 15(1)). It discloses the third parties allowed to collect personal information through the DLA (para 15(2)).</w:t>
      </w:r>
    </w:p>
    <w:p>
      <w:pPr>
        <w:numPr>
          <w:ilvl w:val="1"/>
          <w:numId w:val="1306"/>
        </w:numPr>
        <w:pStyle w:val="Compact"/>
      </w:pPr>
      <w:r>
        <w:rPr>
          <w:iCs/>
          <w:i/>
        </w:rPr>
        <w:t xml:space="preserve">Build:</w:t>
      </w:r>
      <w:r>
        <w:t xml:space="preserve"> </w:t>
      </w:r>
      <w:r>
        <w:t xml:space="preserve">U18 SDK and third-party inventory generated from the dependency manifest, which feeds the privacy-policy annex. CI fails when a new SDK is not in the inventory.</w:t>
      </w:r>
    </w:p>
    <w:p>
      <w:pPr>
        <w:numPr>
          <w:ilvl w:val="0"/>
          <w:numId w:val="1294"/>
        </w:numPr>
        <w:pStyle w:val="Compact"/>
      </w:pPr>
      <w:r>
        <w:rPr>
          <w:rStyle w:val="VerbatimChar"/>
        </w:rPr>
        <w:t xml:space="preserve">REQ-CF-16</w:t>
      </w:r>
      <w:r>
        <w:t xml:space="preserve"> </w:t>
      </w:r>
      <w:r>
        <w:rPr>
          <w:bCs/>
          <w:b/>
        </w:rPr>
        <w:t xml:space="preserve">[RE→UDOFIN contract]</w:t>
      </w:r>
      <w:r>
        <w:t xml:space="preserve"> </w:t>
      </w:r>
      <w:r>
        <w:t xml:space="preserve">Udofin complies with RBI and other cybersecurity standards for digital lending.</w:t>
      </w:r>
    </w:p>
    <w:p>
      <w:pPr>
        <w:numPr>
          <w:ilvl w:val="1"/>
          <w:numId w:val="1307"/>
        </w:numPr>
        <w:pStyle w:val="Compact"/>
      </w:pPr>
      <w:r>
        <w:rPr>
          <w:iCs/>
          <w:i/>
        </w:rPr>
        <w:t xml:space="preserve">Build:</w:t>
      </w:r>
      <w:r>
        <w:t xml:space="preserve"> </w:t>
      </w:r>
      <w:r>
        <w:t xml:space="preserve">see 8A.8 CYB and 8A.11 DPS (voluntary baseline).</w:t>
      </w:r>
    </w:p>
    <w:bookmarkEnd w:id="435"/>
    <w:bookmarkStart w:id="436" w:name="Xae9da3c2cc8c614a01681e99f8bf30549d1c72c"/>
    <w:p>
      <w:pPr>
        <w:pStyle w:val="Heading3"/>
      </w:pPr>
      <w:r>
        <w:t xml:space="preserve">CIC reporting and the CIMS DLA register (paras 17–18)</w:t>
      </w:r>
    </w:p>
    <w:p>
      <w:pPr>
        <w:numPr>
          <w:ilvl w:val="0"/>
          <w:numId w:val="1308"/>
        </w:numPr>
        <w:pStyle w:val="Compact"/>
      </w:pPr>
      <w:r>
        <w:rPr>
          <w:rStyle w:val="VerbatimChar"/>
        </w:rPr>
        <w:t xml:space="preserve">REQ-CF-17</w:t>
      </w:r>
      <w:r>
        <w:t xml:space="preserve"> </w:t>
      </w:r>
      <w:r>
        <w:rPr>
          <w:bCs/>
          <w:b/>
        </w:rPr>
        <w:t xml:space="preserve">[RE]</w:t>
      </w:r>
      <w:r>
        <w:t xml:space="preserve"> </w:t>
      </w:r>
      <w:r>
        <w:t xml:space="preserve">All lending through the RE’s or LSPs’ DLAs is reported to CICs</w:t>
      </w:r>
      <w:r>
        <w:t xml:space="preserve"> </w:t>
      </w:r>
      <w:r>
        <w:t xml:space="preserve">“</w:t>
      </w:r>
      <w:r>
        <w:t xml:space="preserve">irrespective of its nature / tenor</w:t>
      </w:r>
      <w:r>
        <w:t xml:space="preserve">”</w:t>
      </w:r>
      <w:r>
        <w:t xml:space="preserve"> </w:t>
      </w:r>
      <w:r>
        <w:t xml:space="preserve">(para 17(1)). This includes structured short-term or deferred-payment credit over merchant platforms (para 17(2)).</w:t>
      </w:r>
    </w:p>
    <w:p>
      <w:pPr>
        <w:numPr>
          <w:ilvl w:val="1"/>
          <w:numId w:val="1309"/>
        </w:numPr>
        <w:pStyle w:val="Compact"/>
      </w:pPr>
      <w:r>
        <w:rPr>
          <w:iCs/>
          <w:i/>
        </w:rPr>
        <w:t xml:space="preserve">Build:</w:t>
      </w:r>
      <w:r>
        <w:t xml:space="preserve"> </w:t>
      </w:r>
      <w:r>
        <w:t xml:space="preserve">Udofin never reports to CICs. U21 delivers complete, timely repayment events to the RE so that none goes unreported (CIR para 10(3)).</w:t>
      </w:r>
    </w:p>
    <w:p>
      <w:pPr>
        <w:numPr>
          <w:ilvl w:val="0"/>
          <w:numId w:val="1308"/>
        </w:numPr>
        <w:pStyle w:val="Compact"/>
      </w:pPr>
      <w:r>
        <w:rPr>
          <w:rStyle w:val="VerbatimChar"/>
        </w:rPr>
        <w:t xml:space="preserve">REQ-CF-18(1)</w:t>
      </w:r>
      <w:r>
        <w:t xml:space="preserve"> </w:t>
      </w:r>
      <w:r>
        <w:rPr>
          <w:rStyle w:val="VerbatimChar"/>
        </w:rPr>
        <w:t xml:space="preserve">REQ-CF-18(2)</w:t>
      </w:r>
      <w:r>
        <w:t xml:space="preserve"> </w:t>
      </w:r>
      <w:r>
        <w:rPr>
          <w:bCs/>
          <w:b/>
        </w:rPr>
        <w:t xml:space="preserve">[RE]</w:t>
      </w:r>
      <w:r>
        <w:t xml:space="preserve"> </w:t>
      </w:r>
      <w:r>
        <w:t xml:space="preserve">The RE reports every DLA, own or LSP’s, on CIMS in the Annex-I format and updates the list when a DLA is added or ceases.</w:t>
      </w:r>
    </w:p>
    <w:p>
      <w:pPr>
        <w:numPr>
          <w:ilvl w:val="1"/>
          <w:numId w:val="1310"/>
        </w:numPr>
        <w:pStyle w:val="Compact"/>
      </w:pPr>
      <w:r>
        <w:t xml:space="preserve">Annex-I columns, verified on the PDF image:</w:t>
      </w:r>
    </w:p>
    <w:p>
      <w:pPr>
        <w:numPr>
          <w:ilvl w:val="2"/>
          <w:numId w:val="1311"/>
        </w:numPr>
        <w:pStyle w:val="Compact"/>
      </w:pPr>
      <w:r>
        <w:t xml:space="preserve">S. No.;</w:t>
      </w:r>
    </w:p>
    <w:p>
      <w:pPr>
        <w:numPr>
          <w:ilvl w:val="2"/>
          <w:numId w:val="1311"/>
        </w:numPr>
        <w:pStyle w:val="Compact"/>
      </w:pPr>
      <w:r>
        <w:t xml:space="preserve">Name of the DLA;</w:t>
      </w:r>
    </w:p>
    <w:p>
      <w:pPr>
        <w:numPr>
          <w:ilvl w:val="2"/>
          <w:numId w:val="1311"/>
        </w:numPr>
        <w:pStyle w:val="Compact"/>
      </w:pPr>
      <w:r>
        <w:t xml:space="preserve">Name of the owner (self-owned, or the LSP’s name);</w:t>
      </w:r>
    </w:p>
    <w:p>
      <w:pPr>
        <w:numPr>
          <w:ilvl w:val="2"/>
          <w:numId w:val="1311"/>
        </w:numPr>
        <w:pStyle w:val="Compact"/>
      </w:pPr>
      <w:r>
        <w:t xml:space="preserve">Available on (website or app store name);</w:t>
      </w:r>
    </w:p>
    <w:p>
      <w:pPr>
        <w:numPr>
          <w:ilvl w:val="2"/>
          <w:numId w:val="1311"/>
        </w:numPr>
        <w:pStyle w:val="Compact"/>
      </w:pPr>
      <w:r>
        <w:t xml:space="preserve">Link to DLA;</w:t>
      </w:r>
    </w:p>
    <w:p>
      <w:pPr>
        <w:numPr>
          <w:ilvl w:val="2"/>
          <w:numId w:val="1311"/>
        </w:numPr>
        <w:pStyle w:val="Compact"/>
      </w:pPr>
      <w:r>
        <w:t xml:space="preserve">Name, email ID, telephone number and mobile number of the Grievance Redressal Officer;</w:t>
      </w:r>
    </w:p>
    <w:p>
      <w:pPr>
        <w:numPr>
          <w:ilvl w:val="2"/>
          <w:numId w:val="1311"/>
        </w:numPr>
        <w:pStyle w:val="Compact"/>
      </w:pPr>
      <w:r>
        <w:t xml:space="preserve">Website of RE.</w:t>
      </w:r>
    </w:p>
    <w:p>
      <w:pPr>
        <w:numPr>
          <w:ilvl w:val="1"/>
          <w:numId w:val="1310"/>
        </w:numPr>
        <w:pStyle w:val="Compact"/>
      </w:pPr>
      <w:r>
        <w:t xml:space="preserve">The footnotes say that each DLA is a separate line item and that each app store needs its own entry. A website DLA gives the website link; an app gives its store link.</w:t>
      </w:r>
    </w:p>
    <w:p>
      <w:pPr>
        <w:numPr>
          <w:ilvl w:val="1"/>
          <w:numId w:val="1310"/>
        </w:numPr>
        <w:pStyle w:val="Compact"/>
      </w:pPr>
      <w:r>
        <w:rPr>
          <w:iCs/>
          <w:i/>
        </w:rPr>
        <w:t xml:space="preserve">Build:</w:t>
      </w:r>
      <w:r>
        <w:t xml:space="preserve"> </w:t>
      </w:r>
      <w:r>
        <w:t xml:space="preserve">U18 DLA register (</w:t>
      </w:r>
      <w:r>
        <w:rPr>
          <w:rStyle w:val="VerbatimChar"/>
        </w:rPr>
        <w:t xml:space="preserve">dla_register</w:t>
      </w:r>
      <w:r>
        <w:t xml:space="preserve">; lines created at U1 onboarding) with one row per DLA per platform (Google Play, App Store, web/PWA, and any white-label variant). Each row tracks its activation and cessation dates. An export per RE in Annex-I column order is regenerated, and the RE notified, on every launch, rename or withdrawal [VERIFY: whether the GRO columns take the RE’s GRO or the LSP’s nodal officer; para 18(4)(ii) suggests the LSP’s for LSP-owned DLAs].</w:t>
      </w:r>
    </w:p>
    <w:p>
      <w:pPr>
        <w:numPr>
          <w:ilvl w:val="0"/>
          <w:numId w:val="1308"/>
        </w:numPr>
        <w:pStyle w:val="Compact"/>
      </w:pPr>
      <w:r>
        <w:rPr>
          <w:rStyle w:val="VerbatimChar"/>
        </w:rPr>
        <w:t xml:space="preserve">REQ-CF-18(3)</w:t>
      </w:r>
      <w:r>
        <w:t xml:space="preserve"> </w:t>
      </w:r>
      <w:r>
        <w:rPr>
          <w:rStyle w:val="VerbatimChar"/>
        </w:rPr>
        <w:t xml:space="preserve">REQ-CF-18(4)</w:t>
      </w:r>
      <w:r>
        <w:t xml:space="preserve"> </w:t>
      </w:r>
      <w:r>
        <w:rPr>
          <w:bCs/>
          <w:b/>
        </w:rPr>
        <w:t xml:space="preserve">[RE]</w:t>
      </w:r>
      <w:r>
        <w:t xml:space="preserve"> </w:t>
      </w:r>
      <w:r>
        <w:t xml:space="preserve">The CCO or a Board-designated official certifies that:</w:t>
      </w:r>
    </w:p>
    <w:p>
      <w:pPr>
        <w:numPr>
          <w:ilvl w:val="1"/>
          <w:numId w:val="1312"/>
        </w:numPr>
        <w:pStyle w:val="Compact"/>
      </w:pPr>
      <w:r>
        <w:t xml:space="preserve">each DLA links to the RE’s website;</w:t>
      </w:r>
    </w:p>
    <w:p>
      <w:pPr>
        <w:numPr>
          <w:ilvl w:val="1"/>
          <w:numId w:val="1312"/>
        </w:numPr>
        <w:pStyle w:val="Compact"/>
      </w:pPr>
      <w:r>
        <w:t xml:space="preserve">an LSP-owned DLA has a nodal grievance officer displayed on it;</w:t>
      </w:r>
    </w:p>
    <w:p>
      <w:pPr>
        <w:numPr>
          <w:ilvl w:val="1"/>
          <w:numId w:val="1312"/>
        </w:numPr>
        <w:pStyle w:val="Compact"/>
      </w:pPr>
      <w:r>
        <w:t xml:space="preserve">data collection and storage comply with paras 13–14;</w:t>
      </w:r>
    </w:p>
    <w:p>
      <w:pPr>
        <w:numPr>
          <w:ilvl w:val="1"/>
          <w:numId w:val="1312"/>
        </w:numPr>
        <w:pStyle w:val="Compact"/>
      </w:pPr>
      <w:r>
        <w:t xml:space="preserve">the DLA particulars appear on the RE’s website under para 9(4).</w:t>
      </w:r>
    </w:p>
    <w:p>
      <w:pPr>
        <w:numPr>
          <w:ilvl w:val="1"/>
          <w:numId w:val="1312"/>
        </w:numPr>
        <w:pStyle w:val="Compact"/>
      </w:pPr>
      <w:r>
        <w:rPr>
          <w:iCs/>
          <w:i/>
        </w:rPr>
        <w:t xml:space="preserve">Build:</w:t>
      </w:r>
      <w:r>
        <w:t xml:space="preserve"> </w:t>
      </w:r>
      <w:r>
        <w:t xml:space="preserve">U18 produces a per-RE certification evidence pack covering all four points, with screenshots, manifest scans and policy versions.</w:t>
      </w:r>
    </w:p>
    <w:p>
      <w:pPr>
        <w:numPr>
          <w:ilvl w:val="0"/>
          <w:numId w:val="1308"/>
        </w:numPr>
        <w:pStyle w:val="Compact"/>
      </w:pPr>
      <w:r>
        <w:rPr>
          <w:rStyle w:val="VerbatimChar"/>
        </w:rPr>
        <w:t xml:space="preserve">REQ-CF-18(6)</w:t>
      </w:r>
      <w:r>
        <w:t xml:space="preserve"> </w:t>
      </w:r>
      <w:r>
        <w:rPr>
          <w:bCs/>
          <w:b/>
        </w:rPr>
        <w:t xml:space="preserve">[UDOFIN]</w:t>
      </w:r>
      <w:r>
        <w:t xml:space="preserve"> </w:t>
      </w:r>
      <w:r>
        <w:t xml:space="preserve">Inclusion on CIMS must not be presented as RBI</w:t>
      </w:r>
      <w:r>
        <w:t xml:space="preserve"> </w:t>
      </w:r>
      <w:r>
        <w:t xml:space="preserve">“</w:t>
      </w:r>
      <w:r>
        <w:t xml:space="preserve">registration, authorization, or endorsement</w:t>
      </w:r>
      <w:r>
        <w:t xml:space="preserve">”</w:t>
      </w:r>
      <w:r>
        <w:t xml:space="preserve"> </w:t>
      </w:r>
      <w:r>
        <w:t xml:space="preserve">in any marketing material.</w:t>
      </w:r>
    </w:p>
    <w:p>
      <w:pPr>
        <w:numPr>
          <w:ilvl w:val="1"/>
          <w:numId w:val="1313"/>
        </w:numPr>
        <w:pStyle w:val="Compact"/>
      </w:pPr>
      <w:r>
        <w:rPr>
          <w:iCs/>
          <w:i/>
        </w:rPr>
        <w:t xml:space="preserve">Build:</w:t>
      </w:r>
      <w:r>
        <w:t xml:space="preserve"> </w:t>
      </w:r>
      <w:r>
        <w:t xml:space="preserve">a U16 content linter blocks phrases such as</w:t>
      </w:r>
      <w:r>
        <w:t xml:space="preserve"> </w:t>
      </w:r>
      <w:r>
        <w:t xml:space="preserve">“</w:t>
      </w:r>
      <w:r>
        <w:t xml:space="preserve">RBI registered</w:t>
      </w:r>
      <w:r>
        <w:t xml:space="preserve">”</w:t>
      </w:r>
      <w:r>
        <w:t xml:space="preserve">,</w:t>
      </w:r>
      <w:r>
        <w:t xml:space="preserve"> </w:t>
      </w:r>
      <w:r>
        <w:t xml:space="preserve">“</w:t>
      </w:r>
      <w:r>
        <w:t xml:space="preserve">RBI approved</w:t>
      </w:r>
      <w:r>
        <w:t xml:space="preserve">”</w:t>
      </w:r>
      <w:r>
        <w:t xml:space="preserve"> </w:t>
      </w:r>
      <w:r>
        <w:t xml:space="preserve">and</w:t>
      </w:r>
      <w:r>
        <w:t xml:space="preserve"> </w:t>
      </w:r>
      <w:r>
        <w:t xml:space="preserve">“</w:t>
      </w:r>
      <w:r>
        <w:t xml:space="preserve">RBI authorised</w:t>
      </w:r>
      <w:r>
        <w:t xml:space="preserve">”</w:t>
      </w:r>
      <w:r>
        <w:t xml:space="preserve"> </w:t>
      </w:r>
      <w:r>
        <w:t xml:space="preserve">in Udofin-originated copy.</w:t>
      </w:r>
    </w:p>
    <w:bookmarkEnd w:id="436"/>
    <w:bookmarkStart w:id="437" w:name="dlg-udofin-as-provider-paras-1930"/>
    <w:p>
      <w:pPr>
        <w:pStyle w:val="Heading3"/>
      </w:pPr>
      <w:r>
        <w:t xml:space="preserve">DLG — Udofin as provider (paras 19–30)</w:t>
      </w:r>
    </w:p>
    <w:p>
      <w:pPr>
        <w:pStyle w:val="FirstParagraph"/>
      </w:pPr>
      <w:r>
        <w:t xml:space="preserve">DLG is optional and per RE.</w:t>
      </w:r>
      <w:r>
        <w:t xml:space="preserve"> </w:t>
      </w:r>
      <w:r>
        <w:rPr>
          <w:bCs/>
          <w:b/>
        </w:rPr>
        <w:t xml:space="preserve">DLG creates no collection rights or duties.</w:t>
      </w:r>
      <w:r>
        <w:t xml:space="preserve"> </w:t>
      </w:r>
      <w:r>
        <w:t xml:space="preserve">Collections need a separate recovery-agent appointment (para 6(5); see U13).</w:t>
      </w:r>
    </w:p>
    <w:p>
      <w:pPr>
        <w:numPr>
          <w:ilvl w:val="0"/>
          <w:numId w:val="1314"/>
        </w:numPr>
        <w:pStyle w:val="Compact"/>
      </w:pPr>
      <w:r>
        <w:rPr>
          <w:rStyle w:val="VerbatimChar"/>
        </w:rPr>
        <w:t xml:space="preserve">REQ-CF-19</w:t>
      </w:r>
      <w:r>
        <w:t xml:space="preserve"> </w:t>
      </w:r>
      <w:r>
        <w:rPr>
          <w:bCs/>
          <w:b/>
        </w:rPr>
        <w:t xml:space="preserve">[UDOFIN]</w:t>
      </w:r>
      <w:r>
        <w:t xml:space="preserve"> </w:t>
      </w:r>
      <w:r>
        <w:t xml:space="preserve">Only an LSP, or another lender engaged as an LSP, may give DLG. The LSP must be incorporated as a company under the Companies Act, 2013.</w:t>
      </w:r>
    </w:p>
    <w:p>
      <w:pPr>
        <w:numPr>
          <w:ilvl w:val="1"/>
          <w:numId w:val="1315"/>
        </w:numPr>
        <w:pStyle w:val="Compact"/>
      </w:pPr>
      <w:r>
        <w:rPr>
          <w:iCs/>
          <w:i/>
        </w:rPr>
        <w:t xml:space="preserve">Build:</w:t>
      </w:r>
      <w:r>
        <w:t xml:space="preserve"> </w:t>
      </w:r>
      <w:r>
        <w:t xml:space="preserve">U14 blocks DLG set-up until U1 holds Udofin’s CIN and incorporation evidence [VERIFY: Udofin’s incorporating statute].</w:t>
      </w:r>
    </w:p>
    <w:p>
      <w:pPr>
        <w:numPr>
          <w:ilvl w:val="0"/>
          <w:numId w:val="1314"/>
        </w:numPr>
        <w:pStyle w:val="Compact"/>
      </w:pPr>
      <w:r>
        <w:rPr>
          <w:rStyle w:val="VerbatimChar"/>
        </w:rPr>
        <w:t xml:space="preserve">REQ-CF-20(1)</w:t>
      </w:r>
      <w:r>
        <w:t xml:space="preserve"> </w:t>
      </w:r>
      <w:r>
        <w:rPr>
          <w:bCs/>
          <w:b/>
        </w:rPr>
        <w:t xml:space="preserve">[RE]</w:t>
      </w:r>
      <w:r>
        <w:t xml:space="preserve"> </w:t>
      </w:r>
      <w:r>
        <w:t xml:space="preserve">Before any arrangement, the RE’s policy sets: eligibility criteria for DLG providers; the nature and extent of cover; monitoring and review; fees payable to or received by the DLG provider.</w:t>
      </w:r>
    </w:p>
    <w:p>
      <w:pPr>
        <w:numPr>
          <w:ilvl w:val="0"/>
          <w:numId w:val="1314"/>
        </w:numPr>
        <w:pStyle w:val="Compact"/>
      </w:pPr>
      <w:r>
        <w:rPr>
          <w:rStyle w:val="VerbatimChar"/>
        </w:rPr>
        <w:t xml:space="preserve">REQ-CF-20(2)</w:t>
      </w:r>
      <w:r>
        <w:t xml:space="preserve"> </w:t>
      </w:r>
      <w:r>
        <w:rPr>
          <w:bCs/>
          <w:b/>
        </w:rPr>
        <w:t xml:space="preserve">[RE]</w:t>
      </w:r>
      <w:r>
        <w:t xml:space="preserve"> </w:t>
      </w:r>
      <w:r>
        <w:t xml:space="preserve">DLG is no substitute for credit appraisal.</w:t>
      </w:r>
    </w:p>
    <w:p>
      <w:pPr>
        <w:numPr>
          <w:ilvl w:val="1"/>
          <w:numId w:val="1316"/>
        </w:numPr>
        <w:pStyle w:val="Compact"/>
      </w:pPr>
      <w:r>
        <w:rPr>
          <w:iCs/>
          <w:i/>
        </w:rPr>
        <w:t xml:space="preserve">Build:</w:t>
      </w:r>
      <w:r>
        <w:t xml:space="preserve"> </w:t>
      </w:r>
      <w:r>
        <w:t xml:space="preserve">U7 never passes DLG headroom to an RE’s eligibility engine, and never routes by</w:t>
      </w:r>
      <w:r>
        <w:t xml:space="preserve"> </w:t>
      </w:r>
      <w:r>
        <w:t xml:space="preserve">“</w:t>
      </w:r>
      <w:r>
        <w:t xml:space="preserve">DLG-covered</w:t>
      </w:r>
      <w:r>
        <w:t xml:space="preserve">”</w:t>
      </w:r>
      <w:r>
        <w:t xml:space="preserve"> </w:t>
      </w:r>
      <w:r>
        <w:t xml:space="preserve">status [interpretation].</w:t>
      </w:r>
    </w:p>
    <w:p>
      <w:pPr>
        <w:numPr>
          <w:ilvl w:val="0"/>
          <w:numId w:val="1314"/>
        </w:numPr>
        <w:pStyle w:val="Compact"/>
      </w:pPr>
      <w:r>
        <w:rPr>
          <w:rStyle w:val="VerbatimChar"/>
        </w:rPr>
        <w:t xml:space="preserve">REQ-CF-20(3)</w:t>
      </w:r>
      <w:r>
        <w:t xml:space="preserve"> </w:t>
      </w:r>
      <w:r>
        <w:rPr>
          <w:bCs/>
          <w:b/>
        </w:rPr>
        <w:t xml:space="preserve">[UDOFIN]</w:t>
      </w:r>
      <w:r>
        <w:t xml:space="preserve"> </w:t>
      </w:r>
      <w:r>
        <w:t xml:space="preserve">On</w:t>
      </w:r>
      <w:r>
        <w:t xml:space="preserve"> </w:t>
      </w:r>
      <w:r>
        <w:rPr>
          <w:bCs/>
          <w:b/>
        </w:rPr>
        <w:t xml:space="preserve">every entry or renewal</w:t>
      </w:r>
      <w:r>
        <w:t xml:space="preserve">, Udofin gives a declaration,</w:t>
      </w:r>
      <w:r>
        <w:t xml:space="preserve"> </w:t>
      </w:r>
      <w:r>
        <w:rPr>
          <w:bCs/>
          <w:b/>
        </w:rPr>
        <w:t xml:space="preserve">certified by its statutory auditor</w:t>
      </w:r>
      <w:r>
        <w:t xml:space="preserve">, covering: the aggregate DLG amount outstanding; the number of lenders; the respective number of portfolios against which DLG has been provided; past default rates on similar portfolios.</w:t>
      </w:r>
    </w:p>
    <w:p>
      <w:pPr>
        <w:numPr>
          <w:ilvl w:val="1"/>
          <w:numId w:val="1317"/>
        </w:numPr>
        <w:pStyle w:val="Compact"/>
      </w:pPr>
      <w:r>
        <w:rPr>
          <w:iCs/>
          <w:i/>
        </w:rPr>
        <w:t xml:space="preserve">Build:</w:t>
      </w:r>
      <w:r>
        <w:t xml:space="preserve"> </w:t>
      </w:r>
      <w:r>
        <w:t xml:space="preserve">U14 and U17 generate the declaration data from the DLG ledger. U18 tracks auditor sign-off and blocks renewal without it.</w:t>
      </w:r>
    </w:p>
    <w:p>
      <w:pPr>
        <w:numPr>
          <w:ilvl w:val="0"/>
          <w:numId w:val="1314"/>
        </w:numPr>
        <w:pStyle w:val="Compact"/>
      </w:pPr>
      <w:r>
        <w:rPr>
          <w:rStyle w:val="VerbatimChar"/>
        </w:rPr>
        <w:t xml:space="preserve">REQ-CF-21(1)</w:t>
      </w:r>
      <w:r>
        <w:t xml:space="preserve"> </w:t>
      </w:r>
      <w:r>
        <w:rPr>
          <w:bCs/>
          <w:b/>
        </w:rPr>
        <w:t xml:space="preserve">[RE]</w:t>
      </w:r>
      <w:r>
        <w:t xml:space="preserve"> </w:t>
      </w:r>
      <w:r>
        <w:t xml:space="preserve">No DLG on loans covered by credit-guarantee schemes run by trust funds.</w:t>
      </w:r>
    </w:p>
    <w:p>
      <w:pPr>
        <w:numPr>
          <w:ilvl w:val="1"/>
          <w:numId w:val="1318"/>
        </w:numPr>
        <w:pStyle w:val="Compact"/>
      </w:pPr>
      <w:r>
        <w:rPr>
          <w:iCs/>
          <w:i/>
        </w:rPr>
        <w:t xml:space="preserve">Build:</w:t>
      </w:r>
      <w:r>
        <w:t xml:space="preserve"> </w:t>
      </w:r>
      <w:r>
        <w:t xml:space="preserve">U14 rejects any loan carrying a CGTMSE, CRGFTLIH or NCGTC flag from the RE.</w:t>
      </w:r>
    </w:p>
    <w:p>
      <w:pPr>
        <w:numPr>
          <w:ilvl w:val="0"/>
          <w:numId w:val="1314"/>
        </w:numPr>
        <w:pStyle w:val="Compact"/>
      </w:pPr>
      <w:r>
        <w:rPr>
          <w:rStyle w:val="VerbatimChar"/>
        </w:rPr>
        <w:t xml:space="preserve">REQ-CF-22</w:t>
      </w:r>
      <w:r>
        <w:t xml:space="preserve"> </w:t>
      </w:r>
      <w:r>
        <w:rPr>
          <w:bCs/>
          <w:b/>
        </w:rPr>
        <w:t xml:space="preserve">[RE→UDOFIN contract]</w:t>
      </w:r>
      <w:r>
        <w:t xml:space="preserve"> </w:t>
      </w:r>
      <w:r>
        <w:t xml:space="preserve">An explicit, legally enforceable contract states: the extent of cover; the form of cover; the invocation timeline; the para 28 disclosure obligations.</w:t>
      </w:r>
    </w:p>
    <w:p>
      <w:pPr>
        <w:numPr>
          <w:ilvl w:val="0"/>
          <w:numId w:val="1314"/>
        </w:numPr>
        <w:pStyle w:val="Compact"/>
      </w:pPr>
      <w:r>
        <w:rPr>
          <w:rStyle w:val="VerbatimChar"/>
        </w:rPr>
        <w:t xml:space="preserve">REQ-CF-23</w:t>
      </w:r>
      <w:r>
        <w:t xml:space="preserve"> </w:t>
      </w:r>
      <w:r>
        <w:rPr>
          <w:bCs/>
          <w:b/>
        </w:rPr>
        <w:t xml:space="preserve">[UDOFIN]</w:t>
      </w:r>
      <w:r>
        <w:t xml:space="preserve"> </w:t>
      </w:r>
      <w:r>
        <w:t xml:space="preserve">Only three forms of DLG are allowed: cash deposited with the NBFC; an FD with a Scheduled Commercial Bank with lien marked in favour of the NBFC; a bank guarantee in favour of the NBFC.</w:t>
      </w:r>
    </w:p>
    <w:p>
      <w:pPr>
        <w:numPr>
          <w:ilvl w:val="1"/>
          <w:numId w:val="1319"/>
        </w:numPr>
        <w:pStyle w:val="Compact"/>
      </w:pPr>
      <w:r>
        <w:rPr>
          <w:iCs/>
          <w:i/>
        </w:rPr>
        <w:t xml:space="preserve">Build:</w:t>
      </w:r>
      <w:r>
        <w:t xml:space="preserve"> </w:t>
      </w:r>
      <w:r>
        <w:t xml:space="preserve">U14 instrument register (form, bank, lien or BG reference, expiry) and U17 accounting for deposits, liens and contingent liabilities [VERIFY: Ind AS treatment with Udofin’s auditors].</w:t>
      </w:r>
    </w:p>
    <w:p>
      <w:pPr>
        <w:numPr>
          <w:ilvl w:val="0"/>
          <w:numId w:val="1314"/>
        </w:numPr>
        <w:pStyle w:val="Compact"/>
      </w:pPr>
      <w:r>
        <w:rPr>
          <w:rStyle w:val="VerbatimChar"/>
        </w:rPr>
        <w:t xml:space="preserve">REQ-CF-24</w:t>
      </w:r>
      <w:r>
        <w:t xml:space="preserve"> </w:t>
      </w:r>
      <w:r>
        <w:rPr>
          <w:bCs/>
          <w:b/>
        </w:rPr>
        <w:t xml:space="preserve">[RE→UDOFIN contract]</w:t>
      </w:r>
      <w:r>
        <w:t xml:space="preserve"> </w:t>
      </w:r>
      <w:r>
        <w:t xml:space="preserve">Total DLG cover on a portfolio</w:t>
      </w:r>
      <w:r>
        <w:t xml:space="preserve"> </w:t>
      </w:r>
      <w:r>
        <w:t xml:space="preserve">“</w:t>
      </w:r>
      <w:r>
        <w:t xml:space="preserve">shall not exceed five per cent of the total amount disbursed out of that loan portfolio at any given time</w:t>
      </w:r>
      <w:r>
        <w:t xml:space="preserve">”</w:t>
      </w:r>
      <w:r>
        <w:t xml:space="preserve">. For implicit guarantees, performance risk is capped at the equivalent of 5%.</w:t>
      </w:r>
    </w:p>
    <w:p>
      <w:pPr>
        <w:numPr>
          <w:ilvl w:val="1"/>
          <w:numId w:val="1320"/>
        </w:numPr>
        <w:pStyle w:val="Compact"/>
      </w:pPr>
      <w:r>
        <w:t xml:space="preserve">The</w:t>
      </w:r>
      <w:r>
        <w:t xml:space="preserve"> </w:t>
      </w:r>
      <w:r>
        <w:rPr>
          <w:bCs/>
          <w:b/>
        </w:rPr>
        <w:t xml:space="preserve">DLG set</w:t>
      </w:r>
      <w:r>
        <w:t xml:space="preserve"> </w:t>
      </w:r>
      <w:r>
        <w:t xml:space="preserve">is identifiable sanctioned loans and is</w:t>
      </w:r>
      <w:r>
        <w:t xml:space="preserve"> </w:t>
      </w:r>
      <w:r>
        <w:t xml:space="preserve">“</w:t>
      </w:r>
      <w:r>
        <w:t xml:space="preserve">fixed … not meant to be dynamic</w:t>
      </w:r>
      <w:r>
        <w:t xml:space="preserve">”</w:t>
      </w:r>
      <w:r>
        <w:t xml:space="preserve">. Loans leave the set only by repayment or write-off.</w:t>
      </w:r>
    </w:p>
    <w:p>
      <w:pPr>
        <w:numPr>
          <w:ilvl w:val="1"/>
          <w:numId w:val="1320"/>
        </w:numPr>
        <w:pStyle w:val="Compact"/>
      </w:pPr>
      <w:r>
        <w:t xml:space="preserve">Cover activates pro rata as loans are disbursed (para 24(3), Illustrations 1–2).</w:t>
      </w:r>
    </w:p>
    <w:p>
      <w:pPr>
        <w:numPr>
          <w:ilvl w:val="1"/>
          <w:numId w:val="1320"/>
        </w:numPr>
        <w:pStyle w:val="Compact"/>
      </w:pPr>
      <w:r>
        <w:rPr>
          <w:iCs/>
          <w:i/>
        </w:rPr>
        <w:t xml:space="preserve">Build:</w:t>
      </w:r>
    </w:p>
    <w:p>
      <w:pPr>
        <w:numPr>
          <w:ilvl w:val="2"/>
          <w:numId w:val="1321"/>
        </w:numPr>
        <w:pStyle w:val="Compact"/>
      </w:pPr>
      <w:r>
        <w:t xml:space="preserve">U14 keeps a set-level ledger: sanctioned set, cumulative disbursed, cap (5% of disbursed), invoked to date, and available headroom.</w:t>
      </w:r>
    </w:p>
    <w:p>
      <w:pPr>
        <w:numPr>
          <w:ilvl w:val="2"/>
          <w:numId w:val="1321"/>
        </w:numPr>
        <w:pStyle w:val="Compact"/>
      </w:pPr>
      <w:r>
        <w:t xml:space="preserve">Adding loans to a closed set is blocked.</w:t>
      </w:r>
    </w:p>
    <w:p>
      <w:pPr>
        <w:numPr>
          <w:ilvl w:val="2"/>
          <w:numId w:val="1321"/>
        </w:numPr>
        <w:pStyle w:val="Compact"/>
      </w:pPr>
      <w:r>
        <w:rPr>
          <w:bCs/>
          <w:b/>
        </w:rPr>
        <w:t xml:space="preserve">Any fee clawback, reversal or first-loss term in the commercial contract is modelled as implicit DLG</w:t>
      </w:r>
      <w:r>
        <w:t xml:space="preserve"> </w:t>
      </w:r>
      <w:r>
        <w:t xml:space="preserve">and counted within the cap.</w:t>
      </w:r>
    </w:p>
    <w:p>
      <w:pPr>
        <w:numPr>
          <w:ilvl w:val="2"/>
          <w:numId w:val="1321"/>
        </w:numPr>
        <w:pStyle w:val="Compact"/>
      </w:pPr>
      <w:r>
        <w:t xml:space="preserve">The original prompt’s</w:t>
      </w:r>
      <w:r>
        <w:t xml:space="preserve"> </w:t>
      </w:r>
      <w:r>
        <w:t xml:space="preserve">“</w:t>
      </w:r>
      <w:r>
        <w:t xml:space="preserve">5% FLDG</w:t>
      </w:r>
      <w:r>
        <w:t xml:space="preserve">”</w:t>
      </w:r>
      <w:r>
        <w:t xml:space="preserve"> </w:t>
      </w:r>
      <w:r>
        <w:t xml:space="preserve">is a ceiling, not a fixed rate.</w:t>
      </w:r>
    </w:p>
    <w:p>
      <w:pPr>
        <w:numPr>
          <w:ilvl w:val="0"/>
          <w:numId w:val="1314"/>
        </w:numPr>
        <w:pStyle w:val="Compact"/>
      </w:pPr>
      <w:r>
        <w:rPr>
          <w:rStyle w:val="VerbatimChar"/>
        </w:rPr>
        <w:t xml:space="preserve">REQ-CF-25(2)</w:t>
      </w:r>
      <w:r>
        <w:t xml:space="preserve"> </w:t>
      </w:r>
      <w:r>
        <w:rPr>
          <w:bCs/>
          <w:b/>
        </w:rPr>
        <w:t xml:space="preserve">[RE]</w:t>
      </w:r>
      <w:r>
        <w:t xml:space="preserve"> </w:t>
      </w:r>
      <w:r>
        <w:t xml:space="preserve">Invoked DLG is not set off against individual loans, so the borrower’s liability is unaffected.</w:t>
      </w:r>
    </w:p>
    <w:p>
      <w:pPr>
        <w:numPr>
          <w:ilvl w:val="1"/>
          <w:numId w:val="1322"/>
        </w:numPr>
        <w:pStyle w:val="Compact"/>
      </w:pPr>
      <w:r>
        <w:rPr>
          <w:iCs/>
          <w:i/>
        </w:rPr>
        <w:t xml:space="preserve">Build:</w:t>
      </w:r>
      <w:r>
        <w:t xml:space="preserve"> </w:t>
      </w:r>
      <w:r>
        <w:t xml:space="preserve">U12 and U25 never show a loan as reduced or settled because DLG was invoked.</w:t>
      </w:r>
    </w:p>
    <w:p>
      <w:pPr>
        <w:numPr>
          <w:ilvl w:val="0"/>
          <w:numId w:val="1314"/>
        </w:numPr>
        <w:pStyle w:val="Compact"/>
      </w:pPr>
      <w:r>
        <w:rPr>
          <w:rStyle w:val="VerbatimChar"/>
        </w:rPr>
        <w:t xml:space="preserve">REQ-CF-25(3)</w:t>
      </w:r>
      <w:r>
        <w:t xml:space="preserve"> </w:t>
      </w:r>
      <w:r>
        <w:rPr>
          <w:bCs/>
          <w:b/>
        </w:rPr>
        <w:t xml:space="preserve">[RE→UDOFIN contract]</w:t>
      </w:r>
      <w:r>
        <w:t xml:space="preserve"> </w:t>
      </w:r>
      <w:r>
        <w:t xml:space="preserve">Recoveries on loans where DLG was invoked may be shared with the provider as the contract says.</w:t>
      </w:r>
    </w:p>
    <w:p>
      <w:pPr>
        <w:numPr>
          <w:ilvl w:val="1"/>
          <w:numId w:val="1323"/>
        </w:numPr>
        <w:pStyle w:val="Compact"/>
      </w:pPr>
      <w:r>
        <w:rPr>
          <w:iCs/>
          <w:i/>
        </w:rPr>
        <w:t xml:space="preserve">Build:</w:t>
      </w:r>
      <w:r>
        <w:t xml:space="preserve"> </w:t>
      </w:r>
      <w:r>
        <w:t xml:space="preserve">a U14 recovery-sharing ledger.</w:t>
      </w:r>
    </w:p>
    <w:p>
      <w:pPr>
        <w:numPr>
          <w:ilvl w:val="0"/>
          <w:numId w:val="1314"/>
        </w:numPr>
        <w:pStyle w:val="Compact"/>
      </w:pPr>
      <w:r>
        <w:rPr>
          <w:rStyle w:val="VerbatimChar"/>
        </w:rPr>
        <w:t xml:space="preserve">REQ-CF-25(4)</w:t>
      </w:r>
      <w:r>
        <w:t xml:space="preserve"> </w:t>
      </w:r>
      <w:r>
        <w:rPr>
          <w:bCs/>
          <w:b/>
        </w:rPr>
        <w:t xml:space="preserve">[RE→UDOFIN contract]</w:t>
      </w:r>
      <w:r>
        <w:t xml:space="preserve"> </w:t>
      </w:r>
      <w:r>
        <w:t xml:space="preserve">Invoked DLG is</w:t>
      </w:r>
      <w:r>
        <w:t xml:space="preserve"> </w:t>
      </w:r>
      <w:r>
        <w:t xml:space="preserve">“</w:t>
      </w:r>
      <w:r>
        <w:t xml:space="preserve">not … reinstated, including through loan recovery</w:t>
      </w:r>
      <w:r>
        <w:t xml:space="preserve">”</w:t>
      </w:r>
      <w:r>
        <w:t xml:space="preserve">.</w:t>
      </w:r>
    </w:p>
    <w:p>
      <w:pPr>
        <w:numPr>
          <w:ilvl w:val="1"/>
          <w:numId w:val="1324"/>
        </w:numPr>
        <w:pStyle w:val="Compact"/>
      </w:pPr>
      <w:r>
        <w:rPr>
          <w:iCs/>
          <w:i/>
        </w:rPr>
        <w:t xml:space="preserve">Build:</w:t>
      </w:r>
      <w:r>
        <w:t xml:space="preserve"> </w:t>
      </w:r>
      <w:r>
        <w:t xml:space="preserve">the U14 ledger has no reinstatement transaction type, and headroom never increases after invocation.</w:t>
      </w:r>
    </w:p>
    <w:p>
      <w:pPr>
        <w:numPr>
          <w:ilvl w:val="0"/>
          <w:numId w:val="1314"/>
        </w:numPr>
        <w:pStyle w:val="Compact"/>
      </w:pPr>
      <w:r>
        <w:rPr>
          <w:rStyle w:val="VerbatimChar"/>
        </w:rPr>
        <w:t xml:space="preserve">REQ-CF-26(2)</w:t>
      </w:r>
      <w:r>
        <w:t xml:space="preserve"> </w:t>
      </w:r>
      <w:r>
        <w:rPr>
          <w:bCs/>
          <w:b/>
        </w:rPr>
        <w:t xml:space="preserve">[RE]</w:t>
      </w:r>
      <w:r>
        <w:t xml:space="preserve"> </w:t>
      </w:r>
      <w:r>
        <w:t xml:space="preserve">Capital deduction applies only where the DLG provider is an NBFC. Not applicable to Udofin.</w:t>
      </w:r>
    </w:p>
    <w:p>
      <w:pPr>
        <w:numPr>
          <w:ilvl w:val="0"/>
          <w:numId w:val="1314"/>
        </w:numPr>
        <w:pStyle w:val="Compact"/>
      </w:pPr>
      <w:r>
        <w:rPr>
          <w:rStyle w:val="VerbatimChar"/>
        </w:rPr>
        <w:t xml:space="preserve">REQ-CF-27(1)</w:t>
      </w:r>
      <w:r>
        <w:t xml:space="preserve"> </w:t>
      </w:r>
      <w:r>
        <w:rPr>
          <w:bCs/>
          <w:b/>
        </w:rPr>
        <w:t xml:space="preserve">[RE]</w:t>
      </w:r>
      <w:r>
        <w:t xml:space="preserve"> </w:t>
      </w:r>
      <w:r>
        <w:t xml:space="preserve">The RE invokes DLG</w:t>
      </w:r>
      <w:r>
        <w:t xml:space="preserve"> </w:t>
      </w:r>
      <w:r>
        <w:t xml:space="preserve">“</w:t>
      </w:r>
      <w:r>
        <w:t xml:space="preserve">within a maximum overdue period of 120 days, unless the loan dues are made good by the borrower before that</w:t>
      </w:r>
      <w:r>
        <w:t xml:space="preserve">”</w:t>
      </w:r>
      <w:r>
        <w:t xml:space="preserve">.</w:t>
      </w:r>
      <w:r>
        <w:t xml:space="preserve"> </w:t>
      </w:r>
      <w:r>
        <w:rPr>
          <w:rStyle w:val="VerbatimChar"/>
        </w:rPr>
        <w:t xml:space="preserve">REQ-CF-27(2)</w:t>
      </w:r>
      <w:r>
        <w:t xml:space="preserve"> </w:t>
      </w:r>
      <w:r>
        <w:rPr>
          <w:bCs/>
          <w:b/>
        </w:rPr>
        <w:t xml:space="preserve">[RE→UDOFIN contract]</w:t>
      </w:r>
      <w:r>
        <w:t xml:space="preserve"> </w:t>
      </w:r>
      <w:r>
        <w:t xml:space="preserve">The DLG agreement runs for no less than the longest loan tenor in the portfolio.</w:t>
      </w:r>
    </w:p>
    <w:p>
      <w:pPr>
        <w:numPr>
          <w:ilvl w:val="1"/>
          <w:numId w:val="1325"/>
        </w:numPr>
        <w:pStyle w:val="Compact"/>
      </w:pPr>
      <w:r>
        <w:rPr>
          <w:iCs/>
          <w:i/>
        </w:rPr>
        <w:t xml:space="preserve">Build:</w:t>
      </w:r>
      <w:r>
        <w:t xml:space="preserve"> </w:t>
      </w:r>
      <w:r>
        <w:t xml:space="preserve">U14 consumes</w:t>
      </w:r>
      <w:r>
        <w:t xml:space="preserve"> </w:t>
      </w:r>
      <w:r>
        <w:rPr>
          <w:rStyle w:val="VerbatimChar"/>
        </w:rPr>
        <w:t xml:space="preserve">DLGInvocationRaised</w:t>
      </w:r>
      <w:r>
        <w:t xml:space="preserve">, validates the DPD (120 or less) against the U12 mirror, and records</w:t>
      </w:r>
      <w:r>
        <w:t xml:space="preserve"> </w:t>
      </w:r>
      <w:r>
        <w:rPr>
          <w:rStyle w:val="VerbatimChar"/>
        </w:rPr>
        <w:t xml:space="preserve">DLGInvocationSettled</w:t>
      </w:r>
      <w:r>
        <w:t xml:space="preserve">. Agreement end dates are checked against the maximum tenor in the set.</w:t>
      </w:r>
    </w:p>
    <w:p>
      <w:pPr>
        <w:numPr>
          <w:ilvl w:val="0"/>
          <w:numId w:val="1314"/>
        </w:numPr>
        <w:pStyle w:val="Compact"/>
      </w:pPr>
      <w:r>
        <w:rPr>
          <w:rStyle w:val="VerbatimChar"/>
        </w:rPr>
        <w:t xml:space="preserve">REQ-CF-28</w:t>
      </w:r>
      <w:r>
        <w:t xml:space="preserve"> </w:t>
      </w:r>
      <w:r>
        <w:rPr>
          <w:bCs/>
          <w:b/>
        </w:rPr>
        <w:t xml:space="preserve">[UDOFIN]</w:t>
      </w:r>
      <w:r>
        <w:t xml:space="preserve"> </w:t>
      </w:r>
      <w:r>
        <w:t xml:space="preserve">Udofin publishes on its website</w:t>
      </w:r>
      <w:r>
        <w:t xml:space="preserve"> </w:t>
      </w:r>
      <w:r>
        <w:t xml:space="preserve">“</w:t>
      </w:r>
      <w:r>
        <w:t xml:space="preserve">the total number of portfolios and the respective amount of each portfolio on which DLG has been offered</w:t>
      </w:r>
      <w:r>
        <w:t xml:space="preserve">”</w:t>
      </w:r>
      <w:r>
        <w:t xml:space="preserve">. Lender names are optional. The disclosure is monthly, and</w:t>
      </w:r>
      <w:r>
        <w:t xml:space="preserve"> </w:t>
      </w:r>
      <w:r>
        <w:t xml:space="preserve">“</w:t>
      </w:r>
      <w:r>
        <w:t xml:space="preserve">no later than seven (7) working days following the conclusion of that month</w:t>
      </w:r>
      <w:r>
        <w:t xml:space="preserve">”</w:t>
      </w:r>
      <w:r>
        <w:t xml:space="preserve">.</w:t>
      </w:r>
    </w:p>
    <w:p>
      <w:pPr>
        <w:numPr>
          <w:ilvl w:val="1"/>
          <w:numId w:val="1326"/>
        </w:numPr>
        <w:pStyle w:val="Compact"/>
      </w:pPr>
      <w:r>
        <w:rPr>
          <w:iCs/>
          <w:i/>
        </w:rPr>
        <w:t xml:space="preserve">Build:</w:t>
      </w:r>
      <w:r>
        <w:t xml:space="preserve"> </w:t>
      </w:r>
      <w:r>
        <w:t xml:space="preserve">U14 auto-generates the disclosure and U23 publishes it. U18 holds the working-day calendar, the deadline alert and the published-version archive.</w:t>
      </w:r>
      <w:r>
        <w:t xml:space="preserve"> </w:t>
      </w:r>
      <w:r>
        <w:rPr>
          <w:rStyle w:val="VerbatimChar"/>
        </w:rPr>
        <w:t xml:space="preserve">DLGDisclosurePublished</w:t>
      </w:r>
      <w:r>
        <w:t xml:space="preserve"> </w:t>
      </w:r>
      <w:r>
        <w:t xml:space="preserve">(contract event adopted in v1.1, Part 5.2) is sent to each RE as evidence.</w:t>
      </w:r>
    </w:p>
    <w:p>
      <w:pPr>
        <w:numPr>
          <w:ilvl w:val="0"/>
          <w:numId w:val="1314"/>
        </w:numPr>
        <w:pStyle w:val="Compact"/>
      </w:pPr>
      <w:r>
        <w:rPr>
          <w:rStyle w:val="VerbatimChar"/>
        </w:rPr>
        <w:t xml:space="preserve">REQ-CF-29</w:t>
      </w:r>
      <w:r>
        <w:t xml:space="preserve"> </w:t>
      </w:r>
      <w:r>
        <w:rPr>
          <w:rStyle w:val="VerbatimChar"/>
        </w:rPr>
        <w:t xml:space="preserve">REQ-CF-30(2)</w:t>
      </w:r>
      <w:r>
        <w:t xml:space="preserve"> </w:t>
      </w:r>
      <w:r>
        <w:rPr>
          <w:bCs/>
          <w:b/>
        </w:rPr>
        <w:t xml:space="preserve">[RE]</w:t>
      </w:r>
      <w:r>
        <w:t xml:space="preserve"> </w:t>
      </w:r>
      <w:r>
        <w:t xml:space="preserve">Guarantees under CGTMSE, CRGFTLIH or NCGTC, and BIS, IMF or MDB guarantees, are not DLG. Compliant DLG is neither synthetic securitisation nor loan participation.</w:t>
      </w:r>
    </w:p>
    <w:bookmarkEnd w:id="437"/>
    <w:bookmarkStart w:id="438" w:name="X6e2e228ebdc904ac04f120ea267d811c96a37a3"/>
    <w:p>
      <w:pPr>
        <w:pStyle w:val="Heading3"/>
      </w:pPr>
      <w:r>
        <w:t xml:space="preserve">Microfinance loans sourced through Udofin (Chapter V, paras 51–62)</w:t>
      </w:r>
    </w:p>
    <w:p>
      <w:pPr>
        <w:numPr>
          <w:ilvl w:val="0"/>
          <w:numId w:val="1327"/>
        </w:numPr>
        <w:pStyle w:val="Compact"/>
      </w:pPr>
      <w:r>
        <w:rPr>
          <w:rStyle w:val="VerbatimChar"/>
        </w:rPr>
        <w:t xml:space="preserve">REQ-CF-51</w:t>
      </w:r>
      <w:r>
        <w:t xml:space="preserve"> </w:t>
      </w:r>
      <w:r>
        <w:rPr>
          <w:bCs/>
          <w:b/>
        </w:rPr>
        <w:t xml:space="preserve">[RE]</w:t>
      </w:r>
      <w:r>
        <w:t xml:space="preserve"> </w:t>
      </w:r>
      <w:r>
        <w:t xml:space="preserve">A microfinance loan is any</w:t>
      </w:r>
      <w:r>
        <w:t xml:space="preserve"> </w:t>
      </w:r>
      <w:r>
        <w:rPr>
          <w:bCs/>
          <w:b/>
        </w:rPr>
        <w:t xml:space="preserve">collateral-free</w:t>
      </w:r>
      <w:r>
        <w:t xml:space="preserve"> </w:t>
      </w:r>
      <w:r>
        <w:t xml:space="preserve">loan (no lien on a deposit account, no hypothecation) to a household with</w:t>
      </w:r>
      <w:r>
        <w:t xml:space="preserve"> </w:t>
      </w:r>
      <w:r>
        <w:rPr>
          <w:bCs/>
          <w:b/>
        </w:rPr>
        <w:t xml:space="preserve">annual household income up to ₹3,00,000</w:t>
      </w:r>
      <w:r>
        <w:t xml:space="preserve">. Household means</w:t>
      </w:r>
      <w:r>
        <w:t xml:space="preserve"> </w:t>
      </w:r>
      <w:r>
        <w:t xml:space="preserve">“</w:t>
      </w:r>
      <w:r>
        <w:t xml:space="preserve">husband, wife and their unmarried children</w:t>
      </w:r>
      <w:r>
        <w:t xml:space="preserve">”</w:t>
      </w:r>
      <w:r>
        <w:t xml:space="preserve">. This applies</w:t>
      </w:r>
      <w:r>
        <w:t xml:space="preserve"> </w:t>
      </w:r>
      <w:r>
        <w:t xml:space="preserve">“</w:t>
      </w:r>
      <w:r>
        <w:t xml:space="preserve">irrespective of end use and mode of application / processing / disbursal (either through physical or digital channels)</w:t>
      </w:r>
      <w:r>
        <w:t xml:space="preserve">”</w:t>
      </w:r>
      <w:r>
        <w:t xml:space="preserve">.</w:t>
      </w:r>
    </w:p>
    <w:p>
      <w:pPr>
        <w:numPr>
          <w:ilvl w:val="1"/>
          <w:numId w:val="1328"/>
        </w:numPr>
        <w:pStyle w:val="Compact"/>
      </w:pPr>
      <w:r>
        <w:rPr>
          <w:iCs/>
          <w:i/>
        </w:rPr>
        <w:t xml:space="preserve">Build:</w:t>
      </w:r>
      <w:r>
        <w:t xml:space="preserve"> </w:t>
      </w:r>
      <w:r>
        <w:t xml:space="preserve">U6 captures household composition and household income for every collateral-free application. U7 sets an</w:t>
      </w:r>
      <w:r>
        <w:t xml:space="preserve"> </w:t>
      </w:r>
      <w:r>
        <w:rPr>
          <w:rStyle w:val="VerbatimChar"/>
        </w:rPr>
        <w:t xml:space="preserve">is_microfinance</w:t>
      </w:r>
      <w:r>
        <w:t xml:space="preserve"> </w:t>
      </w:r>
      <w:r>
        <w:t xml:space="preserve">flag (unsecured, and annual household income of ₹3,00,000 or less) that travels with the application. Products 1–2 and every other unsecured product are in scope.</w:t>
      </w:r>
    </w:p>
    <w:p>
      <w:pPr>
        <w:numPr>
          <w:ilvl w:val="0"/>
          <w:numId w:val="1327"/>
        </w:numPr>
        <w:pStyle w:val="Compact"/>
      </w:pPr>
      <w:r>
        <w:rPr>
          <w:rStyle w:val="VerbatimChar"/>
        </w:rPr>
        <w:t xml:space="preserve">REQ-CF-52</w:t>
      </w:r>
      <w:r>
        <w:t xml:space="preserve"> </w:t>
      </w:r>
      <w:r>
        <w:rPr>
          <w:bCs/>
          <w:b/>
        </w:rPr>
        <w:t xml:space="preserve">[RE]</w:t>
      </w:r>
      <w:r>
        <w:t xml:space="preserve"> </w:t>
      </w:r>
      <w:r>
        <w:t xml:space="preserve">The RE assesses household income under a Board-approved policy. The indicative parameters are:</w:t>
      </w:r>
    </w:p>
    <w:p>
      <w:pPr>
        <w:numPr>
          <w:ilvl w:val="1"/>
          <w:numId w:val="1329"/>
        </w:numPr>
        <w:pStyle w:val="Compact"/>
      </w:pPr>
      <w:r>
        <w:t xml:space="preserve">the household profile (earning and non-earning members, accommodation, amenities, assets);</w:t>
      </w:r>
    </w:p>
    <w:p>
      <w:pPr>
        <w:numPr>
          <w:ilvl w:val="1"/>
          <w:numId w:val="1329"/>
        </w:numPr>
        <w:pStyle w:val="Compact"/>
      </w:pPr>
      <w:r>
        <w:t xml:space="preserve">income by member and by source, including remittance, rent, pension, government transfers and scholarship, without double counting;</w:t>
      </w:r>
    </w:p>
    <w:p>
      <w:pPr>
        <w:numPr>
          <w:ilvl w:val="1"/>
          <w:numId w:val="1329"/>
        </w:numPr>
        <w:pStyle w:val="Compact"/>
      </w:pPr>
      <w:r>
        <w:t xml:space="preserve">stability assessed over a minimum of one year;</w:t>
      </w:r>
    </w:p>
    <w:p>
      <w:pPr>
        <w:numPr>
          <w:ilvl w:val="1"/>
          <w:numId w:val="1329"/>
        </w:numPr>
        <w:pStyle w:val="Compact"/>
      </w:pPr>
      <w:r>
        <w:t xml:space="preserve">household expenses (regular monthly and irregular over the last year);</w:t>
      </w:r>
    </w:p>
    <w:p>
      <w:pPr>
        <w:numPr>
          <w:ilvl w:val="1"/>
          <w:numId w:val="1329"/>
        </w:numPr>
        <w:pStyle w:val="Compact"/>
      </w:pPr>
      <w:r>
        <w:t xml:space="preserve">corroboration, including from bank statements.</w:t>
      </w:r>
    </w:p>
    <w:p>
      <w:pPr>
        <w:numPr>
          <w:ilvl w:val="1"/>
          <w:numId w:val="1329"/>
        </w:numPr>
        <w:pStyle w:val="Compact"/>
      </w:pPr>
      <w:r>
        <w:rPr>
          <w:iCs/>
          <w:i/>
        </w:rPr>
        <w:t xml:space="preserve">Build:</w:t>
      </w:r>
      <w:r>
        <w:t xml:space="preserve"> </w:t>
      </w:r>
      <w:r>
        <w:t xml:space="preserve">U6 household-income questionnaire following para 52(1). Each RE configures the required fields in U2. Evidence links (AA statements, declarations) go to the RE.</w:t>
      </w:r>
    </w:p>
    <w:p>
      <w:pPr>
        <w:numPr>
          <w:ilvl w:val="0"/>
          <w:numId w:val="1327"/>
        </w:numPr>
        <w:pStyle w:val="Compact"/>
      </w:pPr>
      <w:r>
        <w:rPr>
          <w:rStyle w:val="VerbatimChar"/>
        </w:rPr>
        <w:t xml:space="preserve">REQ-CF-54</w:t>
      </w:r>
      <w:r>
        <w:t xml:space="preserve"> </w:t>
      </w:r>
      <w:r>
        <w:rPr>
          <w:bCs/>
          <w:b/>
        </w:rPr>
        <w:t xml:space="preserve">[RE]</w:t>
      </w:r>
      <w:r>
        <w:t xml:space="preserve"> </w:t>
      </w:r>
      <w:r>
        <w:t xml:space="preserve">Household income is mandatorily reported to CICs. Reasons for any divergence from previously reported income are obtained from the borrower.</w:t>
      </w:r>
    </w:p>
    <w:p>
      <w:pPr>
        <w:numPr>
          <w:ilvl w:val="1"/>
          <w:numId w:val="1330"/>
        </w:numPr>
        <w:pStyle w:val="Compact"/>
      </w:pPr>
      <w:r>
        <w:rPr>
          <w:iCs/>
          <w:i/>
        </w:rPr>
        <w:t xml:space="preserve">Build:</w:t>
      </w:r>
      <w:r>
        <w:t xml:space="preserve"> </w:t>
      </w:r>
      <w:r>
        <w:t xml:space="preserve">U6 captures monthly family income for every microfinance application (UCRF MFI field 49, CIR Annex I) and a divergence-reason field.</w:t>
      </w:r>
    </w:p>
    <w:p>
      <w:pPr>
        <w:numPr>
          <w:ilvl w:val="0"/>
          <w:numId w:val="1327"/>
        </w:numPr>
        <w:pStyle w:val="Compact"/>
      </w:pPr>
      <w:r>
        <w:rPr>
          <w:rStyle w:val="VerbatimChar"/>
        </w:rPr>
        <w:t xml:space="preserve">REQ-CF-55</w:t>
      </w:r>
      <w:r>
        <w:t xml:space="preserve"> </w:t>
      </w:r>
      <w:r>
        <w:rPr>
          <w:rStyle w:val="VerbatimChar"/>
        </w:rPr>
        <w:t xml:space="preserve">REQ-CF-56</w:t>
      </w:r>
      <w:r>
        <w:t xml:space="preserve"> </w:t>
      </w:r>
      <w:r>
        <w:rPr>
          <w:rStyle w:val="VerbatimChar"/>
        </w:rPr>
        <w:t xml:space="preserve">REQ-CF-57</w:t>
      </w:r>
      <w:r>
        <w:t xml:space="preserve"> </w:t>
      </w:r>
      <w:r>
        <w:rPr>
          <w:bCs/>
          <w:b/>
        </w:rPr>
        <w:t xml:space="preserve">[RE]</w:t>
      </w:r>
      <w:r>
        <w:t xml:space="preserve"> </w:t>
      </w:r>
      <w:r>
        <w:t xml:space="preserve">Monthly repayment outflows on</w:t>
      </w:r>
      <w:r>
        <w:t xml:space="preserve"> </w:t>
      </w:r>
      <w:r>
        <w:rPr>
          <w:bCs/>
          <w:b/>
        </w:rPr>
        <w:t xml:space="preserve">all</w:t>
      </w:r>
      <w:r>
        <w:t xml:space="preserve"> </w:t>
      </w:r>
      <w:r>
        <w:t xml:space="preserve">household loans (secured and unsecured, existing and proposed, principal plus interest) must not exceed</w:t>
      </w:r>
      <w:r>
        <w:t xml:space="preserve"> </w:t>
      </w:r>
      <w:r>
        <w:rPr>
          <w:bCs/>
          <w:b/>
        </w:rPr>
        <w:t xml:space="preserve">50% of monthly household income</w:t>
      </w:r>
      <w:r>
        <w:t xml:space="preserve">. Future income from the financed activity is excluded. No new loan is given while the household is above 50%.</w:t>
      </w:r>
    </w:p>
    <w:p>
      <w:pPr>
        <w:numPr>
          <w:ilvl w:val="1"/>
          <w:numId w:val="1331"/>
        </w:numPr>
        <w:pStyle w:val="Compact"/>
      </w:pPr>
      <w:r>
        <w:rPr>
          <w:iCs/>
          <w:i/>
        </w:rPr>
        <w:t xml:space="preserve">Build:</w:t>
      </w:r>
      <w:r>
        <w:t xml:space="preserve"> </w:t>
      </w:r>
      <w:r>
        <w:t xml:space="preserve">U6 computes an indicative obligation ratio from RE-pulled bureau data and declarations, and shows it to the RE. U7 suppresses an RE’s offer when the RE’s engine reports a breach. The RE’s decision is final [VERIFY: how each RE converts bullet or payday repayments into a monthly obligation for this test].</w:t>
      </w:r>
    </w:p>
    <w:p>
      <w:pPr>
        <w:numPr>
          <w:ilvl w:val="0"/>
          <w:numId w:val="1327"/>
        </w:numPr>
        <w:pStyle w:val="Compact"/>
      </w:pPr>
      <w:r>
        <w:rPr>
          <w:rStyle w:val="VerbatimChar"/>
        </w:rPr>
        <w:t xml:space="preserve">REQ-CF-58</w:t>
      </w:r>
      <w:r>
        <w:t xml:space="preserve"> </w:t>
      </w:r>
      <w:r>
        <w:rPr>
          <w:bCs/>
          <w:b/>
        </w:rPr>
        <w:t xml:space="preserve">[RE]</w:t>
      </w:r>
      <w:r>
        <w:t xml:space="preserve"> </w:t>
      </w:r>
      <w:r>
        <w:t xml:space="preserve">The RE uses CIC data plus declarations, bank statements and local enquiries.</w:t>
      </w:r>
    </w:p>
    <w:p>
      <w:pPr>
        <w:numPr>
          <w:ilvl w:val="0"/>
          <w:numId w:val="1327"/>
        </w:numPr>
        <w:pStyle w:val="Compact"/>
      </w:pPr>
      <w:r>
        <w:rPr>
          <w:rStyle w:val="VerbatimChar"/>
        </w:rPr>
        <w:t xml:space="preserve">REQ-CF-59</w:t>
      </w:r>
      <w:r>
        <w:t xml:space="preserve"> </w:t>
      </w:r>
      <w:r>
        <w:rPr>
          <w:bCs/>
          <w:b/>
        </w:rPr>
        <w:t xml:space="preserve">[RE]</w:t>
      </w:r>
      <w:r>
        <w:t xml:space="preserve"> </w:t>
      </w:r>
      <w:r>
        <w:t xml:space="preserve">The RE’s policy offers flexible repayment periodicity on microfinance loans.</w:t>
      </w:r>
    </w:p>
    <w:p>
      <w:pPr>
        <w:numPr>
          <w:ilvl w:val="1"/>
          <w:numId w:val="1332"/>
        </w:numPr>
        <w:pStyle w:val="Compact"/>
      </w:pPr>
      <w:r>
        <w:rPr>
          <w:iCs/>
          <w:i/>
        </w:rPr>
        <w:t xml:space="preserve">Build:</w:t>
      </w:r>
      <w:r>
        <w:t xml:space="preserve"> </w:t>
      </w:r>
      <w:r>
        <w:t xml:space="preserve">U8 shows the periodicity options the RE allows.</w:t>
      </w:r>
    </w:p>
    <w:p>
      <w:pPr>
        <w:numPr>
          <w:ilvl w:val="0"/>
          <w:numId w:val="1327"/>
        </w:numPr>
        <w:pStyle w:val="Compact"/>
      </w:pPr>
      <w:r>
        <w:rPr>
          <w:rStyle w:val="VerbatimChar"/>
        </w:rPr>
        <w:t xml:space="preserve">REQ-CF-60</w:t>
      </w:r>
      <w:r>
        <w:t xml:space="preserve"> </w:t>
      </w:r>
      <w:r>
        <w:rPr>
          <w:rStyle w:val="VerbatimChar"/>
        </w:rPr>
        <w:t xml:space="preserve">REQ-CF-61</w:t>
      </w:r>
      <w:r>
        <w:t xml:space="preserve"> </w:t>
      </w:r>
      <w:r>
        <w:rPr>
          <w:bCs/>
          <w:b/>
        </w:rPr>
        <w:t xml:space="preserve">[RE]</w:t>
      </w:r>
      <w:r>
        <w:t xml:space="preserve"> </w:t>
      </w:r>
      <w:r>
        <w:t xml:space="preserve">A Board pricing policy sets the interest-rate model, its components, spread ranges and a ceiling on interest and all charges. Pricing must not be usurious.</w:t>
      </w:r>
    </w:p>
    <w:p>
      <w:pPr>
        <w:numPr>
          <w:ilvl w:val="1"/>
          <w:numId w:val="1333"/>
        </w:numPr>
        <w:pStyle w:val="Compact"/>
      </w:pPr>
      <w:r>
        <w:rPr>
          <w:iCs/>
          <w:i/>
        </w:rPr>
        <w:t xml:space="preserve">Build:</w:t>
      </w:r>
      <w:r>
        <w:t xml:space="preserve"> </w:t>
      </w:r>
      <w:r>
        <w:t xml:space="preserve">U2 stores the RE’s microfinance ceiling and U8 refuses to display an offer above it.</w:t>
      </w:r>
    </w:p>
    <w:p>
      <w:pPr>
        <w:numPr>
          <w:ilvl w:val="0"/>
          <w:numId w:val="1327"/>
        </w:numPr>
        <w:pStyle w:val="Compact"/>
      </w:pPr>
      <w:r>
        <w:rPr>
          <w:rStyle w:val="VerbatimChar"/>
        </w:rPr>
        <w:t xml:space="preserve">REQ-CF-62</w:t>
      </w:r>
      <w:r>
        <w:t xml:space="preserve"> </w:t>
      </w:r>
      <w:r>
        <w:rPr>
          <w:bCs/>
          <w:b/>
        </w:rPr>
        <w:t xml:space="preserve">[RE]</w:t>
      </w:r>
      <w:r>
        <w:t xml:space="preserve"> </w:t>
      </w:r>
      <w:r>
        <w:t xml:space="preserve">Conduct follows RBC (see 8A.5 and 8A.6). Para 62(2) cites a non-existent</w:t>
      </w:r>
      <w:r>
        <w:t xml:space="preserve"> </w:t>
      </w:r>
      <w:r>
        <w:t xml:space="preserve">“</w:t>
      </w:r>
      <w:r>
        <w:t xml:space="preserve">Management of Third-Party Dependencies</w:t>
      </w:r>
      <w:r>
        <w:t xml:space="preserve">”</w:t>
      </w:r>
      <w:r>
        <w:t xml:space="preserve"> </w:t>
      </w:r>
      <w:r>
        <w:t xml:space="preserve">Directions; the evident intent is OUT (drafting slip; see Appendix F).</w:t>
      </w:r>
    </w:p>
    <w:bookmarkEnd w:id="438"/>
    <w:bookmarkStart w:id="439" w:name="X3000381fa35fc4b05fb97bff421d80823e85271"/>
    <w:p>
      <w:pPr>
        <w:pStyle w:val="Heading3"/>
      </w:pPr>
      <w:r>
        <w:t xml:space="preserve">Other CF chapters touching Udofin products</w:t>
      </w:r>
    </w:p>
    <w:p>
      <w:pPr>
        <w:numPr>
          <w:ilvl w:val="0"/>
          <w:numId w:val="1334"/>
        </w:numPr>
        <w:pStyle w:val="Compact"/>
      </w:pPr>
      <w:r>
        <w:rPr>
          <w:rStyle w:val="VerbatimChar"/>
        </w:rPr>
        <w:t xml:space="preserve">REQ-CF-105</w:t>
      </w:r>
      <w:r>
        <w:t xml:space="preserve"> </w:t>
      </w:r>
      <w:r>
        <w:rPr>
          <w:bCs/>
          <w:b/>
        </w:rPr>
        <w:t xml:space="preserve">[RE]</w:t>
      </w:r>
      <w:r>
        <w:t xml:space="preserve"> </w:t>
      </w:r>
      <w:r>
        <w:t xml:space="preserve">No lending against the RE’s own shares.</w:t>
      </w:r>
    </w:p>
    <w:p>
      <w:pPr>
        <w:numPr>
          <w:ilvl w:val="1"/>
          <w:numId w:val="1335"/>
        </w:numPr>
        <w:pStyle w:val="Compact"/>
      </w:pPr>
      <w:r>
        <w:rPr>
          <w:iCs/>
          <w:i/>
        </w:rPr>
        <w:t xml:space="preserve">Build:</w:t>
      </w:r>
      <w:r>
        <w:t xml:space="preserve"> </w:t>
      </w:r>
      <w:r>
        <w:t xml:space="preserve">the U2 LAS eligible-securities list excludes each RE’s own ISINs.</w:t>
      </w:r>
    </w:p>
    <w:p>
      <w:pPr>
        <w:numPr>
          <w:ilvl w:val="0"/>
          <w:numId w:val="1334"/>
        </w:numPr>
        <w:pStyle w:val="Compact"/>
      </w:pPr>
      <w:r>
        <w:rPr>
          <w:rStyle w:val="VerbatimChar"/>
        </w:rPr>
        <w:t xml:space="preserve">REQ-CF-106</w:t>
      </w:r>
      <w:r>
        <w:t xml:space="preserve"> </w:t>
      </w:r>
      <w:r>
        <w:rPr>
          <w:bCs/>
          <w:b/>
        </w:rPr>
        <w:t xml:space="preserve">[RE]</w:t>
      </w:r>
      <w:r>
        <w:t xml:space="preserve"> </w:t>
      </w:r>
      <w:r>
        <w:t xml:space="preserve">For loans against listed shares by an NBFC with assets of ₹100 crore and above:</w:t>
      </w:r>
    </w:p>
    <w:p>
      <w:pPr>
        <w:numPr>
          <w:ilvl w:val="1"/>
          <w:numId w:val="1336"/>
        </w:numPr>
        <w:pStyle w:val="Compact"/>
      </w:pPr>
      <w:r>
        <w:t xml:space="preserve">LTV of 50% at all times, with any shortfall made good within 7 working days;</w:t>
      </w:r>
    </w:p>
    <w:p>
      <w:pPr>
        <w:numPr>
          <w:ilvl w:val="1"/>
          <w:numId w:val="1336"/>
        </w:numPr>
        <w:pStyle w:val="Compact"/>
      </w:pPr>
      <w:r>
        <w:t xml:space="preserve">only Group 1 securities where the loan is for capital-market investment and exceeds ₹5 lakh.</w:t>
      </w:r>
    </w:p>
    <w:p>
      <w:pPr>
        <w:numPr>
          <w:ilvl w:val="1"/>
          <w:numId w:val="1336"/>
        </w:numPr>
        <w:pStyle w:val="Compact"/>
      </w:pPr>
      <w:r>
        <w:rPr>
          <w:iCs/>
          <w:i/>
        </w:rPr>
        <w:t xml:space="preserve">Build:</w:t>
      </w:r>
      <w:r>
        <w:t xml:space="preserve"> </w:t>
      </w:r>
      <w:r>
        <w:t xml:space="preserve">U12 and U16 margin-call notices using RE-supplied LTV status (Phase 18); full journey, rails and events in Part 6.5.</w:t>
      </w:r>
    </w:p>
    <w:p>
      <w:pPr>
        <w:numPr>
          <w:ilvl w:val="0"/>
          <w:numId w:val="1334"/>
        </w:numPr>
        <w:pStyle w:val="Compact"/>
      </w:pPr>
      <w:r>
        <w:rPr>
          <w:rStyle w:val="VerbatimChar"/>
        </w:rPr>
        <w:t xml:space="preserve">REQ-CF-4(1)(xiv)</w:t>
      </w:r>
      <w:r>
        <w:t xml:space="preserve"> </w:t>
      </w:r>
      <w:r>
        <w:rPr>
          <w:bCs/>
          <w:b/>
        </w:rPr>
        <w:t xml:space="preserve">[RE]</w:t>
      </w:r>
      <w:r>
        <w:t xml:space="preserve"> </w:t>
      </w:r>
      <w:r>
        <w:t xml:space="preserve">Housing finance is defined in para 4(1)(xiv). LAP and furnishing loans are not housing finance.</w:t>
      </w:r>
    </w:p>
    <w:p>
      <w:pPr>
        <w:numPr>
          <w:ilvl w:val="1"/>
          <w:numId w:val="1337"/>
        </w:numPr>
        <w:pStyle w:val="Compact"/>
      </w:pPr>
      <w:r>
        <w:rPr>
          <w:iCs/>
          <w:i/>
        </w:rPr>
        <w:t xml:space="preserve">Build:</w:t>
      </w:r>
      <w:r>
        <w:t xml:space="preserve"> </w:t>
      </w:r>
      <w:r>
        <w:t xml:space="preserve">U2 product classification for products 4 and 6.</w:t>
      </w:r>
    </w:p>
    <w:p>
      <w:pPr>
        <w:numPr>
          <w:ilvl w:val="0"/>
          <w:numId w:val="1334"/>
        </w:numPr>
        <w:pStyle w:val="Compact"/>
      </w:pPr>
      <w:r>
        <w:t xml:space="preserve">Gold (Ch IV) is proposed Product 11 (Phase 18b) in a leads, branch-appointment and servicing role only (Part 6.4.8); project finance (Ch VI) and PCE (Ch VII) are outside Udofin’s product set. Ch IV para 47 repeats the para 10(1)–(2) money-flow rule.</w:t>
      </w:r>
    </w:p>
    <w:p>
      <w:r>
        <w:pict>
          <v:rect style="width:0;height:1.5pt" o:hralign="center" o:hrstd="t" o:hr="t"/>
        </w:pict>
      </w:r>
    </w:p>
    <w:bookmarkEnd w:id="439"/>
    <w:bookmarkEnd w:id="440"/>
    <w:bookmarkStart w:id="444" w:name="Xc543b55ee598c5438cdd2720330316070544eee"/>
    <w:p>
      <w:pPr>
        <w:pStyle w:val="Heading2"/>
      </w:pPr>
      <w:r>
        <w:t xml:space="preserve">8A.2 CIR — Credit Information Reporting Directions (349, as amended by 117)</w:t>
      </w:r>
    </w:p>
    <w:p>
      <w:pPr>
        <w:pStyle w:val="FirstParagraph"/>
      </w:pPr>
      <w:r>
        <w:rPr>
          <w:bCs/>
          <w:b/>
        </w:rPr>
        <w:t xml:space="preserve">Source:</w:t>
      </w:r>
      <w:r>
        <w:t xml:space="preserve"> </w:t>
      </w:r>
      <w:r>
        <w:t xml:space="preserve">RBI/DOR/2025-26/349; DOR.FIN.REC.No.268/20.16.056/2025-26; 28 Nov 2025, issued under s.11 of CICRA. Amendment RBI/DOR/2025-26/117 (effective 1 Jul 2026) is not in the supplied copy [VERIFY: obtain 117 and confirm paras 10(2), 12(10), 15 and Annex VI as summarised in Finbyx 8A.2].</w:t>
      </w:r>
    </w:p>
    <w:bookmarkStart w:id="441" w:name="applicability-to-udofin-1"/>
    <w:p>
      <w:pPr>
        <w:pStyle w:val="Heading3"/>
      </w:pPr>
      <w:r>
        <w:t xml:space="preserve">Applicability to Udofin</w:t>
      </w:r>
    </w:p>
    <w:p>
      <w:pPr>
        <w:numPr>
          <w:ilvl w:val="0"/>
          <w:numId w:val="1338"/>
        </w:numPr>
        <w:pStyle w:val="Compact"/>
      </w:pPr>
      <w:r>
        <w:rPr>
          <w:bCs/>
          <w:b/>
        </w:rPr>
        <w:t xml:space="preserve">Not directly.</w:t>
      </w:r>
      <w:r>
        <w:t xml:space="preserve"> </w:t>
      </w:r>
      <w:r>
        <w:t xml:space="preserve">The Directions apply to Credit Institutions (CIs): the listed NBFCs, including HFCs and P2P (para 3(1)).</w:t>
      </w:r>
    </w:p>
    <w:p>
      <w:pPr>
        <w:numPr>
          <w:ilvl w:val="1"/>
          <w:numId w:val="1339"/>
        </w:numPr>
        <w:pStyle w:val="Compact"/>
      </w:pPr>
      <w:r>
        <w:t xml:space="preserve">Udofin is not a CI.</w:t>
      </w:r>
    </w:p>
    <w:p>
      <w:pPr>
        <w:numPr>
          <w:ilvl w:val="1"/>
          <w:numId w:val="1339"/>
        </w:numPr>
        <w:pStyle w:val="Compact"/>
      </w:pPr>
      <w:r>
        <w:t xml:space="preserve">Udofin cannot be a CIC member in its own right: para 6 obliges each CI to join all four CICs, and Udofin is not a CI [VERIFY: CICRA s.15 and the CIC Regulations on who else a CIC may admit as a member].</w:t>
      </w:r>
    </w:p>
    <w:p>
      <w:pPr>
        <w:numPr>
          <w:ilvl w:val="1"/>
          <w:numId w:val="1339"/>
        </w:numPr>
        <w:pStyle w:val="Compact"/>
      </w:pPr>
      <w:r>
        <w:t xml:space="preserve">Udofin is not a</w:t>
      </w:r>
      <w:r>
        <w:t xml:space="preserve"> </w:t>
      </w:r>
      <w:r>
        <w:t xml:space="preserve">“</w:t>
      </w:r>
      <w:r>
        <w:t xml:space="preserve">Specified User</w:t>
      </w:r>
      <w:r>
        <w:t xml:space="preserve">”</w:t>
      </w:r>
      <w:r>
        <w:t xml:space="preserve"> </w:t>
      </w:r>
      <w:r>
        <w:t xml:space="preserve">(para 4(3), which refers to CICRA s.2(l) and the CIC Regulations reg 3) [VERIFY: CICRA s.2(l), CIC Regulations reg 3 and CIC Rules on who may obtain a credit information report; not in the supplied texts].</w:t>
      </w:r>
    </w:p>
    <w:p>
      <w:pPr>
        <w:numPr>
          <w:ilvl w:val="0"/>
          <w:numId w:val="1338"/>
        </w:numPr>
        <w:pStyle w:val="Compact"/>
      </w:pPr>
      <w:r>
        <w:rPr>
          <w:bCs/>
          <w:b/>
        </w:rPr>
        <w:t xml:space="preserve">Through the RE’s contract.</w:t>
      </w:r>
      <w:r>
        <w:t xml:space="preserve"> </w:t>
      </w:r>
      <w:r>
        <w:t xml:space="preserve">Udofin captures data, consents and complaints that the RE needs to meet its own CIR duties.</w:t>
      </w:r>
    </w:p>
    <w:bookmarkEnd w:id="441"/>
    <w:bookmarkStart w:id="442" w:name="X8ccea728b7b1aa01af91d9ea6d35110bb6db353"/>
    <w:p>
      <w:pPr>
        <w:pStyle w:val="Heading3"/>
      </w:pPr>
      <w:r>
        <w:t xml:space="preserve">Who may pull bureau data: the correct position</w:t>
      </w:r>
    </w:p>
    <w:p>
      <w:pPr>
        <w:numPr>
          <w:ilvl w:val="0"/>
          <w:numId w:val="1340"/>
        </w:numPr>
        <w:pStyle w:val="Compact"/>
      </w:pPr>
      <w:r>
        <w:rPr>
          <w:bCs/>
          <w:b/>
        </w:rPr>
        <w:t xml:space="preserve">Who pulls.</w:t>
      </w:r>
      <w:r>
        <w:t xml:space="preserve"> </w:t>
      </w:r>
      <w:r>
        <w:t xml:space="preserve">Bureau pulls for a lending decision are made by the RE as CI, under its own CIC membership (para 6). The RE’s credit policy must</w:t>
      </w:r>
      <w:r>
        <w:t xml:space="preserve"> </w:t>
      </w:r>
      <w:r>
        <w:t xml:space="preserve">“</w:t>
      </w:r>
      <w:r>
        <w:t xml:space="preserve">include … suitable provisions for obtaining CIRs from one or more CICs</w:t>
      </w:r>
      <w:r>
        <w:t xml:space="preserve">”</w:t>
      </w:r>
      <w:r>
        <w:t xml:space="preserve"> </w:t>
      </w:r>
      <w:r>
        <w:t xml:space="preserve">(para 20).</w:t>
      </w:r>
    </w:p>
    <w:p>
      <w:pPr>
        <w:numPr>
          <w:ilvl w:val="0"/>
          <w:numId w:val="1340"/>
        </w:numPr>
        <w:pStyle w:val="Compact"/>
      </w:pPr>
      <w:r>
        <w:rPr>
          <w:bCs/>
          <w:b/>
        </w:rPr>
        <w:t xml:space="preserve">What Udofin may do.</w:t>
      </w:r>
      <w:r>
        <w:t xml:space="preserve"> </w:t>
      </w:r>
      <w:r>
        <w:t xml:space="preserve">Udofin may act as the RE’s technology channel, calling the CIC with the RE’s member credentials held in a per-RE credential vault, or the RE may pull in its own LOS. Either way the enquiry is the RE’s and is logged as the RE’s.</w:t>
      </w:r>
    </w:p>
    <w:p>
      <w:pPr>
        <w:numPr>
          <w:ilvl w:val="0"/>
          <w:numId w:val="1340"/>
        </w:numPr>
        <w:pStyle w:val="Compact"/>
      </w:pPr>
      <w:r>
        <w:rPr>
          <w:bCs/>
          <w:b/>
        </w:rPr>
        <w:t xml:space="preserve">What changes in the original design.</w:t>
      </w:r>
      <w:r>
        <w:t xml:space="preserve"> </w:t>
      </w:r>
      <w:r>
        <w:t xml:space="preserve">“</w:t>
      </w:r>
      <w:r>
        <w:t xml:space="preserve">Udofin soft-pulls CIBIL via Surepass</w:t>
      </w:r>
      <w:r>
        <w:t xml:space="preserve">”</w:t>
      </w:r>
      <w:r>
        <w:t xml:space="preserve"> </w:t>
      </w:r>
      <w:r>
        <w:t xml:space="preserve">must be restructured. A pull made by Udofin in its own name, or through an aggregator that is not the RE’s contracted channel, has no basis in the supplied texts [VERIFY: CICRA s.2(l) and the CIC Regulations; whether the CICs permit a technology service provider of a member CI; whether any</w:t>
      </w:r>
      <w:r>
        <w:t xml:space="preserve"> </w:t>
      </w:r>
      <w:r>
        <w:t xml:space="preserve">“</w:t>
      </w:r>
      <w:r>
        <w:t xml:space="preserve">borrower’s own report</w:t>
      </w:r>
      <w:r>
        <w:t xml:space="preserve">”</w:t>
      </w:r>
      <w:r>
        <w:t xml:space="preserve"> </w:t>
      </w:r>
      <w:r>
        <w:t xml:space="preserve">consent flow may be used for pre-qualification].</w:t>
      </w:r>
    </w:p>
    <w:p>
      <w:pPr>
        <w:numPr>
          <w:ilvl w:val="0"/>
          <w:numId w:val="1340"/>
        </w:numPr>
        <w:pStyle w:val="Compact"/>
      </w:pPr>
      <w:r>
        <w:rPr>
          <w:bCs/>
          <w:b/>
        </w:rPr>
        <w:t xml:space="preserve">Soft and hard enquiries.</w:t>
      </w:r>
      <w:r>
        <w:t xml:space="preserve"> </w:t>
      </w:r>
      <w:r>
        <w:t xml:space="preserve">The CIR Directions do not define them, and their treatment is set by each CIC’s product rules [VERIFY]. Udofin treats every enquiry as an RE enquiry and shows the borrower which lender will enquire before consent.</w:t>
      </w:r>
    </w:p>
    <w:bookmarkEnd w:id="442"/>
    <w:bookmarkStart w:id="443" w:name="requirements"/>
    <w:p>
      <w:pPr>
        <w:pStyle w:val="Heading3"/>
      </w:pPr>
      <w:r>
        <w:t xml:space="preserve">Requirements</w:t>
      </w:r>
    </w:p>
    <w:p>
      <w:pPr>
        <w:numPr>
          <w:ilvl w:val="0"/>
          <w:numId w:val="1341"/>
        </w:numPr>
        <w:pStyle w:val="Compact"/>
      </w:pPr>
      <w:r>
        <w:rPr>
          <w:rStyle w:val="VerbatimChar"/>
        </w:rPr>
        <w:t xml:space="preserve">REQ-CIR-6</w:t>
      </w:r>
      <w:r>
        <w:t xml:space="preserve"> </w:t>
      </w:r>
      <w:r>
        <w:rPr>
          <w:bCs/>
          <w:b/>
        </w:rPr>
        <w:t xml:space="preserve">[RE]</w:t>
      </w:r>
      <w:r>
        <w:t xml:space="preserve"> </w:t>
      </w:r>
      <w:r>
        <w:t xml:space="preserve">The RE is a member of all four CICs.</w:t>
      </w:r>
    </w:p>
    <w:p>
      <w:pPr>
        <w:numPr>
          <w:ilvl w:val="1"/>
          <w:numId w:val="1342"/>
        </w:numPr>
        <w:pStyle w:val="Compact"/>
      </w:pPr>
      <w:r>
        <w:rPr>
          <w:iCs/>
          <w:i/>
        </w:rPr>
        <w:t xml:space="preserve">Build:</w:t>
      </w:r>
      <w:r>
        <w:t xml:space="preserve"> </w:t>
      </w:r>
      <w:r>
        <w:t xml:space="preserve">U6 bureau adapter runs per RE, with RE credentials in the U21 vault. There is no Udofin-owned bureau account, and every enquiry record names the RE.</w:t>
      </w:r>
    </w:p>
    <w:p>
      <w:pPr>
        <w:numPr>
          <w:ilvl w:val="0"/>
          <w:numId w:val="1341"/>
        </w:numPr>
        <w:pStyle w:val="Compact"/>
      </w:pPr>
      <w:r>
        <w:rPr>
          <w:rStyle w:val="VerbatimChar"/>
        </w:rPr>
        <w:t xml:space="preserve">REQ-CIR-11</w:t>
      </w:r>
      <w:r>
        <w:t xml:space="preserve"> </w:t>
      </w:r>
      <w:r>
        <w:rPr>
          <w:bCs/>
          <w:b/>
        </w:rPr>
        <w:t xml:space="preserve">[RE]</w:t>
      </w:r>
      <w:r>
        <w:t xml:space="preserve"> </w:t>
      </w:r>
      <w:r>
        <w:t xml:space="preserve">CICRA gives statutory backing to reporting, so no consent clause is needed</w:t>
      </w:r>
      <w:r>
        <w:t xml:space="preserve"> </w:t>
      </w:r>
      <w:r>
        <w:rPr>
          <w:bCs/>
          <w:b/>
        </w:rPr>
        <w:t xml:space="preserve">for reporting</w:t>
      </w:r>
      <w:r>
        <w:t xml:space="preserve">. This says nothing about enquiry.</w:t>
      </w:r>
    </w:p>
    <w:p>
      <w:pPr>
        <w:numPr>
          <w:ilvl w:val="1"/>
          <w:numId w:val="1343"/>
        </w:numPr>
        <w:pStyle w:val="Compact"/>
      </w:pPr>
      <w:r>
        <w:rPr>
          <w:iCs/>
          <w:i/>
        </w:rPr>
        <w:t xml:space="preserve">Build:</w:t>
      </w:r>
      <w:r>
        <w:t xml:space="preserve"> </w:t>
      </w:r>
      <w:r>
        <w:t xml:space="preserve">U4 still takes explicit, lender-specific consent before any enquiry (CF para 13(1) and 13(4)).</w:t>
      </w:r>
    </w:p>
    <w:p>
      <w:pPr>
        <w:numPr>
          <w:ilvl w:val="0"/>
          <w:numId w:val="1341"/>
        </w:numPr>
        <w:pStyle w:val="Compact"/>
      </w:pPr>
      <w:r>
        <w:rPr>
          <w:rStyle w:val="VerbatimChar"/>
        </w:rPr>
        <w:t xml:space="preserve">REQ-CIR-20</w:t>
      </w:r>
      <w:r>
        <w:t xml:space="preserve"> </w:t>
      </w:r>
      <w:r>
        <w:rPr>
          <w:bCs/>
          <w:b/>
        </w:rPr>
        <w:t xml:space="preserve">[RE]</w:t>
      </w:r>
      <w:r>
        <w:t xml:space="preserve"> </w:t>
      </w:r>
      <w:r>
        <w:t xml:space="preserve">CIRs are obtained from one or more CICs under the RE’s policy.</w:t>
      </w:r>
    </w:p>
    <w:p>
      <w:pPr>
        <w:numPr>
          <w:ilvl w:val="1"/>
          <w:numId w:val="1344"/>
        </w:numPr>
        <w:pStyle w:val="Compact"/>
      </w:pPr>
      <w:r>
        <w:rPr>
          <w:iCs/>
          <w:i/>
        </w:rPr>
        <w:t xml:space="preserve">Build:</w:t>
      </w:r>
      <w:r>
        <w:t xml:space="preserve"> </w:t>
      </w:r>
      <w:r>
        <w:t xml:space="preserve">U2 stores each RE’s CIC preference and fallback order. U6 never</w:t>
      </w:r>
      <w:r>
        <w:t xml:space="preserve"> </w:t>
      </w:r>
      <w:r>
        <w:t xml:space="preserve">“</w:t>
      </w:r>
      <w:r>
        <w:t xml:space="preserve">shops</w:t>
      </w:r>
      <w:r>
        <w:t xml:space="preserve">”</w:t>
      </w:r>
      <w:r>
        <w:t xml:space="preserve"> </w:t>
      </w:r>
      <w:r>
        <w:t xml:space="preserve">one borrower’s enquiry across REs that did not request it.</w:t>
      </w:r>
    </w:p>
    <w:p>
      <w:pPr>
        <w:numPr>
          <w:ilvl w:val="0"/>
          <w:numId w:val="1341"/>
        </w:numPr>
        <w:pStyle w:val="Compact"/>
      </w:pPr>
      <w:r>
        <w:rPr>
          <w:rStyle w:val="VerbatimChar"/>
        </w:rPr>
        <w:t xml:space="preserve">REQ-CIR-10(3)</w:t>
      </w:r>
      <w:r>
        <w:t xml:space="preserve"> </w:t>
      </w:r>
      <w:r>
        <w:rPr>
          <w:bCs/>
          <w:b/>
        </w:rPr>
        <w:t xml:space="preserve">[RE]</w:t>
      </w:r>
      <w:r>
        <w:t xml:space="preserve"> </w:t>
      </w:r>
      <w:r>
        <w:t xml:space="preserve">No repayment, including the last instalment, may go unreported.</w:t>
      </w:r>
    </w:p>
    <w:p>
      <w:pPr>
        <w:numPr>
          <w:ilvl w:val="1"/>
          <w:numId w:val="1345"/>
        </w:numPr>
        <w:pStyle w:val="Compact"/>
      </w:pPr>
      <w:r>
        <w:rPr>
          <w:iCs/>
          <w:i/>
        </w:rPr>
        <w:t xml:space="preserve">Build:</w:t>
      </w:r>
      <w:r>
        <w:t xml:space="preserve"> </w:t>
      </w:r>
      <w:r>
        <w:t xml:space="preserve">U11 sends every payment, failure and reversal to the RE through U21, with the reconciliation in Part 5 (</w:t>
      </w:r>
      <w:r>
        <w:rPr>
          <w:rStyle w:val="VerbatimChar"/>
        </w:rPr>
        <w:t xml:space="preserve">DailyReconciliationFile</w:t>
      </w:r>
      <w:r>
        <w:t xml:space="preserve">).</w:t>
      </w:r>
    </w:p>
    <w:p>
      <w:pPr>
        <w:numPr>
          <w:ilvl w:val="0"/>
          <w:numId w:val="1341"/>
        </w:numPr>
        <w:pStyle w:val="Compact"/>
      </w:pPr>
      <w:r>
        <w:rPr>
          <w:rStyle w:val="VerbatimChar"/>
        </w:rPr>
        <w:t xml:space="preserve">REQ-CIR-12(4)</w:t>
      </w:r>
      <w:r>
        <w:t xml:space="preserve"> </w:t>
      </w:r>
      <w:r>
        <w:rPr>
          <w:bCs/>
          <w:b/>
        </w:rPr>
        <w:t xml:space="preserve">[RE]</w:t>
      </w:r>
      <w:r>
        <w:t xml:space="preserve"> </w:t>
      </w:r>
      <w:r>
        <w:t xml:space="preserve">“</w:t>
      </w:r>
      <w:r>
        <w:t xml:space="preserve">Settled</w:t>
      </w:r>
      <w:r>
        <w:t xml:space="preserve">”</w:t>
      </w:r>
      <w:r>
        <w:t xml:space="preserve"> </w:t>
      </w:r>
      <w:r>
        <w:t xml:space="preserve">is used only where principal or interest is waived because the borrower cannot pay. Wrong debits and contested charges are reported as</w:t>
      </w:r>
      <w:r>
        <w:t xml:space="preserve"> </w:t>
      </w:r>
      <w:r>
        <w:t xml:space="preserve">“</w:t>
      </w:r>
      <w:r>
        <w:t xml:space="preserve">disputed</w:t>
      </w:r>
      <w:r>
        <w:t xml:space="preserve">”</w:t>
      </w:r>
      <w:r>
        <w:t xml:space="preserve">.</w:t>
      </w:r>
    </w:p>
    <w:p>
      <w:pPr>
        <w:numPr>
          <w:ilvl w:val="1"/>
          <w:numId w:val="1346"/>
        </w:numPr>
        <w:pStyle w:val="Compact"/>
      </w:pPr>
      <w:r>
        <w:rPr>
          <w:iCs/>
          <w:i/>
        </w:rPr>
        <w:t xml:space="preserve">Build:</w:t>
      </w:r>
      <w:r>
        <w:t xml:space="preserve"> </w:t>
      </w:r>
      <w:r>
        <w:t xml:space="preserve">Part 7A UR1 (settlement) and UR2 (ADR) tell the borrower, before acceptance, that a settlement is reported to CICs as</w:t>
      </w:r>
      <w:r>
        <w:t xml:space="preserve"> </w:t>
      </w:r>
      <w:r>
        <w:t xml:space="preserve">“</w:t>
      </w:r>
      <w:r>
        <w:t xml:space="preserve">settled</w:t>
      </w:r>
      <w:r>
        <w:t xml:space="preserve">”</w:t>
      </w:r>
      <w:r>
        <w:t xml:space="preserve">.</w:t>
      </w:r>
    </w:p>
    <w:p>
      <w:pPr>
        <w:numPr>
          <w:ilvl w:val="0"/>
          <w:numId w:val="1341"/>
        </w:numPr>
        <w:pStyle w:val="Compact"/>
      </w:pPr>
      <w:r>
        <w:rPr>
          <w:rStyle w:val="VerbatimChar"/>
        </w:rPr>
        <w:t xml:space="preserve">REQ-CIR-12(10)</w:t>
      </w:r>
      <w:r>
        <w:t xml:space="preserve"> </w:t>
      </w:r>
      <w:r>
        <w:rPr>
          <w:bCs/>
          <w:b/>
        </w:rPr>
        <w:t xml:space="preserve">[RE]</w:t>
      </w:r>
      <w:r>
        <w:t xml:space="preserve"> </w:t>
      </w:r>
      <w:r>
        <w:t xml:space="preserve">The CKYC number is reported where available or once issued (inserted by 117, from 1 Jul 2026) [VERIFY: 117 text].</w:t>
      </w:r>
    </w:p>
    <w:p>
      <w:pPr>
        <w:numPr>
          <w:ilvl w:val="1"/>
          <w:numId w:val="1347"/>
        </w:numPr>
        <w:pStyle w:val="Compact"/>
      </w:pPr>
      <w:r>
        <w:rPr>
          <w:iCs/>
          <w:i/>
        </w:rPr>
        <w:t xml:space="preserve">Build:</w:t>
      </w:r>
      <w:r>
        <w:t xml:space="preserve"> </w:t>
      </w:r>
      <w:r>
        <w:t xml:space="preserve">U5 passes the KYC Identifier to the RE when it is obtained.</w:t>
      </w:r>
    </w:p>
    <w:p>
      <w:pPr>
        <w:numPr>
          <w:ilvl w:val="0"/>
          <w:numId w:val="1341"/>
        </w:numPr>
        <w:pStyle w:val="Compact"/>
      </w:pPr>
      <w:r>
        <w:rPr>
          <w:rStyle w:val="VerbatimChar"/>
        </w:rPr>
        <w:t xml:space="preserve">REQ-CIR-34(1)</w:t>
      </w:r>
      <w:r>
        <w:t xml:space="preserve"> </w:t>
      </w:r>
      <w:r>
        <w:rPr>
          <w:bCs/>
          <w:b/>
        </w:rPr>
        <w:t xml:space="preserve">[RE]</w:t>
      </w:r>
      <w:r>
        <w:t xml:space="preserve"> </w:t>
      </w:r>
      <w:r>
        <w:t xml:space="preserve">The RE sends SMS/email alerts</w:t>
      </w:r>
      <w:r>
        <w:t xml:space="preserve"> </w:t>
      </w:r>
      <w:r>
        <w:rPr>
          <w:bCs/>
          <w:b/>
        </w:rPr>
        <w:t xml:space="preserve">while submitting</w:t>
      </w:r>
      <w:r>
        <w:t xml:space="preserve"> </w:t>
      </w:r>
      <w:r>
        <w:t xml:space="preserve">default or DPD information to CICs, wherever contact details are available.</w:t>
      </w:r>
    </w:p>
    <w:p>
      <w:pPr>
        <w:numPr>
          <w:ilvl w:val="1"/>
          <w:numId w:val="1348"/>
        </w:numPr>
        <w:pStyle w:val="Compact"/>
      </w:pPr>
      <w:r>
        <w:rPr>
          <w:iCs/>
          <w:i/>
        </w:rPr>
        <w:t xml:space="preserve">Build:</w:t>
      </w:r>
      <w:r>
        <w:t xml:space="preserve"> </w:t>
      </w:r>
      <w:r>
        <w:t xml:space="preserve">U16 may send these on the RE’s behalf, under the RE’s sender ID and template, if the contract says so. They are worded as reporting alerts, not as threats.</w:t>
      </w:r>
    </w:p>
    <w:p>
      <w:pPr>
        <w:numPr>
          <w:ilvl w:val="0"/>
          <w:numId w:val="1341"/>
        </w:numPr>
        <w:pStyle w:val="Compact"/>
      </w:pPr>
      <w:r>
        <w:rPr>
          <w:rStyle w:val="VerbatimChar"/>
        </w:rPr>
        <w:t xml:space="preserve">REQ-CIR-35(1)</w:t>
      </w:r>
      <w:r>
        <w:t xml:space="preserve"> </w:t>
      </w:r>
      <w:r>
        <w:rPr>
          <w:rStyle w:val="VerbatimChar"/>
        </w:rPr>
        <w:t xml:space="preserve">REQ-CIR-35(2)</w:t>
      </w:r>
      <w:r>
        <w:t xml:space="preserve"> </w:t>
      </w:r>
      <w:r>
        <w:rPr>
          <w:bCs/>
          <w:b/>
        </w:rPr>
        <w:t xml:space="preserve">[RE]</w:t>
      </w:r>
      <w:r>
        <w:t xml:space="preserve"> </w:t>
      </w:r>
      <w:r>
        <w:t xml:space="preserve">If a complaint is unresolved after 30 calendar days, ₹100 per calendar day is paid. The CI has 21 days to send corrected data and the CIC the rest.</w:t>
      </w:r>
    </w:p>
    <w:p>
      <w:pPr>
        <w:numPr>
          <w:ilvl w:val="0"/>
          <w:numId w:val="1341"/>
        </w:numPr>
        <w:pStyle w:val="Compact"/>
      </w:pPr>
      <w:r>
        <w:rPr>
          <w:rStyle w:val="VerbatimChar"/>
        </w:rPr>
        <w:t xml:space="preserve">REQ-CIR-35(8)</w:t>
      </w:r>
      <w:r>
        <w:t xml:space="preserve"> </w:t>
      </w:r>
      <w:r>
        <w:rPr>
          <w:bCs/>
          <w:b/>
        </w:rPr>
        <w:t xml:space="preserve">[RE→UDOFIN contract]</w:t>
      </w:r>
      <w:r>
        <w:t xml:space="preserve"> </w:t>
      </w:r>
      <w:r>
        <w:t xml:space="preserve">Complaint forms capture contact details, email ID and bank account details or UPI ID for paying compensation.</w:t>
      </w:r>
    </w:p>
    <w:p>
      <w:pPr>
        <w:numPr>
          <w:ilvl w:val="1"/>
          <w:numId w:val="1349"/>
        </w:numPr>
        <w:pStyle w:val="Compact"/>
      </w:pPr>
      <w:r>
        <w:rPr>
          <w:iCs/>
          <w:i/>
        </w:rPr>
        <w:t xml:space="preserve">Build:</w:t>
      </w:r>
      <w:r>
        <w:t xml:space="preserve"> </w:t>
      </w:r>
      <w:r>
        <w:t xml:space="preserve">U15 credit-information complaint type with these mandatory fields, forwarded to the RE immediately so that its 21-day clock is not eroded.</w:t>
      </w:r>
    </w:p>
    <w:p>
      <w:pPr>
        <w:numPr>
          <w:ilvl w:val="0"/>
          <w:numId w:val="1341"/>
        </w:numPr>
        <w:pStyle w:val="Compact"/>
      </w:pPr>
      <w:r>
        <w:rPr>
          <w:rStyle w:val="VerbatimChar"/>
        </w:rPr>
        <w:t xml:space="preserve">REQ-CIR-38(3)</w:t>
      </w:r>
      <w:r>
        <w:t xml:space="preserve"> </w:t>
      </w:r>
      <w:r>
        <w:rPr>
          <w:bCs/>
          <w:b/>
        </w:rPr>
        <w:t xml:space="preserve">[RE]</w:t>
      </w:r>
      <w:r>
        <w:t xml:space="preserve"> </w:t>
      </w:r>
      <w:r>
        <w:t xml:space="preserve">Credit-information grievances are integrated with the general grievance system. Para 38 lists best practices the CI takes into account in its Board-approved policies; 38(3) and 38(5) are best practice, not hard rules [interpretation].</w:t>
      </w:r>
    </w:p>
    <w:p>
      <w:pPr>
        <w:numPr>
          <w:ilvl w:val="1"/>
          <w:numId w:val="1350"/>
        </w:numPr>
        <w:pStyle w:val="Compact"/>
      </w:pPr>
      <w:r>
        <w:rPr>
          <w:iCs/>
          <w:i/>
        </w:rPr>
        <w:t xml:space="preserve">Build:</w:t>
      </w:r>
      <w:r>
        <w:t xml:space="preserve"> </w:t>
      </w:r>
      <w:r>
        <w:t xml:space="preserve">U15 category</w:t>
      </w:r>
      <w:r>
        <w:t xml:space="preserve"> </w:t>
      </w:r>
      <w:r>
        <w:t xml:space="preserve">“</w:t>
      </w:r>
      <w:r>
        <w:t xml:space="preserve">credit report</w:t>
      </w:r>
      <w:r>
        <w:t xml:space="preserve">”</w:t>
      </w:r>
      <w:r>
        <w:t xml:space="preserve"> </w:t>
      </w:r>
      <w:r>
        <w:t xml:space="preserve">routed to the RE’s CIC nodal officer (para 34(2)).</w:t>
      </w:r>
    </w:p>
    <w:p>
      <w:pPr>
        <w:numPr>
          <w:ilvl w:val="0"/>
          <w:numId w:val="1341"/>
        </w:numPr>
        <w:pStyle w:val="Compact"/>
      </w:pPr>
      <w:r>
        <w:rPr>
          <w:rStyle w:val="VerbatimChar"/>
        </w:rPr>
        <w:t xml:space="preserve">REQ-CIR-38(5)</w:t>
      </w:r>
      <w:r>
        <w:t xml:space="preserve"> </w:t>
      </w:r>
      <w:r>
        <w:rPr>
          <w:bCs/>
          <w:b/>
        </w:rPr>
        <w:t xml:space="preserve">[RE]</w:t>
      </w:r>
      <w:r>
        <w:t xml:space="preserve"> </w:t>
      </w:r>
      <w:r>
        <w:t xml:space="preserve">“</w:t>
      </w:r>
      <w:r>
        <w:t xml:space="preserve">First time borrowers’ loan applications should not be rejected just because they have no credit history.</w:t>
      </w:r>
      <w:r>
        <w:t xml:space="preserve">”</w:t>
      </w:r>
    </w:p>
    <w:p>
      <w:pPr>
        <w:numPr>
          <w:ilvl w:val="1"/>
          <w:numId w:val="1351"/>
        </w:numPr>
        <w:pStyle w:val="Compact"/>
      </w:pPr>
      <w:r>
        <w:rPr>
          <w:iCs/>
          <w:i/>
        </w:rPr>
        <w:t xml:space="preserve">Build:</w:t>
      </w:r>
      <w:r>
        <w:t xml:space="preserve"> </w:t>
      </w:r>
      <w:r>
        <w:t xml:space="preserve">U7 pre-qualification never filters out applicants with no bureau record (new to credit). They are routed to every RE whose rules accept them.</w:t>
      </w:r>
    </w:p>
    <w:p>
      <w:r>
        <w:pict>
          <v:rect style="width:0;height:1.5pt" o:hralign="center" o:hrstd="t" o:hr="t"/>
        </w:pict>
      </w:r>
    </w:p>
    <w:bookmarkEnd w:id="443"/>
    <w:bookmarkEnd w:id="444"/>
    <w:bookmarkStart w:id="448" w:name="X739d0b5544269452be22b13f96f19956a3b84e6"/>
    <w:p>
      <w:pPr>
        <w:pStyle w:val="Heading2"/>
      </w:pPr>
      <w:r>
        <w:t xml:space="preserve">8A.3 KYC — Know Your Customer Directions (361)</w:t>
      </w:r>
    </w:p>
    <w:p>
      <w:pPr>
        <w:pStyle w:val="FirstParagraph"/>
      </w:pPr>
      <w:r>
        <w:rPr>
          <w:bCs/>
          <w:b/>
        </w:rPr>
        <w:t xml:space="preserve">Source:</w:t>
      </w:r>
      <w:r>
        <w:t xml:space="preserve"> </w:t>
      </w:r>
      <w:r>
        <w:t xml:space="preserve">RBI/DOR/2025-26/361; DOR.AML.REC.No.280/14.01.003/2025-26; 28 Nov 2025, updated as on 29 Dec 2025.</w:t>
      </w:r>
    </w:p>
    <w:bookmarkStart w:id="445" w:name="applicability-to-udofin-2"/>
    <w:p>
      <w:pPr>
        <w:pStyle w:val="Heading3"/>
      </w:pPr>
      <w:r>
        <w:t xml:space="preserve">Applicability to Udofin</w:t>
      </w:r>
    </w:p>
    <w:p>
      <w:pPr>
        <w:numPr>
          <w:ilvl w:val="0"/>
          <w:numId w:val="1352"/>
        </w:numPr>
        <w:pStyle w:val="Compact"/>
      </w:pPr>
      <w:r>
        <w:rPr>
          <w:bCs/>
          <w:b/>
        </w:rPr>
        <w:t xml:space="preserve">Not directly.</w:t>
      </w:r>
      <w:r>
        <w:t xml:space="preserve"> </w:t>
      </w:r>
      <w:r>
        <w:t xml:space="preserve">The Directions apply to NBFCs with a customer interface (para 3) as reporting entities under the PML Act. Udofin is not an RE [VERIFY: whether Udofin’s activities make it a reporting entity under PML Act s.2(1)(wa)].</w:t>
      </w:r>
    </w:p>
    <w:p>
      <w:pPr>
        <w:numPr>
          <w:ilvl w:val="0"/>
          <w:numId w:val="1352"/>
        </w:numPr>
        <w:pStyle w:val="Compact"/>
      </w:pPr>
      <w:r>
        <w:rPr>
          <w:bCs/>
          <w:b/>
        </w:rPr>
        <w:t xml:space="preserve">Through the RE’s contract.</w:t>
      </w:r>
      <w:r>
        <w:t xml:space="preserve"> </w:t>
      </w:r>
      <w:r>
        <w:t xml:space="preserve">Udofin runs the onboarding technology. The RE keeps the KYC decision, the risk categorisation, the CKYCR upload, sanctions screening and FIU-IND reporting.</w:t>
      </w:r>
    </w:p>
    <w:p>
      <w:pPr>
        <w:numPr>
          <w:ilvl w:val="0"/>
          <w:numId w:val="1352"/>
        </w:numPr>
        <w:pStyle w:val="Compact"/>
      </w:pPr>
      <w:r>
        <w:rPr>
          <w:bCs/>
          <w:b/>
        </w:rPr>
        <w:t xml:space="preserve">Two consequences fix the design:</w:t>
      </w:r>
    </w:p>
    <w:p>
      <w:pPr>
        <w:numPr>
          <w:ilvl w:val="1"/>
          <w:numId w:val="1353"/>
        </w:numPr>
        <w:pStyle w:val="Compact"/>
      </w:pPr>
      <w:r>
        <w:t xml:space="preserve">The RE</w:t>
      </w:r>
      <w:r>
        <w:t xml:space="preserve"> </w:t>
      </w:r>
      <w:r>
        <w:t xml:space="preserve">“</w:t>
      </w:r>
      <w:r>
        <w:t xml:space="preserve">does not outsource the decision-making functions of determining compliance with KYC norms</w:t>
      </w:r>
      <w:r>
        <w:t xml:space="preserve">”</w:t>
      </w:r>
      <w:r>
        <w:t xml:space="preserve"> </w:t>
      </w:r>
      <w:r>
        <w:t xml:space="preserve">(para 13). Udofin’s results are evidence only.</w:t>
      </w:r>
    </w:p>
    <w:p>
      <w:pPr>
        <w:numPr>
          <w:ilvl w:val="1"/>
          <w:numId w:val="1353"/>
        </w:numPr>
        <w:pStyle w:val="Compact"/>
      </w:pPr>
      <w:r>
        <w:t xml:space="preserve">The RE may rely on a third party’s CDD only where that third party is regulated, supervised or monitored and has PML-compliant CDD measures (para 22(3)). Udofin does not meet this condition. It therefore acts as the RE’s agent and technology, not as a third party whose CDD the RE relies on.</w:t>
      </w:r>
    </w:p>
    <w:bookmarkEnd w:id="445"/>
    <w:bookmarkStart w:id="446" w:name="division-of-work"/>
    <w:p>
      <w:pPr>
        <w:pStyle w:val="Heading3"/>
      </w:pPr>
      <w:r>
        <w:t xml:space="preserve">Division of work</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55"/>
        <w:gridCol w:w="3327"/>
        <w:gridCol w:w="3856"/>
      </w:tblGrid>
      <w:tr>
        <w:trPr>
          <w:tblHeader w:val="true"/>
          <w:tblHeader w:val="true"/>
        </w:trPr>
        <w:tc>
          <w:tcPr>
            <w:tcW w:w="2455" w:type="dxa"/>
            <w:shd w:val="clear" w:color="auto" w:fill="1F3A5F"/>
          </w:tcPr>
          <w:p>
            <w:pPr>
              <w:pStyle w:val="Compact"/>
              <w:spacing w:after="40"/>
              <w:jc w:val="left"/>
            </w:pPr>
            <w:r>
              <w:rPr>
                <w:b/>
                <w:color w:val="FFFFFF"/>
                <w:sz w:val="18"/>
              </w:rPr>
              <w:t xml:space="preserve">Step</w:t>
            </w:r>
          </w:p>
        </w:tc>
        <w:tc>
          <w:tcPr>
            <w:tcW w:w="3327" w:type="dxa"/>
            <w:shd w:val="clear" w:color="auto" w:fill="1F3A5F"/>
          </w:tcPr>
          <w:p>
            <w:pPr>
              <w:pStyle w:val="Compact"/>
              <w:spacing w:after="40"/>
              <w:jc w:val="left"/>
            </w:pPr>
            <w:r>
              <w:rPr>
                <w:b/>
                <w:color w:val="FFFFFF"/>
                <w:sz w:val="18"/>
              </w:rPr>
              <w:t xml:space="preserve">Udofin may (technology or agent)</w:t>
            </w:r>
          </w:p>
        </w:tc>
        <w:tc>
          <w:tcPr>
            <w:tcW w:w="3856" w:type="dxa"/>
            <w:shd w:val="clear" w:color="auto" w:fill="1F3A5F"/>
          </w:tcPr>
          <w:p>
            <w:pPr>
              <w:pStyle w:val="Compact"/>
              <w:spacing w:after="40"/>
              <w:jc w:val="left"/>
            </w:pPr>
            <w:r>
              <w:rPr>
                <w:b/>
                <w:color w:val="FFFFFF"/>
                <w:sz w:val="18"/>
              </w:rPr>
              <w:t xml:space="preserve">RE must</w:t>
            </w:r>
          </w:p>
        </w:tc>
      </w:tr>
      <w:tr>
        <w:tc>
          <w:tcPr>
            <w:tcW w:w="2455" w:type="dxa"/>
          </w:tcPr>
          <w:p>
            <w:pPr>
              <w:pStyle w:val="Compact"/>
              <w:spacing w:after="40"/>
              <w:jc w:val="left"/>
            </w:pPr>
            <w:r>
              <w:rPr>
                <w:sz w:val="18"/>
              </w:rPr>
              <w:t xml:space="preserve">Identity capture</w:t>
            </w:r>
          </w:p>
        </w:tc>
        <w:tc>
          <w:tcPr>
            <w:tcW w:w="3327" w:type="dxa"/>
          </w:tcPr>
          <w:p>
            <w:pPr>
              <w:pStyle w:val="Compact"/>
              <w:spacing w:after="40"/>
              <w:jc w:val="left"/>
            </w:pPr>
            <w:r>
              <w:rPr>
                <w:sz w:val="18"/>
              </w:rPr>
              <w:t xml:space="preserve">Run OTP, DigiLocker, PAN and CKYC-consent screens; capture documents and photos</w:t>
            </w:r>
          </w:p>
        </w:tc>
        <w:tc>
          <w:tcPr>
            <w:tcW w:w="3856" w:type="dxa"/>
          </w:tcPr>
          <w:p>
            <w:pPr>
              <w:pStyle w:val="Compact"/>
              <w:spacing w:after="40"/>
              <w:jc w:val="left"/>
            </w:pPr>
            <w:r>
              <w:rPr>
                <w:sz w:val="18"/>
              </w:rPr>
              <w:t xml:space="preserve">Set the mandatory fields (para 17(4)) and accept or reject them</w:t>
            </w:r>
          </w:p>
        </w:tc>
      </w:tr>
      <w:tr>
        <w:tc>
          <w:tcPr>
            <w:tcW w:w="2455" w:type="dxa"/>
          </w:tcPr>
          <w:p>
            <w:pPr>
              <w:pStyle w:val="Compact"/>
              <w:spacing w:after="40"/>
              <w:jc w:val="left"/>
            </w:pPr>
            <w:r>
              <w:rPr>
                <w:sz w:val="18"/>
              </w:rPr>
              <w:t xml:space="preserve">Aadhaar e-KYC (number-based)</w:t>
            </w:r>
          </w:p>
        </w:tc>
        <w:tc>
          <w:tcPr>
            <w:tcW w:w="3327" w:type="dxa"/>
          </w:tcPr>
          <w:p>
            <w:pPr>
              <w:pStyle w:val="Compact"/>
              <w:spacing w:after="40"/>
              <w:jc w:val="left"/>
            </w:pPr>
            <w:r>
              <w:rPr>
                <w:sz w:val="18"/>
              </w:rPr>
              <w:t xml:space="preserve">Host the UI only, through the RE’s licensed channel</w:t>
            </w:r>
          </w:p>
        </w:tc>
        <w:tc>
          <w:tcPr>
            <w:tcW w:w="3856" w:type="dxa"/>
          </w:tcPr>
          <w:p>
            <w:pPr>
              <w:pStyle w:val="Compact"/>
              <w:spacing w:after="40"/>
              <w:jc w:val="left"/>
            </w:pPr>
            <w:r>
              <w:rPr>
                <w:sz w:val="18"/>
              </w:rPr>
              <w:t xml:space="preserve">Be notified under PML Act s.11A first proviso and authenticate through UIDAI (para 23(1)(ii), proviso (i))</w:t>
            </w:r>
          </w:p>
        </w:tc>
      </w:tr>
      <w:tr>
        <w:tc>
          <w:tcPr>
            <w:tcW w:w="2455" w:type="dxa"/>
          </w:tcPr>
          <w:p>
            <w:pPr>
              <w:pStyle w:val="Compact"/>
              <w:spacing w:after="40"/>
              <w:jc w:val="left"/>
            </w:pPr>
            <w:r>
              <w:rPr>
                <w:sz w:val="18"/>
              </w:rPr>
              <w:t xml:space="preserve">Offline Aadhaar, e-documents</w:t>
            </w:r>
          </w:p>
        </w:tc>
        <w:tc>
          <w:tcPr>
            <w:tcW w:w="3327" w:type="dxa"/>
          </w:tcPr>
          <w:p>
            <w:pPr>
              <w:pStyle w:val="Compact"/>
              <w:spacing w:after="40"/>
              <w:jc w:val="left"/>
            </w:pPr>
            <w:r>
              <w:rPr>
                <w:sz w:val="18"/>
              </w:rPr>
              <w:t xml:space="preserve">Fetch with consent and pass on with signature-check evidence</w:t>
            </w:r>
          </w:p>
        </w:tc>
        <w:tc>
          <w:tcPr>
            <w:tcW w:w="3856" w:type="dxa"/>
          </w:tcPr>
          <w:p>
            <w:pPr>
              <w:pStyle w:val="Compact"/>
              <w:spacing w:after="40"/>
              <w:jc w:val="left"/>
            </w:pPr>
            <w:r>
              <w:rPr>
                <w:sz w:val="18"/>
              </w:rPr>
              <w:t xml:space="preserve">Verify and decide (para 23 provisos (ii)–(iii))</w:t>
            </w:r>
          </w:p>
        </w:tc>
      </w:tr>
      <w:tr>
        <w:tc>
          <w:tcPr>
            <w:tcW w:w="2455" w:type="dxa"/>
          </w:tcPr>
          <w:p>
            <w:pPr>
              <w:pStyle w:val="Compact"/>
              <w:spacing w:after="40"/>
              <w:jc w:val="left"/>
            </w:pPr>
            <w:r>
              <w:rPr>
                <w:sz w:val="18"/>
              </w:rPr>
              <w:t xml:space="preserve">CKYCR</w:t>
            </w:r>
          </w:p>
        </w:tc>
        <w:tc>
          <w:tcPr>
            <w:tcW w:w="3327" w:type="dxa"/>
          </w:tcPr>
          <w:p>
            <w:pPr>
              <w:pStyle w:val="Compact"/>
              <w:spacing w:after="40"/>
              <w:jc w:val="left"/>
            </w:pPr>
            <w:r>
              <w:rPr>
                <w:sz w:val="18"/>
              </w:rPr>
              <w:t xml:space="preserve">Capture the KYC Identifier and explicit download consent</w:t>
            </w:r>
          </w:p>
        </w:tc>
        <w:tc>
          <w:tcPr>
            <w:tcW w:w="3856" w:type="dxa"/>
          </w:tcPr>
          <w:p>
            <w:pPr>
              <w:pStyle w:val="Compact"/>
              <w:spacing w:after="40"/>
              <w:jc w:val="left"/>
            </w:pPr>
            <w:r>
              <w:rPr>
                <w:sz w:val="18"/>
              </w:rPr>
              <w:t xml:space="preserve">Download, rely on and upload records under its CERSAI access (paras 23(4), 63)</w:t>
            </w:r>
          </w:p>
        </w:tc>
      </w:tr>
      <w:tr>
        <w:tc>
          <w:tcPr>
            <w:tcW w:w="2455" w:type="dxa"/>
          </w:tcPr>
          <w:p>
            <w:pPr>
              <w:pStyle w:val="Compact"/>
              <w:spacing w:after="40"/>
              <w:jc w:val="left"/>
            </w:pPr>
            <w:r>
              <w:rPr>
                <w:sz w:val="18"/>
              </w:rPr>
              <w:t xml:space="preserve">V-CIP</w:t>
            </w:r>
          </w:p>
        </w:tc>
        <w:tc>
          <w:tcPr>
            <w:tcW w:w="3327" w:type="dxa"/>
          </w:tcPr>
          <w:p>
            <w:pPr>
              <w:pStyle w:val="Compact"/>
              <w:spacing w:after="40"/>
              <w:jc w:val="left"/>
            </w:pPr>
            <w:r>
              <w:rPr>
                <w:sz w:val="18"/>
              </w:rPr>
              <w:t xml:space="preserve">Provide the software, if the RE’s conditions are met</w:t>
            </w:r>
          </w:p>
        </w:tc>
        <w:tc>
          <w:tcPr>
            <w:tcW w:w="3856" w:type="dxa"/>
          </w:tcPr>
          <w:p>
            <w:pPr>
              <w:pStyle w:val="Compact"/>
              <w:spacing w:after="40"/>
              <w:jc w:val="left"/>
            </w:pPr>
            <w:r>
              <w:rPr>
                <w:sz w:val="18"/>
              </w:rPr>
              <w:t xml:space="preserve">Have its own trained official run each session; host or own the data (para 27)</w:t>
            </w:r>
          </w:p>
        </w:tc>
      </w:tr>
      <w:tr>
        <w:tc>
          <w:tcPr>
            <w:tcW w:w="2455" w:type="dxa"/>
          </w:tcPr>
          <w:p>
            <w:pPr>
              <w:pStyle w:val="Compact"/>
              <w:spacing w:after="40"/>
              <w:jc w:val="left"/>
            </w:pPr>
            <w:r>
              <w:rPr>
                <w:sz w:val="18"/>
              </w:rPr>
              <w:t xml:space="preserve">KYC decision, risk category, sanctions, STR</w:t>
            </w:r>
          </w:p>
        </w:tc>
        <w:tc>
          <w:tcPr>
            <w:tcW w:w="3327" w:type="dxa"/>
          </w:tcPr>
          <w:p>
            <w:pPr>
              <w:pStyle w:val="Compact"/>
              <w:spacing w:after="40"/>
              <w:jc w:val="left"/>
            </w:pPr>
            <w:r>
              <w:rPr>
                <w:sz w:val="18"/>
              </w:rPr>
              <w:t xml:space="preserve">Show status only</w:t>
            </w:r>
          </w:p>
        </w:tc>
        <w:tc>
          <w:tcPr>
            <w:tcW w:w="3856" w:type="dxa"/>
          </w:tcPr>
          <w:p>
            <w:pPr>
              <w:pStyle w:val="Compact"/>
              <w:spacing w:after="40"/>
              <w:jc w:val="left"/>
            </w:pPr>
            <w:r>
              <w:rPr>
                <w:sz w:val="18"/>
              </w:rPr>
              <w:t xml:space="preserve">Decide, categorise, screen and report (paras 13, 20, 54–57, 49–53)</w:t>
            </w:r>
          </w:p>
        </w:tc>
      </w:tr>
    </w:tbl>
    <w:bookmarkEnd w:id="446"/>
    <w:bookmarkStart w:id="447" w:name="requirements-1"/>
    <w:p>
      <w:pPr>
        <w:pStyle w:val="Heading3"/>
      </w:pPr>
      <w:r>
        <w:t xml:space="preserve">Requirements</w:t>
      </w:r>
    </w:p>
    <w:p>
      <w:pPr>
        <w:numPr>
          <w:ilvl w:val="0"/>
          <w:numId w:val="1354"/>
        </w:numPr>
        <w:pStyle w:val="Compact"/>
      </w:pPr>
      <w:r>
        <w:rPr>
          <w:rStyle w:val="VerbatimChar"/>
        </w:rPr>
        <w:t xml:space="preserve">REQ-KYC-13</w:t>
      </w:r>
      <w:r>
        <w:t xml:space="preserve"> </w:t>
      </w:r>
      <w:r>
        <w:rPr>
          <w:bCs/>
          <w:b/>
        </w:rPr>
        <w:t xml:space="preserve">[RE]</w:t>
      </w:r>
      <w:r>
        <w:t xml:space="preserve"> </w:t>
      </w:r>
      <w:r>
        <w:t xml:space="preserve">KYC decision-making is never outsourced.</w:t>
      </w:r>
    </w:p>
    <w:p>
      <w:pPr>
        <w:numPr>
          <w:ilvl w:val="1"/>
          <w:numId w:val="1355"/>
        </w:numPr>
        <w:pStyle w:val="Compact"/>
      </w:pPr>
      <w:r>
        <w:rPr>
          <w:iCs/>
          <w:i/>
        </w:rPr>
        <w:t xml:space="preserve">Build:</w:t>
      </w:r>
      <w:r>
        <w:t xml:space="preserve"> </w:t>
      </w:r>
      <w:r>
        <w:t xml:space="preserve">U5 sends</w:t>
      </w:r>
      <w:r>
        <w:t xml:space="preserve"> </w:t>
      </w:r>
      <w:r>
        <w:rPr>
          <w:rStyle w:val="VerbatimChar"/>
        </w:rPr>
        <w:t xml:space="preserve">ApplicationSubmitted</w:t>
      </w:r>
      <w:r>
        <w:t xml:space="preserve"> </w:t>
      </w:r>
      <w:r>
        <w:t xml:space="preserve">with evidence and vendor results. The</w:t>
      </w:r>
      <w:r>
        <w:t xml:space="preserve"> </w:t>
      </w:r>
      <w:r>
        <w:t xml:space="preserve">“</w:t>
      </w:r>
      <w:r>
        <w:t xml:space="preserve">KYC complete</w:t>
      </w:r>
      <w:r>
        <w:t xml:space="preserve">”</w:t>
      </w:r>
      <w:r>
        <w:t xml:space="preserve"> </w:t>
      </w:r>
      <w:r>
        <w:t xml:space="preserve">status is set only by an RE user in the lender portal, or by the RE’s own system through U21, with the actor recorded. Udofin auto-rules may flag but never pass a case [VERIFY: whether an RE-approved rule executed on Udofin infrastructure is acceptable to each RE’s compliance function].</w:t>
      </w:r>
    </w:p>
    <w:p>
      <w:pPr>
        <w:numPr>
          <w:ilvl w:val="0"/>
          <w:numId w:val="1354"/>
        </w:numPr>
        <w:pStyle w:val="Compact"/>
      </w:pPr>
      <w:r>
        <w:rPr>
          <w:rStyle w:val="VerbatimChar"/>
        </w:rPr>
        <w:t xml:space="preserve">REQ-KYC-17(5)</w:t>
      </w:r>
      <w:r>
        <w:t xml:space="preserve"> </w:t>
      </w:r>
      <w:r>
        <w:rPr>
          <w:bCs/>
          <w:b/>
        </w:rPr>
        <w:t xml:space="preserve">[UDOFIN]</w:t>
      </w:r>
      <w:r>
        <w:t xml:space="preserve"> </w:t>
      </w:r>
      <w:r>
        <w:t xml:space="preserve">Information beyond the RE’s KYC policy is collected only</w:t>
      </w:r>
      <w:r>
        <w:t xml:space="preserve"> </w:t>
      </w:r>
      <w:r>
        <w:t xml:space="preserve">“</w:t>
      </w:r>
      <w:r>
        <w:t xml:space="preserve">with the explicit consent of the customer</w:t>
      </w:r>
      <w:r>
        <w:t xml:space="preserve">”</w:t>
      </w:r>
      <w:r>
        <w:t xml:space="preserve">.</w:t>
      </w:r>
    </w:p>
    <w:p>
      <w:pPr>
        <w:numPr>
          <w:ilvl w:val="1"/>
          <w:numId w:val="1356"/>
        </w:numPr>
        <w:pStyle w:val="Compact"/>
      </w:pPr>
      <w:r>
        <w:rPr>
          <w:iCs/>
          <w:i/>
        </w:rPr>
        <w:t xml:space="preserve">Build:</w:t>
      </w:r>
      <w:r>
        <w:t xml:space="preserve"> </w:t>
      </w:r>
      <w:r>
        <w:t xml:space="preserve">U4 marks every optional field with a consent flag.</w:t>
      </w:r>
    </w:p>
    <w:p>
      <w:pPr>
        <w:numPr>
          <w:ilvl w:val="0"/>
          <w:numId w:val="1354"/>
        </w:numPr>
        <w:pStyle w:val="Compact"/>
      </w:pPr>
      <w:r>
        <w:rPr>
          <w:rStyle w:val="VerbatimChar"/>
        </w:rPr>
        <w:t xml:space="preserve">REQ-KYC-17(6)</w:t>
      </w:r>
      <w:r>
        <w:t xml:space="preserve"> </w:t>
      </w:r>
      <w:r>
        <w:rPr>
          <w:rStyle w:val="VerbatimChar"/>
        </w:rPr>
        <w:t xml:space="preserve">REQ-KYC-66</w:t>
      </w:r>
      <w:r>
        <w:t xml:space="preserve"> </w:t>
      </w:r>
      <w:r>
        <w:rPr>
          <w:bCs/>
          <w:b/>
        </w:rPr>
        <w:t xml:space="preserve">[RE]</w:t>
      </w:r>
      <w:r>
        <w:t xml:space="preserve"> </w:t>
      </w:r>
      <w:r>
        <w:t xml:space="preserve">CDD is done at UCIC level, and every individual customer gets a UCIC.</w:t>
      </w:r>
    </w:p>
    <w:p>
      <w:pPr>
        <w:numPr>
          <w:ilvl w:val="1"/>
          <w:numId w:val="1357"/>
        </w:numPr>
        <w:pStyle w:val="Compact"/>
      </w:pPr>
      <w:r>
        <w:rPr>
          <w:iCs/>
          <w:i/>
        </w:rPr>
        <w:t xml:space="preserve">Build:</w:t>
      </w:r>
      <w:r>
        <w:t xml:space="preserve"> </w:t>
      </w:r>
      <w:r>
        <w:t xml:space="preserve">U3 maps one Udofin borrower ID to a separate UCIC in each RE. One RE’s KYC status is never presented as another RE’s.</w:t>
      </w:r>
    </w:p>
    <w:p>
      <w:pPr>
        <w:numPr>
          <w:ilvl w:val="0"/>
          <w:numId w:val="1354"/>
        </w:numPr>
        <w:pStyle w:val="Compact"/>
      </w:pPr>
      <w:r>
        <w:rPr>
          <w:rStyle w:val="VerbatimChar"/>
        </w:rPr>
        <w:t xml:space="preserve">REQ-KYC-17(10)</w:t>
      </w:r>
      <w:r>
        <w:t xml:space="preserve"> </w:t>
      </w:r>
      <w:r>
        <w:rPr>
          <w:rStyle w:val="VerbatimChar"/>
        </w:rPr>
        <w:t xml:space="preserve">REQ-KYC-17(11)</w:t>
      </w:r>
      <w:r>
        <w:t xml:space="preserve"> </w:t>
      </w:r>
      <w:r>
        <w:rPr>
          <w:rStyle w:val="VerbatimChar"/>
        </w:rPr>
        <w:t xml:space="preserve">REQ-KYC-17(12)</w:t>
      </w:r>
      <w:r>
        <w:t xml:space="preserve"> </w:t>
      </w:r>
      <w:r>
        <w:rPr>
          <w:bCs/>
          <w:b/>
        </w:rPr>
        <w:t xml:space="preserve">[RE→UDOFIN contract]</w:t>
      </w:r>
      <w:r>
        <w:t xml:space="preserve"> </w:t>
      </w:r>
      <w:r>
        <w:t xml:space="preserve">PAN is verified with the issuing authority’s facility, the digital signature on e-documents is verified, and GSTIN is verified where available.</w:t>
      </w:r>
    </w:p>
    <w:p>
      <w:pPr>
        <w:numPr>
          <w:ilvl w:val="1"/>
          <w:numId w:val="1358"/>
        </w:numPr>
        <w:pStyle w:val="Compact"/>
      </w:pPr>
      <w:r>
        <w:rPr>
          <w:iCs/>
          <w:i/>
        </w:rPr>
        <w:t xml:space="preserve">Build:</w:t>
      </w:r>
      <w:r>
        <w:t xml:space="preserve"> </w:t>
      </w:r>
      <w:r>
        <w:t xml:space="preserve">U5 adapters return raw verification evidence (request ID, timestamp, response hash) to the RE.</w:t>
      </w:r>
    </w:p>
    <w:p>
      <w:pPr>
        <w:numPr>
          <w:ilvl w:val="0"/>
          <w:numId w:val="1354"/>
        </w:numPr>
        <w:pStyle w:val="Compact"/>
      </w:pPr>
      <w:r>
        <w:rPr>
          <w:rStyle w:val="VerbatimChar"/>
        </w:rPr>
        <w:t xml:space="preserve">REQ-KYC-18</w:t>
      </w:r>
      <w:r>
        <w:t xml:space="preserve"> </w:t>
      </w:r>
      <w:r>
        <w:rPr>
          <w:bCs/>
          <w:b/>
        </w:rPr>
        <w:t xml:space="preserve">[RE]</w:t>
      </w:r>
      <w:r>
        <w:t xml:space="preserve"> </w:t>
      </w:r>
      <w:r>
        <w:t xml:space="preserve">Onboarding is not rejected</w:t>
      </w:r>
      <w:r>
        <w:t xml:space="preserve"> </w:t>
      </w:r>
      <w:r>
        <w:t xml:space="preserve">“</w:t>
      </w:r>
      <w:r>
        <w:t xml:space="preserve">without application of mind</w:t>
      </w:r>
      <w:r>
        <w:t xml:space="preserve">”</w:t>
      </w:r>
      <w:r>
        <w:t xml:space="preserve">, and the officer records the reason.</w:t>
      </w:r>
    </w:p>
    <w:p>
      <w:pPr>
        <w:numPr>
          <w:ilvl w:val="1"/>
          <w:numId w:val="1359"/>
        </w:numPr>
        <w:pStyle w:val="Compact"/>
      </w:pPr>
      <w:r>
        <w:rPr>
          <w:iCs/>
          <w:i/>
        </w:rPr>
        <w:t xml:space="preserve">Build:</w:t>
      </w:r>
      <w:r>
        <w:t xml:space="preserve"> </w:t>
      </w:r>
      <w:r>
        <w:t xml:space="preserve">U5 cannot auto-reject KYC. Mismatches go to the RE’s queue.</w:t>
      </w:r>
    </w:p>
    <w:p>
      <w:pPr>
        <w:numPr>
          <w:ilvl w:val="0"/>
          <w:numId w:val="1354"/>
        </w:numPr>
        <w:pStyle w:val="Compact"/>
      </w:pPr>
      <w:r>
        <w:rPr>
          <w:rStyle w:val="VerbatimChar"/>
        </w:rPr>
        <w:t xml:space="preserve">REQ-KYC-20(4)</w:t>
      </w:r>
      <w:r>
        <w:t xml:space="preserve"> </w:t>
      </w:r>
      <w:r>
        <w:rPr>
          <w:bCs/>
          <w:b/>
        </w:rPr>
        <w:t xml:space="preserve">[RE]</w:t>
      </w:r>
      <w:r>
        <w:t xml:space="preserve"> </w:t>
      </w:r>
      <w:r>
        <w:t xml:space="preserve">The risk category and its reasons are never revealed to the customer.</w:t>
      </w:r>
    </w:p>
    <w:p>
      <w:pPr>
        <w:numPr>
          <w:ilvl w:val="1"/>
          <w:numId w:val="1360"/>
        </w:numPr>
        <w:pStyle w:val="Compact"/>
      </w:pPr>
      <w:r>
        <w:rPr>
          <w:iCs/>
          <w:i/>
        </w:rPr>
        <w:t xml:space="preserve">Build:</w:t>
      </w:r>
      <w:r>
        <w:t xml:space="preserve"> </w:t>
      </w:r>
      <w:r>
        <w:t xml:space="preserve">any risk category the RE shares is stored in a field hidden from all borrower channels, U20 AI support and U15 replies.</w:t>
      </w:r>
    </w:p>
    <w:p>
      <w:pPr>
        <w:numPr>
          <w:ilvl w:val="0"/>
          <w:numId w:val="1354"/>
        </w:numPr>
        <w:pStyle w:val="Compact"/>
      </w:pPr>
      <w:r>
        <w:rPr>
          <w:rStyle w:val="VerbatimChar"/>
        </w:rPr>
        <w:t xml:space="preserve">REQ-KYC-23</w:t>
      </w:r>
      <w:r>
        <w:t xml:space="preserve"> </w:t>
      </w:r>
      <w:r>
        <w:rPr>
          <w:bCs/>
          <w:b/>
        </w:rPr>
        <w:t xml:space="preserve">[RE]</w:t>
      </w:r>
      <w:r>
        <w:t xml:space="preserve"> </w:t>
      </w:r>
      <w:r>
        <w:t xml:space="preserve">CDD for individuals is one of the following,</w:t>
      </w:r>
      <w:r>
        <w:t xml:space="preserve"> </w:t>
      </w:r>
      <w:r>
        <w:rPr>
          <w:bCs/>
          <w:b/>
        </w:rPr>
        <w:t xml:space="preserve">plus PAN or Form 60</w:t>
      </w:r>
      <w:r>
        <w:t xml:space="preserve">:</w:t>
      </w:r>
    </w:p>
    <w:p>
      <w:pPr>
        <w:numPr>
          <w:ilvl w:val="1"/>
          <w:numId w:val="1361"/>
        </w:numPr>
        <w:pStyle w:val="Compact"/>
      </w:pPr>
      <w:r>
        <w:t xml:space="preserve">the Aadhaar number, only for an Aadhaar s.7 benefit or when volunteered to an RE notified under PML Act s.11A, with UIDAI e-KYC authentication;</w:t>
      </w:r>
    </w:p>
    <w:p>
      <w:pPr>
        <w:numPr>
          <w:ilvl w:val="1"/>
          <w:numId w:val="1361"/>
        </w:numPr>
        <w:pStyle w:val="Compact"/>
      </w:pPr>
      <w:r>
        <w:t xml:space="preserve">proof of possession of Aadhaar with offline verification;</w:t>
      </w:r>
    </w:p>
    <w:p>
      <w:pPr>
        <w:numPr>
          <w:ilvl w:val="1"/>
          <w:numId w:val="1361"/>
        </w:numPr>
        <w:pStyle w:val="Compact"/>
      </w:pPr>
      <w:r>
        <w:t xml:space="preserve">an OVD e-document, with digital-signature verification and</w:t>
      </w:r>
      <w:r>
        <w:t xml:space="preserve"> </w:t>
      </w:r>
      <w:r>
        <w:t xml:space="preserve">“</w:t>
      </w:r>
      <w:r>
        <w:t xml:space="preserve">a live photo as specified under paragraph 24</w:t>
      </w:r>
      <w:r>
        <w:t xml:space="preserve">”</w:t>
      </w:r>
      <w:r>
        <w:t xml:space="preserve"> </w:t>
      </w:r>
      <w:r>
        <w:t xml:space="preserve">(proviso (iii)); or a physical OVD, or proof of possession of Aadhaar where offline verification cannot be done, verified through digital KYC under para 24 (proviso (iv));</w:t>
      </w:r>
    </w:p>
    <w:p>
      <w:pPr>
        <w:numPr>
          <w:ilvl w:val="1"/>
          <w:numId w:val="1361"/>
        </w:numPr>
        <w:pStyle w:val="Compact"/>
      </w:pPr>
      <w:r>
        <w:t xml:space="preserve">the KYC Identifier, with explicit consent to download from CKYCR.</w:t>
      </w:r>
    </w:p>
    <w:p>
      <w:pPr>
        <w:numPr>
          <w:ilvl w:val="1"/>
          <w:numId w:val="1361"/>
        </w:numPr>
        <w:pStyle w:val="Compact"/>
      </w:pPr>
      <w:r>
        <w:t xml:space="preserve">Further rules:</w:t>
      </w:r>
    </w:p>
    <w:p>
      <w:pPr>
        <w:numPr>
          <w:ilvl w:val="2"/>
          <w:numId w:val="1362"/>
        </w:numPr>
        <w:pStyle w:val="Compact"/>
      </w:pPr>
      <w:r>
        <w:t xml:space="preserve">Aadhaar numbers are redacted where authentication is not required (Expl 1).</w:t>
      </w:r>
    </w:p>
    <w:p>
      <w:pPr>
        <w:numPr>
          <w:ilvl w:val="2"/>
          <w:numId w:val="1362"/>
        </w:numPr>
        <w:pStyle w:val="Compact"/>
      </w:pPr>
      <w:r>
        <w:t xml:space="preserve">An NBFC official may perform biometric e-KYC authentication, including Aadhaar Face Authentication (Expl 2); this is not a borrower self-service route, and Udofin stores no biometric data (CF para 14(3)).</w:t>
      </w:r>
    </w:p>
    <w:p>
      <w:pPr>
        <w:numPr>
          <w:ilvl w:val="2"/>
          <w:numId w:val="1362"/>
        </w:numPr>
        <w:pStyle w:val="Compact"/>
      </w:pPr>
      <w:r>
        <w:t xml:space="preserve">“</w:t>
      </w:r>
      <w:r>
        <w:t xml:space="preserve">Aadhaar number is not mandatory</w:t>
      </w:r>
      <w:r>
        <w:t xml:space="preserve">”</w:t>
      </w:r>
      <w:r>
        <w:t xml:space="preserve"> </w:t>
      </w:r>
      <w:r>
        <w:t xml:space="preserve">(Expl 4).</w:t>
      </w:r>
    </w:p>
    <w:p>
      <w:pPr>
        <w:numPr>
          <w:ilvl w:val="1"/>
          <w:numId w:val="1361"/>
        </w:numPr>
        <w:pStyle w:val="Compact"/>
      </w:pPr>
      <w:r>
        <w:rPr>
          <w:iCs/>
          <w:i/>
        </w:rPr>
        <w:t xml:space="preserve">Build:</w:t>
      </w:r>
    </w:p>
    <w:p>
      <w:pPr>
        <w:numPr>
          <w:ilvl w:val="2"/>
          <w:numId w:val="1363"/>
        </w:numPr>
        <w:pStyle w:val="Compact"/>
      </w:pPr>
      <w:r>
        <w:t xml:space="preserve">U5 offers non-Aadhaar routes (DigiLocker e-documents, CKYC, V-CIP) on equal footing.</w:t>
      </w:r>
    </w:p>
    <w:p>
      <w:pPr>
        <w:numPr>
          <w:ilvl w:val="2"/>
          <w:numId w:val="1363"/>
        </w:numPr>
        <w:pStyle w:val="Compact"/>
      </w:pPr>
      <w:r>
        <w:t xml:space="preserve">Aadhaar numbers are masked to the last 4 digits in every stored image and field.</w:t>
      </w:r>
    </w:p>
    <w:p>
      <w:pPr>
        <w:numPr>
          <w:ilvl w:val="2"/>
          <w:numId w:val="1363"/>
        </w:numPr>
        <w:pStyle w:val="Compact"/>
      </w:pPr>
      <w:r>
        <w:t xml:space="preserve">Aadhaar number-based OTP e-KYC is offered only for REs flagged in U1 as notified under s.11A, through the RE’s AUA/KUA channel [VERIFY: each RE’s notification status and the UIDAI AUA/KUA or sub-AUA arrangement through any vendor such as Surepass; Aadhaar (Data Vault) obligations].</w:t>
      </w:r>
    </w:p>
    <w:p>
      <w:pPr>
        <w:numPr>
          <w:ilvl w:val="2"/>
          <w:numId w:val="1363"/>
        </w:numPr>
        <w:pStyle w:val="Compact"/>
      </w:pPr>
      <w:r>
        <w:t xml:space="preserve">[VERIFY: whether a borrower-captured liveness selfie meets</w:t>
      </w:r>
      <w:r>
        <w:t xml:space="preserve"> </w:t>
      </w:r>
      <w:r>
        <w:t xml:space="preserve">“</w:t>
      </w:r>
      <w:r>
        <w:t xml:space="preserve">live photo as specified under paragraph 24</w:t>
      </w:r>
      <w:r>
        <w:t xml:space="preserve">”</w:t>
      </w:r>
      <w:r>
        <w:t xml:space="preserve"> </w:t>
      </w:r>
      <w:r>
        <w:t xml:space="preserve">for the e-document route, since para 24 describes officer capture.]</w:t>
      </w:r>
    </w:p>
    <w:p>
      <w:pPr>
        <w:numPr>
          <w:ilvl w:val="0"/>
          <w:numId w:val="1354"/>
        </w:numPr>
        <w:pStyle w:val="Compact"/>
      </w:pPr>
      <w:r>
        <w:rPr>
          <w:rStyle w:val="VerbatimChar"/>
        </w:rPr>
        <w:t xml:space="preserve">REQ-KYC-24</w:t>
      </w:r>
      <w:r>
        <w:t xml:space="preserve"> </w:t>
      </w:r>
      <w:r>
        <w:rPr>
          <w:bCs/>
          <w:b/>
        </w:rPr>
        <w:t xml:space="preserve">[RE]</w:t>
      </w:r>
      <w:r>
        <w:t xml:space="preserve"> </w:t>
      </w:r>
      <w:r>
        <w:t xml:space="preserve">Digital KYC (assisted) runs only on</w:t>
      </w:r>
      <w:r>
        <w:t xml:space="preserve"> </w:t>
      </w:r>
      <w:r>
        <w:t xml:space="preserve">“</w:t>
      </w:r>
      <w:r>
        <w:t xml:space="preserve">the NBFC’s authenticated application</w:t>
      </w:r>
      <w:r>
        <w:t xml:space="preserve">”</w:t>
      </w:r>
      <w:r>
        <w:t xml:space="preserve">, operated by the RE’s authorised officer, who logs in with a login-id and password or a Live/Time OTP. The process requires:</w:t>
      </w:r>
    </w:p>
    <w:p>
      <w:pPr>
        <w:numPr>
          <w:ilvl w:val="1"/>
          <w:numId w:val="1364"/>
        </w:numPr>
        <w:pStyle w:val="Compact"/>
      </w:pPr>
      <w:r>
        <w:t xml:space="preserve">a live photo of the customer against a white background, with no other person in frame;</w:t>
      </w:r>
    </w:p>
    <w:p>
      <w:pPr>
        <w:numPr>
          <w:ilvl w:val="1"/>
          <w:numId w:val="1364"/>
        </w:numPr>
        <w:pStyle w:val="Compact"/>
      </w:pPr>
      <w:r>
        <w:t xml:space="preserve">a readable watermark showing the CAF number, GPS coordinates, the officer’s name and RE-assigned employee code, the date (DD:MM:YYYY) and the time (HH:MM:SS);</w:t>
      </w:r>
    </w:p>
    <w:p>
      <w:pPr>
        <w:numPr>
          <w:ilvl w:val="1"/>
          <w:numId w:val="1364"/>
        </w:numPr>
        <w:pStyle w:val="Compact"/>
      </w:pPr>
      <w:r>
        <w:t xml:space="preserve">an OVD photo taken from above with no tilt;</w:t>
      </w:r>
    </w:p>
    <w:p>
      <w:pPr>
        <w:numPr>
          <w:ilvl w:val="1"/>
          <w:numId w:val="1364"/>
        </w:numPr>
        <w:pStyle w:val="Compact"/>
      </w:pPr>
      <w:r>
        <w:t xml:space="preserve">a customer OTP whose text reads exactly</w:t>
      </w:r>
      <w:r>
        <w:t xml:space="preserve"> </w:t>
      </w:r>
      <w:r>
        <w:t xml:space="preserve">“</w:t>
      </w:r>
      <w:r>
        <w:t xml:space="preserve">Please verify the details filled in form before sharing OTP</w:t>
      </w:r>
      <w:r>
        <w:t xml:space="preserve">”</w:t>
      </w:r>
      <w:r>
        <w:t xml:space="preserve">, never sent to the officer’s own registered mobile;</w:t>
      </w:r>
    </w:p>
    <w:p>
      <w:pPr>
        <w:numPr>
          <w:ilvl w:val="1"/>
          <w:numId w:val="1364"/>
        </w:numPr>
        <w:pStyle w:val="Compact"/>
      </w:pPr>
      <w:r>
        <w:t xml:space="preserve">the officer’s OTP declaration with the officer’s live photo;</w:t>
      </w:r>
    </w:p>
    <w:p>
      <w:pPr>
        <w:numPr>
          <w:ilvl w:val="1"/>
          <w:numId w:val="1364"/>
        </w:numPr>
        <w:pStyle w:val="Compact"/>
      </w:pPr>
      <w:r>
        <w:t xml:space="preserve">a reference ID given to the customer;</w:t>
      </w:r>
    </w:p>
    <w:p>
      <w:pPr>
        <w:numPr>
          <w:ilvl w:val="1"/>
          <w:numId w:val="1364"/>
        </w:numPr>
        <w:pStyle w:val="Compact"/>
      </w:pPr>
      <w:r>
        <w:t xml:space="preserve">the officer’s digital signature on the CAF, then the customer’s signature or thumb impression, scanned and uploaded;</w:t>
      </w:r>
    </w:p>
    <w:p>
      <w:pPr>
        <w:numPr>
          <w:ilvl w:val="1"/>
          <w:numId w:val="1364"/>
        </w:numPr>
        <w:pStyle w:val="Compact"/>
      </w:pPr>
      <w:r>
        <w:t xml:space="preserve">the application captures only a live photograph and does not capture any printed or video-graphed photograph (para 24(5)).</w:t>
      </w:r>
    </w:p>
    <w:p>
      <w:pPr>
        <w:numPr>
          <w:ilvl w:val="1"/>
          <w:numId w:val="1364"/>
        </w:numPr>
        <w:pStyle w:val="Compact"/>
      </w:pPr>
      <w:r>
        <w:rPr>
          <w:iCs/>
          <w:i/>
        </w:rPr>
        <w:t xml:space="preserve">Build:</w:t>
      </w:r>
      <w:r>
        <w:t xml:space="preserve"> </w:t>
      </w:r>
      <w:r>
        <w:t xml:space="preserve">U22 white-labelled as each RE’s application, with RE-assigned officer codes [VERIFY: whether Udofin field staff may be designated as the RE’s</w:t>
      </w:r>
      <w:r>
        <w:t xml:space="preserve"> </w:t>
      </w:r>
      <w:r>
        <w:t xml:space="preserve">“</w:t>
      </w:r>
      <w:r>
        <w:t xml:space="preserve">authorised officer</w:t>
      </w:r>
      <w:r>
        <w:t xml:space="preserve">”</w:t>
      </w:r>
      <w:r>
        <w:t xml:space="preserve">; otherwise U22 digital KYC is limited to RE staff].</w:t>
      </w:r>
    </w:p>
    <w:p>
      <w:pPr>
        <w:numPr>
          <w:ilvl w:val="0"/>
          <w:numId w:val="1354"/>
        </w:numPr>
        <w:pStyle w:val="Compact"/>
      </w:pPr>
      <w:r>
        <w:rPr>
          <w:rStyle w:val="VerbatimChar"/>
        </w:rPr>
        <w:t xml:space="preserve">REQ-KYC-25</w:t>
      </w:r>
      <w:r>
        <w:t xml:space="preserve"> </w:t>
      </w:r>
      <w:r>
        <w:rPr>
          <w:bCs/>
          <w:b/>
        </w:rPr>
        <w:t xml:space="preserve">[RE]</w:t>
      </w:r>
      <w:r>
        <w:t xml:space="preserve"> </w:t>
      </w:r>
      <w:r>
        <w:t xml:space="preserve">Accounts opened by Aadhaar OTP e-KYC in non-face-to-face mode are subject to these conditions: specific consent to OTP authentication; alerts and OTPs only to the</w:t>
      </w:r>
      <w:r>
        <w:t xml:space="preserve"> </w:t>
      </w:r>
      <w:r>
        <w:rPr>
          <w:bCs/>
          <w:b/>
        </w:rPr>
        <w:t xml:space="preserve">Aadhaar-registered mobile</w:t>
      </w:r>
      <w:r>
        <w:t xml:space="preserve">;</w:t>
      </w:r>
      <w:r>
        <w:t xml:space="preserve"> </w:t>
      </w:r>
      <w:r>
        <w:rPr>
          <w:bCs/>
          <w:b/>
        </w:rPr>
        <w:t xml:space="preserve">term loans only, with an aggregate of no more than ₹60,000 sanctioned in a year</w:t>
      </w:r>
      <w:r>
        <w:t xml:space="preserve">; no operation</w:t>
      </w:r>
      <w:r>
        <w:t xml:space="preserve"> </w:t>
      </w:r>
      <w:r>
        <w:rPr>
          <w:bCs/>
          <w:b/>
        </w:rPr>
        <w:t xml:space="preserve">beyond one year</w:t>
      </w:r>
      <w:r>
        <w:t xml:space="preserve"> </w:t>
      </w:r>
      <w:r>
        <w:t xml:space="preserve">without full CDD under para 23 or V-CIP, failing which</w:t>
      </w:r>
      <w:r>
        <w:t xml:space="preserve"> </w:t>
      </w:r>
      <w:r>
        <w:t xml:space="preserve">“</w:t>
      </w:r>
      <w:r>
        <w:t xml:space="preserve">no further debits</w:t>
      </w:r>
      <w:r>
        <w:t xml:space="preserve">”</w:t>
      </w:r>
      <w:r>
        <w:t xml:space="preserve">; a declaration that no other OTP e-KYC account exists with any RE; a CKYCR flag on the upload; violation alerts.</w:t>
      </w:r>
    </w:p>
    <w:p>
      <w:pPr>
        <w:numPr>
          <w:ilvl w:val="1"/>
          <w:numId w:val="1365"/>
        </w:numPr>
        <w:pStyle w:val="Compact"/>
      </w:pPr>
      <w:r>
        <w:rPr>
          <w:iCs/>
          <w:i/>
        </w:rPr>
        <w:t xml:space="preserve">Build:</w:t>
      </w:r>
    </w:p>
    <w:p>
      <w:pPr>
        <w:numPr>
          <w:ilvl w:val="2"/>
          <w:numId w:val="1366"/>
        </w:numPr>
        <w:pStyle w:val="Compact"/>
      </w:pPr>
      <w:r>
        <w:t xml:space="preserve">U5 tags the KYC level.</w:t>
      </w:r>
    </w:p>
    <w:p>
      <w:pPr>
        <w:numPr>
          <w:ilvl w:val="2"/>
          <w:numId w:val="1366"/>
        </w:numPr>
        <w:pStyle w:val="Compact"/>
      </w:pPr>
      <w:r>
        <w:t xml:space="preserve">U7 caps offers for OTP-e-KYC customers at the RE’s remaining ₹60,000 annual headroom and allows term loans only.</w:t>
      </w:r>
    </w:p>
    <w:p>
      <w:pPr>
        <w:numPr>
          <w:ilvl w:val="2"/>
          <w:numId w:val="1366"/>
        </w:numPr>
        <w:pStyle w:val="Compact"/>
      </w:pPr>
      <w:r>
        <w:t xml:space="preserve">U16 sends reminders to upgrade (V-CIP or full CDD) from month 9.</w:t>
      </w:r>
    </w:p>
    <w:p>
      <w:pPr>
        <w:numPr>
          <w:ilvl w:val="2"/>
          <w:numId w:val="1366"/>
        </w:numPr>
        <w:pStyle w:val="Compact"/>
      </w:pPr>
      <w:r>
        <w:t xml:space="preserve">U12 withholds drawdown and top-up requests in Udofin channels after 12 months unless the RE confirms full CDD; the debit bar itself is the RE’s (para 25(7)).</w:t>
      </w:r>
    </w:p>
    <w:p>
      <w:pPr>
        <w:numPr>
          <w:ilvl w:val="2"/>
          <w:numId w:val="1366"/>
        </w:numPr>
        <w:pStyle w:val="Compact"/>
      </w:pPr>
      <w:r>
        <w:t xml:space="preserve">The U3 alert channel is pinned to the Aadhaar-linked mobile for these accounts.</w:t>
      </w:r>
    </w:p>
    <w:p>
      <w:pPr>
        <w:numPr>
          <w:ilvl w:val="0"/>
          <w:numId w:val="1354"/>
        </w:numPr>
        <w:pStyle w:val="Compact"/>
      </w:pPr>
      <w:r>
        <w:rPr>
          <w:rStyle w:val="VerbatimChar"/>
        </w:rPr>
        <w:t xml:space="preserve">REQ-KYC-26</w:t>
      </w:r>
      <w:r>
        <w:t xml:space="preserve"> </w:t>
      </w:r>
      <w:r>
        <w:rPr>
          <w:rStyle w:val="VerbatimChar"/>
        </w:rPr>
        <w:t xml:space="preserve">REQ-KYC-27</w:t>
      </w:r>
      <w:r>
        <w:t xml:space="preserve"> </w:t>
      </w:r>
      <w:r>
        <w:rPr>
          <w:bCs/>
          <w:b/>
        </w:rPr>
        <w:t xml:space="preserve">[RE]</w:t>
      </w:r>
      <w:r>
        <w:t xml:space="preserve"> </w:t>
      </w:r>
      <w:r>
        <w:t xml:space="preserve">V-CIP is run only by</w:t>
      </w:r>
      <w:r>
        <w:t xml:space="preserve"> </w:t>
      </w:r>
      <w:r>
        <w:t xml:space="preserve">“</w:t>
      </w:r>
      <w:r>
        <w:t xml:space="preserve">officials of the NBFC specially trained for this purpose</w:t>
      </w:r>
      <w:r>
        <w:t xml:space="preserve">”</w:t>
      </w:r>
      <w:r>
        <w:t xml:space="preserve">. Infrastructure and data rules:</w:t>
      </w:r>
    </w:p>
    <w:p>
      <w:pPr>
        <w:numPr>
          <w:ilvl w:val="1"/>
          <w:numId w:val="1367"/>
        </w:numPr>
        <w:pStyle w:val="Compact"/>
      </w:pPr>
      <w:r>
        <w:t xml:space="preserve">Infrastructure is on the RE’s premises, and the connection originates</w:t>
      </w:r>
      <w:r>
        <w:t xml:space="preserve"> </w:t>
      </w:r>
      <w:r>
        <w:t xml:space="preserve">“</w:t>
      </w:r>
      <w:r>
        <w:t xml:space="preserve">from its own secured network domain</w:t>
      </w:r>
      <w:r>
        <w:t xml:space="preserve">”</w:t>
      </w:r>
      <w:r>
        <w:t xml:space="preserve">.</w:t>
      </w:r>
    </w:p>
    <w:p>
      <w:pPr>
        <w:numPr>
          <w:ilvl w:val="1"/>
          <w:numId w:val="1367"/>
        </w:numPr>
        <w:pStyle w:val="Compact"/>
      </w:pPr>
      <w:r>
        <w:t xml:space="preserve">On cloud, data ownership</w:t>
      </w:r>
      <w:r>
        <w:t xml:space="preserve"> </w:t>
      </w:r>
      <w:r>
        <w:t xml:space="preserve">“</w:t>
      </w:r>
      <w:r>
        <w:t xml:space="preserve">rests with the NBFC only</w:t>
      </w:r>
      <w:r>
        <w:t xml:space="preserve">”</w:t>
      </w:r>
      <w:r>
        <w:t xml:space="preserve">. All data and recordings move</w:t>
      </w:r>
      <w:r>
        <w:t xml:space="preserve"> </w:t>
      </w:r>
      <w:r>
        <w:t xml:space="preserve">“</w:t>
      </w:r>
      <w:r>
        <w:t xml:space="preserve">immediately</w:t>
      </w:r>
      <w:r>
        <w:t xml:space="preserve">”</w:t>
      </w:r>
      <w:r>
        <w:t xml:space="preserve"> </w:t>
      </w:r>
      <w:r>
        <w:t xml:space="preserve">to the RE’s exclusively owned or leased servers, and the</w:t>
      </w:r>
      <w:r>
        <w:t xml:space="preserve"> </w:t>
      </w:r>
      <w:r>
        <w:t xml:space="preserve">“</w:t>
      </w:r>
      <w:r>
        <w:t xml:space="preserve">third-party technology provider assisting the V-CIP shall retain no data</w:t>
      </w:r>
      <w:r>
        <w:t xml:space="preserve">”</w:t>
      </w:r>
      <w:r>
        <w:t xml:space="preserve">.</w:t>
      </w:r>
    </w:p>
    <w:p>
      <w:pPr>
        <w:numPr>
          <w:ilvl w:val="1"/>
          <w:numId w:val="1367"/>
        </w:numPr>
        <w:pStyle w:val="Compact"/>
      </w:pPr>
      <w:r>
        <w:t xml:space="preserve">End-to-end encryption.</w:t>
      </w:r>
    </w:p>
    <w:p>
      <w:pPr>
        <w:numPr>
          <w:ilvl w:val="1"/>
          <w:numId w:val="1367"/>
        </w:numPr>
        <w:pStyle w:val="Compact"/>
      </w:pPr>
      <w:r>
        <w:t xml:space="preserve">Sessions from IP addresses outside India, or spoofed ones, are blocked.</w:t>
      </w:r>
    </w:p>
    <w:p>
      <w:pPr>
        <w:numPr>
          <w:ilvl w:val="1"/>
          <w:numId w:val="1367"/>
        </w:numPr>
        <w:pStyle w:val="Compact"/>
      </w:pPr>
      <w:r>
        <w:t xml:space="preserve">Video carries a geo-tag and a timestamp.</w:t>
      </w:r>
    </w:p>
    <w:p>
      <w:pPr>
        <w:numPr>
          <w:ilvl w:val="1"/>
          <w:numId w:val="1367"/>
        </w:numPr>
        <w:pStyle w:val="Compact"/>
      </w:pPr>
      <w:r>
        <w:t xml:space="preserve">Liveness and face match are used (gestures not mandatory).</w:t>
      </w:r>
    </w:p>
    <w:p>
      <w:pPr>
        <w:numPr>
          <w:ilvl w:val="1"/>
          <w:numId w:val="1367"/>
        </w:numPr>
        <w:pStyle w:val="Compact"/>
      </w:pPr>
      <w:r>
        <w:t xml:space="preserve">VAPT and a security audit by CERT-In-empanelled auditors before go-live and periodically.</w:t>
      </w:r>
    </w:p>
    <w:p>
      <w:pPr>
        <w:numPr>
          <w:ilvl w:val="1"/>
          <w:numId w:val="1367"/>
        </w:numPr>
        <w:pStyle w:val="Compact"/>
      </w:pPr>
      <w:r>
        <w:t xml:space="preserve">Session rules:</w:t>
      </w:r>
    </w:p>
    <w:p>
      <w:pPr>
        <w:numPr>
          <w:ilvl w:val="2"/>
          <w:numId w:val="1368"/>
        </w:numPr>
        <w:pStyle w:val="Compact"/>
      </w:pPr>
      <w:r>
        <w:t xml:space="preserve">a dropped call means a fresh session;</w:t>
      </w:r>
    </w:p>
    <w:p>
      <w:pPr>
        <w:numPr>
          <w:ilvl w:val="2"/>
          <w:numId w:val="1368"/>
        </w:numPr>
        <w:pStyle w:val="Compact"/>
      </w:pPr>
      <w:r>
        <w:t xml:space="preserve">the question sequence varies;</w:t>
      </w:r>
    </w:p>
    <w:p>
      <w:pPr>
        <w:numPr>
          <w:ilvl w:val="2"/>
          <w:numId w:val="1368"/>
        </w:numPr>
        <w:pStyle w:val="Compact"/>
      </w:pPr>
      <w:r>
        <w:t xml:space="preserve">the session is rejected if the customer is being prompted;</w:t>
      </w:r>
    </w:p>
    <w:p>
      <w:pPr>
        <w:numPr>
          <w:ilvl w:val="2"/>
          <w:numId w:val="1368"/>
        </w:numPr>
        <w:pStyle w:val="Compact"/>
      </w:pPr>
      <w:r>
        <w:t xml:space="preserve">Aadhaar XML/QR is no more than</w:t>
      </w:r>
      <w:r>
        <w:t xml:space="preserve"> </w:t>
      </w:r>
      <w:r>
        <w:rPr>
          <w:bCs/>
          <w:b/>
        </w:rPr>
        <w:t xml:space="preserve">3 working days</w:t>
      </w:r>
      <w:r>
        <w:t xml:space="preserve"> </w:t>
      </w:r>
      <w:r>
        <w:t xml:space="preserve">old, and the video is done within 3 working days of obtaining the ID data;</w:t>
      </w:r>
    </w:p>
    <w:p>
      <w:pPr>
        <w:numPr>
          <w:ilvl w:val="2"/>
          <w:numId w:val="1368"/>
        </w:numPr>
        <w:pStyle w:val="Compact"/>
      </w:pPr>
      <w:r>
        <w:t xml:space="preserve">a PAN image is captured unless e-PAN is given;</w:t>
      </w:r>
    </w:p>
    <w:p>
      <w:pPr>
        <w:numPr>
          <w:ilvl w:val="2"/>
          <w:numId w:val="1368"/>
        </w:numPr>
        <w:pStyle w:val="Compact"/>
      </w:pPr>
      <w:r>
        <w:t xml:space="preserve">printed e-documents are invalid;</w:t>
      </w:r>
    </w:p>
    <w:p>
      <w:pPr>
        <w:numPr>
          <w:ilvl w:val="2"/>
          <w:numId w:val="1368"/>
        </w:numPr>
        <w:pStyle w:val="Compact"/>
      </w:pPr>
      <w:r>
        <w:t xml:space="preserve">the account is operational only after concurrent audit;</w:t>
      </w:r>
    </w:p>
    <w:p>
      <w:pPr>
        <w:numPr>
          <w:ilvl w:val="2"/>
          <w:numId w:val="1368"/>
        </w:numPr>
        <w:pStyle w:val="Compact"/>
      </w:pPr>
      <w:r>
        <w:t xml:space="preserve">records are kept in India, with an activity log of the official’s credentials.</w:t>
      </w:r>
    </w:p>
    <w:p>
      <w:pPr>
        <w:numPr>
          <w:ilvl w:val="1"/>
          <w:numId w:val="1367"/>
        </w:numPr>
        <w:pStyle w:val="Compact"/>
      </w:pPr>
      <w:r>
        <w:t xml:space="preserve">Customer consent is recorded</w:t>
      </w:r>
      <w:r>
        <w:t xml:space="preserve"> </w:t>
      </w:r>
      <w:r>
        <w:t xml:space="preserve">“</w:t>
      </w:r>
      <w:r>
        <w:t xml:space="preserve">in an auditable and alteration-proof manner</w:t>
      </w:r>
      <w:r>
        <w:t xml:space="preserve">”</w:t>
      </w:r>
      <w:r>
        <w:t xml:space="preserve"> </w:t>
      </w:r>
      <w:r>
        <w:t xml:space="preserve">(para 27(1)(ii)). The V-CIP application and its APIs pass functional, performance and maintenance testing before live use, and periodically, with critical gaps closed first (para 27(1)(ix)). Any detected forged-identity case is reported by the RE as a cyber event (para 27(1)(vii)).</w:t>
      </w:r>
    </w:p>
    <w:p>
      <w:pPr>
        <w:numPr>
          <w:ilvl w:val="1"/>
          <w:numId w:val="1367"/>
        </w:numPr>
        <w:pStyle w:val="Compact"/>
      </w:pPr>
      <w:r>
        <w:rPr>
          <w:iCs/>
          <w:i/>
        </w:rPr>
        <w:t xml:space="preserve">Build:</w:t>
      </w:r>
      <w:r>
        <w:t xml:space="preserve"> </w:t>
      </w:r>
      <w:r>
        <w:t xml:space="preserve">U5 V-CIP is delivered as the RE’s application. Recordings are streamed to RE-designated storage, with no Udofin copy and evidence of deletion. Geo-IP blocking and the 3-working-day validators run in U24 [decision: buy a V-CIP product contracted by the RE rather than build].</w:t>
      </w:r>
    </w:p>
    <w:p>
      <w:pPr>
        <w:numPr>
          <w:ilvl w:val="0"/>
          <w:numId w:val="1354"/>
        </w:numPr>
        <w:pStyle w:val="Compact"/>
      </w:pPr>
      <w:r>
        <w:rPr>
          <w:rStyle w:val="VerbatimChar"/>
        </w:rPr>
        <w:t xml:space="preserve">REQ-KYC-44</w:t>
      </w:r>
      <w:r>
        <w:t xml:space="preserve"> </w:t>
      </w:r>
      <w:r>
        <w:rPr>
          <w:bCs/>
          <w:b/>
        </w:rPr>
        <w:t xml:space="preserve">[RE]</w:t>
      </w:r>
      <w:r>
        <w:t xml:space="preserve"> </w:t>
      </w:r>
      <w:r>
        <w:t xml:space="preserve">Non-face-to-face onboarding by CKYCR, DigiLocker or e-documents (outside para 25) requires: V-CIP offered</w:t>
      </w:r>
      <w:r>
        <w:t xml:space="preserve"> </w:t>
      </w:r>
      <w:r>
        <w:rPr>
          <w:bCs/>
          <w:b/>
        </w:rPr>
        <w:t xml:space="preserve">first</w:t>
      </w:r>
      <w:r>
        <w:t xml:space="preserve"> </w:t>
      </w:r>
      <w:r>
        <w:t xml:space="preserve">where the RE has it; no alternate mobile linked after CDD, with transactions only from the onboarding mobile; positive confirmation of the current address before the account operates; PAN verified; the first transaction to be a credit from the customer’s own KYC-compliant bank account; high-risk categorisation until F2F or V-CIP verification.</w:t>
      </w:r>
    </w:p>
    <w:p>
      <w:pPr>
        <w:numPr>
          <w:ilvl w:val="1"/>
          <w:numId w:val="1369"/>
        </w:numPr>
        <w:pStyle w:val="Compact"/>
      </w:pPr>
      <w:r>
        <w:rPr>
          <w:iCs/>
          <w:i/>
        </w:rPr>
        <w:t xml:space="preserve">Build:</w:t>
      </w:r>
      <w:r>
        <w:t xml:space="preserve"> </w:t>
      </w:r>
      <w:r>
        <w:t xml:space="preserve">U5 journey ordering puts V-CIP first. U3 locks the registered mobile. U10 shows the RE’s address-confirmation status as a pending step before the RE disburses [VERIFY: how each RE applies para 44(5) to a loan account, whose first transaction is a disbursement].</w:t>
      </w:r>
    </w:p>
    <w:p>
      <w:pPr>
        <w:numPr>
          <w:ilvl w:val="0"/>
          <w:numId w:val="1354"/>
        </w:numPr>
        <w:pStyle w:val="Compact"/>
      </w:pPr>
      <w:r>
        <w:rPr>
          <w:rStyle w:val="VerbatimChar"/>
        </w:rPr>
        <w:t xml:space="preserve">REQ-KYC-47</w:t>
      </w:r>
      <w:r>
        <w:t xml:space="preserve"> </w:t>
      </w:r>
      <w:r>
        <w:rPr>
          <w:bCs/>
          <w:b/>
        </w:rPr>
        <w:t xml:space="preserve">[RE]</w:t>
      </w:r>
      <w:r>
        <w:t xml:space="preserve"> </w:t>
      </w:r>
      <w:r>
        <w:t xml:space="preserve">Transaction records are kept for at least 5 years from the transaction. Identification records are kept for at least 5 years after the relationship ends.</w:t>
      </w:r>
    </w:p>
    <w:p>
      <w:pPr>
        <w:numPr>
          <w:ilvl w:val="1"/>
          <w:numId w:val="1370"/>
        </w:numPr>
        <w:pStyle w:val="Compact"/>
      </w:pPr>
      <w:r>
        <w:rPr>
          <w:iCs/>
          <w:i/>
        </w:rPr>
        <w:t xml:space="preserve">Build:</w:t>
      </w:r>
      <w:r>
        <w:t xml:space="preserve"> </w:t>
      </w:r>
      <w:r>
        <w:t xml:space="preserve">the RE holds these records. U4 retention defers to the RE’s instruction and to CF para 14(1).</w:t>
      </w:r>
    </w:p>
    <w:p>
      <w:pPr>
        <w:numPr>
          <w:ilvl w:val="0"/>
          <w:numId w:val="1354"/>
        </w:numPr>
        <w:pStyle w:val="Compact"/>
      </w:pPr>
      <w:r>
        <w:rPr>
          <w:rStyle w:val="VerbatimChar"/>
        </w:rPr>
        <w:t xml:space="preserve">REQ-KYC-54</w:t>
      </w:r>
      <w:r>
        <w:t xml:space="preserve"> </w:t>
      </w:r>
      <w:r>
        <w:rPr>
          <w:rStyle w:val="VerbatimChar"/>
        </w:rPr>
        <w:t xml:space="preserve">REQ-KYC-55</w:t>
      </w:r>
      <w:r>
        <w:t xml:space="preserve"> </w:t>
      </w:r>
      <w:r>
        <w:rPr>
          <w:rStyle w:val="VerbatimChar"/>
        </w:rPr>
        <w:t xml:space="preserve">REQ-KYC-56</w:t>
      </w:r>
      <w:r>
        <w:t xml:space="preserve"> </w:t>
      </w:r>
      <w:r>
        <w:rPr>
          <w:rStyle w:val="VerbatimChar"/>
        </w:rPr>
        <w:t xml:space="preserve">REQ-KYC-57</w:t>
      </w:r>
      <w:r>
        <w:t xml:space="preserve"> </w:t>
      </w:r>
      <w:r>
        <w:rPr>
          <w:bCs/>
          <w:b/>
        </w:rPr>
        <w:t xml:space="preserve">[RE]</w:t>
      </w:r>
      <w:r>
        <w:t xml:space="preserve"> </w:t>
      </w:r>
      <w:r>
        <w:t xml:space="preserve">Sanctions screening against the UNSC, UAPA and DPRK lists, with daily verification (paras 54(2), 56), and against the WMD list at onboarding and periodically (para 55(3)).</w:t>
      </w:r>
    </w:p>
    <w:p>
      <w:pPr>
        <w:numPr>
          <w:ilvl w:val="1"/>
          <w:numId w:val="1371"/>
        </w:numPr>
        <w:pStyle w:val="Compact"/>
      </w:pPr>
      <w:r>
        <w:rPr>
          <w:iCs/>
          <w:i/>
        </w:rPr>
        <w:t xml:space="preserve">Build:</w:t>
      </w:r>
      <w:r>
        <w:t xml:space="preserve"> </w:t>
      </w:r>
      <w:r>
        <w:t xml:space="preserve">Udofin may run a pre-screen as a fraud signal (U24), but the binding screen and any freeze or report are the RE’s.</w:t>
      </w:r>
    </w:p>
    <w:p>
      <w:pPr>
        <w:numPr>
          <w:ilvl w:val="0"/>
          <w:numId w:val="1354"/>
        </w:numPr>
        <w:pStyle w:val="Compact"/>
      </w:pPr>
      <w:r>
        <w:rPr>
          <w:rStyle w:val="VerbatimChar"/>
        </w:rPr>
        <w:t xml:space="preserve">REQ-KYC-61</w:t>
      </w:r>
      <w:r>
        <w:t xml:space="preserve"> </w:t>
      </w:r>
      <w:r>
        <w:rPr>
          <w:bCs/>
          <w:b/>
        </w:rPr>
        <w:t xml:space="preserve">[RE→UDOFIN contract]</w:t>
      </w:r>
      <w:r>
        <w:t xml:space="preserve"> </w:t>
      </w:r>
      <w:r>
        <w:t xml:space="preserve">Account-opening information is not used</w:t>
      </w:r>
      <w:r>
        <w:t xml:space="preserve"> </w:t>
      </w:r>
      <w:r>
        <w:t xml:space="preserve">“</w:t>
      </w:r>
      <w:r>
        <w:t xml:space="preserve">for the purpose of cross-selling, or for any other purpose without the express permission of the customer</w:t>
      </w:r>
      <w:r>
        <w:t xml:space="preserve">”</w:t>
      </w:r>
      <w:r>
        <w:t xml:space="preserve">.</w:t>
      </w:r>
    </w:p>
    <w:p>
      <w:pPr>
        <w:numPr>
          <w:ilvl w:val="1"/>
          <w:numId w:val="1372"/>
        </w:numPr>
        <w:pStyle w:val="Compact"/>
      </w:pPr>
      <w:r>
        <w:rPr>
          <w:iCs/>
          <w:i/>
        </w:rPr>
        <w:t xml:space="preserve">Build:</w:t>
      </w:r>
      <w:r>
        <w:t xml:space="preserve"> </w:t>
      </w:r>
      <w:r>
        <w:t xml:space="preserve">U16 marketing audiences exclude KYC-derived attributes unless a separate express-permission consent exists in U4.</w:t>
      </w:r>
    </w:p>
    <w:p>
      <w:pPr>
        <w:numPr>
          <w:ilvl w:val="0"/>
          <w:numId w:val="1354"/>
        </w:numPr>
        <w:pStyle w:val="Compact"/>
      </w:pPr>
      <w:r>
        <w:rPr>
          <w:rStyle w:val="VerbatimChar"/>
        </w:rPr>
        <w:t xml:space="preserve">REQ-KYC-63</w:t>
      </w:r>
      <w:r>
        <w:t xml:space="preserve"> </w:t>
      </w:r>
      <w:r>
        <w:rPr>
          <w:bCs/>
          <w:b/>
        </w:rPr>
        <w:t xml:space="preserve">[RE]</w:t>
      </w:r>
      <w:r>
        <w:t xml:space="preserve"> </w:t>
      </w:r>
      <w:r>
        <w:t xml:space="preserve">CKYCR rules:</w:t>
      </w:r>
    </w:p>
    <w:p>
      <w:pPr>
        <w:numPr>
          <w:ilvl w:val="1"/>
          <w:numId w:val="1373"/>
        </w:numPr>
        <w:pStyle w:val="Compact"/>
      </w:pPr>
      <w:r>
        <w:t xml:space="preserve">upload within</w:t>
      </w:r>
      <w:r>
        <w:t xml:space="preserve"> </w:t>
      </w:r>
      <w:r>
        <w:rPr>
          <w:bCs/>
          <w:b/>
        </w:rPr>
        <w:t xml:space="preserve">10 days</w:t>
      </w:r>
      <w:r>
        <w:t xml:space="preserve"> </w:t>
      </w:r>
      <w:r>
        <w:t xml:space="preserve">of the relationship starting (para 63(1));</w:t>
      </w:r>
    </w:p>
    <w:p>
      <w:pPr>
        <w:numPr>
          <w:ilvl w:val="1"/>
          <w:numId w:val="1373"/>
        </w:numPr>
        <w:pStyle w:val="Compact"/>
      </w:pPr>
      <w:r>
        <w:t xml:space="preserve">send updates within</w:t>
      </w:r>
      <w:r>
        <w:t xml:space="preserve"> </w:t>
      </w:r>
      <w:r>
        <w:rPr>
          <w:bCs/>
          <w:b/>
        </w:rPr>
        <w:t xml:space="preserve">7 days</w:t>
      </w:r>
      <w:r>
        <w:t xml:space="preserve"> </w:t>
      </w:r>
      <w:r>
        <w:t xml:space="preserve">(para 63(7));</w:t>
      </w:r>
    </w:p>
    <w:p>
      <w:pPr>
        <w:numPr>
          <w:ilvl w:val="1"/>
          <w:numId w:val="1373"/>
        </w:numPr>
        <w:pStyle w:val="Compact"/>
      </w:pPr>
      <w:r>
        <w:t xml:space="preserve">communicate the KYC Identifier to the customer (para 63(6));</w:t>
      </w:r>
    </w:p>
    <w:p>
      <w:pPr>
        <w:numPr>
          <w:ilvl w:val="1"/>
          <w:numId w:val="1373"/>
        </w:numPr>
        <w:pStyle w:val="Compact"/>
      </w:pPr>
      <w:r>
        <w:t xml:space="preserve">seek the Identifier first and do not ask for documents again except on the para 63(9) grounds;</w:t>
      </w:r>
    </w:p>
    <w:p>
      <w:pPr>
        <w:numPr>
          <w:ilvl w:val="1"/>
          <w:numId w:val="1373"/>
        </w:numPr>
        <w:pStyle w:val="Compact"/>
      </w:pPr>
      <w:r>
        <w:t xml:space="preserve">per the 29 Dec 2025 Explanation, the RE that last uploaded the record is responsible for identity and address verification.</w:t>
      </w:r>
    </w:p>
    <w:p>
      <w:pPr>
        <w:numPr>
          <w:ilvl w:val="1"/>
          <w:numId w:val="1373"/>
        </w:numPr>
        <w:pStyle w:val="Compact"/>
      </w:pPr>
      <w:r>
        <w:rPr>
          <w:iCs/>
          <w:i/>
        </w:rPr>
        <w:t xml:space="preserve">Build:</w:t>
      </w:r>
      <w:r>
        <w:t xml:space="preserve"> </w:t>
      </w:r>
      <w:r>
        <w:t xml:space="preserve">U5 asks for the KYC Identifier first and stores download consent. U25 shows the Identifier when the RE returns it.</w:t>
      </w:r>
    </w:p>
    <w:p>
      <w:pPr>
        <w:numPr>
          <w:ilvl w:val="1"/>
          <w:numId w:val="1373"/>
        </w:numPr>
        <w:pStyle w:val="Compact"/>
      </w:pPr>
      <w:r>
        <w:t xml:space="preserve">Paras 23 proviso (v) and 27(2)(vi)(c) cite</w:t>
      </w:r>
      <w:r>
        <w:t xml:space="preserve"> </w:t>
      </w:r>
      <w:r>
        <w:t xml:space="preserve">“</w:t>
      </w:r>
      <w:r>
        <w:t xml:space="preserve">paragraph 62</w:t>
      </w:r>
      <w:r>
        <w:t xml:space="preserve">”</w:t>
      </w:r>
      <w:r>
        <w:t xml:space="preserve"> </w:t>
      </w:r>
      <w:r>
        <w:t xml:space="preserve">for CKYCR retrieval, but CKYCR is para 63 (drafting slip; see Appendix F).</w:t>
      </w:r>
    </w:p>
    <w:p>
      <w:pPr>
        <w:numPr>
          <w:ilvl w:val="0"/>
          <w:numId w:val="1354"/>
        </w:numPr>
        <w:pStyle w:val="Compact"/>
      </w:pPr>
      <w:r>
        <w:rPr>
          <w:rStyle w:val="VerbatimChar"/>
        </w:rPr>
        <w:t xml:space="preserve">REQ-KYC-68</w:t>
      </w:r>
      <w:r>
        <w:t xml:space="preserve"> </w:t>
      </w:r>
      <w:r>
        <w:rPr>
          <w:bCs/>
          <w:b/>
        </w:rPr>
        <w:t xml:space="preserve">[RE]</w:t>
      </w:r>
      <w:r>
        <w:t xml:space="preserve"> </w:t>
      </w:r>
      <w:r>
        <w:t xml:space="preserve">An ML/TF risk assessment is done before launching new products, delivery channels or technologies.</w:t>
      </w:r>
    </w:p>
    <w:p>
      <w:pPr>
        <w:numPr>
          <w:ilvl w:val="1"/>
          <w:numId w:val="1374"/>
        </w:numPr>
        <w:pStyle w:val="Compact"/>
      </w:pPr>
      <w:r>
        <w:rPr>
          <w:iCs/>
          <w:i/>
        </w:rPr>
        <w:t xml:space="preserve">Build:</w:t>
      </w:r>
      <w:r>
        <w:t xml:space="preserve"> </w:t>
      </w:r>
      <w:r>
        <w:t xml:space="preserve">U18 issues a</w:t>
      </w:r>
      <w:r>
        <w:t xml:space="preserve"> </w:t>
      </w:r>
      <w:r>
        <w:t xml:space="preserve">“</w:t>
      </w:r>
      <w:r>
        <w:t xml:space="preserve">channel risk pack</w:t>
      </w:r>
      <w:r>
        <w:t xml:space="preserve">”</w:t>
      </w:r>
      <w:r>
        <w:t xml:space="preserve"> </w:t>
      </w:r>
      <w:r>
        <w:t xml:space="preserve">to each RE before every new DLA, platform or KYC method goes live.</w:t>
      </w:r>
    </w:p>
    <w:p>
      <w:pPr>
        <w:numPr>
          <w:ilvl w:val="0"/>
          <w:numId w:val="1354"/>
        </w:numPr>
        <w:pStyle w:val="Compact"/>
      </w:pPr>
      <w:r>
        <w:rPr>
          <w:rStyle w:val="VerbatimChar"/>
        </w:rPr>
        <w:t xml:space="preserve">REQ-KYC-72</w:t>
      </w:r>
      <w:r>
        <w:t xml:space="preserve"> </w:t>
      </w:r>
      <w:r>
        <w:rPr>
          <w:bCs/>
          <w:b/>
        </w:rPr>
        <w:t xml:space="preserve">[RE→UDOFIN contract]</w:t>
      </w:r>
      <w:r>
        <w:t xml:space="preserve"> </w:t>
      </w:r>
      <w:r>
        <w:t xml:space="preserve">Know-your-employee screening and KYC/AML training apply to staff deployed on KYC.</w:t>
      </w:r>
    </w:p>
    <w:p>
      <w:pPr>
        <w:numPr>
          <w:ilvl w:val="1"/>
          <w:numId w:val="1375"/>
        </w:numPr>
        <w:pStyle w:val="Compact"/>
      </w:pPr>
      <w:r>
        <w:rPr>
          <w:iCs/>
          <w:i/>
        </w:rPr>
        <w:t xml:space="preserve">Build:</w:t>
      </w:r>
      <w:r>
        <w:t xml:space="preserve"> </w:t>
      </w:r>
      <w:r>
        <w:t xml:space="preserve">U22 field-user onboarding records screening and training evidence for RE review.</w:t>
      </w:r>
    </w:p>
    <w:p>
      <w:r>
        <w:pict>
          <v:rect style="width:0;height:1.5pt" o:hralign="center" o:hrstd="t" o:hr="t"/>
        </w:pict>
      </w:r>
    </w:p>
    <w:bookmarkEnd w:id="447"/>
    <w:bookmarkEnd w:id="448"/>
    <w:bookmarkStart w:id="451" w:name="a.4-aa-account-aggregator-directions-368"/>
    <w:p>
      <w:pPr>
        <w:pStyle w:val="Heading2"/>
      </w:pPr>
      <w:r>
        <w:t xml:space="preserve">8A.4 AA — Account Aggregator Directions (368)</w:t>
      </w:r>
    </w:p>
    <w:p>
      <w:pPr>
        <w:pStyle w:val="FirstParagraph"/>
      </w:pPr>
      <w:r>
        <w:rPr>
          <w:bCs/>
          <w:b/>
        </w:rPr>
        <w:t xml:space="preserve">Source:</w:t>
      </w:r>
      <w:r>
        <w:t xml:space="preserve"> </w:t>
      </w:r>
      <w:r>
        <w:t xml:space="preserve">RBI/DoR/2025-26/368; DoR.FIN.REC.No.287/03-10-123/2025-26; 28 Nov 2025.</w:t>
      </w:r>
    </w:p>
    <w:bookmarkStart w:id="449" w:name="applicability-to-udofin-3"/>
    <w:p>
      <w:pPr>
        <w:pStyle w:val="Heading3"/>
      </w:pPr>
      <w:r>
        <w:t xml:space="preserve">Applicability to Udofin</w:t>
      </w:r>
    </w:p>
    <w:p>
      <w:pPr>
        <w:numPr>
          <w:ilvl w:val="0"/>
          <w:numId w:val="1376"/>
        </w:numPr>
        <w:pStyle w:val="Compact"/>
      </w:pPr>
      <w:r>
        <w:rPr>
          <w:bCs/>
          <w:b/>
        </w:rPr>
        <w:t xml:space="preserve">Not directly.</w:t>
      </w:r>
      <w:r>
        <w:t xml:space="preserve"> </w:t>
      </w:r>
      <w:r>
        <w:t xml:space="preserve">The Directions regulate NBFC-AAs and set FIP/FIU duties.</w:t>
      </w:r>
    </w:p>
    <w:p>
      <w:pPr>
        <w:numPr>
          <w:ilvl w:val="0"/>
          <w:numId w:val="1376"/>
        </w:numPr>
        <w:pStyle w:val="Compact"/>
      </w:pPr>
      <w:r>
        <w:rPr>
          <w:bCs/>
          <w:b/>
        </w:rPr>
        <w:t xml:space="preserve">Udofin cannot be an FIU.</w:t>
      </w:r>
      <w:r>
        <w:t xml:space="preserve"> </w:t>
      </w:r>
      <w:r>
        <w:t xml:space="preserve">A Financial Information User is</w:t>
      </w:r>
      <w:r>
        <w:t xml:space="preserve"> </w:t>
      </w:r>
      <w:r>
        <w:t xml:space="preserve">“</w:t>
      </w:r>
      <w:r>
        <w:t xml:space="preserve">an entity registered with and regulated by any financial sector regulator</w:t>
      </w:r>
      <w:r>
        <w:t xml:space="preserve">”</w:t>
      </w:r>
      <w:r>
        <w:t xml:space="preserve"> </w:t>
      </w:r>
      <w:r>
        <w:t xml:space="preserve">(para 8(12)), and Udofin is not.</w:t>
      </w:r>
    </w:p>
    <w:p>
      <w:pPr>
        <w:numPr>
          <w:ilvl w:val="0"/>
          <w:numId w:val="1376"/>
        </w:numPr>
        <w:pStyle w:val="Compact"/>
      </w:pPr>
      <w:r>
        <w:rPr>
          <w:bCs/>
          <w:b/>
        </w:rPr>
        <w:t xml:space="preserve">Udofin cannot be an AA.</w:t>
      </w:r>
      <w:r>
        <w:t xml:space="preserve"> </w:t>
      </w:r>
      <w:r>
        <w:t xml:space="preserve">An AA needs a CoR, may do no other business (para 14(6)), and may not use third-party service providers for aggregation (para 14(8)).</w:t>
      </w:r>
    </w:p>
    <w:p>
      <w:pPr>
        <w:numPr>
          <w:ilvl w:val="0"/>
          <w:numId w:val="1376"/>
        </w:numPr>
        <w:pStyle w:val="Compact"/>
      </w:pPr>
      <w:r>
        <w:rPr>
          <w:bCs/>
          <w:b/>
        </w:rPr>
        <w:t xml:space="preserve">Udofin’s permitted role.</w:t>
      </w:r>
      <w:r>
        <w:t xml:space="preserve"> </w:t>
      </w:r>
      <w:r>
        <w:t xml:space="preserve">Udofin is a technology service provider to the RE as FIU. It embeds the AA consent journey in the DLA, and data flows to the RE under the RE’s FIU identity [VERIFY: Sahamati/ReBIT technology-service-provider onboarding model; not in the supplied text].</w:t>
      </w:r>
    </w:p>
    <w:bookmarkEnd w:id="449"/>
    <w:bookmarkStart w:id="450" w:name="requirements-2"/>
    <w:p>
      <w:pPr>
        <w:pStyle w:val="Heading3"/>
      </w:pPr>
      <w:r>
        <w:t xml:space="preserve">Requirements</w:t>
      </w:r>
    </w:p>
    <w:p>
      <w:pPr>
        <w:numPr>
          <w:ilvl w:val="0"/>
          <w:numId w:val="1377"/>
        </w:numPr>
        <w:pStyle w:val="Compact"/>
      </w:pPr>
      <w:r>
        <w:rPr>
          <w:rStyle w:val="VerbatimChar"/>
        </w:rPr>
        <w:t xml:space="preserve">REQ-AA-8(9)</w:t>
      </w:r>
      <w:r>
        <w:t xml:space="preserve"> </w:t>
      </w:r>
      <w:r>
        <w:rPr>
          <w:bCs/>
          <w:b/>
        </w:rPr>
        <w:t xml:space="preserve">[RE]</w:t>
      </w:r>
      <w:r>
        <w:t xml:space="preserve"> </w:t>
      </w:r>
      <w:r>
        <w:t xml:space="preserve">Financial information covered: bank deposits and NBFC deposits; securities, MF, ETF and other market instruments; insurance and NPS; InvIT and REIT units.</w:t>
      </w:r>
    </w:p>
    <w:p>
      <w:pPr>
        <w:numPr>
          <w:ilvl w:val="1"/>
          <w:numId w:val="1378"/>
        </w:numPr>
        <w:pStyle w:val="Compact"/>
      </w:pPr>
      <w:r>
        <w:t xml:space="preserve">GSTR-1 and GSTR-3B.</w:t>
      </w:r>
    </w:p>
    <w:p>
      <w:pPr>
        <w:numPr>
          <w:ilvl w:val="1"/>
          <w:numId w:val="1378"/>
        </w:numPr>
        <w:pStyle w:val="Compact"/>
      </w:pPr>
      <w:r>
        <w:t xml:space="preserve">Loan accounts are not listed.</w:t>
      </w:r>
    </w:p>
    <w:p>
      <w:pPr>
        <w:numPr>
          <w:ilvl w:val="1"/>
          <w:numId w:val="1378"/>
        </w:numPr>
        <w:pStyle w:val="Compact"/>
      </w:pPr>
      <w:r>
        <w:rPr>
          <w:iCs/>
          <w:i/>
        </w:rPr>
        <w:t xml:space="preserve">Build:</w:t>
      </w:r>
      <w:r>
        <w:t xml:space="preserve"> </w:t>
      </w:r>
      <w:r>
        <w:t xml:space="preserve">U6 uses AA for bank-statement income and affordability, U2 and U6 for LAS holdings, and GST returns for self-employed borrowers where the RE asks for them. Existing loan obligations come from the RE’s bureau pull, not AA.</w:t>
      </w:r>
    </w:p>
    <w:p>
      <w:pPr>
        <w:numPr>
          <w:ilvl w:val="0"/>
          <w:numId w:val="1377"/>
        </w:numPr>
        <w:pStyle w:val="Compact"/>
      </w:pPr>
      <w:r>
        <w:rPr>
          <w:rStyle w:val="VerbatimChar"/>
        </w:rPr>
        <w:t xml:space="preserve">REQ-AA-8(12)</w:t>
      </w:r>
      <w:r>
        <w:t xml:space="preserve"> </w:t>
      </w:r>
      <w:r>
        <w:rPr>
          <w:rStyle w:val="VerbatimChar"/>
        </w:rPr>
        <w:t xml:space="preserve">REQ-AA-17(4)</w:t>
      </w:r>
      <w:r>
        <w:t xml:space="preserve"> </w:t>
      </w:r>
      <w:r>
        <w:rPr>
          <w:bCs/>
          <w:b/>
        </w:rPr>
        <w:t xml:space="preserve">[RE]</w:t>
      </w:r>
      <w:r>
        <w:t xml:space="preserve"> </w:t>
      </w:r>
      <w:r>
        <w:t xml:space="preserve">The RE is the FIU and the named recipient in the consent artefact.</w:t>
      </w:r>
    </w:p>
    <w:p>
      <w:pPr>
        <w:numPr>
          <w:ilvl w:val="1"/>
          <w:numId w:val="1379"/>
        </w:numPr>
        <w:pStyle w:val="Compact"/>
      </w:pPr>
      <w:r>
        <w:rPr>
          <w:iCs/>
          <w:i/>
        </w:rPr>
        <w:t xml:space="preserve">Build:</w:t>
      </w:r>
      <w:r>
        <w:t xml:space="preserve"> </w:t>
      </w:r>
      <w:r>
        <w:t xml:space="preserve">U21 AA connector configured per RE with the RE’s FIU ID. There is no Udofin FIU registration.</w:t>
      </w:r>
    </w:p>
    <w:p>
      <w:pPr>
        <w:numPr>
          <w:ilvl w:val="0"/>
          <w:numId w:val="1377"/>
        </w:numPr>
        <w:pStyle w:val="Compact"/>
      </w:pPr>
      <w:r>
        <w:rPr>
          <w:rStyle w:val="VerbatimChar"/>
        </w:rPr>
        <w:t xml:space="preserve">REQ-AA-17</w:t>
      </w:r>
      <w:r>
        <w:t xml:space="preserve"> </w:t>
      </w:r>
      <w:r>
        <w:rPr>
          <w:rStyle w:val="VerbatimChar"/>
        </w:rPr>
        <w:t xml:space="preserve">REQ-AA-19</w:t>
      </w:r>
      <w:r>
        <w:t xml:space="preserve"> </w:t>
      </w:r>
      <w:r>
        <w:rPr>
          <w:rStyle w:val="VerbatimChar"/>
        </w:rPr>
        <w:t xml:space="preserve">REQ-AA-20</w:t>
      </w:r>
      <w:r>
        <w:t xml:space="preserve"> </w:t>
      </w:r>
      <w:r>
        <w:rPr>
          <w:rStyle w:val="VerbatimChar"/>
        </w:rPr>
        <w:t xml:space="preserve">REQ-AA-21</w:t>
      </w:r>
      <w:r>
        <w:t xml:space="preserve"> </w:t>
      </w:r>
      <w:r>
        <w:rPr>
          <w:bCs/>
          <w:b/>
        </w:rPr>
        <w:t xml:space="preserve">[RE]</w:t>
      </w:r>
      <w:r>
        <w:t xml:space="preserve"> </w:t>
      </w:r>
      <w:r>
        <w:t xml:space="preserve">These are NBFC-AA obligations (the AA obtains and manages consent, para 16); the RE as FIU and Udofin as its technology provider rely on them and mirror them [interpretation]. The artefact carries: the customer’s identity; the nature of information; the purpose; the recipients; the notification URL; creation and expiry dates; the AA’s identity and signature.</w:t>
      </w:r>
    </w:p>
    <w:p>
      <w:pPr>
        <w:numPr>
          <w:ilvl w:val="1"/>
          <w:numId w:val="1380"/>
        </w:numPr>
        <w:pStyle w:val="Compact"/>
      </w:pPr>
      <w:r>
        <w:t xml:space="preserve">The customer may revoke consent, including in part. The artefact can be logged, audited and verified.</w:t>
      </w:r>
    </w:p>
    <w:p>
      <w:pPr>
        <w:numPr>
          <w:ilvl w:val="1"/>
          <w:numId w:val="1380"/>
        </w:numPr>
        <w:pStyle w:val="Compact"/>
      </w:pPr>
      <w:r>
        <w:rPr>
          <w:iCs/>
          <w:i/>
        </w:rPr>
        <w:t xml:space="preserve">Build:</w:t>
      </w:r>
      <w:r>
        <w:t xml:space="preserve"> </w:t>
      </w:r>
      <w:r>
        <w:t xml:space="preserve">U4 mirrors the artefact ID, purpose, data range, fetch type and expiry, and the status notifications (active, paused, revoked, expired). On revocation or expiry, U4 stops fetches and purges data held by Udofin.</w:t>
      </w:r>
    </w:p>
    <w:p>
      <w:pPr>
        <w:numPr>
          <w:ilvl w:val="0"/>
          <w:numId w:val="1377"/>
        </w:numPr>
        <w:pStyle w:val="Compact"/>
      </w:pPr>
      <w:r>
        <w:rPr>
          <w:rStyle w:val="VerbatimChar"/>
        </w:rPr>
        <w:t xml:space="preserve">REQ-AA-27</w:t>
      </w:r>
      <w:r>
        <w:t xml:space="preserve"> </w:t>
      </w:r>
      <w:r>
        <w:rPr>
          <w:bCs/>
          <w:b/>
        </w:rPr>
        <w:t xml:space="preserve">[RE]</w:t>
      </w:r>
      <w:r>
        <w:t xml:space="preserve"> </w:t>
      </w:r>
      <w:r>
        <w:t xml:space="preserve">The AA verifies the identity of the FIU and transfers the information only to the intended recipient named in the consent artefact (para 27).</w:t>
      </w:r>
    </w:p>
    <w:p>
      <w:pPr>
        <w:numPr>
          <w:ilvl w:val="1"/>
          <w:numId w:val="1381"/>
        </w:numPr>
        <w:pStyle w:val="Compact"/>
      </w:pPr>
      <w:r>
        <w:rPr>
          <w:iCs/>
          <w:i/>
        </w:rPr>
        <w:t xml:space="preserve">Build:</w:t>
      </w:r>
      <w:r>
        <w:t xml:space="preserve"> </w:t>
      </w:r>
      <w:r>
        <w:t xml:space="preserve">U21 receives AA data only at the RE’s registered FIU endpoint and keys. Where Udofin hosts that FIU module, it runs as the RE’s technology under the OUT contract, with RE-owned keys and no Udofin copy beyond CF para 14(1) [VERIFY: Sahamati/ReBIT technology-service-provider model].</w:t>
      </w:r>
    </w:p>
    <w:p>
      <w:pPr>
        <w:numPr>
          <w:ilvl w:val="0"/>
          <w:numId w:val="1377"/>
        </w:numPr>
        <w:pStyle w:val="Compact"/>
      </w:pPr>
      <w:r>
        <w:rPr>
          <w:rStyle w:val="VerbatimChar"/>
        </w:rPr>
        <w:t xml:space="preserve">REQ-AA-28</w:t>
      </w:r>
      <w:r>
        <w:t xml:space="preserve"> </w:t>
      </w:r>
      <w:r>
        <w:rPr>
          <w:bCs/>
          <w:b/>
        </w:rPr>
        <w:t xml:space="preserve">[RE]</w:t>
      </w:r>
      <w:r>
        <w:t xml:space="preserve"> </w:t>
      </w:r>
      <w:r>
        <w:t xml:space="preserve">Information is not</w:t>
      </w:r>
      <w:r>
        <w:t xml:space="preserve"> </w:t>
      </w:r>
      <w:r>
        <w:t xml:space="preserve">“</w:t>
      </w:r>
      <w:r>
        <w:t xml:space="preserve">used or disclosed by … the Financial Information User except as may be specified in the consent artefact</w:t>
      </w:r>
      <w:r>
        <w:t xml:space="preserve">”</w:t>
      </w:r>
      <w:r>
        <w:t xml:space="preserve">.</w:t>
      </w:r>
    </w:p>
    <w:p>
      <w:pPr>
        <w:numPr>
          <w:ilvl w:val="1"/>
          <w:numId w:val="1382"/>
        </w:numPr>
        <w:pStyle w:val="Compact"/>
      </w:pPr>
      <w:r>
        <w:rPr>
          <w:iCs/>
          <w:i/>
        </w:rPr>
        <w:t xml:space="preserve">Build:</w:t>
      </w:r>
      <w:r>
        <w:t xml:space="preserve"> </w:t>
      </w:r>
      <w:r>
        <w:t xml:space="preserve">U4 tags the purpose on all AA-derived data. U16 and U20 cannot read AA data. AA data is delivered to the RE and not kept beyond CF para 14(1).</w:t>
      </w:r>
    </w:p>
    <w:p>
      <w:pPr>
        <w:numPr>
          <w:ilvl w:val="0"/>
          <w:numId w:val="1377"/>
        </w:numPr>
        <w:pStyle w:val="Compact"/>
      </w:pPr>
      <w:r>
        <w:rPr>
          <w:rStyle w:val="VerbatimChar"/>
        </w:rPr>
        <w:t xml:space="preserve">REQ-AA-14(11)</w:t>
      </w:r>
      <w:r>
        <w:t xml:space="preserve"> </w:t>
      </w:r>
      <w:r>
        <w:rPr>
          <w:bCs/>
          <w:b/>
        </w:rPr>
        <w:t xml:space="preserve">[RE]</w:t>
      </w:r>
      <w:r>
        <w:t xml:space="preserve"> </w:t>
      </w:r>
      <w:r>
        <w:t xml:space="preserve">Where an AA statement and the FIP’s books differ, the FIP’s record prevails (an NBFC-AA duty that governs how the RE reads AA data). The disclaimer below is a Udofin recommendation, not a Udofin obligation.</w:t>
      </w:r>
    </w:p>
    <w:p>
      <w:pPr>
        <w:numPr>
          <w:ilvl w:val="1"/>
          <w:numId w:val="1383"/>
        </w:numPr>
        <w:pStyle w:val="Compact"/>
      </w:pPr>
      <w:r>
        <w:rPr>
          <w:iCs/>
          <w:i/>
        </w:rPr>
        <w:t xml:space="preserve">Build:</w:t>
      </w:r>
      <w:r>
        <w:t xml:space="preserve"> </w:t>
      </w:r>
      <w:r>
        <w:t xml:space="preserve">U6 and U25 show this disclaimer wherever AA-derived figures appear.</w:t>
      </w:r>
    </w:p>
    <w:p>
      <w:pPr>
        <w:numPr>
          <w:ilvl w:val="0"/>
          <w:numId w:val="1377"/>
        </w:numPr>
        <w:pStyle w:val="Compact"/>
      </w:pPr>
      <w:r>
        <w:rPr>
          <w:rStyle w:val="VerbatimChar"/>
        </w:rPr>
        <w:t xml:space="preserve">REQ-AA-29</w:t>
      </w:r>
      <w:r>
        <w:t xml:space="preserve"> </w:t>
      </w:r>
      <w:r>
        <w:rPr>
          <w:bCs/>
          <w:b/>
        </w:rPr>
        <w:t xml:space="preserve">[RE]</w:t>
      </w:r>
      <w:r>
        <w:t xml:space="preserve"> </w:t>
      </w:r>
      <w:r>
        <w:t xml:space="preserve">An RE that joins as FIU must also join as FIP if it holds specified information. This is the RE’s obligation and has no Udofin build.</w:t>
      </w:r>
    </w:p>
    <w:p>
      <w:pPr>
        <w:numPr>
          <w:ilvl w:val="0"/>
          <w:numId w:val="1377"/>
        </w:numPr>
        <w:pStyle w:val="Compact"/>
      </w:pPr>
      <w:r>
        <w:rPr>
          <w:rStyle w:val="VerbatimChar"/>
        </w:rPr>
        <w:t xml:space="preserve">REQ-AA-33</w:t>
      </w:r>
      <w:r>
        <w:t xml:space="preserve"> </w:t>
      </w:r>
      <w:r>
        <w:rPr>
          <w:bCs/>
          <w:b/>
        </w:rPr>
        <w:t xml:space="preserve">[RE→UDOFIN contract]</w:t>
      </w:r>
      <w:r>
        <w:t xml:space="preserve"> </w:t>
      </w:r>
      <w:r>
        <w:t xml:space="preserve">The ReBIT technical specifications are adopted.</w:t>
      </w:r>
    </w:p>
    <w:p>
      <w:pPr>
        <w:numPr>
          <w:ilvl w:val="1"/>
          <w:numId w:val="1384"/>
        </w:numPr>
        <w:pStyle w:val="Compact"/>
      </w:pPr>
      <w:r>
        <w:rPr>
          <w:iCs/>
          <w:i/>
        </w:rPr>
        <w:t xml:space="preserve">Build:</w:t>
      </w:r>
      <w:r>
        <w:t xml:space="preserve"> </w:t>
      </w:r>
      <w:r>
        <w:t xml:space="preserve">U21 AA adapter conforms to the current ReBIT API version [VERIFY: version in force].</w:t>
      </w:r>
    </w:p>
    <w:p>
      <w:pPr>
        <w:numPr>
          <w:ilvl w:val="0"/>
          <w:numId w:val="1377"/>
        </w:numPr>
        <w:pStyle w:val="Compact"/>
      </w:pPr>
      <w:r>
        <w:rPr>
          <w:bCs/>
          <w:b/>
        </w:rPr>
        <w:t xml:space="preserve">Credentials (interpretation).</w:t>
      </w:r>
      <w:r>
        <w:t xml:space="preserve"> </w:t>
      </w:r>
      <w:r>
        <w:t xml:space="preserve">Udofin never collects net-banking credentials or uses screen-scraping to fetch statements. This follows CF para 13(1) and the AA design principle in paras 14(9) and 30(2). Only AA or borrower-uploaded statements are allowed.</w:t>
      </w:r>
    </w:p>
    <w:p>
      <w:pPr>
        <w:numPr>
          <w:ilvl w:val="0"/>
          <w:numId w:val="1377"/>
        </w:numPr>
        <w:pStyle w:val="Compact"/>
      </w:pPr>
      <w:r>
        <w:rPr>
          <w:bCs/>
          <w:b/>
        </w:rPr>
        <w:t xml:space="preserve">Correction.</w:t>
      </w:r>
      <w:r>
        <w:t xml:space="preserve"> </w:t>
      </w:r>
      <w:r>
        <w:t xml:space="preserve">The original prompt’s</w:t>
      </w:r>
      <w:r>
        <w:t xml:space="preserve"> </w:t>
      </w:r>
      <w:r>
        <w:t xml:space="preserve">“</w:t>
      </w:r>
      <w:r>
        <w:t xml:space="preserve">books of accounts</w:t>
      </w:r>
      <w:r>
        <w:t xml:space="preserve">”</w:t>
      </w:r>
      <w:r>
        <w:t xml:space="preserve"> </w:t>
      </w:r>
      <w:r>
        <w:t xml:space="preserve">view of the borrower’s finances cannot be built on AA data received by an RE for a lending purpose (para 28). U25 must use servicing data from the U12 mirror and borrower-entered data, or a separate consent route that does not exist in the supplied texts [VERIFY].</w:t>
      </w:r>
    </w:p>
    <w:p>
      <w:r>
        <w:pict>
          <v:rect style="width:0;height:1.5pt" o:hralign="center" o:hrstd="t" o:hr="t"/>
        </w:pict>
      </w:r>
    </w:p>
    <w:bookmarkEnd w:id="450"/>
    <w:bookmarkEnd w:id="451"/>
    <w:bookmarkStart w:id="454" w:name="X2a34574ddeee7fc75008baa18d57f76b814e713"/>
    <w:p>
      <w:pPr>
        <w:pStyle w:val="Heading2"/>
      </w:pPr>
      <w:r>
        <w:t xml:space="preserve">8A.5 MFI — Microfinance Institution Directions (371)</w:t>
      </w:r>
    </w:p>
    <w:p>
      <w:pPr>
        <w:pStyle w:val="FirstParagraph"/>
      </w:pPr>
      <w:r>
        <w:rPr>
          <w:bCs/>
          <w:b/>
        </w:rPr>
        <w:t xml:space="preserve">Source:</w:t>
      </w:r>
      <w:r>
        <w:t xml:space="preserve"> </w:t>
      </w:r>
      <w:r>
        <w:t xml:space="preserve">RBI/DOR/2025-26/371; DOR.FIN.REC.290/03-10-038/2025-26; 28 Nov 2025 (original text; no</w:t>
      </w:r>
      <w:r>
        <w:t xml:space="preserve"> </w:t>
      </w:r>
      <w:r>
        <w:t xml:space="preserve">“</w:t>
      </w:r>
      <w:r>
        <w:t xml:space="preserve">updated as on</w:t>
      </w:r>
      <w:r>
        <w:t xml:space="preserve">”</w:t>
      </w:r>
      <w:r>
        <w:t xml:space="preserve"> </w:t>
      </w:r>
      <w:r>
        <w:t xml:space="preserve">date).</w:t>
      </w:r>
    </w:p>
    <w:bookmarkStart w:id="452" w:name="applicability-to-udofin-4"/>
    <w:p>
      <w:pPr>
        <w:pStyle w:val="Heading3"/>
      </w:pPr>
      <w:r>
        <w:t xml:space="preserve">Applicability to Udofin</w:t>
      </w:r>
    </w:p>
    <w:p>
      <w:pPr>
        <w:numPr>
          <w:ilvl w:val="0"/>
          <w:numId w:val="1385"/>
        </w:numPr>
        <w:pStyle w:val="Compact"/>
      </w:pPr>
      <w:r>
        <w:rPr>
          <w:bCs/>
          <w:b/>
        </w:rPr>
        <w:t xml:space="preserve">Not directly.</w:t>
      </w:r>
      <w:r>
        <w:t xml:space="preserve"> </w:t>
      </w:r>
      <w:r>
        <w:t xml:space="preserve">The Directions apply to NBFC-MFIs (para 3).</w:t>
      </w:r>
    </w:p>
    <w:p>
      <w:pPr>
        <w:numPr>
          <w:ilvl w:val="0"/>
          <w:numId w:val="1385"/>
        </w:numPr>
        <w:pStyle w:val="Compact"/>
      </w:pPr>
      <w:r>
        <w:rPr>
          <w:bCs/>
          <w:b/>
        </w:rPr>
        <w:t xml:space="preserve">Through the RE.</w:t>
      </w:r>
      <w:r>
        <w:t xml:space="preserve"> </w:t>
      </w:r>
      <w:r>
        <w:t xml:space="preserve">Two provisions shape Udofin’s routing:</w:t>
      </w:r>
    </w:p>
    <w:p>
      <w:pPr>
        <w:numPr>
          <w:ilvl w:val="1"/>
          <w:numId w:val="1386"/>
        </w:numPr>
        <w:pStyle w:val="Compact"/>
      </w:pPr>
      <w:r>
        <w:t xml:space="preserve">para 49 binds every NBFC that makes microfinance loans;</w:t>
      </w:r>
    </w:p>
    <w:p>
      <w:pPr>
        <w:numPr>
          <w:ilvl w:val="1"/>
          <w:numId w:val="1386"/>
        </w:numPr>
        <w:pStyle w:val="Compact"/>
      </w:pPr>
      <w:r>
        <w:t xml:space="preserve">the NBFC-MFI definition depends on the RE’s portfolio mix.</w:t>
      </w:r>
    </w:p>
    <w:p>
      <w:pPr>
        <w:numPr>
          <w:ilvl w:val="0"/>
          <w:numId w:val="1385"/>
        </w:numPr>
        <w:pStyle w:val="Compact"/>
      </w:pPr>
      <w:r>
        <w:t xml:space="preserve">The loan-level microfinance rules (household income, the 50% cap, pricing) sit in CF Ch V (8A.1). The conduct rules sit in RBC (8A.6).</w:t>
      </w:r>
    </w:p>
    <w:bookmarkEnd w:id="452"/>
    <w:bookmarkStart w:id="453" w:name="requirements-3"/>
    <w:p>
      <w:pPr>
        <w:pStyle w:val="Heading3"/>
      </w:pPr>
      <w:r>
        <w:t xml:space="preserve">Requirements</w:t>
      </w:r>
    </w:p>
    <w:p>
      <w:pPr>
        <w:numPr>
          <w:ilvl w:val="0"/>
          <w:numId w:val="1387"/>
        </w:numPr>
        <w:pStyle w:val="Compact"/>
      </w:pPr>
      <w:r>
        <w:rPr>
          <w:rStyle w:val="VerbatimChar"/>
        </w:rPr>
        <w:t xml:space="preserve">REQ-MFI-8(2)</w:t>
      </w:r>
      <w:r>
        <w:t xml:space="preserve"> </w:t>
      </w:r>
      <w:r>
        <w:rPr>
          <w:rStyle w:val="VerbatimChar"/>
        </w:rPr>
        <w:t xml:space="preserve">REQ-MFI-8(3)</w:t>
      </w:r>
      <w:r>
        <w:t xml:space="preserve"> </w:t>
      </w:r>
      <w:r>
        <w:rPr>
          <w:bCs/>
          <w:b/>
        </w:rPr>
        <w:t xml:space="preserve">[RE]</w:t>
      </w:r>
      <w:r>
        <w:t xml:space="preserve"> </w:t>
      </w:r>
      <w:r>
        <w:t xml:space="preserve">“</w:t>
      </w:r>
      <w:r>
        <w:t xml:space="preserve">Microfinance loan</w:t>
      </w:r>
      <w:r>
        <w:t xml:space="preserve">”</w:t>
      </w:r>
      <w:r>
        <w:t xml:space="preserve"> </w:t>
      </w:r>
      <w:r>
        <w:t xml:space="preserve">has the CF meaning. An NBFC-MFI is a non-deposit-taking NBFC with at least 60% of total assets (net of intangibles) in microfinance loans on an ongoing basis.</w:t>
      </w:r>
    </w:p>
    <w:p>
      <w:pPr>
        <w:numPr>
          <w:ilvl w:val="1"/>
          <w:numId w:val="1388"/>
        </w:numPr>
        <w:pStyle w:val="Compact"/>
      </w:pPr>
      <w:r>
        <w:rPr>
          <w:iCs/>
          <w:i/>
        </w:rPr>
        <w:t xml:space="preserve">Build:</w:t>
      </w:r>
      <w:r>
        <w:t xml:space="preserve"> </w:t>
      </w:r>
      <w:r>
        <w:t xml:space="preserve">U1 records each RE’s type (NBFC-MFI or other). U2 attaches MFI-specific product rules to that RE.</w:t>
      </w:r>
    </w:p>
    <w:p>
      <w:pPr>
        <w:numPr>
          <w:ilvl w:val="0"/>
          <w:numId w:val="1387"/>
        </w:numPr>
        <w:pStyle w:val="Compact"/>
      </w:pPr>
      <w:r>
        <w:rPr>
          <w:rStyle w:val="VerbatimChar"/>
        </w:rPr>
        <w:t xml:space="preserve">REQ-MFI-12</w:t>
      </w:r>
      <w:r>
        <w:t xml:space="preserve"> </w:t>
      </w:r>
      <w:r>
        <w:rPr>
          <w:bCs/>
          <w:b/>
        </w:rPr>
        <w:t xml:space="preserve">[RE]</w:t>
      </w:r>
      <w:r>
        <w:t xml:space="preserve"> </w:t>
      </w:r>
      <w:r>
        <w:t xml:space="preserve">Qualifying assets are at least 60% on an ongoing basis. After four consecutive quarters below 60%, the NBFC-MFI approaches RBI with a remediation plan.</w:t>
      </w:r>
    </w:p>
    <w:p>
      <w:pPr>
        <w:numPr>
          <w:ilvl w:val="1"/>
          <w:numId w:val="1389"/>
        </w:numPr>
        <w:pStyle w:val="Compact"/>
      </w:pPr>
      <w:r>
        <w:rPr>
          <w:iCs/>
          <w:i/>
        </w:rPr>
        <w:t xml:space="preserve">Build:</w:t>
      </w:r>
      <w:r>
        <w:t xml:space="preserve"> </w:t>
      </w:r>
      <w:r>
        <w:t xml:space="preserve">none in Udofin beyond U19 sourcing MIS by microfinance flag.</w:t>
      </w:r>
    </w:p>
    <w:p>
      <w:pPr>
        <w:numPr>
          <w:ilvl w:val="0"/>
          <w:numId w:val="1387"/>
        </w:numPr>
        <w:pStyle w:val="Compact"/>
      </w:pPr>
      <w:r>
        <w:rPr>
          <w:rStyle w:val="VerbatimChar"/>
        </w:rPr>
        <w:t xml:space="preserve">REQ-MFI-49</w:t>
      </w:r>
      <w:r>
        <w:t xml:space="preserve"> </w:t>
      </w:r>
      <w:r>
        <w:rPr>
          <w:bCs/>
          <w:b/>
        </w:rPr>
        <w:t xml:space="preserve">[RE]</w:t>
      </w:r>
      <w:r>
        <w:t xml:space="preserve"> </w:t>
      </w:r>
      <w:r>
        <w:t xml:space="preserve">Microfinance loans of all NBFCs follow CF, RBC and OUT.</w:t>
      </w:r>
      <w:r>
        <w:t xml:space="preserve"> </w:t>
      </w:r>
      <w:r>
        <w:t xml:space="preserve">“</w:t>
      </w:r>
      <w:r>
        <w:t xml:space="preserve">An NBFC, which does not qualify as an NBFC-MFI shall extend microfinance loans, which in aggregate does not exceed 25 per cent of its total assets.</w:t>
      </w:r>
      <w:r>
        <w:t xml:space="preserve">”</w:t>
      </w:r>
    </w:p>
    <w:p>
      <w:pPr>
        <w:numPr>
          <w:ilvl w:val="1"/>
          <w:numId w:val="1390"/>
        </w:numPr>
        <w:pStyle w:val="Compact"/>
      </w:pPr>
      <w:r>
        <w:rPr>
          <w:iCs/>
          <w:i/>
        </w:rPr>
        <w:t xml:space="preserve">Build:</w:t>
      </w:r>
      <w:r>
        <w:t xml:space="preserve"> </w:t>
      </w:r>
      <w:r>
        <w:t xml:space="preserve">U7 routes microfinance-flagged applications only to REs whose U2 configuration accepts microfinance loans. An RE can switch off microfinance intake when it nears its 25% limit, through</w:t>
      </w:r>
      <w:r>
        <w:t xml:space="preserve"> </w:t>
      </w:r>
      <w:r>
        <w:rPr>
          <w:rStyle w:val="VerbatimChar"/>
        </w:rPr>
        <w:t xml:space="preserve">ProductCatalogPublished</w:t>
      </w:r>
      <w:r>
        <w:t xml:space="preserve">.</w:t>
      </w:r>
    </w:p>
    <w:p>
      <w:pPr>
        <w:numPr>
          <w:ilvl w:val="0"/>
          <w:numId w:val="1387"/>
        </w:numPr>
        <w:pStyle w:val="Compact"/>
      </w:pPr>
      <w:r>
        <w:rPr>
          <w:rStyle w:val="VerbatimChar"/>
        </w:rPr>
        <w:t xml:space="preserve">REQ-MFI-46</w:t>
      </w:r>
      <w:r>
        <w:t xml:space="preserve"> </w:t>
      </w:r>
      <w:r>
        <w:rPr>
          <w:bCs/>
          <w:b/>
        </w:rPr>
        <w:t xml:space="preserve">[RE]</w:t>
      </w:r>
      <w:r>
        <w:t xml:space="preserve"> </w:t>
      </w:r>
      <w:r>
        <w:t xml:space="preserve">Every NBFC-MFI is a member of at least one RBI-recognised SRO and follows its Code of Conduct.</w:t>
      </w:r>
    </w:p>
    <w:p>
      <w:pPr>
        <w:numPr>
          <w:ilvl w:val="1"/>
          <w:numId w:val="1391"/>
        </w:numPr>
        <w:pStyle w:val="Compact"/>
      </w:pPr>
      <w:r>
        <w:rPr>
          <w:iCs/>
          <w:i/>
        </w:rPr>
        <w:t xml:space="preserve">Build:</w:t>
      </w:r>
      <w:r>
        <w:t xml:space="preserve"> </w:t>
      </w:r>
      <w:r>
        <w:t xml:space="preserve">U1 stores the SRO, and U18 loads the SRO code as an obligation set where Udofin is the RE’s agent [VERIFY: the current SRO code text].</w:t>
      </w:r>
    </w:p>
    <w:p>
      <w:pPr>
        <w:numPr>
          <w:ilvl w:val="0"/>
          <w:numId w:val="1387"/>
        </w:numPr>
        <w:pStyle w:val="Compact"/>
      </w:pPr>
      <w:r>
        <w:rPr>
          <w:bCs/>
          <w:b/>
        </w:rPr>
        <w:t xml:space="preserve">RBC conduct rules on microfinance loans that Udofin executes as LSP or recovery agent</w:t>
      </w:r>
      <w:r>
        <w:t xml:space="preserve"> </w:t>
      </w:r>
      <w:r>
        <w:t xml:space="preserve">(verified in 362; full treatment in 8A.6):</w:t>
      </w:r>
    </w:p>
    <w:p>
      <w:pPr>
        <w:numPr>
          <w:ilvl w:val="1"/>
          <w:numId w:val="1392"/>
        </w:numPr>
        <w:pStyle w:val="Compact"/>
      </w:pPr>
      <w:r>
        <w:rPr>
          <w:rStyle w:val="VerbatimChar"/>
        </w:rPr>
        <w:t xml:space="preserve">REQ-RBC-78</w:t>
      </w:r>
      <w:r>
        <w:t xml:space="preserve"> </w:t>
      </w:r>
      <w:r>
        <w:rPr>
          <w:bCs/>
          <w:b/>
        </w:rPr>
        <w:t xml:space="preserve">[RE]</w:t>
      </w:r>
      <w:r>
        <w:t xml:space="preserve"> </w:t>
      </w:r>
      <w:r>
        <w:t xml:space="preserve">A loan card with:</w:t>
      </w:r>
    </w:p>
    <w:p>
      <w:pPr>
        <w:numPr>
          <w:ilvl w:val="2"/>
          <w:numId w:val="1393"/>
        </w:numPr>
        <w:pStyle w:val="Compact"/>
      </w:pPr>
      <w:r>
        <w:t xml:space="preserve">borrower identification;</w:t>
      </w:r>
    </w:p>
    <w:p>
      <w:pPr>
        <w:numPr>
          <w:ilvl w:val="2"/>
          <w:numId w:val="1393"/>
        </w:numPr>
        <w:pStyle w:val="Compact"/>
      </w:pPr>
      <w:r>
        <w:t xml:space="preserve">a simplified pricing factsheet;</w:t>
      </w:r>
    </w:p>
    <w:p>
      <w:pPr>
        <w:numPr>
          <w:ilvl w:val="2"/>
          <w:numId w:val="1393"/>
        </w:numPr>
        <w:pStyle w:val="Compact"/>
      </w:pPr>
      <w:r>
        <w:t xml:space="preserve">all other terms;</w:t>
      </w:r>
    </w:p>
    <w:p>
      <w:pPr>
        <w:numPr>
          <w:ilvl w:val="2"/>
          <w:numId w:val="1393"/>
        </w:numPr>
        <w:pStyle w:val="Compact"/>
      </w:pPr>
      <w:r>
        <w:t xml:space="preserve">acknowledgement of all repayments and the final discharge;</w:t>
      </w:r>
    </w:p>
    <w:p>
      <w:pPr>
        <w:numPr>
          <w:ilvl w:val="2"/>
          <w:numId w:val="1393"/>
        </w:numPr>
        <w:pStyle w:val="Compact"/>
      </w:pPr>
      <w:r>
        <w:t xml:space="preserve">grievance details, including the nodal officer.</w:t>
      </w:r>
    </w:p>
    <w:p>
      <w:pPr>
        <w:numPr>
          <w:ilvl w:val="2"/>
          <w:numId w:val="1393"/>
        </w:numPr>
        <w:pStyle w:val="Compact"/>
      </w:pPr>
      <w:r>
        <w:t xml:space="preserve">All entries are in a language the borrower understands (para 79).</w:t>
      </w:r>
    </w:p>
    <w:p>
      <w:pPr>
        <w:numPr>
          <w:ilvl w:val="2"/>
          <w:numId w:val="1393"/>
        </w:numPr>
        <w:pStyle w:val="Compact"/>
      </w:pPr>
      <w:r>
        <w:rPr>
          <w:iCs/>
          <w:i/>
        </w:rPr>
        <w:t xml:space="preserve">Build:</w:t>
      </w:r>
      <w:r>
        <w:t xml:space="preserve"> </w:t>
      </w:r>
      <w:r>
        <w:t xml:space="preserve">U9 and U25 render the RE-issued loan card.</w:t>
      </w:r>
    </w:p>
    <w:p>
      <w:pPr>
        <w:numPr>
          <w:ilvl w:val="1"/>
          <w:numId w:val="1392"/>
        </w:numPr>
        <w:pStyle w:val="Compact"/>
      </w:pPr>
      <w:r>
        <w:rPr>
          <w:rStyle w:val="VerbatimChar"/>
        </w:rPr>
        <w:t xml:space="preserve">REQ-RBC-81</w:t>
      </w:r>
      <w:r>
        <w:t xml:space="preserve"> </w:t>
      </w:r>
      <w:r>
        <w:rPr>
          <w:bCs/>
          <w:b/>
        </w:rPr>
        <w:t xml:space="preserve">[RE]</w:t>
      </w:r>
      <w:r>
        <w:t xml:space="preserve"> </w:t>
      </w:r>
      <w:r>
        <w:t xml:space="preserve">No prepayment charge. Delayed-payment charges apply to the overdue amount only.</w:t>
      </w:r>
    </w:p>
    <w:p>
      <w:pPr>
        <w:numPr>
          <w:ilvl w:val="2"/>
          <w:numId w:val="1394"/>
        </w:numPr>
        <w:pStyle w:val="Compact"/>
      </w:pPr>
      <w:r>
        <w:rPr>
          <w:iCs/>
          <w:i/>
        </w:rPr>
        <w:t xml:space="preserve">Build:</w:t>
      </w:r>
      <w:r>
        <w:t xml:space="preserve"> </w:t>
      </w:r>
      <w:r>
        <w:t xml:space="preserve">U8 blocks microfinance offers whose KFS shows a prepayment charge.</w:t>
      </w:r>
    </w:p>
    <w:p>
      <w:pPr>
        <w:numPr>
          <w:ilvl w:val="1"/>
          <w:numId w:val="1392"/>
        </w:numPr>
        <w:pStyle w:val="Compact"/>
      </w:pPr>
      <w:r>
        <w:rPr>
          <w:rStyle w:val="VerbatimChar"/>
        </w:rPr>
        <w:t xml:space="preserve">REQ-RBC-90</w:t>
      </w:r>
      <w:r>
        <w:t xml:space="preserve"> </w:t>
      </w:r>
      <w:r>
        <w:rPr>
          <w:bCs/>
          <w:b/>
        </w:rPr>
        <w:t xml:space="preserve">[RE→UDOFIN contract]</w:t>
      </w:r>
      <w:r>
        <w:t xml:space="preserve"> </w:t>
      </w:r>
      <w:r>
        <w:t xml:space="preserve">Recovery happens at a designated or central place agreed with the borrower. Field staff may recover at home or work only if the borrower fails to appear there</w:t>
      </w:r>
      <w:r>
        <w:t xml:space="preserve"> </w:t>
      </w:r>
      <w:r>
        <w:t xml:space="preserve">“</w:t>
      </w:r>
      <w:r>
        <w:t xml:space="preserve">on two or more successive occasions</w:t>
      </w:r>
      <w:r>
        <w:t xml:space="preserve">”</w:t>
      </w:r>
      <w:r>
        <w:t xml:space="preserve">.</w:t>
      </w:r>
    </w:p>
    <w:p>
      <w:pPr>
        <w:numPr>
          <w:ilvl w:val="2"/>
          <w:numId w:val="1395"/>
        </w:numPr>
        <w:pStyle w:val="Compact"/>
      </w:pPr>
      <w:r>
        <w:rPr>
          <w:iCs/>
          <w:i/>
        </w:rPr>
        <w:t xml:space="preserve">Build:</w:t>
      </w:r>
      <w:r>
        <w:t xml:space="preserve"> </w:t>
      </w:r>
      <w:r>
        <w:t xml:space="preserve">U13 and U22 visit rules.</w:t>
      </w:r>
    </w:p>
    <w:p>
      <w:pPr>
        <w:numPr>
          <w:ilvl w:val="1"/>
          <w:numId w:val="1392"/>
        </w:numPr>
        <w:pStyle w:val="Compact"/>
      </w:pPr>
      <w:r>
        <w:rPr>
          <w:rStyle w:val="VerbatimChar"/>
        </w:rPr>
        <w:t xml:space="preserve">REQ-RBC-91</w:t>
      </w:r>
      <w:r>
        <w:t xml:space="preserve"> </w:t>
      </w:r>
      <w:r>
        <w:rPr>
          <w:bCs/>
          <w:b/>
        </w:rPr>
        <w:t xml:space="preserve">[RE→UDOFIN contract]</w:t>
      </w:r>
      <w:r>
        <w:t xml:space="preserve"> </w:t>
      </w:r>
      <w:r>
        <w:t xml:space="preserve">No harsh methods. The list includes calling</w:t>
      </w:r>
      <w:r>
        <w:t xml:space="preserve"> </w:t>
      </w:r>
      <w:r>
        <w:t xml:space="preserve">“</w:t>
      </w:r>
      <w:r>
        <w:t xml:space="preserve">before 9:00 a.m. and after 6:00 p.m.</w:t>
      </w:r>
      <w:r>
        <w:t xml:space="preserve">”</w:t>
      </w:r>
      <w:r>
        <w:t xml:space="preserve">, persistent calling, harassing relatives or co-workers, and publishing names.</w:t>
      </w:r>
    </w:p>
    <w:p>
      <w:pPr>
        <w:numPr>
          <w:ilvl w:val="2"/>
          <w:numId w:val="1396"/>
        </w:numPr>
        <w:pStyle w:val="Compact"/>
      </w:pPr>
      <w:r>
        <w:rPr>
          <w:iCs/>
          <w:i/>
        </w:rPr>
        <w:t xml:space="preserve">Build:</w:t>
      </w:r>
      <w:r>
        <w:t xml:space="preserve"> </w:t>
      </w:r>
      <w:r>
        <w:t xml:space="preserve">the U13 contact-window engine uses 09:00–18:00 for microfinance-flagged loans, against 08:00–19:00 for other loans (RBC para 100).</w:t>
      </w:r>
    </w:p>
    <w:p>
      <w:pPr>
        <w:numPr>
          <w:ilvl w:val="0"/>
          <w:numId w:val="1387"/>
        </w:numPr>
        <w:pStyle w:val="Compact"/>
      </w:pPr>
      <w:r>
        <w:rPr>
          <w:bCs/>
          <w:b/>
        </w:rPr>
        <w:t xml:space="preserve">No separate pricing cap.</w:t>
      </w:r>
      <w:r>
        <w:t xml:space="preserve"> </w:t>
      </w:r>
      <w:r>
        <w:t xml:space="preserve">The MFI Directions set no interest cap. Pricing stays under CF paras 60–61 and the RE’s ceiling.</w:t>
      </w:r>
    </w:p>
    <w:p>
      <w:r>
        <w:pict>
          <v:rect style="width:0;height:1.5pt" o:hralign="center" o:hrstd="t" o:hr="t"/>
        </w:pict>
      </w:r>
    </w:p>
    <w:bookmarkEnd w:id="453"/>
    <w:bookmarkEnd w:id="454"/>
    <w:bookmarkStart w:id="455" w:name="Xe03461ed8f74001f16c9e7f1af0bb2195a255be"/>
    <w:p>
      <w:pPr>
        <w:pStyle w:val="Heading2"/>
      </w:pPr>
      <w:r>
        <w:t xml:space="preserve">8A.6 RBC — Responsible Business Conduct Directions (362)</w:t>
      </w:r>
    </w:p>
    <w:p>
      <w:pPr>
        <w:pStyle w:val="FirstParagraph"/>
      </w:pPr>
      <w:r>
        <w:rPr>
          <w:bCs/>
          <w:b/>
        </w:rPr>
        <w:t xml:space="preserve">Applicability to Udofin: through the RE’s contract.</w:t>
      </w:r>
      <w:r>
        <w:t xml:space="preserve"> </w:t>
      </w:r>
      <w:r>
        <w:t xml:space="preserve">RBC binds NBFC-D, ICC, Factor, MFI, IFC, IDF-NBFC and HFC REs at all layers; NBFC-P2P only for paras 98–100 (paras 3–4). It reaches Udofin through CF para 6(5) (an LSP recovery agent must comply with RBC), OUT para 17 (the RE answers for its DSAs, DMAs and recovery agents) and the LSP agreement. Udofin is the borrower’s interface for most conduct obligations, so it builds them as controls each RE configures and approves. Copy supplied: updated as on 1 Apr 2026.</w:t>
      </w:r>
      <w:r>
        <w:t xml:space="preserve"> </w:t>
      </w:r>
      <w:r>
        <w:rPr>
          <w:bCs/>
          <w:b/>
        </w:rPr>
        <w:t xml:space="preserve">Not in the supplied copy:</w:t>
      </w:r>
      <w:r>
        <w:t xml:space="preserve"> </w:t>
      </w:r>
      <w:r>
        <w:t xml:space="preserve">the Second Amendment (Chapter IIIA, sales and marketing) and the Third Amendment Directions, 2026 (RBI/2026-27/230, DOR.MCS.REC.No.199/01-01-039/2026-27, 6 Aug 2026, in force 1 Jan 2027), which delete paras 89–100 and insert Section J, paras 100A–100AB; the Third Amendment is confirmed from the RBI notification and secondary summaries and its key rules are in Part 7A.0.1 [VERIFY: official texts not supplied in docs/regulations/rbi/; confirm paragraph numbers before coding]. Build U13, U16 and Part 7A rules as effective-dated rule packs.</w:t>
      </w:r>
      <w:r>
        <w:t xml:space="preserve"> </w:t>
      </w:r>
      <w:r>
        <w:rPr>
          <w:bCs/>
          <w:b/>
        </w:rPr>
        <w:t xml:space="preserve">Bank REs:</w:t>
      </w:r>
      <w:r>
        <w:t xml:space="preserve"> </w:t>
      </w:r>
      <w:r>
        <w:t xml:space="preserve">the equivalent Commercial Bank conduct Directions apply instead [VERIFY: bank texts not supplied]; U1 holds the RE type and selects the rule pack.</w:t>
      </w:r>
    </w:p>
    <w:p>
      <w:pPr>
        <w:pStyle w:val="BodyText"/>
      </w:pPr>
      <w:r>
        <w:rPr>
          <w:bCs/>
          <w:b/>
        </w:rPr>
        <w:t xml:space="preserve">Board policies and review (paras 7–8):</w:t>
      </w:r>
    </w:p>
    <w:p>
      <w:pPr>
        <w:numPr>
          <w:ilvl w:val="0"/>
          <w:numId w:val="1397"/>
        </w:numPr>
        <w:pStyle w:val="Compact"/>
      </w:pPr>
      <w:r>
        <w:rPr>
          <w:bCs/>
          <w:b/>
        </w:rPr>
        <w:t xml:space="preserve">REQ-RBC-7</w:t>
      </w:r>
      <w:r>
        <w:t xml:space="preserve"> </w:t>
      </w:r>
      <w:r>
        <w:rPr>
          <w:bCs/>
          <w:b/>
        </w:rPr>
        <w:t xml:space="preserve">[RE]</w:t>
      </w:r>
      <w:r>
        <w:t xml:space="preserve"> </w:t>
      </w:r>
      <w:r>
        <w:t xml:space="preserve">Board policies on FPC, grievance redressal (disputes heard at least at the next higher level), interest and charges, recovery agents, and the DSA/DMA/RA code of conduct (7(1)–(8)).</w:t>
      </w:r>
    </w:p>
    <w:p>
      <w:pPr>
        <w:numPr>
          <w:ilvl w:val="1"/>
          <w:numId w:val="1398"/>
        </w:numPr>
        <w:pStyle w:val="Compact"/>
      </w:pPr>
      <w:r>
        <w:rPr>
          <w:bCs/>
          <w:b/>
        </w:rPr>
        <w:t xml:space="preserve">[RE→UDOFIN contract]</w:t>
      </w:r>
      <w:r>
        <w:t xml:space="preserve"> </w:t>
      </w:r>
      <w:r>
        <w:t xml:space="preserve">Udofin receives each policy’s version and applies it.</w:t>
      </w:r>
      <w:r>
        <w:t xml:space="preserve"> </w:t>
      </w:r>
      <w:r>
        <w:rPr>
          <w:iCs/>
          <w:i/>
        </w:rPr>
        <w:t xml:space="preserve">Build:</w:t>
      </w:r>
      <w:r>
        <w:t xml:space="preserve"> </w:t>
      </w:r>
      <w:r>
        <w:t xml:space="preserve">U2 stores policy references per RE product from</w:t>
      </w:r>
      <w:r>
        <w:t xml:space="preserve"> </w:t>
      </w:r>
      <w:r>
        <w:rPr>
          <w:rStyle w:val="VerbatimChar"/>
        </w:rPr>
        <w:t xml:space="preserve">ProductCatalogPublished</w:t>
      </w:r>
      <w:r>
        <w:t xml:space="preserve">; U23 links the RE’s FPC (published on its website, para 21) on every product screen.</w:t>
      </w:r>
    </w:p>
    <w:p>
      <w:pPr>
        <w:numPr>
          <w:ilvl w:val="0"/>
          <w:numId w:val="1397"/>
        </w:numPr>
        <w:pStyle w:val="Compact"/>
      </w:pPr>
      <w:r>
        <w:rPr>
          <w:bCs/>
          <w:b/>
        </w:rPr>
        <w:t xml:space="preserve">REQ-RBC-8</w:t>
      </w:r>
      <w:r>
        <w:t xml:space="preserve"> </w:t>
      </w:r>
      <w:r>
        <w:rPr>
          <w:bCs/>
          <w:b/>
        </w:rPr>
        <w:t xml:space="preserve">[RE]</w:t>
      </w:r>
      <w:r>
        <w:t xml:space="preserve"> </w:t>
      </w:r>
      <w:r>
        <w:t xml:space="preserve">Periodic review of FPC compliance and the grievance machinery, with a consolidated Board report.</w:t>
      </w:r>
      <w:r>
        <w:t xml:space="preserve"> </w:t>
      </w:r>
      <w:r>
        <w:rPr>
          <w:iCs/>
          <w:i/>
        </w:rPr>
        <w:t xml:space="preserve">Build:</w:t>
      </w:r>
      <w:r>
        <w:t xml:space="preserve"> </w:t>
      </w:r>
      <w:r>
        <w:t xml:space="preserve">U19</w:t>
      </w:r>
      <w:r>
        <w:t xml:space="preserve"> </w:t>
      </w:r>
      <w:r>
        <w:t xml:space="preserve">“</w:t>
      </w:r>
      <w:r>
        <w:t xml:space="preserve">FPC conduct pack</w:t>
      </w:r>
      <w:r>
        <w:t xml:space="preserve">”</w:t>
      </w:r>
      <w:r>
        <w:t xml:space="preserve"> </w:t>
      </w:r>
      <w:r>
        <w:t xml:space="preserve">per RE per period: complaints by category and TAT, communication-language exceptions, contact-policy breaches, KFS acknowledgement rates.</w:t>
      </w:r>
    </w:p>
    <w:p>
      <w:pPr>
        <w:pStyle w:val="FirstParagraph"/>
      </w:pPr>
      <w:r>
        <w:rPr>
          <w:bCs/>
          <w:b/>
        </w:rPr>
        <w:t xml:space="preserve">Fair Practices Code (paras 10–21):</w:t>
      </w:r>
    </w:p>
    <w:p>
      <w:pPr>
        <w:numPr>
          <w:ilvl w:val="0"/>
          <w:numId w:val="1399"/>
        </w:numPr>
        <w:pStyle w:val="Compact"/>
      </w:pPr>
      <w:r>
        <w:rPr>
          <w:bCs/>
          <w:b/>
        </w:rPr>
        <w:t xml:space="preserve">REQ-RBC-10</w:t>
      </w:r>
      <w:r>
        <w:t xml:space="preserve"> </w:t>
      </w:r>
      <w:r>
        <w:rPr>
          <w:bCs/>
          <w:b/>
        </w:rPr>
        <w:t xml:space="preserve">[RE→UDOFIN contract]</w:t>
      </w:r>
      <w:r>
        <w:t xml:space="preserve"> </w:t>
      </w:r>
      <w:r>
        <w:t xml:space="preserve">All communications to the borrower in the vernacular or a language the borrower understands.</w:t>
      </w:r>
      <w:r>
        <w:t xml:space="preserve"> </w:t>
      </w:r>
      <w:r>
        <w:rPr>
          <w:iCs/>
          <w:i/>
        </w:rPr>
        <w:t xml:space="preserve">Build:</w:t>
      </w:r>
      <w:r>
        <w:t xml:space="preserve"> </w:t>
      </w:r>
      <w:r>
        <w:t xml:space="preserve">U3 captures the preferred language at registration; U16 holds an RE-approved template per event per language; dispatch is blocked (and an exception raised) if no approved template exists in that language.</w:t>
      </w:r>
    </w:p>
    <w:p>
      <w:pPr>
        <w:numPr>
          <w:ilvl w:val="0"/>
          <w:numId w:val="1399"/>
        </w:numPr>
        <w:pStyle w:val="Compact"/>
      </w:pPr>
      <w:r>
        <w:rPr>
          <w:bCs/>
          <w:b/>
        </w:rPr>
        <w:t xml:space="preserve">REQ-RBC-11</w:t>
      </w:r>
      <w:r>
        <w:t xml:space="preserve"> </w:t>
      </w:r>
      <w:r>
        <w:rPr>
          <w:bCs/>
          <w:b/>
        </w:rPr>
        <w:t xml:space="preserve">[RE→UDOFIN contract]</w:t>
      </w:r>
      <w:r>
        <w:t xml:space="preserve"> </w:t>
      </w:r>
      <w:r>
        <w:t xml:space="preserve">The application form carries information enabling meaningful comparison with other lenders and lists the documents required.</w:t>
      </w:r>
      <w:r>
        <w:t xml:space="preserve"> </w:t>
      </w:r>
      <w:r>
        <w:rPr>
          <w:iCs/>
          <w:i/>
        </w:rPr>
        <w:t xml:space="preserve">Build:</w:t>
      </w:r>
      <w:r>
        <w:t xml:space="preserve"> </w:t>
      </w:r>
      <w:r>
        <w:t xml:space="preserve">U7 shows the product’s key terms and the document checklist from U2 before submission; U8 provides the multi-lender comparison (CF para 7).</w:t>
      </w:r>
    </w:p>
    <w:p>
      <w:pPr>
        <w:numPr>
          <w:ilvl w:val="0"/>
          <w:numId w:val="1399"/>
        </w:numPr>
        <w:pStyle w:val="Compact"/>
      </w:pPr>
      <w:r>
        <w:rPr>
          <w:bCs/>
          <w:b/>
        </w:rPr>
        <w:t xml:space="preserve">REQ-RBC-12</w:t>
      </w:r>
      <w:r>
        <w:t xml:space="preserve"> </w:t>
      </w:r>
      <w:r>
        <w:rPr>
          <w:bCs/>
          <w:b/>
        </w:rPr>
        <w:t xml:space="preserve">[RE→UDOFIN contract]</w:t>
      </w:r>
      <w:r>
        <w:t xml:space="preserve"> </w:t>
      </w:r>
      <w:r>
        <w:t xml:space="preserve">Acknowledge every application, preferably with the disposal timeline.</w:t>
      </w:r>
      <w:r>
        <w:t xml:space="preserve"> </w:t>
      </w:r>
      <w:r>
        <w:rPr>
          <w:iCs/>
          <w:i/>
        </w:rPr>
        <w:t xml:space="preserve">Build:</w:t>
      </w:r>
      <w:r>
        <w:t xml:space="preserve"> </w:t>
      </w:r>
      <w:r>
        <w:t xml:space="preserve">U7 issues an in-app and SMS/email acknowledgement naming the RE as lender, the application number and the RE’s disposal timeline from U2.</w:t>
      </w:r>
    </w:p>
    <w:p>
      <w:pPr>
        <w:numPr>
          <w:ilvl w:val="0"/>
          <w:numId w:val="1399"/>
        </w:numPr>
        <w:pStyle w:val="Compact"/>
      </w:pPr>
      <w:r>
        <w:rPr>
          <w:bCs/>
          <w:b/>
        </w:rPr>
        <w:t xml:space="preserve">REQ-RBC-13</w:t>
      </w:r>
      <w:r>
        <w:t xml:space="preserve"> </w:t>
      </w:r>
      <w:r>
        <w:rPr>
          <w:bCs/>
          <w:b/>
        </w:rPr>
        <w:t xml:space="preserve">[RE]</w:t>
      </w:r>
      <w:r>
        <w:t xml:space="preserve"> </w:t>
      </w:r>
      <w:r>
        <w:t xml:space="preserve">Sanction letter in the vernacular with the annualised rate and method of application; acceptance kept on record; late-payment penalties in bold in the loan agreement.</w:t>
      </w:r>
      <w:r>
        <w:t xml:space="preserve"> </w:t>
      </w:r>
      <w:r>
        <w:rPr>
          <w:iCs/>
          <w:i/>
        </w:rPr>
        <w:t xml:space="preserve">Build:</w:t>
      </w:r>
      <w:r>
        <w:t xml:space="preserve"> </w:t>
      </w:r>
      <w:r>
        <w:t xml:space="preserve">U8 shows</w:t>
      </w:r>
      <w:r>
        <w:t xml:space="preserve"> </w:t>
      </w:r>
      <w:r>
        <w:rPr>
          <w:rStyle w:val="VerbatimChar"/>
        </w:rPr>
        <w:t xml:space="preserve">SanctionLetterIssued</w:t>
      </w:r>
      <w:r>
        <w:t xml:space="preserve"> </w:t>
      </w:r>
      <w:r>
        <w:t xml:space="preserve">unaltered and sends acceptance with evidence as</w:t>
      </w:r>
      <w:r>
        <w:t xml:space="preserve"> </w:t>
      </w:r>
      <w:r>
        <w:rPr>
          <w:rStyle w:val="VerbatimChar"/>
        </w:rPr>
        <w:t xml:space="preserve">BorrowerAccepted</w:t>
      </w:r>
      <w:r>
        <w:t xml:space="preserve">; U2 onboarding QA checks the bold penalty clause.</w:t>
      </w:r>
    </w:p>
    <w:p>
      <w:pPr>
        <w:numPr>
          <w:ilvl w:val="0"/>
          <w:numId w:val="1399"/>
        </w:numPr>
        <w:pStyle w:val="Compact"/>
      </w:pPr>
      <w:r>
        <w:rPr>
          <w:bCs/>
          <w:b/>
        </w:rPr>
        <w:t xml:space="preserve">REQ-RBC-14</w:t>
      </w:r>
      <w:r>
        <w:t xml:space="preserve"> </w:t>
      </w:r>
      <w:r>
        <w:rPr>
          <w:bCs/>
          <w:b/>
        </w:rPr>
        <w:t xml:space="preserve">[RE→UDOFIN contract]</w:t>
      </w:r>
      <w:r>
        <w:t xml:space="preserve"> </w:t>
      </w:r>
      <w:r>
        <w:t xml:space="preserve">Copy of the loan agreement and</w:t>
      </w:r>
      <w:r>
        <w:t xml:space="preserve"> </w:t>
      </w:r>
      <w:r>
        <w:rPr>
          <w:bCs/>
          <w:b/>
        </w:rPr>
        <w:t xml:space="preserve">every enclosure quoted in it</w:t>
      </w:r>
      <w:r>
        <w:t xml:space="preserve"> </w:t>
      </w:r>
      <w:r>
        <w:t xml:space="preserve">to every borrower at sanction or disbursement.</w:t>
      </w:r>
      <w:r>
        <w:t xml:space="preserve"> </w:t>
      </w:r>
      <w:r>
        <w:rPr>
          <w:iCs/>
          <w:i/>
        </w:rPr>
        <w:t xml:space="preserve">Build:</w:t>
      </w:r>
      <w:r>
        <w:t xml:space="preserve"> </w:t>
      </w:r>
      <w:r>
        <w:t xml:space="preserve">U9 delivers the executed pack to the borrower vault and by email, checked against the RE’s enclosure list, with delivery evidence.</w:t>
      </w:r>
    </w:p>
    <w:p>
      <w:pPr>
        <w:numPr>
          <w:ilvl w:val="0"/>
          <w:numId w:val="1399"/>
        </w:numPr>
        <w:pStyle w:val="Compact"/>
      </w:pPr>
      <w:r>
        <w:rPr>
          <w:bCs/>
          <w:b/>
        </w:rPr>
        <w:t xml:space="preserve">REQ-RBC-15</w:t>
      </w:r>
      <w:r>
        <w:t xml:space="preserve"> </w:t>
      </w:r>
      <w:r>
        <w:rPr>
          <w:bCs/>
          <w:b/>
        </w:rPr>
        <w:t xml:space="preserve">[RE]</w:t>
      </w:r>
      <w:r>
        <w:t xml:space="preserve"> </w:t>
      </w:r>
      <w:r>
        <w:t xml:space="preserve">Notice of any change in terms (disbursement schedule, rates, service or prepayment charges) in the borrower’s language; rate and charge changes</w:t>
      </w:r>
      <w:r>
        <w:t xml:space="preserve"> </w:t>
      </w:r>
      <w:r>
        <w:rPr>
          <w:bCs/>
          <w:b/>
        </w:rPr>
        <w:t xml:space="preserve">prospective only</w:t>
      </w:r>
      <w:r>
        <w:t xml:space="preserve">.</w:t>
      </w:r>
      <w:r>
        <w:t xml:space="preserve"> </w:t>
      </w:r>
      <w:r>
        <w:rPr>
          <w:iCs/>
          <w:i/>
        </w:rPr>
        <w:t xml:space="preserve">Build:</w:t>
      </w:r>
      <w:r>
        <w:t xml:space="preserve"> </w:t>
      </w:r>
      <w:r>
        <w:t xml:space="preserve">U12 consumes</w:t>
      </w:r>
      <w:r>
        <w:t xml:space="preserve"> </w:t>
      </w:r>
      <w:r>
        <w:rPr>
          <w:rStyle w:val="VerbatimChar"/>
        </w:rPr>
        <w:t xml:space="preserve">ScheduleChanged</w:t>
      </w:r>
      <w:r>
        <w:t xml:space="preserve">; U16 notifies in the borrower’s language; U12 raises an exception to the RE (never displays silently) when a change’s effective date precedes its notice date.</w:t>
      </w:r>
    </w:p>
    <w:p>
      <w:pPr>
        <w:numPr>
          <w:ilvl w:val="0"/>
          <w:numId w:val="1399"/>
        </w:numPr>
        <w:pStyle w:val="Compact"/>
      </w:pPr>
      <w:r>
        <w:rPr>
          <w:bCs/>
          <w:b/>
        </w:rPr>
        <w:t xml:space="preserve">REQ-RBC-19</w:t>
      </w:r>
      <w:r>
        <w:t xml:space="preserve"> </w:t>
      </w:r>
      <w:r>
        <w:rPr>
          <w:bCs/>
          <w:b/>
        </w:rPr>
        <w:t xml:space="preserve">[RE]</w:t>
      </w:r>
      <w:r>
        <w:t xml:space="preserve"> </w:t>
      </w:r>
      <w:r>
        <w:t xml:space="preserve">Consent or objection to a borrower’s request to transfer the borrowal account</w:t>
      </w:r>
      <w:r>
        <w:t xml:space="preserve"> </w:t>
      </w:r>
      <w:r>
        <w:rPr>
          <w:bCs/>
          <w:b/>
        </w:rPr>
        <w:t xml:space="preserve">within 21 days</w:t>
      </w:r>
      <w:r>
        <w:t xml:space="preserve"> </w:t>
      </w:r>
      <w:r>
        <w:t xml:space="preserve">of receipt.</w:t>
      </w:r>
      <w:r>
        <w:t xml:space="preserve"> </w:t>
      </w:r>
      <w:r>
        <w:rPr>
          <w:iCs/>
          <w:i/>
        </w:rPr>
        <w:t xml:space="preserve">Build:</w:t>
      </w:r>
      <w:r>
        <w:t xml:space="preserve"> </w:t>
      </w:r>
      <w:r>
        <w:t xml:space="preserve">U12 service request</w:t>
      </w:r>
      <w:r>
        <w:t xml:space="preserve"> </w:t>
      </w:r>
      <w:r>
        <w:t xml:space="preserve">“</w:t>
      </w:r>
      <w:r>
        <w:t xml:space="preserve">account transfer</w:t>
      </w:r>
      <w:r>
        <w:t xml:space="preserve">”</w:t>
      </w:r>
      <w:r>
        <w:t xml:space="preserve"> </w:t>
      </w:r>
      <w:r>
        <w:t xml:space="preserve">routed to the RE with a 21-day clock and escalation; Udofin never decides.</w:t>
      </w:r>
    </w:p>
    <w:p>
      <w:pPr>
        <w:numPr>
          <w:ilvl w:val="0"/>
          <w:numId w:val="1399"/>
        </w:numPr>
        <w:pStyle w:val="Compact"/>
      </w:pPr>
      <w:r>
        <w:rPr>
          <w:bCs/>
          <w:b/>
        </w:rPr>
        <w:t xml:space="preserve">REQ-RBC-20</w:t>
      </w:r>
      <w:r>
        <w:t xml:space="preserve"> </w:t>
      </w:r>
      <w:r>
        <w:rPr>
          <w:bCs/>
          <w:b/>
        </w:rPr>
        <w:t xml:space="preserve">[RE→UDOFIN contract]</w:t>
      </w:r>
      <w:r>
        <w:t xml:space="preserve"> </w:t>
      </w:r>
      <w:r>
        <w:t xml:space="preserve">No harassment (odd hours, muscle power); staff trained to deal with customers appropriately.</w:t>
      </w:r>
      <w:r>
        <w:t xml:space="preserve"> </w:t>
      </w:r>
      <w:r>
        <w:rPr>
          <w:iCs/>
          <w:i/>
        </w:rPr>
        <w:t xml:space="preserve">Build:</w:t>
      </w:r>
      <w:r>
        <w:t xml:space="preserve"> </w:t>
      </w:r>
      <w:r>
        <w:t xml:space="preserve">U16 quiet-hours engine applies to every outbound channel; U18 holds training records for every Udofin employee with borrower contact.</w:t>
      </w:r>
    </w:p>
    <w:p>
      <w:pPr>
        <w:numPr>
          <w:ilvl w:val="0"/>
          <w:numId w:val="1399"/>
        </w:numPr>
        <w:pStyle w:val="Compact"/>
      </w:pPr>
      <w:r>
        <w:rPr>
          <w:bCs/>
          <w:b/>
        </w:rPr>
        <w:t xml:space="preserve">REQ-RBC-24</w:t>
      </w:r>
      <w:r>
        <w:t xml:space="preserve"> </w:t>
      </w:r>
      <w:r>
        <w:rPr>
          <w:bCs/>
          <w:b/>
        </w:rPr>
        <w:t xml:space="preserve">[RE→UDOFIN contract]</w:t>
      </w:r>
      <w:r>
        <w:t xml:space="preserve"> </w:t>
      </w:r>
      <w:r>
        <w:t xml:space="preserve">The rate of interest is always an annualised rate.</w:t>
      </w:r>
      <w:r>
        <w:t xml:space="preserve"> </w:t>
      </w:r>
      <w:r>
        <w:rPr>
          <w:iCs/>
          <w:i/>
        </w:rPr>
        <w:t xml:space="preserve">Build:</w:t>
      </w:r>
      <w:r>
        <w:t xml:space="preserve"> </w:t>
      </w:r>
      <w:r>
        <w:t xml:space="preserve">U16 and U8 copy linter rejects any marketing or offer text that states a monthly or flat rate without the annualised rate and APR.</w:t>
      </w:r>
    </w:p>
    <w:p>
      <w:pPr>
        <w:numPr>
          <w:ilvl w:val="0"/>
          <w:numId w:val="1399"/>
        </w:numPr>
        <w:pStyle w:val="Compact"/>
      </w:pPr>
      <w:r>
        <w:rPr>
          <w:bCs/>
          <w:b/>
        </w:rPr>
        <w:t xml:space="preserve">REQ-RBC-28</w:t>
      </w:r>
      <w:r>
        <w:t xml:space="preserve"> </w:t>
      </w:r>
      <w:r>
        <w:rPr>
          <w:bCs/>
          <w:b/>
        </w:rPr>
        <w:t xml:space="preserve">[RE→UDOFIN contract]</w:t>
      </w:r>
      <w:r>
        <w:t xml:space="preserve"> </w:t>
      </w:r>
      <w:r>
        <w:t xml:space="preserve">No discrimination against physically or visually challenged applicants; PwD grievances handled through the GRM.</w:t>
      </w:r>
      <w:r>
        <w:t xml:space="preserve"> </w:t>
      </w:r>
      <w:r>
        <w:rPr>
          <w:iCs/>
          <w:i/>
        </w:rPr>
        <w:t xml:space="preserve">Build:</w:t>
      </w:r>
      <w:r>
        <w:t xml:space="preserve"> </w:t>
      </w:r>
      <w:r>
        <w:t xml:space="preserve">app and web accessible to WCAG 2.2 AA [recommendation]; assisted-journey fallback (U22 or call-back); U15 PwD tag on complaints.</w:t>
      </w:r>
    </w:p>
    <w:p>
      <w:pPr>
        <w:pStyle w:val="FirstParagraph"/>
      </w:pPr>
      <w:r>
        <w:rPr>
          <w:bCs/>
          <w:b/>
        </w:rPr>
        <w:t xml:space="preserve">KFS (para 29; Annex I).</w:t>
      </w:r>
      <w:r>
        <w:t xml:space="preserve"> </w:t>
      </w:r>
      <w:r>
        <w:t xml:space="preserve">Scope: all retail and MSME term loans; credit-card receivables exempt.</w:t>
      </w:r>
    </w:p>
    <w:p>
      <w:pPr>
        <w:numPr>
          <w:ilvl w:val="0"/>
          <w:numId w:val="1400"/>
        </w:numPr>
        <w:pStyle w:val="Compact"/>
      </w:pPr>
      <w:r>
        <w:rPr>
          <w:bCs/>
          <w:b/>
        </w:rPr>
        <w:t xml:space="preserve">REQ-RBC-29(1)</w:t>
      </w:r>
      <w:r>
        <w:t xml:space="preserve"> </w:t>
      </w:r>
      <w:r>
        <w:rPr>
          <w:bCs/>
          <w:b/>
        </w:rPr>
        <w:t xml:space="preserve">[RE→UDOFIN contract]</w:t>
      </w:r>
      <w:r>
        <w:t xml:space="preserve"> </w:t>
      </w:r>
      <w:r>
        <w:t xml:space="preserve">KFS in the Annex I format, in a language the borrower understands, contents explained,</w:t>
      </w:r>
      <w:r>
        <w:t xml:space="preserve"> </w:t>
      </w:r>
      <w:r>
        <w:rPr>
          <w:bCs/>
          <w:b/>
        </w:rPr>
        <w:t xml:space="preserve">acknowledgement of understanding</w:t>
      </w:r>
      <w:r>
        <w:t xml:space="preserve"> </w:t>
      </w:r>
      <w:r>
        <w:t xml:space="preserve">obtained.</w:t>
      </w:r>
      <w:r>
        <w:t xml:space="preserve"> </w:t>
      </w:r>
      <w:r>
        <w:rPr>
          <w:iCs/>
          <w:i/>
        </w:rPr>
        <w:t xml:space="preserve">Build:</w:t>
      </w:r>
      <w:r>
        <w:t xml:space="preserve"> </w:t>
      </w:r>
      <w:r>
        <w:t xml:space="preserve">U8 renders</w:t>
      </w:r>
      <w:r>
        <w:t xml:space="preserve"> </w:t>
      </w:r>
      <w:r>
        <w:rPr>
          <w:rStyle w:val="VerbatimChar"/>
        </w:rPr>
        <w:t xml:space="preserve">KFSIssued</w:t>
      </w:r>
      <w:r>
        <w:t xml:space="preserve"> </w:t>
      </w:r>
      <w:r>
        <w:t xml:space="preserve">unaltered with a plain-language explainer in the borrower’s language and captures the acknowledgement with timestamp, device and KFS version hash.</w:t>
      </w:r>
    </w:p>
    <w:p>
      <w:pPr>
        <w:numPr>
          <w:ilvl w:val="0"/>
          <w:numId w:val="1400"/>
        </w:numPr>
        <w:pStyle w:val="Compact"/>
      </w:pPr>
      <w:r>
        <w:rPr>
          <w:bCs/>
          <w:b/>
        </w:rPr>
        <w:t xml:space="preserve">REQ-RBC-29(2)</w:t>
      </w:r>
      <w:r>
        <w:t xml:space="preserve"> </w:t>
      </w:r>
      <w:r>
        <w:rPr>
          <w:bCs/>
          <w:b/>
        </w:rPr>
        <w:t xml:space="preserve">[RE→UDOFIN contract]</w:t>
      </w:r>
      <w:r>
        <w:t xml:space="preserve"> </w:t>
      </w:r>
      <w:r>
        <w:t xml:space="preserve">Unique proposal number; validity</w:t>
      </w:r>
      <w:r>
        <w:t xml:space="preserve"> </w:t>
      </w:r>
      <w:r>
        <w:rPr>
          <w:bCs/>
          <w:b/>
        </w:rPr>
        <w:t xml:space="preserve">at least 3 working days for tenor of 7 days or more, 1 working day for tenor under 7 days</w:t>
      </w:r>
      <w:r>
        <w:t xml:space="preserve">; the RE is bound if the borrower agrees within validity.</w:t>
      </w:r>
      <w:r>
        <w:t xml:space="preserve"> </w:t>
      </w:r>
      <w:r>
        <w:rPr>
          <w:iCs/>
          <w:i/>
        </w:rPr>
        <w:t xml:space="preserve">Build:</w:t>
      </w:r>
      <w:r>
        <w:t xml:space="preserve"> </w:t>
      </w:r>
      <w:r>
        <w:t xml:space="preserve">U8 shows a working-day countdown on the RE’s holiday calendar; the accept action is disabled after expiry; the payday product (Product 2) uses the 1-working-day rule only where tenor is under 7 days.</w:t>
      </w:r>
    </w:p>
    <w:p>
      <w:pPr>
        <w:numPr>
          <w:ilvl w:val="0"/>
          <w:numId w:val="1400"/>
        </w:numPr>
        <w:pStyle w:val="Compact"/>
      </w:pPr>
      <w:r>
        <w:rPr>
          <w:bCs/>
          <w:b/>
        </w:rPr>
        <w:t xml:space="preserve">REQ-RBC-29(3)–(4)</w:t>
      </w:r>
      <w:r>
        <w:t xml:space="preserve"> </w:t>
      </w:r>
      <w:r>
        <w:rPr>
          <w:bCs/>
          <w:b/>
        </w:rPr>
        <w:t xml:space="preserve">[RE]</w:t>
      </w:r>
      <w:r>
        <w:t xml:space="preserve"> </w:t>
      </w:r>
      <w:r>
        <w:t xml:space="preserve">APR sheet and amortisation schedule; APR includes all RE charges and third-party charges at actuals.</w:t>
      </w:r>
      <w:r>
        <w:t xml:space="preserve"> </w:t>
      </w:r>
      <w:r>
        <w:rPr>
          <w:iCs/>
          <w:i/>
        </w:rPr>
        <w:t xml:space="preserve">Build:</w:t>
      </w:r>
      <w:r>
        <w:t xml:space="preserve"> </w:t>
      </w:r>
      <w:r>
        <w:t xml:space="preserve">U8 independently recomputes APR from the KFS cash flows (golden test: ₹20,000, 24 monthly instalments, 15% fixed, fees ₹400 → APR 17.07%) and blocks display on a mismatch above a configured tolerance, raising an exception to the RE.</w:t>
      </w:r>
    </w:p>
    <w:p>
      <w:pPr>
        <w:numPr>
          <w:ilvl w:val="0"/>
          <w:numId w:val="1400"/>
        </w:numPr>
        <w:pStyle w:val="Compact"/>
      </w:pPr>
      <w:r>
        <w:rPr>
          <w:bCs/>
          <w:b/>
        </w:rPr>
        <w:t xml:space="preserve">REQ-RBC-29(5)</w:t>
      </w:r>
      <w:r>
        <w:t xml:space="preserve"> </w:t>
      </w:r>
      <w:r>
        <w:rPr>
          <w:bCs/>
          <w:b/>
        </w:rPr>
        <w:t xml:space="preserve">[RE]</w:t>
      </w:r>
      <w:r>
        <w:t xml:space="preserve"> </w:t>
      </w:r>
      <w:r>
        <w:t xml:space="preserve">No fee or charge outside the KFS at any stage without explicit consent.</w:t>
      </w:r>
      <w:r>
        <w:t xml:space="preserve"> </w:t>
      </w:r>
      <w:r>
        <w:rPr>
          <w:iCs/>
          <w:i/>
        </w:rPr>
        <w:t xml:space="preserve">Build:</w:t>
      </w:r>
      <w:r>
        <w:t xml:space="preserve"> </w:t>
      </w:r>
      <w:r>
        <w:t xml:space="preserve">U12 flags any charge event not in the KFS; Udofin never collects any fee from the borrower (CF para 10(4)).</w:t>
      </w:r>
    </w:p>
    <w:p>
      <w:pPr>
        <w:numPr>
          <w:ilvl w:val="0"/>
          <w:numId w:val="1400"/>
        </w:numPr>
        <w:pStyle w:val="Compact"/>
      </w:pPr>
      <w:r>
        <w:rPr>
          <w:bCs/>
          <w:b/>
        </w:rPr>
        <w:t xml:space="preserve">REQ-RBC-29(6)</w:t>
      </w:r>
      <w:r>
        <w:t xml:space="preserve"> </w:t>
      </w:r>
      <w:r>
        <w:rPr>
          <w:bCs/>
          <w:b/>
        </w:rPr>
        <w:t xml:space="preserve">[RE]</w:t>
      </w:r>
      <w:r>
        <w:t xml:space="preserve"> </w:t>
      </w:r>
      <w:r>
        <w:t xml:space="preserve">KFS reproduced as a summary box in the loan agreement.</w:t>
      </w:r>
      <w:r>
        <w:t xml:space="preserve"> </w:t>
      </w:r>
      <w:r>
        <w:rPr>
          <w:iCs/>
          <w:i/>
        </w:rPr>
        <w:t xml:space="preserve">Build:</w:t>
      </w:r>
      <w:r>
        <w:t xml:space="preserve"> </w:t>
      </w:r>
      <w:r>
        <w:t xml:space="preserve">U9 pre-eSign check that the summary box is present.</w:t>
      </w:r>
    </w:p>
    <w:p>
      <w:pPr>
        <w:numPr>
          <w:ilvl w:val="0"/>
          <w:numId w:val="1400"/>
        </w:numPr>
        <w:pStyle w:val="Compact"/>
      </w:pPr>
      <w:r>
        <w:rPr>
          <w:bCs/>
          <w:b/>
        </w:rPr>
        <w:t xml:space="preserve">REQ-RBC-29 Annex I Part 2</w:t>
      </w:r>
      <w:r>
        <w:t xml:space="preserve"> </w:t>
      </w:r>
      <w:r>
        <w:rPr>
          <w:bCs/>
          <w:b/>
        </w:rPr>
        <w:t xml:space="preserve">[RE→UDOFIN contract]</w:t>
      </w:r>
      <w:r>
        <w:t xml:space="preserve"> </w:t>
      </w:r>
      <w:r>
        <w:t xml:space="preserve">Item 3: nodal GRO phone and email (a generic email only if responses come within 1 working day). Item 5: co-lending details (originating RE and share, partner RE and share, blended rate). Item 6: for digital loans, the cooling-off period and the LSP acting as recovery agent.</w:t>
      </w:r>
      <w:r>
        <w:t xml:space="preserve"> </w:t>
      </w:r>
      <w:r>
        <w:rPr>
          <w:iCs/>
          <w:i/>
        </w:rPr>
        <w:t xml:space="preserve">Build:</w:t>
      </w:r>
      <w:r>
        <w:t xml:space="preserve"> </w:t>
      </w:r>
      <w:r>
        <w:t xml:space="preserve">U8 validates these items are populated before display; U13 cannot start recovery contact by Udofin unless Udofin’s role was disclosed in the KFS or notified under CF para 9(6).</w:t>
      </w:r>
    </w:p>
    <w:p>
      <w:pPr>
        <w:pStyle w:val="FirstParagraph"/>
      </w:pPr>
      <w:r>
        <w:rPr>
          <w:bCs/>
          <w:b/>
        </w:rPr>
        <w:t xml:space="preserve">Penal charges (para 30):</w:t>
      </w:r>
    </w:p>
    <w:p>
      <w:pPr>
        <w:numPr>
          <w:ilvl w:val="0"/>
          <w:numId w:val="1401"/>
        </w:numPr>
        <w:pStyle w:val="Compact"/>
      </w:pPr>
      <w:r>
        <w:rPr>
          <w:bCs/>
          <w:b/>
        </w:rPr>
        <w:t xml:space="preserve">REQ-RBC-30</w:t>
      </w:r>
      <w:r>
        <w:t xml:space="preserve"> </w:t>
      </w:r>
      <w:r>
        <w:rPr>
          <w:bCs/>
          <w:b/>
        </w:rPr>
        <w:t xml:space="preserve">[RE]</w:t>
      </w:r>
      <w:r>
        <w:t xml:space="preserve"> </w:t>
      </w:r>
      <w:r>
        <w:t xml:space="preserve">Penal charges only (never penal interest), not capitalised, only on the amount in default, disclosed in the agreement, KFS and website.</w:t>
      </w:r>
      <w:r>
        <w:t xml:space="preserve"> </w:t>
      </w:r>
      <w:r>
        <w:rPr>
          <w:bCs/>
          <w:b/>
        </w:rPr>
        <w:t xml:space="preserve">[RE→UDOFIN contract]</w:t>
      </w:r>
      <w:r>
        <w:t xml:space="preserve"> </w:t>
      </w:r>
      <w:r>
        <w:t xml:space="preserve">Every non-compliance reminder states the applicable penal charges, and each levy and its reason is communicated (30(7)).</w:t>
      </w:r>
      <w:r>
        <w:t xml:space="preserve"> </w:t>
      </w:r>
      <w:r>
        <w:rPr>
          <w:iCs/>
          <w:i/>
        </w:rPr>
        <w:t xml:space="preserve">Build:</w:t>
      </w:r>
      <w:r>
        <w:t xml:space="preserve"> </w:t>
      </w:r>
      <w:r>
        <w:t xml:space="preserve">U16 reminder templates carry a mandatory penal-charge field fed from U2; U12 shows each levy with its reason from the RE; Udofin never computes a penal charge.</w:t>
      </w:r>
    </w:p>
    <w:p>
      <w:pPr>
        <w:pStyle w:val="FirstParagraph"/>
      </w:pPr>
      <w:r>
        <w:rPr>
          <w:bCs/>
          <w:b/>
        </w:rPr>
        <w:t xml:space="preserve">Floating reset, prepayment and release of documents:</w:t>
      </w:r>
    </w:p>
    <w:p>
      <w:pPr>
        <w:numPr>
          <w:ilvl w:val="0"/>
          <w:numId w:val="1402"/>
        </w:numPr>
        <w:pStyle w:val="Compact"/>
      </w:pPr>
      <w:r>
        <w:rPr>
          <w:bCs/>
          <w:b/>
        </w:rPr>
        <w:t xml:space="preserve">REQ-RBC-31</w:t>
      </w:r>
      <w:r>
        <w:t xml:space="preserve"> </w:t>
      </w:r>
      <w:r>
        <w:rPr>
          <w:bCs/>
          <w:b/>
        </w:rPr>
        <w:t xml:space="preserve">[RE]</w:t>
      </w:r>
      <w:r>
        <w:t xml:space="preserve"> </w:t>
      </w:r>
      <w:r>
        <w:t xml:space="preserve">Floating-rate EMI personal loans: EMI/tenor impact at sanction, increases communicated immediately,</w:t>
      </w:r>
      <w:r>
        <w:t xml:space="preserve"> </w:t>
      </w:r>
      <w:r>
        <w:rPr>
          <w:bCs/>
          <w:b/>
        </w:rPr>
        <w:t xml:space="preserve">quarterly statement</w:t>
      </w:r>
      <w:r>
        <w:t xml:space="preserve"> </w:t>
      </w:r>
      <w:r>
        <w:t xml:space="preserve">(31(1), 31(6)).</w:t>
      </w:r>
      <w:r>
        <w:t xml:space="preserve"> </w:t>
      </w:r>
      <w:r>
        <w:rPr>
          <w:iCs/>
          <w:i/>
        </w:rPr>
        <w:t xml:space="preserve">Build:</w:t>
      </w:r>
      <w:r>
        <w:t xml:space="preserve"> </w:t>
      </w:r>
      <w:r>
        <w:t xml:space="preserve">U12 shows the statement; U16 relays notices.</w:t>
      </w:r>
    </w:p>
    <w:p>
      <w:pPr>
        <w:numPr>
          <w:ilvl w:val="0"/>
          <w:numId w:val="1402"/>
        </w:numPr>
        <w:pStyle w:val="Compact"/>
      </w:pPr>
      <w:r>
        <w:rPr>
          <w:bCs/>
          <w:b/>
        </w:rPr>
        <w:t xml:space="preserve">REQ-RBC-34</w:t>
      </w:r>
      <w:r>
        <w:t xml:space="preserve"> </w:t>
      </w:r>
      <w:r>
        <w:rPr>
          <w:bCs/>
          <w:b/>
        </w:rPr>
        <w:t xml:space="preserve">[RE]</w:t>
      </w:r>
      <w:r>
        <w:t xml:space="preserve"> </w:t>
      </w:r>
      <w:r>
        <w:t xml:space="preserve">For loans from 1 Jan 2026: no prepayment charge on floating-rate non-business loans to individuals; on business-purpose floating loans to individuals and MSEs none at UL, and none at ML up to ₹50 lakh; none where the RE initiates prepayment; undisclosed charges not leviable (34(1)–(2), (7)–(8)).</w:t>
      </w:r>
      <w:r>
        <w:t xml:space="preserve"> </w:t>
      </w:r>
      <w:r>
        <w:rPr>
          <w:iCs/>
          <w:i/>
        </w:rPr>
        <w:t xml:space="preserve">Build:</w:t>
      </w:r>
      <w:r>
        <w:t xml:space="preserve"> </w:t>
      </w:r>
      <w:r>
        <w:t xml:space="preserve">U12 shows the RE’s quote and flags any charge absent from the KFS.</w:t>
      </w:r>
    </w:p>
    <w:p>
      <w:pPr>
        <w:numPr>
          <w:ilvl w:val="0"/>
          <w:numId w:val="1402"/>
        </w:numPr>
        <w:pStyle w:val="Compact"/>
      </w:pPr>
      <w:r>
        <w:rPr>
          <w:bCs/>
          <w:b/>
        </w:rPr>
        <w:t xml:space="preserve">REQ-RBC-35–39</w:t>
      </w:r>
      <w:r>
        <w:t xml:space="preserve"> </w:t>
      </w:r>
      <w:r>
        <w:rPr>
          <w:bCs/>
          <w:b/>
        </w:rPr>
        <w:t xml:space="preserve">[RE]</w:t>
      </w:r>
      <w:r>
        <w:t xml:space="preserve"> </w:t>
      </w:r>
      <w:r>
        <w:t xml:space="preserve">Personal loans only (Section F; para 6(11)): original movable or immovable property documents released and charges removed</w:t>
      </w:r>
      <w:r>
        <w:t xml:space="preserve"> </w:t>
      </w:r>
      <w:r>
        <w:rPr>
          <w:bCs/>
          <w:b/>
        </w:rPr>
        <w:t xml:space="preserve">within 30 days</w:t>
      </w:r>
      <w:r>
        <w:t xml:space="preserve"> </w:t>
      </w:r>
      <w:r>
        <w:t xml:space="preserve">of full repayment or settlement, at the branch or office the borrower chooses (35–36); lost documents: duplicates at the RE’s cost and 30 more days (40);</w:t>
      </w:r>
      <w:r>
        <w:t xml:space="preserve"> </w:t>
      </w:r>
      <w:r>
        <w:rPr>
          <w:bCs/>
          <w:b/>
        </w:rPr>
        <w:t xml:space="preserve">₹5,000 per day</w:t>
      </w:r>
      <w:r>
        <w:t xml:space="preserve"> </w:t>
      </w:r>
      <w:r>
        <w:t xml:space="preserve">for RE-attributable delay.</w:t>
      </w:r>
      <w:r>
        <w:t xml:space="preserve"> </w:t>
      </w:r>
      <w:r>
        <w:rPr>
          <w:iCs/>
          <w:i/>
        </w:rPr>
        <w:t xml:space="preserve">Build (Phase 18):</w:t>
      </w:r>
      <w:r>
        <w:t xml:space="preserve"> </w:t>
      </w:r>
      <w:r>
        <w:t xml:space="preserve">U12 relays the borrower’s choice and mirrors the RE’s clock.</w:t>
      </w:r>
    </w:p>
    <w:p>
      <w:pPr>
        <w:numPr>
          <w:ilvl w:val="0"/>
          <w:numId w:val="1402"/>
        </w:numPr>
        <w:pStyle w:val="Compact"/>
      </w:pPr>
      <w:r>
        <w:t xml:space="preserve">Gold and silver collateral (paras 43–75): not applicable unless a gold-loan product is added.</w:t>
      </w:r>
    </w:p>
    <w:p>
      <w:pPr>
        <w:pStyle w:val="FirstParagraph"/>
      </w:pPr>
      <w:r>
        <w:rPr>
          <w:bCs/>
          <w:b/>
        </w:rPr>
        <w:t xml:space="preserve">Microfinance conduct (paras 76–92).</w:t>
      </w:r>
      <w:r>
        <w:t xml:space="preserve"> </w:t>
      </w:r>
      <w:r>
        <w:t xml:space="preserve">Applies to any loan that is a microfinance loan (household income ≤ ₹3 lakh, collateral-free; CF para 51), whatever the product.</w:t>
      </w:r>
    </w:p>
    <w:p>
      <w:pPr>
        <w:numPr>
          <w:ilvl w:val="0"/>
          <w:numId w:val="1403"/>
        </w:numPr>
        <w:pStyle w:val="Compact"/>
      </w:pPr>
      <w:r>
        <w:rPr>
          <w:bCs/>
          <w:b/>
        </w:rPr>
        <w:t xml:space="preserve">REQ-RBC-78–79, 81</w:t>
      </w:r>
      <w:r>
        <w:t xml:space="preserve"> </w:t>
      </w:r>
      <w:r>
        <w:rPr>
          <w:bCs/>
          <w:b/>
        </w:rPr>
        <w:t xml:space="preserve">[RE→UDOFIN contract]</w:t>
      </w:r>
      <w:r>
        <w:t xml:space="preserve"> </w:t>
      </w:r>
      <w:r>
        <w:t xml:space="preserve">Loan card in the borrower’s language (pricing, T&amp;C, repayment acknowledgements, discharge, nodal officer); no prepayment charge.</w:t>
      </w:r>
      <w:r>
        <w:t xml:space="preserve"> </w:t>
      </w:r>
      <w:r>
        <w:rPr>
          <w:iCs/>
          <w:i/>
        </w:rPr>
        <w:t xml:space="preserve">Build:</w:t>
      </w:r>
      <w:r>
        <w:t xml:space="preserve"> </w:t>
      </w:r>
      <w:r>
        <w:t xml:space="preserve">U12 digital loan card from RE data.</w:t>
      </w:r>
    </w:p>
    <w:p>
      <w:pPr>
        <w:numPr>
          <w:ilvl w:val="0"/>
          <w:numId w:val="1403"/>
        </w:numPr>
        <w:pStyle w:val="Compact"/>
      </w:pPr>
      <w:r>
        <w:rPr>
          <w:bCs/>
          <w:b/>
        </w:rPr>
        <w:t xml:space="preserve">REQ-RBC-89</w:t>
      </w:r>
      <w:r>
        <w:t xml:space="preserve"> </w:t>
      </w:r>
      <w:r>
        <w:rPr>
          <w:bCs/>
          <w:b/>
        </w:rPr>
        <w:t xml:space="preserve">[RE→UDOFIN contract]</w:t>
      </w:r>
      <w:r>
        <w:t xml:space="preserve"> </w:t>
      </w:r>
      <w:r>
        <w:t xml:space="preserve">Identify borrowers facing repayment difficulty and guide them on recourse.</w:t>
      </w:r>
      <w:r>
        <w:t xml:space="preserve"> </w:t>
      </w:r>
      <w:r>
        <w:rPr>
          <w:iCs/>
          <w:i/>
        </w:rPr>
        <w:t xml:space="preserve">Build:</w:t>
      </w:r>
      <w:r>
        <w:t xml:space="preserve"> </w:t>
      </w:r>
      <w:r>
        <w:t xml:space="preserve">U12 hardship request type routed to the RE.</w:t>
      </w:r>
    </w:p>
    <w:p>
      <w:pPr>
        <w:numPr>
          <w:ilvl w:val="0"/>
          <w:numId w:val="1403"/>
        </w:numPr>
        <w:pStyle w:val="Compact"/>
      </w:pPr>
      <w:r>
        <w:rPr>
          <w:bCs/>
          <w:b/>
        </w:rPr>
        <w:t xml:space="preserve">REQ-RBC-90–91</w:t>
      </w:r>
      <w:r>
        <w:t xml:space="preserve"> </w:t>
      </w:r>
      <w:r>
        <w:rPr>
          <w:bCs/>
          <w:b/>
        </w:rPr>
        <w:t xml:space="preserve">[RE→UDOFIN contract]</w:t>
      </w:r>
      <w:r>
        <w:t xml:space="preserve"> </w:t>
      </w:r>
      <w:r>
        <w:t xml:space="preserve">Recovery at a mutually designated place; residence or workplace only after</w:t>
      </w:r>
      <w:r>
        <w:t xml:space="preserve"> </w:t>
      </w:r>
      <w:r>
        <w:rPr>
          <w:bCs/>
          <w:b/>
        </w:rPr>
        <w:t xml:space="preserve">two or more successive</w:t>
      </w:r>
      <w:r>
        <w:t xml:space="preserve"> </w:t>
      </w:r>
      <w:r>
        <w:t xml:space="preserve">failures to appear; harsh methods banned, including calls</w:t>
      </w:r>
      <w:r>
        <w:t xml:space="preserve"> </w:t>
      </w:r>
      <w:r>
        <w:rPr>
          <w:bCs/>
          <w:b/>
        </w:rPr>
        <w:t xml:space="preserve">before 09:00 or after 18:00</w:t>
      </w:r>
      <w:r>
        <w:t xml:space="preserve">, persistent calls, harassing relatives or co-workers, publishing names.</w:t>
      </w:r>
      <w:r>
        <w:t xml:space="preserve"> </w:t>
      </w:r>
      <w:r>
        <w:rPr>
          <w:iCs/>
          <w:i/>
        </w:rPr>
        <w:t xml:space="preserve">Build:</w:t>
      </w:r>
      <w:r>
        <w:t xml:space="preserve"> </w:t>
      </w:r>
      <w:r>
        <w:t xml:space="preserve">U13 contact policy keyed on the microfinance flag (09:00–18:00 window, visit-location rule).</w:t>
      </w:r>
    </w:p>
    <w:p>
      <w:pPr>
        <w:numPr>
          <w:ilvl w:val="0"/>
          <w:numId w:val="1403"/>
        </w:numPr>
        <w:pStyle w:val="Compact"/>
      </w:pPr>
      <w:r>
        <w:rPr>
          <w:bCs/>
          <w:b/>
        </w:rPr>
        <w:t xml:space="preserve">REQ-RBC-92</w:t>
      </w:r>
      <w:r>
        <w:t xml:space="preserve"> </w:t>
      </w:r>
      <w:r>
        <w:rPr>
          <w:bCs/>
          <w:b/>
        </w:rPr>
        <w:t xml:space="preserve">[RE]</w:t>
      </w:r>
      <w:r>
        <w:t xml:space="preserve"> </w:t>
      </w:r>
      <w:r>
        <w:t xml:space="preserve">Dedicated recovery-grievance mechanism, details given at disbursal.</w:t>
      </w:r>
      <w:r>
        <w:t xml:space="preserve"> </w:t>
      </w:r>
      <w:r>
        <w:rPr>
          <w:iCs/>
          <w:i/>
        </w:rPr>
        <w:t xml:space="preserve">Build:</w:t>
      </w:r>
      <w:r>
        <w:t xml:space="preserve"> </w:t>
      </w:r>
      <w:r>
        <w:t xml:space="preserve">U15 recovery-grievance category; U10 disbursal notice carries the details.</w:t>
      </w:r>
    </w:p>
    <w:p>
      <w:pPr>
        <w:pStyle w:val="FirstParagraph"/>
      </w:pPr>
      <w:r>
        <w:rPr>
          <w:bCs/>
          <w:b/>
        </w:rPr>
        <w:t xml:space="preserve">Recovery agents, DSAs, DMAs and telemarketers (paras 93–101).</w:t>
      </w:r>
      <w:r>
        <w:t xml:space="preserve"> </w:t>
      </w:r>
      <w:r>
        <w:t xml:space="preserve">Apply to Udofin only where an RE appoints Udofin (or its agency) as recovery agent, or uses Udofin for sourcing calls. Paras 93–97 sit in Section H (microfinance) but CF para 6(5) applies RBC to any LSP recovery agent [interpretation: apply 94–97 to all products].</w:t>
      </w:r>
    </w:p>
    <w:p>
      <w:pPr>
        <w:numPr>
          <w:ilvl w:val="0"/>
          <w:numId w:val="1404"/>
        </w:numPr>
        <w:pStyle w:val="Compact"/>
      </w:pPr>
      <w:r>
        <w:rPr>
          <w:bCs/>
          <w:b/>
        </w:rPr>
        <w:t xml:space="preserve">REQ-RBC-94</w:t>
      </w:r>
      <w:r>
        <w:t xml:space="preserve"> </w:t>
      </w:r>
      <w:r>
        <w:rPr>
          <w:bCs/>
          <w:b/>
        </w:rPr>
        <w:t xml:space="preserve">[RE→UDOFIN contract]</w:t>
      </w:r>
      <w:r>
        <w:t xml:space="preserve"> </w:t>
      </w:r>
      <w:r>
        <w:t xml:space="preserve">Due diligence covering individuals; antecedent</w:t>
      </w:r>
      <w:r>
        <w:t xml:space="preserve"> </w:t>
      </w:r>
      <w:r>
        <w:rPr>
          <w:bCs/>
          <w:b/>
        </w:rPr>
        <w:t xml:space="preserve">and police verification</w:t>
      </w:r>
      <w:r>
        <w:t xml:space="preserve"> </w:t>
      </w:r>
      <w:r>
        <w:t xml:space="preserve">of every recovery employee; re-verification at the RE-set periodicity.</w:t>
      </w:r>
      <w:r>
        <w:t xml:space="preserve"> </w:t>
      </w:r>
      <w:r>
        <w:rPr>
          <w:iCs/>
          <w:i/>
        </w:rPr>
        <w:t xml:space="preserve">Build:</w:t>
      </w:r>
      <w:r>
        <w:t xml:space="preserve"> </w:t>
      </w:r>
      <w:r>
        <w:t xml:space="preserve">U13 agent register with verification evidence and expiry; an agent without current verification cannot be allocated a case.</w:t>
      </w:r>
    </w:p>
    <w:p>
      <w:pPr>
        <w:numPr>
          <w:ilvl w:val="0"/>
          <w:numId w:val="1404"/>
        </w:numPr>
        <w:pStyle w:val="Compact"/>
      </w:pPr>
      <w:r>
        <w:rPr>
          <w:bCs/>
          <w:b/>
        </w:rPr>
        <w:t xml:space="preserve">REQ-RBC-95–96</w:t>
      </w:r>
      <w:r>
        <w:t xml:space="preserve"> </w:t>
      </w:r>
      <w:r>
        <w:rPr>
          <w:bCs/>
          <w:b/>
        </w:rPr>
        <w:t xml:space="preserve">[RE→UDOFIN contract]</w:t>
      </w:r>
      <w:r>
        <w:t xml:space="preserve"> </w:t>
      </w:r>
      <w:r>
        <w:t xml:space="preserve">Agent details given to the borrower when recovery starts; the agent carries the RE’s notice, authorisation letter and ID card; on a change of agency the borrower is notified; notice and letter include the contact details of the agency and the RE.</w:t>
      </w:r>
      <w:r>
        <w:t xml:space="preserve"> </w:t>
      </w:r>
      <w:r>
        <w:rPr>
          <w:iCs/>
          <w:i/>
        </w:rPr>
        <w:t xml:space="preserve">Build:</w:t>
      </w:r>
      <w:r>
        <w:t xml:space="preserve"> </w:t>
      </w:r>
      <w:r>
        <w:t xml:space="preserve">U13 generates the notice and RE-signed authorisation letter per case; U16 sends agent particulars by email/SMS before first contact (CF para 9(6)); U22 shows the digital ID and letter to the borrower on request.</w:t>
      </w:r>
    </w:p>
    <w:p>
      <w:pPr>
        <w:numPr>
          <w:ilvl w:val="0"/>
          <w:numId w:val="1404"/>
        </w:numPr>
        <w:pStyle w:val="Compact"/>
      </w:pPr>
      <w:r>
        <w:rPr>
          <w:bCs/>
          <w:b/>
        </w:rPr>
        <w:t xml:space="preserve">REQ-RBC-97</w:t>
      </w:r>
      <w:r>
        <w:t xml:space="preserve"> </w:t>
      </w:r>
      <w:r>
        <w:rPr>
          <w:bCs/>
          <w:b/>
        </w:rPr>
        <w:t xml:space="preserve">[RE]</w:t>
      </w:r>
      <w:r>
        <w:t xml:space="preserve"> </w:t>
      </w:r>
      <w:r>
        <w:t xml:space="preserve">Up-to-date list of recovery agencies on the RE website.</w:t>
      </w:r>
      <w:r>
        <w:t xml:space="preserve"> </w:t>
      </w:r>
      <w:r>
        <w:rPr>
          <w:iCs/>
          <w:i/>
        </w:rPr>
        <w:t xml:space="preserve">Build:</w:t>
      </w:r>
      <w:r>
        <w:t xml:space="preserve"> </w:t>
      </w:r>
      <w:r>
        <w:t xml:space="preserve">U19 feed of Udofin’s active agencies per RE.</w:t>
      </w:r>
    </w:p>
    <w:p>
      <w:pPr>
        <w:numPr>
          <w:ilvl w:val="0"/>
          <w:numId w:val="1404"/>
        </w:numPr>
        <w:pStyle w:val="Compact"/>
      </w:pPr>
      <w:r>
        <w:rPr>
          <w:bCs/>
          <w:b/>
        </w:rPr>
        <w:t xml:space="preserve">REQ-RBC-98–99</w:t>
      </w:r>
      <w:r>
        <w:t xml:space="preserve"> </w:t>
      </w:r>
      <w:r>
        <w:rPr>
          <w:bCs/>
          <w:b/>
        </w:rPr>
        <w:t xml:space="preserve">[RE→UDOFIN contract]</w:t>
      </w:r>
      <w:r>
        <w:t xml:space="preserve"> </w:t>
      </w:r>
      <w:r>
        <w:t xml:space="preserve">Training on soliciting, calling hours, privacy and correct T&amp;C; code-of-conduct undertaking; adherence to the FPC and the RE’s collection and repossession code; strict confidentiality.</w:t>
      </w:r>
      <w:r>
        <w:t xml:space="preserve"> </w:t>
      </w:r>
      <w:r>
        <w:rPr>
          <w:iCs/>
          <w:i/>
        </w:rPr>
        <w:t xml:space="preserve">Build:</w:t>
      </w:r>
      <w:r>
        <w:t xml:space="preserve"> </w:t>
      </w:r>
      <w:r>
        <w:t xml:space="preserve">U18 training and undertaking records per agent; U13 blocks allocation without both.</w:t>
      </w:r>
    </w:p>
    <w:p>
      <w:pPr>
        <w:numPr>
          <w:ilvl w:val="0"/>
          <w:numId w:val="1404"/>
        </w:numPr>
        <w:pStyle w:val="Compact"/>
      </w:pPr>
      <w:r>
        <w:rPr>
          <w:bCs/>
          <w:b/>
        </w:rPr>
        <w:t xml:space="preserve">REQ-RBC-100</w:t>
      </w:r>
      <w:r>
        <w:t xml:space="preserve"> </w:t>
      </w:r>
      <w:r>
        <w:rPr>
          <w:bCs/>
          <w:b/>
        </w:rPr>
        <w:t xml:space="preserve">[RE→UDOFIN contract]</w:t>
      </w:r>
      <w:r>
        <w:t xml:space="preserve"> </w:t>
      </w:r>
      <w:r>
        <w:t xml:space="preserve">No intimidation or harassment: public humiliation, intrusion on family, referees or friends, inappropriate mobile or social-media messages, threatening or anonymous calls, persistent calls,</w:t>
      </w:r>
      <w:r>
        <w:t xml:space="preserve"> </w:t>
      </w:r>
      <w:r>
        <w:rPr>
          <w:bCs/>
          <w:b/>
        </w:rPr>
        <w:t xml:space="preserve">recovery calls before 08:00 or after 19:00</w:t>
      </w:r>
      <w:r>
        <w:t xml:space="preserve">, false representations. Not applicable to microfinance loans (paras 90–91 apply instead).</w:t>
      </w:r>
      <w:r>
        <w:t xml:space="preserve"> </w:t>
      </w:r>
      <w:r>
        <w:rPr>
          <w:iCs/>
          <w:i/>
        </w:rPr>
        <w:t xml:space="preserve">Build:</w:t>
      </w:r>
      <w:r>
        <w:t xml:space="preserve"> </w:t>
      </w:r>
      <w:r>
        <w:t xml:space="preserve">U13/U16 enforce the window in the borrower’s local time on every channel, an RE-set frequency cap per day and week, registered caller IDs only, and no contact with any person other than the borrower and recorded co-obligants. Udofin cannot reach references or contacts in any case (CF para 13(1)). All recovery calls are recorded with a disclosure, retained per the RE contract; from 1 Jan 2027 call time and count are logged and calls recorded with disclosure, kept at least 6 months or until disposal if sub judice (Third Amendment para 100P) [VERIFY: official text not supplied]; before then recording is a recommendation.</w:t>
      </w:r>
    </w:p>
    <w:p>
      <w:pPr>
        <w:numPr>
          <w:ilvl w:val="0"/>
          <w:numId w:val="1404"/>
        </w:numPr>
        <w:pStyle w:val="Compact"/>
      </w:pPr>
      <w:r>
        <w:rPr>
          <w:bCs/>
          <w:b/>
        </w:rPr>
        <w:t xml:space="preserve">REQ-RBC-101</w:t>
      </w:r>
      <w:r>
        <w:t xml:space="preserve"> </w:t>
      </w:r>
      <w:r>
        <w:rPr>
          <w:bCs/>
          <w:b/>
        </w:rPr>
        <w:t xml:space="preserve">[RE→UDOFIN contract]</w:t>
      </w:r>
      <w:r>
        <w:t xml:space="preserve"> </w:t>
      </w:r>
      <w:r>
        <w:t xml:space="preserve">Only DoT/TRAI-registered telemarketers; the RE files the list and numbers with TRAI.</w:t>
      </w:r>
      <w:r>
        <w:t xml:space="preserve"> </w:t>
      </w:r>
      <w:r>
        <w:rPr>
          <w:iCs/>
          <w:i/>
        </w:rPr>
        <w:t xml:space="preserve">Build:</w:t>
      </w:r>
      <w:r>
        <w:t xml:space="preserve"> </w:t>
      </w:r>
      <w:r>
        <w:t xml:space="preserve">U16 places promotional and sourcing calls only from registered numbers and headers under the TRAI framework [VERIFY: current TRAI telecom commercial communications regulations], checks consent and preference before each call, and supplies its number list to each RE.</w:t>
      </w:r>
    </w:p>
    <w:p>
      <w:pPr>
        <w:pStyle w:val="FirstParagraph"/>
      </w:pPr>
      <w:r>
        <w:rPr>
          <w:bCs/>
          <w:b/>
        </w:rPr>
        <w:t xml:space="preserve">Miscellaneous (paras 102–105):</w:t>
      </w:r>
    </w:p>
    <w:p>
      <w:pPr>
        <w:numPr>
          <w:ilvl w:val="0"/>
          <w:numId w:val="1405"/>
        </w:numPr>
        <w:pStyle w:val="Compact"/>
      </w:pPr>
      <w:r>
        <w:rPr>
          <w:bCs/>
          <w:b/>
        </w:rPr>
        <w:t xml:space="preserve">REQ-RBC-103</w:t>
      </w:r>
      <w:r>
        <w:t xml:space="preserve"> </w:t>
      </w:r>
      <w:r>
        <w:rPr>
          <w:bCs/>
          <w:b/>
        </w:rPr>
        <w:t xml:space="preserve">[RE]</w:t>
      </w:r>
      <w:r>
        <w:t xml:space="preserve"> </w:t>
      </w:r>
      <w:r>
        <w:t xml:space="preserve">All transactions rounded to the nearest rupee (50 paise and above up; below 50 paise ignored).</w:t>
      </w:r>
      <w:r>
        <w:t xml:space="preserve"> </w:t>
      </w:r>
      <w:r>
        <w:rPr>
          <w:iCs/>
          <w:i/>
        </w:rPr>
        <w:t xml:space="preserve">Build:</w:t>
      </w:r>
      <w:r>
        <w:t xml:space="preserve"> </w:t>
      </w:r>
      <w:r>
        <w:t xml:space="preserve">U11 and U12 display and request only RE-posted rupee amounts; Udofin never re-rounds.</w:t>
      </w:r>
    </w:p>
    <w:p>
      <w:pPr>
        <w:numPr>
          <w:ilvl w:val="0"/>
          <w:numId w:val="1405"/>
        </w:numPr>
        <w:pStyle w:val="Compact"/>
      </w:pPr>
      <w:r>
        <w:rPr>
          <w:bCs/>
          <w:b/>
        </w:rPr>
        <w:t xml:space="preserve">REQ-RBC-105</w:t>
      </w:r>
      <w:r>
        <w:t xml:space="preserve"> </w:t>
      </w:r>
      <w:r>
        <w:rPr>
          <w:bCs/>
          <w:b/>
        </w:rPr>
        <w:t xml:space="preserve">[RE→UDOFIN contract]</w:t>
      </w:r>
      <w:r>
        <w:t xml:space="preserve"> </w:t>
      </w:r>
      <w:r>
        <w:t xml:space="preserve">Comply with the Supreme Court order of 30 Apr 2025 (Pragya Prasun; Amar Jain) [VERIFY: order text not reproduced; understood to concern accessible digital KYC for persons with disabilities].</w:t>
      </w:r>
      <w:r>
        <w:t xml:space="preserve"> </w:t>
      </w:r>
      <w:r>
        <w:rPr>
          <w:iCs/>
          <w:i/>
        </w:rPr>
        <w:t xml:space="preserve">Build:</w:t>
      </w:r>
      <w:r>
        <w:t xml:space="preserve"> </w:t>
      </w:r>
      <w:r>
        <w:t xml:space="preserve">U5 offers non-blink liveness and assisted alternatives; no hard fail on a single biometric or gesture check.</w:t>
      </w:r>
    </w:p>
    <w:p>
      <w:r>
        <w:pict>
          <v:rect style="width:0;height:1.5pt" o:hralign="center" o:hrstd="t" o:hr="t"/>
        </w:pict>
      </w:r>
    </w:p>
    <w:bookmarkEnd w:id="455"/>
    <w:bookmarkStart w:id="456" w:name="X256c8295a2104f33c5edcc762793a6c9db10c85"/>
    <w:p>
      <w:pPr>
        <w:pStyle w:val="Heading2"/>
      </w:pPr>
      <w:r>
        <w:t xml:space="preserve">8A.7 OUT — Managing Risks in Outsourcing Directions (363)</w:t>
      </w:r>
    </w:p>
    <w:p>
      <w:pPr>
        <w:pStyle w:val="FirstParagraph"/>
      </w:pPr>
      <w:r>
        <w:rPr>
          <w:bCs/>
          <w:b/>
        </w:rPr>
        <w:t xml:space="preserve">Applicability to Udofin: through the RE’s contract.</w:t>
      </w:r>
      <w:r>
        <w:t xml:space="preserve"> </w:t>
      </w:r>
      <w:r>
        <w:t xml:space="preserve">OUT binds NBFC and HFC REs (para 3(1)); BL REs apply all but Chapter IV and the IT-specific parts of Chapter II; ML and above apply all (3(2)). Udofin is a service provider. Its sourcing, application processing (loan origination), document processing, marketing, loan supervision, data processing and back-office work is</w:t>
      </w:r>
      <w:r>
        <w:t xml:space="preserve"> </w:t>
      </w:r>
      <w:r>
        <w:rPr>
          <w:bCs/>
          <w:b/>
        </w:rPr>
        <w:t xml:space="preserve">outsourcing of financial services under Chapter III</w:t>
      </w:r>
      <w:r>
        <w:t xml:space="preserve"> </w:t>
      </w:r>
      <w:r>
        <w:t xml:space="preserve">(para 4(1)); co-branded fintech applications fall under Chapter III (58(3)(iii)). The RE assesses materiality (para 14); a channel that originates and services a digital portfolio will usually be material [interpretation]. Where an ML-or-above RE also uses Udofin’s hosted lender portal and data services, the RE may treat that as material IT outsourcing under Chapter IV (5(1)(iii)–(v), 58(2)) [interpretation; the RE decides].</w:t>
      </w:r>
      <w:r>
        <w:t xml:space="preserve"> </w:t>
      </w:r>
      <w:r>
        <w:rPr>
          <w:bCs/>
          <w:b/>
        </w:rPr>
        <w:t xml:space="preserve">Design every arrangement to Chapter III and Chapter IV standards.</w:t>
      </w:r>
      <w:r>
        <w:t xml:space="preserve"> </w:t>
      </w:r>
      <w:r>
        <w:t xml:space="preserve">Existing IT agreements had to comply at renewal or by 10 Apr 2026, whichever was earlier (para 2); that deadline has passed. CF para 6(6)–(7) adds that the RE ensures its LSPs and DLAs comply with OUT and stays liable for all LSP acts and omissions. Bank REs: bank outsourcing Directions apply [VERIFY: not supplied].</w:t>
      </w:r>
    </w:p>
    <w:p>
      <w:pPr>
        <w:pStyle w:val="BodyText"/>
      </w:pPr>
      <w:r>
        <w:rPr>
          <w:bCs/>
          <w:b/>
        </w:rPr>
        <w:t xml:space="preserve">Functions Udofin must never perform (para 15):</w:t>
      </w:r>
    </w:p>
    <w:p>
      <w:pPr>
        <w:numPr>
          <w:ilvl w:val="0"/>
          <w:numId w:val="1406"/>
        </w:numPr>
        <w:pStyle w:val="Compact"/>
      </w:pPr>
      <w:r>
        <w:rPr>
          <w:bCs/>
          <w:b/>
        </w:rPr>
        <w:t xml:space="preserve">REQ-OUT-15</w:t>
      </w:r>
      <w:r>
        <w:t xml:space="preserve"> </w:t>
      </w:r>
      <w:r>
        <w:rPr>
          <w:bCs/>
          <w:b/>
        </w:rPr>
        <w:t xml:space="preserve">[UDOFIN]</w:t>
      </w:r>
      <w:r>
        <w:t xml:space="preserve"> </w:t>
      </w:r>
      <w:r>
        <w:t xml:space="preserve">Udofin never performs or appears to perform the RE’s compliance function, internal audit,</w:t>
      </w:r>
      <w:r>
        <w:t xml:space="preserve"> </w:t>
      </w:r>
      <w:r>
        <w:rPr>
          <w:bCs/>
          <w:b/>
        </w:rPr>
        <w:t xml:space="preserve">KYC-compliance decision</w:t>
      </w:r>
      <w:r>
        <w:t xml:space="preserve"> </w:t>
      </w:r>
      <w:r>
        <w:t xml:space="preserve">or</w:t>
      </w:r>
      <w:r>
        <w:t xml:space="preserve"> </w:t>
      </w:r>
      <w:r>
        <w:rPr>
          <w:bCs/>
          <w:b/>
        </w:rPr>
        <w:t xml:space="preserve">loan sanction</w:t>
      </w:r>
      <w:r>
        <w:t xml:space="preserve"> </w:t>
      </w:r>
      <w:r>
        <w:t xml:space="preserve">(OUT 15 names KYC compliance only for opening deposit accounts; KYC para 13 bars outsourcing the KYC-compliance decision generally).</w:t>
      </w:r>
      <w:r>
        <w:t xml:space="preserve"> </w:t>
      </w:r>
      <w:r>
        <w:rPr>
          <w:iCs/>
          <w:i/>
        </w:rPr>
        <w:t xml:space="preserve">Build:</w:t>
      </w:r>
      <w:r>
        <w:t xml:space="preserve"> </w:t>
      </w:r>
      <w:r>
        <w:t xml:space="preserve">U5 produces evidence and a recommendation, never a KYC decision; U7 routing and indicative eligibility are labelled as non-binding; no Udofin role can set a sanction, KYC-decision or classification state; a test proves these states arrive only by RE events (U21).</w:t>
      </w:r>
    </w:p>
    <w:p>
      <w:pPr>
        <w:pStyle w:val="FirstParagraph"/>
      </w:pPr>
      <w:r>
        <w:rPr>
          <w:bCs/>
          <w:b/>
        </w:rPr>
        <w:t xml:space="preserve">Accountability and ownership (paras 9, 17–19, 59):</w:t>
      </w:r>
    </w:p>
    <w:p>
      <w:pPr>
        <w:numPr>
          <w:ilvl w:val="0"/>
          <w:numId w:val="1407"/>
        </w:numPr>
        <w:pStyle w:val="Compact"/>
      </w:pPr>
      <w:r>
        <w:rPr>
          <w:bCs/>
          <w:b/>
        </w:rPr>
        <w:t xml:space="preserve">REQ-OUT-17</w:t>
      </w:r>
      <w:r>
        <w:t xml:space="preserve"> </w:t>
      </w:r>
      <w:r>
        <w:rPr>
          <w:bCs/>
          <w:b/>
        </w:rPr>
        <w:t xml:space="preserve">[RE]</w:t>
      </w:r>
      <w:r>
        <w:t xml:space="preserve"> </w:t>
      </w:r>
      <w:r>
        <w:t xml:space="preserve">The RE remains responsible for Udofin’s actions, including DSA/DMA and recovery-agent activity, and keeps ultimate control.</w:t>
      </w:r>
      <w:r>
        <w:t xml:space="preserve"> </w:t>
      </w:r>
      <w:r>
        <w:rPr>
          <w:iCs/>
          <w:i/>
        </w:rPr>
        <w:t xml:space="preserve">Build:</w:t>
      </w:r>
      <w:r>
        <w:t xml:space="preserve"> </w:t>
      </w:r>
      <w:r>
        <w:t xml:space="preserve">U1 gives each RE a suspension switch per product, channel and activity (sourcing, servicing, recovery); U2 lets the RE withdraw any template or script immediately.</w:t>
      </w:r>
    </w:p>
    <w:p>
      <w:pPr>
        <w:numPr>
          <w:ilvl w:val="0"/>
          <w:numId w:val="1407"/>
        </w:numPr>
        <w:pStyle w:val="Compact"/>
      </w:pPr>
      <w:r>
        <w:rPr>
          <w:bCs/>
          <w:b/>
        </w:rPr>
        <w:t xml:space="preserve">REQ-OUT-18(vi), 59</w:t>
      </w:r>
      <w:r>
        <w:t xml:space="preserve"> </w:t>
      </w:r>
      <w:r>
        <w:rPr>
          <w:bCs/>
          <w:b/>
        </w:rPr>
        <w:t xml:space="preserve">[RE→UDOFIN contract]</w:t>
      </w:r>
      <w:r>
        <w:t xml:space="preserve"> </w:t>
      </w:r>
      <w:r>
        <w:t xml:space="preserve">A non-group provider may not be owned or controlled by an RE director or relative (18(vi), no exception); for IT outsourcing, also not by the RE’s KMP, the arrangement approver or their relatives, unless the Board or a Board committee grants an exception with disclosure, oversight and monitoring (59 proviso; 13(iv)).</w:t>
      </w:r>
      <w:r>
        <w:t xml:space="preserve"> </w:t>
      </w:r>
      <w:r>
        <w:rPr>
          <w:iCs/>
          <w:i/>
        </w:rPr>
        <w:t xml:space="preserve">Build:</w:t>
      </w:r>
      <w:r>
        <w:t xml:space="preserve"> </w:t>
      </w:r>
      <w:r>
        <w:t xml:space="preserve">U1 conflict declaration at onboarding and annually, listing Infrabyx shareholders, directors and KMP for the RE to test.</w:t>
      </w:r>
    </w:p>
    <w:p>
      <w:pPr>
        <w:numPr>
          <w:ilvl w:val="0"/>
          <w:numId w:val="1407"/>
        </w:numPr>
        <w:pStyle w:val="Compact"/>
      </w:pPr>
      <w:r>
        <w:rPr>
          <w:bCs/>
          <w:b/>
        </w:rPr>
        <w:t xml:space="preserve">REQ-OUT-19</w:t>
      </w:r>
      <w:r>
        <w:t xml:space="preserve"> </w:t>
      </w:r>
      <w:r>
        <w:rPr>
          <w:bCs/>
          <w:b/>
        </w:rPr>
        <w:t xml:space="preserve">[RE]</w:t>
      </w:r>
      <w:r>
        <w:t xml:space="preserve"> </w:t>
      </w:r>
      <w:r>
        <w:t xml:space="preserve">CTR/STR remain the RE’s.</w:t>
      </w:r>
      <w:r>
        <w:t xml:space="preserve"> </w:t>
      </w:r>
      <w:r>
        <w:rPr>
          <w:iCs/>
          <w:i/>
        </w:rPr>
        <w:t xml:space="preserve">Build:</w:t>
      </w:r>
      <w:r>
        <w:t xml:space="preserve"> </w:t>
      </w:r>
      <w:r>
        <w:t xml:space="preserve">U24 forwards suspicious-activity indicators to the RE; Udofin files nothing to FIU-IND on the RE’s behalf.</w:t>
      </w:r>
    </w:p>
    <w:p>
      <w:pPr>
        <w:pStyle w:val="FirstParagraph"/>
      </w:pPr>
      <w:r>
        <w:rPr>
          <w:bCs/>
          <w:b/>
        </w:rPr>
        <w:t xml:space="preserve">Confidentiality and security (paras 23–28, 68–70):</w:t>
      </w:r>
    </w:p>
    <w:p>
      <w:pPr>
        <w:numPr>
          <w:ilvl w:val="0"/>
          <w:numId w:val="1408"/>
        </w:numPr>
        <w:pStyle w:val="Compact"/>
      </w:pPr>
      <w:r>
        <w:rPr>
          <w:bCs/>
          <w:b/>
        </w:rPr>
        <w:t xml:space="preserve">REQ-OUT-24, 69(i)</w:t>
      </w:r>
      <w:r>
        <w:t xml:space="preserve"> </w:t>
      </w:r>
      <w:r>
        <w:rPr>
          <w:bCs/>
          <w:b/>
        </w:rPr>
        <w:t xml:space="preserve">[UDOFIN]</w:t>
      </w:r>
      <w:r>
        <w:t xml:space="preserve"> </w:t>
      </w:r>
      <w:r>
        <w:t xml:space="preserve">Need-to-know access to customer information.</w:t>
      </w:r>
      <w:r>
        <w:t xml:space="preserve"> </w:t>
      </w:r>
      <w:r>
        <w:rPr>
          <w:iCs/>
          <w:i/>
        </w:rPr>
        <w:t xml:space="preserve">Build:</w:t>
      </w:r>
      <w:r>
        <w:t xml:space="preserve"> </w:t>
      </w:r>
      <w:r>
        <w:t xml:space="preserve">U23 role model scoped to RE and purpose; access reviews quarterly [recommendation].</w:t>
      </w:r>
    </w:p>
    <w:p>
      <w:pPr>
        <w:numPr>
          <w:ilvl w:val="0"/>
          <w:numId w:val="1408"/>
        </w:numPr>
        <w:pStyle w:val="Compact"/>
      </w:pPr>
      <w:r>
        <w:rPr>
          <w:bCs/>
          <w:b/>
        </w:rPr>
        <w:t xml:space="preserve">REQ-OUT-26–27, 70</w:t>
      </w:r>
      <w:r>
        <w:t xml:space="preserve"> </w:t>
      </w:r>
      <w:r>
        <w:rPr>
          <w:bCs/>
          <w:b/>
        </w:rPr>
        <w:t xml:space="preserve">[UDOFIN]</w:t>
      </w:r>
      <w:r>
        <w:t xml:space="preserve"> </w:t>
      </w:r>
      <w:r>
        <w:t xml:space="preserve">No commingling; each RE’s customer data isolated and identifiable; in a multi-tenant system, clear separation so only RE-authorised personnel access its data.</w:t>
      </w:r>
      <w:r>
        <w:t xml:space="preserve"> </w:t>
      </w:r>
      <w:r>
        <w:rPr>
          <w:iCs/>
          <w:i/>
        </w:rPr>
        <w:t xml:space="preserve">Build:</w:t>
      </w:r>
      <w:r>
        <w:t xml:space="preserve"> </w:t>
      </w:r>
      <w:r>
        <w:t xml:space="preserve">PostgreSQL RLS by RE on every RE-scoped table (U1); borrower data shared with an RE only within the consent scope (U4); isolation tests in CI.</w:t>
      </w:r>
    </w:p>
    <w:p>
      <w:pPr>
        <w:numPr>
          <w:ilvl w:val="0"/>
          <w:numId w:val="1408"/>
        </w:numPr>
        <w:pStyle w:val="Compact"/>
      </w:pPr>
      <w:r>
        <w:rPr>
          <w:bCs/>
          <w:b/>
        </w:rPr>
        <w:t xml:space="preserve">REQ-OUT-25, 28, 69(iii)</w:t>
      </w:r>
      <w:r>
        <w:t xml:space="preserve"> </w:t>
      </w:r>
      <w:r>
        <w:rPr>
          <w:bCs/>
          <w:b/>
        </w:rPr>
        <w:t xml:space="preserve">[RE→UDOFIN contract]</w:t>
      </w:r>
      <w:r>
        <w:t xml:space="preserve"> </w:t>
      </w:r>
      <w:r>
        <w:t xml:space="preserve">Udofin discloses security breaches; the RE notifies RBI</w:t>
      </w:r>
      <w:r>
        <w:t xml:space="preserve"> </w:t>
      </w:r>
      <w:r>
        <w:rPr>
          <w:bCs/>
          <w:b/>
        </w:rPr>
        <w:t xml:space="preserve">immediately</w:t>
      </w:r>
      <w:r>
        <w:t xml:space="preserve"> </w:t>
      </w:r>
      <w:r>
        <w:t xml:space="preserve">of any breach or leakage of customer information and is liable to customers.</w:t>
      </w:r>
      <w:r>
        <w:t xml:space="preserve"> </w:t>
      </w:r>
      <w:r>
        <w:rPr>
          <w:iCs/>
          <w:i/>
        </w:rPr>
        <w:t xml:space="preserve">Build:</w:t>
      </w:r>
      <w:r>
        <w:t xml:space="preserve"> </w:t>
      </w:r>
      <w:r>
        <w:t xml:space="preserve">U24 breach workflow notifies every affected RE immediately on detection, within the 2-hour target (REQ-OUT-61), without waiting for confirmation.</w:t>
      </w:r>
    </w:p>
    <w:p>
      <w:pPr>
        <w:numPr>
          <w:ilvl w:val="0"/>
          <w:numId w:val="1408"/>
        </w:numPr>
        <w:pStyle w:val="Compact"/>
      </w:pPr>
      <w:r>
        <w:rPr>
          <w:bCs/>
          <w:b/>
        </w:rPr>
        <w:t xml:space="preserve">REQ-OUT-61</w:t>
      </w:r>
      <w:r>
        <w:t xml:space="preserve"> </w:t>
      </w:r>
      <w:r>
        <w:rPr>
          <w:bCs/>
          <w:b/>
        </w:rPr>
        <w:t xml:space="preserve">[RE→UDOFIN contract]</w:t>
      </w:r>
      <w:r>
        <w:t xml:space="preserve"> </w:t>
      </w:r>
      <w:r>
        <w:t xml:space="preserve">Cyber incidents reported to the RE without undue delay, so the RE can report to RBI</w:t>
      </w:r>
      <w:r>
        <w:t xml:space="preserve"> </w:t>
      </w:r>
      <w:r>
        <w:rPr>
          <w:bCs/>
          <w:b/>
        </w:rPr>
        <w:t xml:space="preserve">within 6 hours of detection by the service provider</w:t>
      </w:r>
      <w:r>
        <w:t xml:space="preserve">.</w:t>
      </w:r>
      <w:r>
        <w:t xml:space="preserve"> </w:t>
      </w:r>
      <w:r>
        <w:rPr>
          <w:iCs/>
          <w:i/>
        </w:rPr>
        <w:t xml:space="preserve">Build:</w:t>
      </w:r>
      <w:r>
        <w:t xml:space="preserve"> </w:t>
      </w:r>
      <w:r>
        <w:t xml:space="preserve">U24 incident record with detection timestamp; notification to each affected RE within 2 hours of Udofin’s detection [recommendation; internal target]; initial report fields aligned to DAKSH (8A.8).</w:t>
      </w:r>
    </w:p>
    <w:p>
      <w:pPr>
        <w:pStyle w:val="FirstParagraph"/>
      </w:pPr>
      <w:r>
        <w:rPr>
          <w:bCs/>
          <w:b/>
        </w:rPr>
        <w:t xml:space="preserve">Due diligence and review (paras 29–32, 38, 71–72, 80):</w:t>
      </w:r>
    </w:p>
    <w:p>
      <w:pPr>
        <w:numPr>
          <w:ilvl w:val="0"/>
          <w:numId w:val="1409"/>
        </w:numPr>
        <w:pStyle w:val="Compact"/>
      </w:pPr>
      <w:r>
        <w:rPr>
          <w:bCs/>
          <w:b/>
        </w:rPr>
        <w:t xml:space="preserve">REQ-OUT-30, 71</w:t>
      </w:r>
      <w:r>
        <w:t xml:space="preserve"> </w:t>
      </w:r>
      <w:r>
        <w:rPr>
          <w:bCs/>
          <w:b/>
        </w:rPr>
        <w:t xml:space="preserve">[RE→UDOFIN contract]</w:t>
      </w:r>
      <w:r>
        <w:t xml:space="preserve"> </w:t>
      </w:r>
      <w:r>
        <w:t xml:space="preserve">Udofin supports due diligence on financial, operational, legal and reputational factors, complaints and litigation, staff and subcontractor vetting, security and BCM, technology and DR, conflicts, data segregation, cyber risk and enforceability.</w:t>
      </w:r>
      <w:r>
        <w:t xml:space="preserve"> </w:t>
      </w:r>
      <w:r>
        <w:rPr>
          <w:iCs/>
          <w:i/>
        </w:rPr>
        <w:t xml:space="preserve">Build:</w:t>
      </w:r>
      <w:r>
        <w:t xml:space="preserve"> </w:t>
      </w:r>
      <w:r>
        <w:t xml:space="preserve">U18 vendor assurance pack, versioned, shared through the evidence room.</w:t>
      </w:r>
    </w:p>
    <w:p>
      <w:pPr>
        <w:numPr>
          <w:ilvl w:val="0"/>
          <w:numId w:val="1409"/>
        </w:numPr>
        <w:pStyle w:val="Compact"/>
      </w:pPr>
      <w:r>
        <w:rPr>
          <w:bCs/>
          <w:b/>
        </w:rPr>
        <w:t xml:space="preserve">REQ-OUT-38, 80</w:t>
      </w:r>
      <w:r>
        <w:t xml:space="preserve"> </w:t>
      </w:r>
      <w:r>
        <w:rPr>
          <w:bCs/>
          <w:b/>
        </w:rPr>
        <w:t xml:space="preserve">[RE]</w:t>
      </w:r>
      <w:r>
        <w:t xml:space="preserve"> </w:t>
      </w:r>
      <w:r>
        <w:t xml:space="preserve">Annual review (financial services) or risk-based review (IT) of the provider’s condition.</w:t>
      </w:r>
      <w:r>
        <w:t xml:space="preserve"> </w:t>
      </w:r>
      <w:r>
        <w:rPr>
          <w:iCs/>
          <w:i/>
        </w:rPr>
        <w:t xml:space="preserve">Build:</w:t>
      </w:r>
      <w:r>
        <w:t xml:space="preserve"> </w:t>
      </w:r>
      <w:r>
        <w:t xml:space="preserve">U18 refreshes the pack at least annually and on material change.</w:t>
      </w:r>
    </w:p>
    <w:p>
      <w:pPr>
        <w:pStyle w:val="FirstParagraph"/>
      </w:pPr>
      <w:r>
        <w:rPr>
          <w:bCs/>
          <w:b/>
        </w:rPr>
        <w:t xml:space="preserve">Agreement (paras 33–34, 73–74, 87–88).</w:t>
      </w:r>
      <w:r>
        <w:t xml:space="preserve"> </w:t>
      </w:r>
      <w:r>
        <w:t xml:space="preserve">The agreement is written, counsel-vetted and states the legal relationship (33, 73). Udofin’s standard LSP agreement accepts every clause below; U1 stores a clause matrix per RE with pass/fail by clause ID.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75"/>
        <w:gridCol w:w="7063"/>
      </w:tblGrid>
      <w:tr>
        <w:trPr>
          <w:tblHeader w:val="true"/>
          <w:tblHeader w:val="true"/>
        </w:trPr>
        <w:tc>
          <w:tcPr>
            <w:tcW w:w="2575" w:type="dxa"/>
            <w:shd w:val="clear" w:color="auto" w:fill="1F3A5F"/>
          </w:tcPr>
          <w:p>
            <w:pPr>
              <w:pStyle w:val="Compact"/>
              <w:spacing w:after="40"/>
              <w:jc w:val="left"/>
            </w:pPr>
            <w:r>
              <w:rPr>
                <w:b/>
                <w:color w:val="FFFFFF"/>
                <w:sz w:val="18"/>
              </w:rPr>
              <w:t xml:space="preserve">Clause</w:t>
            </w:r>
          </w:p>
        </w:tc>
        <w:tc>
          <w:tcPr>
            <w:tcW w:w="7063" w:type="dxa"/>
            <w:shd w:val="clear" w:color="auto" w:fill="1F3A5F"/>
          </w:tcPr>
          <w:p>
            <w:pPr>
              <w:pStyle w:val="Compact"/>
              <w:spacing w:after="40"/>
              <w:jc w:val="left"/>
            </w:pPr>
            <w:r>
              <w:rPr>
                <w:b/>
                <w:color w:val="FFFFFF"/>
                <w:sz w:val="18"/>
              </w:rPr>
              <w:t xml:space="preserve">Udofin obligation and build</w:t>
            </w:r>
          </w:p>
        </w:tc>
      </w:tr>
      <w:tr>
        <w:tc>
          <w:tcPr>
            <w:tcW w:w="2575" w:type="dxa"/>
          </w:tcPr>
          <w:p>
            <w:pPr>
              <w:pStyle w:val="Compact"/>
              <w:spacing w:after="40"/>
              <w:jc w:val="left"/>
            </w:pPr>
            <w:r>
              <w:rPr>
                <w:sz w:val="18"/>
              </w:rPr>
              <w:t xml:space="preserve">REQ-OUT-34(i)</w:t>
            </w:r>
          </w:p>
        </w:tc>
        <w:tc>
          <w:tcPr>
            <w:tcW w:w="7063" w:type="dxa"/>
          </w:tcPr>
          <w:p>
            <w:pPr>
              <w:pStyle w:val="Compact"/>
              <w:spacing w:after="40"/>
              <w:jc w:val="left"/>
            </w:pPr>
            <w:r>
              <w:rPr>
                <w:sz w:val="18"/>
              </w:rPr>
              <w:t xml:space="preserve">Activity, service and performance standards; SLA schedule per RE (U19 SLA dashboard)</w:t>
            </w:r>
          </w:p>
        </w:tc>
      </w:tr>
      <w:tr>
        <w:tc>
          <w:tcPr>
            <w:tcW w:w="2575" w:type="dxa"/>
          </w:tcPr>
          <w:p>
            <w:pPr>
              <w:pStyle w:val="Compact"/>
              <w:spacing w:after="40"/>
              <w:jc w:val="left"/>
            </w:pPr>
            <w:r>
              <w:rPr>
                <w:sz w:val="18"/>
              </w:rPr>
              <w:t xml:space="preserve">REQ-OUT-34(ii), 74(ii)</w:t>
            </w:r>
          </w:p>
        </w:tc>
        <w:tc>
          <w:tcPr>
            <w:tcW w:w="7063" w:type="dxa"/>
          </w:tcPr>
          <w:p>
            <w:pPr>
              <w:pStyle w:val="Compact"/>
              <w:spacing w:after="40"/>
              <w:jc w:val="left"/>
            </w:pPr>
            <w:r>
              <w:rPr>
                <w:sz w:val="18"/>
              </w:rPr>
              <w:t xml:space="preserve">RE access to all books, records, data, logs, alerts and premises for the outsourced activity (U18 audit access)</w:t>
            </w:r>
          </w:p>
        </w:tc>
      </w:tr>
      <w:tr>
        <w:tc>
          <w:tcPr>
            <w:tcW w:w="2575" w:type="dxa"/>
          </w:tcPr>
          <w:p>
            <w:pPr>
              <w:pStyle w:val="Compact"/>
              <w:spacing w:after="40"/>
              <w:jc w:val="left"/>
            </w:pPr>
            <w:r>
              <w:rPr>
                <w:sz w:val="18"/>
              </w:rPr>
              <w:t xml:space="preserve">REQ-OUT-34(iii)</w:t>
            </w:r>
          </w:p>
        </w:tc>
        <w:tc>
          <w:tcPr>
            <w:tcW w:w="7063" w:type="dxa"/>
          </w:tcPr>
          <w:p>
            <w:pPr>
              <w:pStyle w:val="Compact"/>
              <w:spacing w:after="40"/>
              <w:jc w:val="left"/>
            </w:pPr>
            <w:r>
              <w:rPr>
                <w:sz w:val="18"/>
              </w:rPr>
              <w:t xml:space="preserve">Continuous monitoring by the RE (U19 live dashboards and monthly service report)</w:t>
            </w:r>
          </w:p>
        </w:tc>
      </w:tr>
      <w:tr>
        <w:tc>
          <w:tcPr>
            <w:tcW w:w="2575" w:type="dxa"/>
          </w:tcPr>
          <w:p>
            <w:pPr>
              <w:pStyle w:val="Compact"/>
              <w:spacing w:after="40"/>
              <w:jc w:val="left"/>
            </w:pPr>
            <w:r>
              <w:rPr>
                <w:sz w:val="18"/>
              </w:rPr>
              <w:t xml:space="preserve">REQ-OUT-34(iv), 74(i)</w:t>
            </w:r>
          </w:p>
        </w:tc>
        <w:tc>
          <w:tcPr>
            <w:tcW w:w="7063" w:type="dxa"/>
          </w:tcPr>
          <w:p>
            <w:pPr>
              <w:pStyle w:val="Compact"/>
              <w:spacing w:after="40"/>
              <w:jc w:val="left"/>
            </w:pPr>
            <w:r>
              <w:rPr>
                <w:bCs/>
                <w:b/>
                <w:sz w:val="18"/>
              </w:rPr>
              <w:t xml:space="preserve">Prior RE consent for every subcontractor</w:t>
            </w:r>
            <w:r>
              <w:rPr>
                <w:sz w:val="18"/>
              </w:rPr>
              <w:t xml:space="preserve">; subcontractors bound to the same standards and audit (U18 sub-processor register with RE consent record)</w:t>
            </w:r>
          </w:p>
        </w:tc>
      </w:tr>
      <w:tr>
        <w:tc>
          <w:tcPr>
            <w:tcW w:w="2575" w:type="dxa"/>
          </w:tcPr>
          <w:p>
            <w:pPr>
              <w:pStyle w:val="Compact"/>
              <w:spacing w:after="40"/>
              <w:jc w:val="left"/>
            </w:pPr>
            <w:r>
              <w:rPr>
                <w:sz w:val="18"/>
              </w:rPr>
              <w:t xml:space="preserve">REQ-OUT-34(v), 74(xix)</w:t>
            </w:r>
          </w:p>
        </w:tc>
        <w:tc>
          <w:tcPr>
            <w:tcW w:w="7063" w:type="dxa"/>
          </w:tcPr>
          <w:p>
            <w:pPr>
              <w:pStyle w:val="Compact"/>
              <w:spacing w:after="40"/>
              <w:jc w:val="left"/>
            </w:pPr>
            <w:r>
              <w:rPr>
                <w:sz w:val="18"/>
              </w:rPr>
              <w:t xml:space="preserve">Confidentiality controls, NDA, Udofin liability for breach and leakage</w:t>
            </w:r>
          </w:p>
        </w:tc>
      </w:tr>
      <w:tr>
        <w:tc>
          <w:tcPr>
            <w:tcW w:w="2575" w:type="dxa"/>
          </w:tcPr>
          <w:p>
            <w:pPr>
              <w:pStyle w:val="Compact"/>
              <w:spacing w:after="40"/>
              <w:jc w:val="left"/>
            </w:pPr>
            <w:r>
              <w:rPr>
                <w:sz w:val="18"/>
              </w:rPr>
              <w:t xml:space="preserve">REQ-OUT-34(vi), 74(x)</w:t>
            </w:r>
          </w:p>
        </w:tc>
        <w:tc>
          <w:tcPr>
            <w:tcW w:w="7063" w:type="dxa"/>
          </w:tcPr>
          <w:p>
            <w:pPr>
              <w:pStyle w:val="Compact"/>
              <w:spacing w:after="40"/>
              <w:jc w:val="left"/>
            </w:pPr>
            <w:r>
              <w:rPr>
                <w:sz w:val="18"/>
              </w:rPr>
              <w:t xml:space="preserve">Contingency plans with testing (BCP schedule, joint tests)</w:t>
            </w:r>
          </w:p>
        </w:tc>
      </w:tr>
      <w:tr>
        <w:tc>
          <w:tcPr>
            <w:tcW w:w="2575" w:type="dxa"/>
          </w:tcPr>
          <w:p>
            <w:pPr>
              <w:pStyle w:val="Compact"/>
              <w:spacing w:after="40"/>
              <w:jc w:val="left"/>
            </w:pPr>
            <w:r>
              <w:rPr>
                <w:sz w:val="18"/>
              </w:rPr>
              <w:t xml:space="preserve">REQ-OUT-34(vii)</w:t>
            </w:r>
          </w:p>
        </w:tc>
        <w:tc>
          <w:tcPr>
            <w:tcW w:w="7063" w:type="dxa"/>
          </w:tcPr>
          <w:p>
            <w:pPr>
              <w:pStyle w:val="Compact"/>
              <w:spacing w:after="40"/>
              <w:jc w:val="left"/>
            </w:pPr>
            <w:r>
              <w:rPr>
                <w:sz w:val="18"/>
              </w:rPr>
              <w:t xml:space="preserve">RE audits by internal or external auditors or agents; copies of Udofin’s audit reports</w:t>
            </w:r>
          </w:p>
        </w:tc>
      </w:tr>
      <w:tr>
        <w:tc>
          <w:tcPr>
            <w:tcW w:w="2575" w:type="dxa"/>
          </w:tcPr>
          <w:p>
            <w:pPr>
              <w:pStyle w:val="Compact"/>
              <w:spacing w:after="40"/>
              <w:jc w:val="left"/>
            </w:pPr>
            <w:r>
              <w:rPr>
                <w:sz w:val="18"/>
              </w:rPr>
              <w:t xml:space="preserve">REQ-OUT-34(viii)</w:t>
            </w:r>
          </w:p>
        </w:tc>
        <w:tc>
          <w:tcPr>
            <w:tcW w:w="7063" w:type="dxa"/>
          </w:tcPr>
          <w:p>
            <w:pPr>
              <w:pStyle w:val="Compact"/>
              <w:spacing w:after="40"/>
              <w:jc w:val="left"/>
            </w:pPr>
            <w:r>
              <w:rPr>
                <w:sz w:val="18"/>
              </w:rPr>
              <w:t xml:space="preserve">RBI access to records within reasonable time</w:t>
            </w:r>
          </w:p>
        </w:tc>
      </w:tr>
      <w:tr>
        <w:tc>
          <w:tcPr>
            <w:tcW w:w="2575" w:type="dxa"/>
          </w:tcPr>
          <w:p>
            <w:pPr>
              <w:pStyle w:val="Compact"/>
              <w:spacing w:after="40"/>
              <w:jc w:val="left"/>
            </w:pPr>
            <w:r>
              <w:rPr>
                <w:sz w:val="18"/>
              </w:rPr>
              <w:t xml:space="preserve">REQ-OUT-34(ix), 74(xii)</w:t>
            </w:r>
          </w:p>
        </w:tc>
        <w:tc>
          <w:tcPr>
            <w:tcW w:w="7063" w:type="dxa"/>
          </w:tcPr>
          <w:p>
            <w:pPr>
              <w:pStyle w:val="Compact"/>
              <w:spacing w:after="40"/>
              <w:jc w:val="left"/>
            </w:pPr>
            <w:r>
              <w:rPr>
                <w:sz w:val="18"/>
              </w:rPr>
              <w:t xml:space="preserve">RBI inspection of Udofin and its subcontractors, including infrastructure, applications and data</w:t>
            </w:r>
          </w:p>
        </w:tc>
      </w:tr>
      <w:tr>
        <w:tc>
          <w:tcPr>
            <w:tcW w:w="2575" w:type="dxa"/>
          </w:tcPr>
          <w:p>
            <w:pPr>
              <w:pStyle w:val="Compact"/>
              <w:spacing w:after="40"/>
              <w:jc w:val="left"/>
            </w:pPr>
            <w:r>
              <w:rPr>
                <w:sz w:val="18"/>
              </w:rPr>
              <w:t xml:space="preserve">REQ-OUT-34(x), 74(xv)</w:t>
            </w:r>
          </w:p>
        </w:tc>
        <w:tc>
          <w:tcPr>
            <w:tcW w:w="7063" w:type="dxa"/>
          </w:tcPr>
          <w:p>
            <w:pPr>
              <w:pStyle w:val="Compact"/>
              <w:spacing w:after="40"/>
              <w:jc w:val="left"/>
            </w:pPr>
            <w:r>
              <w:rPr>
                <w:sz w:val="18"/>
              </w:rPr>
              <w:t xml:space="preserve">Termination clause, minimum period, orderly transfer to another provider</w:t>
            </w:r>
          </w:p>
        </w:tc>
      </w:tr>
      <w:tr>
        <w:tc>
          <w:tcPr>
            <w:tcW w:w="2575" w:type="dxa"/>
          </w:tcPr>
          <w:p>
            <w:pPr>
              <w:pStyle w:val="Compact"/>
              <w:spacing w:after="40"/>
              <w:jc w:val="left"/>
            </w:pPr>
            <w:r>
              <w:rPr>
                <w:sz w:val="18"/>
              </w:rPr>
              <w:t xml:space="preserve">REQ-OUT-34(xi)–(xii)</w:t>
            </w:r>
          </w:p>
        </w:tc>
        <w:tc>
          <w:tcPr>
            <w:tcW w:w="7063" w:type="dxa"/>
          </w:tcPr>
          <w:p>
            <w:pPr>
              <w:pStyle w:val="Compact"/>
              <w:spacing w:after="40"/>
              <w:jc w:val="left"/>
            </w:pPr>
            <w:r>
              <w:rPr>
                <w:sz w:val="18"/>
              </w:rPr>
              <w:t xml:space="preserve">Confidentiality survives termination; documents and data preserved per the RE’s legal obligations after termination</w:t>
            </w:r>
          </w:p>
        </w:tc>
      </w:tr>
      <w:tr>
        <w:tc>
          <w:tcPr>
            <w:tcW w:w="2575" w:type="dxa"/>
          </w:tcPr>
          <w:p>
            <w:pPr>
              <w:pStyle w:val="Compact"/>
              <w:spacing w:after="40"/>
              <w:jc w:val="left"/>
            </w:pPr>
            <w:r>
              <w:rPr>
                <w:sz w:val="18"/>
              </w:rPr>
              <w:t xml:space="preserve">REQ-OUT-74(iii)</w:t>
            </w:r>
          </w:p>
        </w:tc>
        <w:tc>
          <w:tcPr>
            <w:tcW w:w="7063" w:type="dxa"/>
          </w:tcPr>
          <w:p>
            <w:pPr>
              <w:pStyle w:val="Compact"/>
              <w:spacing w:after="40"/>
              <w:jc w:val="left"/>
            </w:pPr>
            <w:r>
              <w:rPr>
                <w:sz w:val="18"/>
              </w:rPr>
              <w:t xml:space="preserve">Listed material adverse events (data breach, denial of service, unavailability) reported to the RE</w:t>
            </w:r>
          </w:p>
        </w:tc>
      </w:tr>
      <w:tr>
        <w:tc>
          <w:tcPr>
            <w:tcW w:w="2575" w:type="dxa"/>
          </w:tcPr>
          <w:p>
            <w:pPr>
              <w:pStyle w:val="Compact"/>
              <w:spacing w:after="40"/>
              <w:jc w:val="left"/>
            </w:pPr>
            <w:r>
              <w:rPr>
                <w:sz w:val="18"/>
              </w:rPr>
              <w:t xml:space="preserve">REQ-OUT-74(iv)</w:t>
            </w:r>
          </w:p>
        </w:tc>
        <w:tc>
          <w:tcPr>
            <w:tcW w:w="7063" w:type="dxa"/>
          </w:tcPr>
          <w:p>
            <w:pPr>
              <w:pStyle w:val="Compact"/>
              <w:spacing w:after="40"/>
              <w:jc w:val="left"/>
            </w:pPr>
            <w:r>
              <w:rPr>
                <w:sz w:val="18"/>
              </w:rPr>
              <w:t xml:space="preserve">IT Act 2000 compliance and customer-data protection standards</w:t>
            </w:r>
          </w:p>
        </w:tc>
      </w:tr>
      <w:tr>
        <w:tc>
          <w:tcPr>
            <w:tcW w:w="2575" w:type="dxa"/>
          </w:tcPr>
          <w:p>
            <w:pPr>
              <w:pStyle w:val="Compact"/>
              <w:spacing w:after="40"/>
              <w:jc w:val="left"/>
            </w:pPr>
            <w:r>
              <w:rPr>
                <w:sz w:val="18"/>
              </w:rPr>
              <w:t xml:space="preserve">REQ-OUT-74(vi)</w:t>
            </w:r>
          </w:p>
        </w:tc>
        <w:tc>
          <w:tcPr>
            <w:tcW w:w="7063" w:type="dxa"/>
          </w:tcPr>
          <w:p>
            <w:pPr>
              <w:pStyle w:val="Compact"/>
              <w:spacing w:after="40"/>
              <w:jc w:val="left"/>
            </w:pPr>
            <w:r>
              <w:rPr>
                <w:bCs/>
                <w:b/>
                <w:sz w:val="18"/>
              </w:rPr>
              <w:t xml:space="preserve">Data stored only in India</w:t>
            </w:r>
            <w:r>
              <w:rPr>
                <w:sz w:val="18"/>
              </w:rPr>
              <w:t xml:space="preserve"> </w:t>
            </w:r>
            <w:r>
              <w:rPr>
                <w:sz w:val="18"/>
              </w:rPr>
              <w:t xml:space="preserve">(also CF para 14(4))</w:t>
            </w:r>
          </w:p>
        </w:tc>
      </w:tr>
      <w:tr>
        <w:tc>
          <w:tcPr>
            <w:tcW w:w="2575" w:type="dxa"/>
          </w:tcPr>
          <w:p>
            <w:pPr>
              <w:pStyle w:val="Compact"/>
              <w:spacing w:after="40"/>
              <w:jc w:val="left"/>
            </w:pPr>
            <w:r>
              <w:rPr>
                <w:sz w:val="18"/>
              </w:rPr>
              <w:t xml:space="preserve">REQ-OUT-74(vii)–(viii)</w:t>
            </w:r>
          </w:p>
        </w:tc>
        <w:tc>
          <w:tcPr>
            <w:tcW w:w="7063" w:type="dxa"/>
          </w:tcPr>
          <w:p>
            <w:pPr>
              <w:pStyle w:val="Compact"/>
              <w:spacing w:after="40"/>
              <w:jc w:val="left"/>
            </w:pPr>
            <w:r>
              <w:rPr>
                <w:sz w:val="18"/>
              </w:rPr>
              <w:t xml:space="preserve">Inventory of data captured, processed and stored per RE; data types Udofin may share with customers or others (U4 data map)</w:t>
            </w:r>
          </w:p>
        </w:tc>
      </w:tr>
      <w:tr>
        <w:tc>
          <w:tcPr>
            <w:tcW w:w="2575" w:type="dxa"/>
          </w:tcPr>
          <w:p>
            <w:pPr>
              <w:pStyle w:val="Compact"/>
              <w:spacing w:after="40"/>
              <w:jc w:val="left"/>
            </w:pPr>
            <w:r>
              <w:rPr>
                <w:sz w:val="18"/>
              </w:rPr>
              <w:t xml:space="preserve">REQ-OUT-74(xi), 82</w:t>
            </w:r>
          </w:p>
        </w:tc>
        <w:tc>
          <w:tcPr>
            <w:tcW w:w="7063" w:type="dxa"/>
          </w:tcPr>
          <w:p>
            <w:pPr>
              <w:pStyle w:val="Compact"/>
              <w:spacing w:after="40"/>
              <w:jc w:val="left"/>
            </w:pPr>
            <w:r>
              <w:rPr>
                <w:sz w:val="18"/>
              </w:rPr>
              <w:t xml:space="preserve">Supply-chain disclosure for the RE’s inventory and dependency map</w:t>
            </w:r>
          </w:p>
        </w:tc>
      </w:tr>
      <w:tr>
        <w:tc>
          <w:tcPr>
            <w:tcW w:w="2575" w:type="dxa"/>
          </w:tcPr>
          <w:p>
            <w:pPr>
              <w:pStyle w:val="Compact"/>
              <w:spacing w:after="40"/>
              <w:jc w:val="left"/>
            </w:pPr>
            <w:r>
              <w:rPr>
                <w:sz w:val="18"/>
              </w:rPr>
              <w:t xml:space="preserve">REQ-OUT-74(xiii)</w:t>
            </w:r>
          </w:p>
        </w:tc>
        <w:tc>
          <w:tcPr>
            <w:tcW w:w="7063" w:type="dxa"/>
          </w:tcPr>
          <w:p>
            <w:pPr>
              <w:pStyle w:val="Compact"/>
              <w:spacing w:after="40"/>
              <w:jc w:val="left"/>
            </w:pPr>
            <w:r>
              <w:rPr>
                <w:sz w:val="18"/>
              </w:rPr>
              <w:t xml:space="preserve">Udofin contractually liable for its subcontractors</w:t>
            </w:r>
          </w:p>
        </w:tc>
      </w:tr>
      <w:tr>
        <w:tc>
          <w:tcPr>
            <w:tcW w:w="2575" w:type="dxa"/>
          </w:tcPr>
          <w:p>
            <w:pPr>
              <w:pStyle w:val="Compact"/>
              <w:spacing w:after="40"/>
              <w:jc w:val="left"/>
            </w:pPr>
            <w:r>
              <w:rPr>
                <w:sz w:val="18"/>
              </w:rPr>
              <w:t xml:space="preserve">REQ-OUT-74(xiv)</w:t>
            </w:r>
          </w:p>
        </w:tc>
        <w:tc>
          <w:tcPr>
            <w:tcW w:w="7063" w:type="dxa"/>
          </w:tcPr>
          <w:p>
            <w:pPr>
              <w:pStyle w:val="Compact"/>
              <w:spacing w:after="40"/>
              <w:jc w:val="left"/>
            </w:pPr>
            <w:r>
              <w:rPr>
                <w:sz w:val="18"/>
              </w:rPr>
              <w:t xml:space="preserve">Compliance with RBI directions on the outsourced services</w:t>
            </w:r>
          </w:p>
        </w:tc>
      </w:tr>
      <w:tr>
        <w:tc>
          <w:tcPr>
            <w:tcW w:w="2575" w:type="dxa"/>
          </w:tcPr>
          <w:p>
            <w:pPr>
              <w:pStyle w:val="Compact"/>
              <w:spacing w:after="40"/>
              <w:jc w:val="left"/>
            </w:pPr>
            <w:r>
              <w:rPr>
                <w:sz w:val="18"/>
              </w:rPr>
              <w:t xml:space="preserve">REQ-OUT-74(xvi)–(xviii)</w:t>
            </w:r>
          </w:p>
        </w:tc>
        <w:tc>
          <w:tcPr>
            <w:tcW w:w="7063" w:type="dxa"/>
          </w:tcPr>
          <w:p>
            <w:pPr>
              <w:pStyle w:val="Compact"/>
              <w:spacing w:after="40"/>
              <w:jc w:val="left"/>
            </w:pPr>
            <w:r>
              <w:rPr>
                <w:sz w:val="18"/>
              </w:rPr>
              <w:t xml:space="preserve">Cooperation in the RE’s insolvency or resolution; essential personnel on site in exigencies; back-to-back terms with OEMs and cloud providers</w:t>
            </w:r>
          </w:p>
        </w:tc>
      </w:tr>
      <w:tr>
        <w:tc>
          <w:tcPr>
            <w:tcW w:w="2575" w:type="dxa"/>
          </w:tcPr>
          <w:p>
            <w:pPr>
              <w:pStyle w:val="Compact"/>
              <w:spacing w:after="40"/>
              <w:jc w:val="left"/>
            </w:pPr>
            <w:r>
              <w:rPr>
                <w:sz w:val="18"/>
              </w:rPr>
              <w:t xml:space="preserve">REQ-OUT-87–88</w:t>
            </w:r>
          </w:p>
        </w:tc>
        <w:tc>
          <w:tcPr>
            <w:tcW w:w="7063" w:type="dxa"/>
          </w:tcPr>
          <w:p>
            <w:pPr>
              <w:pStyle w:val="Compact"/>
              <w:spacing w:after="40"/>
              <w:jc w:val="left"/>
            </w:pPr>
            <w:r>
              <w:rPr>
                <w:sz w:val="18"/>
              </w:rPr>
              <w:t xml:space="preserve">Safe removal or destruction of data at exit;</w:t>
            </w:r>
            <w:r>
              <w:rPr>
                <w:sz w:val="18"/>
              </w:rPr>
              <w:t xml:space="preserve"> </w:t>
            </w:r>
            <w:r>
              <w:rPr>
                <w:bCs/>
                <w:b/>
                <w:sz w:val="18"/>
              </w:rPr>
              <w:t xml:space="preserve">no erasing or altering of data during transition</w:t>
            </w:r>
            <w:r>
              <w:rPr>
                <w:sz w:val="18"/>
              </w:rPr>
              <w:t xml:space="preserve"> </w:t>
            </w:r>
            <w:r>
              <w:rPr>
                <w:sz w:val="18"/>
              </w:rPr>
              <w:t xml:space="preserve">unless the RE or regulator advises; full cooperation with the incoming provider</w:t>
            </w:r>
          </w:p>
        </w:tc>
      </w:tr>
      <w:tr>
        <w:tc>
          <w:tcPr>
            <w:tcW w:w="2575" w:type="dxa"/>
          </w:tcPr>
          <w:p>
            <w:pPr>
              <w:pStyle w:val="Compact"/>
              <w:spacing w:after="40"/>
              <w:jc w:val="left"/>
            </w:pPr>
            <w:r>
              <w:rPr>
                <w:sz w:val="18"/>
              </w:rPr>
              <w:t xml:space="preserve">REQ-OUT-74(v), 74(ix)</w:t>
            </w:r>
          </w:p>
        </w:tc>
        <w:tc>
          <w:tcPr>
            <w:tcW w:w="7063" w:type="dxa"/>
          </w:tcPr>
          <w:p>
            <w:pPr>
              <w:pStyle w:val="Compact"/>
              <w:spacing w:after="40"/>
              <w:jc w:val="left"/>
            </w:pPr>
            <w:r>
              <w:rPr>
                <w:sz w:val="18"/>
              </w:rPr>
              <w:t xml:space="preserve">SLAs formalising performance criteria (U19); resolution process, events of default, indemnities, remedies and recourse for each party</w:t>
            </w:r>
          </w:p>
        </w:tc>
      </w:tr>
    </w:tbl>
    <w:p>
      <w:pPr>
        <w:pStyle w:val="BodyText"/>
      </w:pPr>
      <w:r>
        <w:rPr>
          <w:bCs/>
          <w:b/>
        </w:rPr>
        <w:t xml:space="preserve">Monitoring, audit and reconciliation (paras 12(2), 35–39, 75–81):</w:t>
      </w:r>
    </w:p>
    <w:p>
      <w:pPr>
        <w:numPr>
          <w:ilvl w:val="0"/>
          <w:numId w:val="1410"/>
        </w:numPr>
        <w:pStyle w:val="Compact"/>
      </w:pPr>
      <w:r>
        <w:rPr>
          <w:bCs/>
          <w:b/>
        </w:rPr>
        <w:t xml:space="preserve">REQ-OUT-36</w:t>
      </w:r>
      <w:r>
        <w:t xml:space="preserve"> </w:t>
      </w:r>
      <w:r>
        <w:rPr>
          <w:bCs/>
          <w:b/>
        </w:rPr>
        <w:t xml:space="preserve">[RE]</w:t>
      </w:r>
      <w:r>
        <w:t xml:space="preserve"> </w:t>
      </w:r>
      <w:r>
        <w:t xml:space="preserve">Half-yearly Board or RMC review of material outsourcing.</w:t>
      </w:r>
      <w:r>
        <w:t xml:space="preserve"> </w:t>
      </w:r>
      <w:r>
        <w:rPr>
          <w:iCs/>
          <w:i/>
        </w:rPr>
        <w:t xml:space="preserve">Build:</w:t>
      </w:r>
      <w:r>
        <w:t xml:space="preserve"> </w:t>
      </w:r>
      <w:r>
        <w:t xml:space="preserve">U19 half-yearly report per RE.</w:t>
      </w:r>
    </w:p>
    <w:p>
      <w:pPr>
        <w:numPr>
          <w:ilvl w:val="0"/>
          <w:numId w:val="1410"/>
        </w:numPr>
        <w:pStyle w:val="Compact"/>
      </w:pPr>
      <w:r>
        <w:rPr>
          <w:bCs/>
          <w:b/>
        </w:rPr>
        <w:t xml:space="preserve">REQ-OUT-12(2), 39</w:t>
      </w:r>
      <w:r>
        <w:t xml:space="preserve"> </w:t>
      </w:r>
      <w:r>
        <w:rPr>
          <w:bCs/>
          <w:b/>
        </w:rPr>
        <w:t xml:space="preserve">[RE→UDOFIN contract]</w:t>
      </w:r>
      <w:r>
        <w:t xml:space="preserve"> </w:t>
      </w:r>
      <w:r>
        <w:t xml:space="preserve">Timely reconciliation; the RE’s ACB reviews the ageing of entries pending reconciliation with vendors.</w:t>
      </w:r>
      <w:r>
        <w:t xml:space="preserve"> </w:t>
      </w:r>
      <w:r>
        <w:rPr>
          <w:iCs/>
          <w:i/>
        </w:rPr>
        <w:t xml:space="preserve">Build:</w:t>
      </w:r>
      <w:r>
        <w:t xml:space="preserve"> </w:t>
      </w:r>
      <w:r>
        <w:t xml:space="preserve">U11</w:t>
      </w:r>
      <w:r>
        <w:t xml:space="preserve"> </w:t>
      </w:r>
      <w:r>
        <w:rPr>
          <w:rStyle w:val="VerbatimChar"/>
        </w:rPr>
        <w:t xml:space="preserve">DailyReconciliationFile</w:t>
      </w:r>
      <w:r>
        <w:t xml:space="preserve"> </w:t>
      </w:r>
      <w:r>
        <w:t xml:space="preserve">with break ageing buckets; U17 reconciles Udofin’s fee invoices with each RE.</w:t>
      </w:r>
    </w:p>
    <w:p>
      <w:pPr>
        <w:numPr>
          <w:ilvl w:val="0"/>
          <w:numId w:val="1410"/>
        </w:numPr>
        <w:pStyle w:val="Compact"/>
      </w:pPr>
      <w:r>
        <w:rPr>
          <w:bCs/>
          <w:b/>
        </w:rPr>
        <w:t xml:space="preserve">REQ-OUT-77, 79, 81</w:t>
      </w:r>
      <w:r>
        <w:t xml:space="preserve"> </w:t>
      </w:r>
      <w:r>
        <w:rPr>
          <w:bCs/>
          <w:b/>
        </w:rPr>
        <w:t xml:space="preserve">[UDOFIN]</w:t>
      </w:r>
      <w:r>
        <w:t xml:space="preserve"> </w:t>
      </w:r>
      <w:r>
        <w:t xml:space="preserve">Support pooled audits; offer globally recognised certifications (ISO/IEC 27001, SOC 2 Type 1 then Type 2 and ISO/IEC 27701 pursued per Part 7H RA4.4, not mandated; nothing claimed before the certificate or report is issued) [recommendation]; grant unrestricted, effective access to the RE, its auditors, RBI and competent authorities.</w:t>
      </w:r>
      <w:r>
        <w:t xml:space="preserve"> </w:t>
      </w:r>
      <w:r>
        <w:rPr>
          <w:iCs/>
          <w:i/>
        </w:rPr>
        <w:t xml:space="preserve">Build:</w:t>
      </w:r>
      <w:r>
        <w:t xml:space="preserve"> </w:t>
      </w:r>
      <w:r>
        <w:t xml:space="preserve">U18 time-boxed read-only audit roles with access trail.</w:t>
      </w:r>
    </w:p>
    <w:p>
      <w:pPr>
        <w:pStyle w:val="FirstParagraph"/>
      </w:pPr>
      <w:r>
        <w:rPr>
          <w:bCs/>
          <w:b/>
        </w:rPr>
        <w:t xml:space="preserve">BCP, exit and termination (paras 40–44, 83–89):</w:t>
      </w:r>
    </w:p>
    <w:p>
      <w:pPr>
        <w:numPr>
          <w:ilvl w:val="0"/>
          <w:numId w:val="1411"/>
        </w:numPr>
        <w:pStyle w:val="Compact"/>
      </w:pPr>
      <w:r>
        <w:rPr>
          <w:bCs/>
          <w:b/>
        </w:rPr>
        <w:t xml:space="preserve">REQ-OUT-40, 83</w:t>
      </w:r>
      <w:r>
        <w:t xml:space="preserve"> </w:t>
      </w:r>
      <w:r>
        <w:rPr>
          <w:bCs/>
          <w:b/>
        </w:rPr>
        <w:t xml:space="preserve">[RE→UDOFIN contract]</w:t>
      </w:r>
      <w:r>
        <w:t xml:space="preserve"> </w:t>
      </w:r>
      <w:r>
        <w:t xml:space="preserve">Tested BCP and DR, joint tests on request.</w:t>
      </w:r>
    </w:p>
    <w:p>
      <w:pPr>
        <w:numPr>
          <w:ilvl w:val="0"/>
          <w:numId w:val="1411"/>
        </w:numPr>
        <w:pStyle w:val="Compact"/>
      </w:pPr>
      <w:r>
        <w:rPr>
          <w:bCs/>
          <w:b/>
        </w:rPr>
        <w:t xml:space="preserve">REQ-OUT-42–43</w:t>
      </w:r>
      <w:r>
        <w:t xml:space="preserve"> </w:t>
      </w:r>
      <w:r>
        <w:rPr>
          <w:bCs/>
          <w:b/>
        </w:rPr>
        <w:t xml:space="preserve">[UDOFIN]</w:t>
      </w:r>
      <w:r>
        <w:t xml:space="preserve"> </w:t>
      </w:r>
      <w:r>
        <w:t xml:space="preserve">Udofin can isolate, return or destroy each RE’s information and records; the RE can intervene to continue operations.</w:t>
      </w:r>
      <w:r>
        <w:t xml:space="preserve"> </w:t>
      </w:r>
      <w:r>
        <w:rPr>
          <w:iCs/>
          <w:i/>
        </w:rPr>
        <w:t xml:space="preserve">Build:</w:t>
      </w:r>
      <w:r>
        <w:t xml:space="preserve"> </w:t>
      </w:r>
      <w:r>
        <w:t xml:space="preserve">U1 per-RE export (borrowers, consents, applications, documents, communications, recordings, audit logs) in a documented format; dry-run annually.</w:t>
      </w:r>
    </w:p>
    <w:p>
      <w:pPr>
        <w:numPr>
          <w:ilvl w:val="0"/>
          <w:numId w:val="1411"/>
        </w:numPr>
        <w:pStyle w:val="Compact"/>
      </w:pPr>
      <w:r>
        <w:rPr>
          <w:bCs/>
          <w:b/>
        </w:rPr>
        <w:t xml:space="preserve">REQ-OUT-44, 89</w:t>
      </w:r>
      <w:r>
        <w:t xml:space="preserve"> </w:t>
      </w:r>
      <w:r>
        <w:rPr>
          <w:bCs/>
          <w:b/>
        </w:rPr>
        <w:t xml:space="preserve">[RE]</w:t>
      </w:r>
      <w:r>
        <w:t xml:space="preserve"> </w:t>
      </w:r>
      <w:r>
        <w:t xml:space="preserve">On termination the RE publicises it so customers stop dealing with the provider.</w:t>
      </w:r>
      <w:r>
        <w:t xml:space="preserve"> </w:t>
      </w:r>
      <w:r>
        <w:rPr>
          <w:iCs/>
          <w:i/>
        </w:rPr>
        <w:t xml:space="preserve">Build:</w:t>
      </w:r>
      <w:r>
        <w:t xml:space="preserve"> </w:t>
      </w:r>
      <w:r>
        <w:t xml:space="preserve">U1 RE off-boarding state machine: new sourcing stops, servicing view continues per the transition plan, U16 notifies affected borrowers, and the RE updates its CIMS DLA lines (CF para 18(2)).</w:t>
      </w:r>
    </w:p>
    <w:p>
      <w:pPr>
        <w:pStyle w:val="FirstParagraph"/>
      </w:pPr>
      <w:r>
        <w:rPr>
          <w:bCs/>
          <w:b/>
        </w:rPr>
        <w:t xml:space="preserve">Group arrangements (paras 45–51, 90–92).</w:t>
      </w:r>
      <w:r>
        <w:t xml:space="preserve"> </w:t>
      </w:r>
      <w:r>
        <w:t xml:space="preserve">Where the RE is an Infrabyx group company:</w:t>
      </w:r>
      <w:r>
        <w:t xml:space="preserve"> </w:t>
      </w:r>
      <w:r>
        <w:rPr>
          <w:bCs/>
          <w:b/>
        </w:rPr>
        <w:t xml:space="preserve">REQ-OUT-46, 50</w:t>
      </w:r>
      <w:r>
        <w:t xml:space="preserve"> </w:t>
      </w:r>
      <w:r>
        <w:rPr>
          <w:bCs/>
          <w:b/>
        </w:rPr>
        <w:t xml:space="preserve">[RE→UDOFIN contract]</w:t>
      </w:r>
      <w:r>
        <w:t xml:space="preserve"> </w:t>
      </w:r>
      <w:r>
        <w:t xml:space="preserve">customers told which entity offers the product, with no implied group guarantee;</w:t>
      </w:r>
      <w:r>
        <w:t xml:space="preserve"> </w:t>
      </w:r>
      <w:r>
        <w:rPr>
          <w:bCs/>
          <w:b/>
        </w:rPr>
        <w:t xml:space="preserve">REQ-OUT-51, 92</w:t>
      </w:r>
      <w:r>
        <w:t xml:space="preserve"> </w:t>
      </w:r>
      <w:r>
        <w:rPr>
          <w:bCs/>
          <w:b/>
        </w:rPr>
        <w:t xml:space="preserve">[RE]</w:t>
      </w:r>
      <w:r>
        <w:t xml:space="preserve"> </w:t>
      </w:r>
      <w:r>
        <w:t xml:space="preserve">arm’s length and identical risk management.</w:t>
      </w:r>
      <w:r>
        <w:t xml:space="preserve"> </w:t>
      </w:r>
      <w:r>
        <w:rPr>
          <w:iCs/>
          <w:i/>
        </w:rPr>
        <w:t xml:space="preserve">Build:</w:t>
      </w:r>
      <w:r>
        <w:t xml:space="preserve"> </w:t>
      </w:r>
      <w:r>
        <w:t xml:space="preserve">U23 names the RE as lender on every offer, document and payment screen; group REs get the same clause matrix.</w:t>
      </w:r>
    </w:p>
    <w:p>
      <w:pPr>
        <w:pStyle w:val="BodyText"/>
      </w:pPr>
      <w:r>
        <w:rPr>
          <w:bCs/>
          <w:b/>
        </w:rPr>
        <w:t xml:space="preserve">Offshore (paras 52–53, 93–94):</w:t>
      </w:r>
    </w:p>
    <w:p>
      <w:pPr>
        <w:numPr>
          <w:ilvl w:val="0"/>
          <w:numId w:val="1412"/>
        </w:numPr>
        <w:pStyle w:val="Compact"/>
      </w:pPr>
      <w:r>
        <w:rPr>
          <w:bCs/>
          <w:b/>
        </w:rPr>
        <w:t xml:space="preserve">REQ-OUT-53</w:t>
      </w:r>
      <w:r>
        <w:t xml:space="preserve"> </w:t>
      </w:r>
      <w:r>
        <w:rPr>
          <w:bCs/>
          <w:b/>
        </w:rPr>
        <w:t xml:space="preserve">[UDOFIN]</w:t>
      </w:r>
      <w:r>
        <w:t xml:space="preserve"> </w:t>
      </w:r>
      <w:r>
        <w:t xml:space="preserve">No offshore processing of RE customer data without the RE’s prior consent; original records in India.</w:t>
      </w:r>
      <w:r>
        <w:t xml:space="preserve"> </w:t>
      </w:r>
      <w:r>
        <w:rPr>
          <w:iCs/>
          <w:i/>
        </w:rPr>
        <w:t xml:space="preserve">Build:</w:t>
      </w:r>
      <w:r>
        <w:t xml:space="preserve"> </w:t>
      </w:r>
      <w:r>
        <w:t xml:space="preserve">U20 AI features use India-hosted models or send no personal data offshore; any permitted offshore processing is deleted abroad and returned within 24 hours (CF para 14(4)).</w:t>
      </w:r>
    </w:p>
    <w:p>
      <w:pPr>
        <w:pStyle w:val="FirstParagraph"/>
      </w:pPr>
      <w:r>
        <w:rPr>
          <w:bCs/>
          <w:b/>
        </w:rPr>
        <w:t xml:space="preserve">Cloud (para 97).</w:t>
      </w:r>
      <w:r>
        <w:t xml:space="preserve"> </w:t>
      </w:r>
      <w:r>
        <w:t xml:space="preserve">Udofin is a cloud SaaS (96(1)(i)(c)).</w:t>
      </w:r>
      <w:r>
        <w:t xml:space="preserve"> </w:t>
      </w:r>
      <w:r>
        <w:rPr>
          <w:iCs/>
          <w:i/>
        </w:rPr>
        <w:t xml:space="preserve">Build:</w:t>
      </w:r>
      <w:r>
        <w:t xml:space="preserve"> </w:t>
      </w:r>
      <w:r>
        <w:t xml:space="preserve">encryption keys and HSMs for RE data under the RE’s control (97(vii)), offered as customer-managed keys per RE [recommendation; whether a pooled-key SaaS model is acceptable is the RE’s decision], RBAC with SoD and MFA (97(viii)), logs exportable to the RE’s SOC (97(xi)), exit with data return, portability and secure purge with independent assurance (97(xvi)).</w:t>
      </w:r>
    </w:p>
    <w:p>
      <w:pPr>
        <w:pStyle w:val="BodyText"/>
      </w:pPr>
      <w:r>
        <w:rPr>
          <w:bCs/>
          <w:b/>
        </w:rPr>
        <w:t xml:space="preserve">Grievances (paras 54–57, 98–99):</w:t>
      </w:r>
    </w:p>
    <w:p>
      <w:pPr>
        <w:numPr>
          <w:ilvl w:val="0"/>
          <w:numId w:val="1413"/>
        </w:numPr>
        <w:pStyle w:val="Compact"/>
      </w:pPr>
      <w:r>
        <w:rPr>
          <w:bCs/>
          <w:b/>
        </w:rPr>
        <w:t xml:space="preserve">REQ-OUT-55</w:t>
      </w:r>
      <w:r>
        <w:t xml:space="preserve"> </w:t>
      </w:r>
      <w:r>
        <w:rPr>
          <w:bCs/>
          <w:b/>
        </w:rPr>
        <w:t xml:space="preserve">[RE→UDOFIN contract]</w:t>
      </w:r>
      <w:r>
        <w:t xml:space="preserve"> </w:t>
      </w:r>
      <w:r>
        <w:t xml:space="preserve">Product literature states that service providers may be used.</w:t>
      </w:r>
      <w:r>
        <w:t xml:space="preserve"> </w:t>
      </w:r>
      <w:r>
        <w:rPr>
          <w:iCs/>
          <w:i/>
        </w:rPr>
        <w:t xml:space="preserve">Build:</w:t>
      </w:r>
      <w:r>
        <w:t xml:space="preserve"> </w:t>
      </w:r>
      <w:r>
        <w:t xml:space="preserve">U23 LSP disclosure on every product page.</w:t>
      </w:r>
    </w:p>
    <w:p>
      <w:pPr>
        <w:numPr>
          <w:ilvl w:val="0"/>
          <w:numId w:val="1413"/>
        </w:numPr>
        <w:pStyle w:val="Compact"/>
      </w:pPr>
      <w:r>
        <w:rPr>
          <w:bCs/>
          <w:b/>
        </w:rPr>
        <w:t xml:space="preserve">REQ-OUT-56, 98</w:t>
      </w:r>
      <w:r>
        <w:t xml:space="preserve"> </w:t>
      </w:r>
      <w:r>
        <w:rPr>
          <w:bCs/>
          <w:b/>
        </w:rPr>
        <w:t xml:space="preserve">[RE]</w:t>
      </w:r>
      <w:r>
        <w:t xml:space="preserve"> </w:t>
      </w:r>
      <w:r>
        <w:t xml:space="preserve">Grievance responsibility rests with the RE; for microfinance, the agreement and FPC declare the RE accountable for service-provider staff behaviour.</w:t>
      </w:r>
      <w:r>
        <w:t xml:space="preserve"> </w:t>
      </w:r>
      <w:r>
        <w:rPr>
          <w:iCs/>
          <w:i/>
        </w:rPr>
        <w:t xml:space="preserve">Build:</w:t>
      </w:r>
      <w:r>
        <w:t xml:space="preserve"> </w:t>
      </w:r>
      <w:r>
        <w:t xml:space="preserve">U15 routes every complaint to the RE’s GRO queue; Udofin’s own nodal GRO handles DLA issues (CF para 12(1)) but never closes an RE complaint.</w:t>
      </w:r>
    </w:p>
    <w:p>
      <w:pPr>
        <w:numPr>
          <w:ilvl w:val="0"/>
          <w:numId w:val="1413"/>
        </w:numPr>
        <w:pStyle w:val="Compact"/>
      </w:pPr>
      <w:r>
        <w:rPr>
          <w:bCs/>
          <w:b/>
        </w:rPr>
        <w:t xml:space="preserve">REQ-OUT-57</w:t>
      </w:r>
      <w:r>
        <w:t xml:space="preserve"> </w:t>
      </w:r>
      <w:r>
        <w:rPr>
          <w:bCs/>
          <w:b/>
        </w:rPr>
        <w:t xml:space="preserve">[RE]</w:t>
      </w:r>
      <w:r>
        <w:t xml:space="preserve"> </w:t>
      </w:r>
      <w:r>
        <w:t xml:space="preserve">GRO name and contacts displayed where business is transacted, covering outsourced services; 30-day time limit; Ombudsman or CEPC route after rejection or no reply within 30 days.</w:t>
      </w:r>
      <w:r>
        <w:t xml:space="preserve"> </w:t>
      </w:r>
      <w:r>
        <w:rPr>
          <w:iCs/>
          <w:i/>
        </w:rPr>
        <w:t xml:space="preserve">Build:</w:t>
      </w:r>
      <w:r>
        <w:t xml:space="preserve"> </w:t>
      </w:r>
      <w:r>
        <w:t xml:space="preserve">U15 shows the RE GRO on the DLA and the RB-IOS route on day 31 or on rejection [VERIFY: the text cites the Integrated Ombudsman Scheme, 2021; confirm the current scheme name].</w:t>
      </w:r>
    </w:p>
    <w:p>
      <w:pPr>
        <w:pStyle w:val="FirstParagraph"/>
      </w:pPr>
      <w:r>
        <w:rPr>
          <w:bCs/>
          <w:b/>
        </w:rPr>
        <w:t xml:space="preserve">Recovery agents:</w:t>
      </w:r>
      <w:r>
        <w:t xml:space="preserve"> </w:t>
      </w:r>
      <w:r>
        <w:t xml:space="preserve">OUT covers them only through para 17 (RE responsibility); conduct rules are in 8A.6.</w:t>
      </w:r>
    </w:p>
    <w:p>
      <w:r>
        <w:pict>
          <v:rect style="width:0;height:1.5pt" o:hralign="center" o:hrstd="t" o:hr="t"/>
        </w:pict>
      </w:r>
    </w:p>
    <w:bookmarkEnd w:id="456"/>
    <w:bookmarkStart w:id="457" w:name="Xf76e7fb0a9a123978727a8e2ca400c81b1b32ab"/>
    <w:p>
      <w:pPr>
        <w:pStyle w:val="Heading2"/>
      </w:pPr>
      <w:r>
        <w:t xml:space="preserve">8A.8 CYB — Cybersecurity, Technology: Risk, Resilience and Assurance Framework Directions (461)</w:t>
      </w:r>
    </w:p>
    <w:p>
      <w:pPr>
        <w:pStyle w:val="FirstParagraph"/>
      </w:pPr>
      <w:r>
        <w:rPr>
          <w:bCs/>
          <w:b/>
        </w:rPr>
        <w:t xml:space="preserve">Applicability to Udofin: through the RE’s contract.</w:t>
      </w:r>
      <w:r>
        <w:t xml:space="preserve"> </w:t>
      </w:r>
      <w:r>
        <w:t xml:space="preserve">CYB binds NBFC and HFC REs: Chapter III for BL below ₹500 crore and CICs, Chapter IV for BL of ₹500 crore and above, Chapter V for ML, UL and TL (para 3). It reaches Udofin through CF para 16 (LSPs comply with RBI cybersecurity standards), OUT Chapter IV clauses (8A.7), CYB paras 60–64 (outsourcing terms for BL REs of ₹500 crore and above), para 117 (vendor risk outside OUT) and paras 104–106 (software vendors). Udofin’s app, web app and APIs are customer-facing systems in the RE’s DMZ in substance; build them to the Chapter V standard so one platform satisfies every RE layer. Paras 21–64 cited below are Chapter IV (BL ≥ ₹500 crore; paras 31, 33 and 34 also bind Chapter III REs through para 8(5)); paras 97–146 are Chapter V (ML and above), which has no counterpart to paras 33–34 (para 110 mirrors 21(8)). CYB itself prescribes no data localisation, numeric RTO or log-retention period; those come from CF para 14(4), OUT 74(vi), the RE contract and CERT-In [VERIFY: CERT-In Directions of 28 Apr 2022 on 6-hour reporting and 180-day log retention apply to Udofin as a body corporate; not in the supplied texts].</w:t>
      </w:r>
    </w:p>
    <w:p>
      <w:pPr>
        <w:pStyle w:val="BodyText"/>
      </w:pPr>
      <w:r>
        <w:rPr>
          <w:bCs/>
          <w:b/>
        </w:rPr>
        <w:t xml:space="preserve">Incidents:</w:t>
      </w:r>
    </w:p>
    <w:p>
      <w:pPr>
        <w:numPr>
          <w:ilvl w:val="0"/>
          <w:numId w:val="1414"/>
        </w:numPr>
        <w:pStyle w:val="Compact"/>
      </w:pPr>
      <w:r>
        <w:rPr>
          <w:bCs/>
          <w:b/>
        </w:rPr>
        <w:t xml:space="preserve">REQ-CYB-28, 141</w:t>
      </w:r>
      <w:r>
        <w:t xml:space="preserve"> </w:t>
      </w:r>
      <w:r>
        <w:rPr>
          <w:bCs/>
          <w:b/>
        </w:rPr>
        <w:t xml:space="preserve">[RE]</w:t>
      </w:r>
      <w:r>
        <w:t xml:space="preserve"> </w:t>
      </w:r>
      <w:r>
        <w:t xml:space="preserve">The RE reports cyber incidents on DAKSH</w:t>
      </w:r>
      <w:r>
        <w:t xml:space="preserve"> </w:t>
      </w:r>
      <w:r>
        <w:rPr>
          <w:bCs/>
          <w:b/>
        </w:rPr>
        <w:t xml:space="preserve">within 6 hours of detection</w:t>
      </w:r>
      <w:r>
        <w:t xml:space="preserve"> </w:t>
      </w:r>
      <w:r>
        <w:t xml:space="preserve">(para 28, Chapter IV; para 141, Chapter V, which adds proactive CERT-In notification and has HFCs report to NHB); CYB sets no reporting clock for Chapter III REs.</w:t>
      </w:r>
      <w:r>
        <w:t xml:space="preserve"> </w:t>
      </w:r>
      <w:r>
        <w:rPr>
          <w:bCs/>
          <w:b/>
        </w:rPr>
        <w:t xml:space="preserve">[RE→UDOFIN contract]</w:t>
      </w:r>
      <w:r>
        <w:t xml:space="preserve"> </w:t>
      </w:r>
      <w:r>
        <w:t xml:space="preserve">Udofin’s notification feeds that clock (OUT para 61).</w:t>
      </w:r>
      <w:r>
        <w:t xml:space="preserve"> </w:t>
      </w:r>
      <w:r>
        <w:rPr>
          <w:iCs/>
          <w:i/>
        </w:rPr>
        <w:t xml:space="preserve">Build:</w:t>
      </w:r>
      <w:r>
        <w:t xml:space="preserve"> </w:t>
      </w:r>
      <w:r>
        <w:t xml:space="preserve">U24 incident taxonomy, severity, detection time, affected REs and borrowers, initial-report template; notification to RE within the 2-hour internal target.</w:t>
      </w:r>
    </w:p>
    <w:p>
      <w:pPr>
        <w:numPr>
          <w:ilvl w:val="0"/>
          <w:numId w:val="1414"/>
        </w:numPr>
        <w:pStyle w:val="Compact"/>
      </w:pPr>
      <w:r>
        <w:rPr>
          <w:bCs/>
          <w:b/>
        </w:rPr>
        <w:t xml:space="preserve">REQ-CYB-142, 146</w:t>
      </w:r>
      <w:r>
        <w:t xml:space="preserve"> </w:t>
      </w:r>
      <w:r>
        <w:rPr>
          <w:bCs/>
          <w:b/>
        </w:rPr>
        <w:t xml:space="preserve">[RE→UDOFIN contract]</w:t>
      </w:r>
      <w:r>
        <w:t xml:space="preserve"> </w:t>
      </w:r>
      <w:r>
        <w:t xml:space="preserve">Incident procedures name outsourced staff roles; crisis-communication drills with service providers.</w:t>
      </w:r>
      <w:r>
        <w:t xml:space="preserve"> </w:t>
      </w:r>
      <w:r>
        <w:rPr>
          <w:iCs/>
          <w:i/>
        </w:rPr>
        <w:t xml:space="preserve">Build:</w:t>
      </w:r>
      <w:r>
        <w:t xml:space="preserve"> </w:t>
      </w:r>
      <w:r>
        <w:t xml:space="preserve">Udofin runbook with named roles per RE; drill participation logged in U18.</w:t>
      </w:r>
    </w:p>
    <w:p>
      <w:pPr>
        <w:numPr>
          <w:ilvl w:val="0"/>
          <w:numId w:val="1414"/>
        </w:numPr>
        <w:pStyle w:val="Compact"/>
      </w:pPr>
      <w:r>
        <w:rPr>
          <w:bCs/>
          <w:b/>
        </w:rPr>
        <w:t xml:space="preserve">REQ-CYB-145</w:t>
      </w:r>
      <w:r>
        <w:t xml:space="preserve"> </w:t>
      </w:r>
      <w:r>
        <w:rPr>
          <w:bCs/>
          <w:b/>
        </w:rPr>
        <w:t xml:space="preserve">[RE]</w:t>
      </w:r>
      <w:r>
        <w:t xml:space="preserve"> </w:t>
      </w:r>
      <w:r>
        <w:t xml:space="preserve">Lessons learnt from incidents.</w:t>
      </w:r>
      <w:r>
        <w:t xml:space="preserve"> </w:t>
      </w:r>
      <w:r>
        <w:rPr>
          <w:iCs/>
          <w:i/>
        </w:rPr>
        <w:t xml:space="preserve">Build:</w:t>
      </w:r>
      <w:r>
        <w:t xml:space="preserve"> </w:t>
      </w:r>
      <w:r>
        <w:t xml:space="preserve">U24 RCA report shared with affected REs (see ORM para 101 questions, 8A.14).</w:t>
      </w:r>
    </w:p>
    <w:p>
      <w:pPr>
        <w:pStyle w:val="FirstParagraph"/>
      </w:pPr>
      <w:r>
        <w:rPr>
          <w:bCs/>
          <w:b/>
        </w:rPr>
        <w:t xml:space="preserve">Customer application security:</w:t>
      </w:r>
    </w:p>
    <w:p>
      <w:pPr>
        <w:numPr>
          <w:ilvl w:val="0"/>
          <w:numId w:val="1415"/>
        </w:numPr>
        <w:pStyle w:val="Compact"/>
      </w:pPr>
      <w:r>
        <w:rPr>
          <w:bCs/>
          <w:b/>
        </w:rPr>
        <w:t xml:space="preserve">REQ-CYB-33</w:t>
      </w:r>
      <w:r>
        <w:t xml:space="preserve"> </w:t>
      </w:r>
      <w:r>
        <w:rPr>
          <w:bCs/>
          <w:b/>
        </w:rPr>
        <w:t xml:space="preserve">[RE→UDOFIN contract]</w:t>
      </w:r>
      <w:r>
        <w:t xml:space="preserve"> </w:t>
      </w:r>
      <w:r>
        <w:t xml:space="preserve">Mobile financial services ensure confidentiality, integrity, authenticity and</w:t>
      </w:r>
      <w:r>
        <w:t xml:space="preserve"> </w:t>
      </w:r>
      <w:r>
        <w:rPr>
          <w:bCs/>
          <w:b/>
        </w:rPr>
        <w:t xml:space="preserve">end-to-end encryption</w:t>
      </w:r>
      <w:r>
        <w:t xml:space="preserve"> </w:t>
      </w:r>
      <w:r>
        <w:t xml:space="preserve">(Chapter IV; applied to Chapter III REs by para 8(5)).</w:t>
      </w:r>
      <w:r>
        <w:t xml:space="preserve"> </w:t>
      </w:r>
      <w:r>
        <w:rPr>
          <w:iCs/>
          <w:i/>
        </w:rPr>
        <w:t xml:space="preserve">Build (U3, Phase 17):</w:t>
      </w:r>
      <w:r>
        <w:t xml:space="preserve"> </w:t>
      </w:r>
      <w:r>
        <w:t xml:space="preserve">TLS 1.2 or higher with certificate pinning; app attestation (Play Integrity, App Attest); root, jailbreak, emulator and hooking detection; secrets only in the platform keystore; no personal data in logs, screenshots disabled on sensitive screens; web app with HSTS, CSP and secure cookies.</w:t>
      </w:r>
    </w:p>
    <w:p>
      <w:pPr>
        <w:numPr>
          <w:ilvl w:val="0"/>
          <w:numId w:val="1415"/>
        </w:numPr>
        <w:pStyle w:val="Compact"/>
      </w:pPr>
      <w:r>
        <w:rPr>
          <w:bCs/>
          <w:b/>
        </w:rPr>
        <w:t xml:space="preserve">REQ-CYB-34</w:t>
      </w:r>
      <w:r>
        <w:t xml:space="preserve"> </w:t>
      </w:r>
      <w:r>
        <w:rPr>
          <w:bCs/>
          <w:b/>
        </w:rPr>
        <w:t xml:space="preserve">[RE→UDOFIN contract]</w:t>
      </w:r>
      <w:r>
        <w:t xml:space="preserve"> </w:t>
      </w:r>
      <w:r>
        <w:t xml:space="preserve">Social-media risk, including account takeover and impersonation.</w:t>
      </w:r>
      <w:r>
        <w:t xml:space="preserve"> </w:t>
      </w:r>
      <w:r>
        <w:rPr>
          <w:iCs/>
          <w:i/>
        </w:rPr>
        <w:t xml:space="preserve">Build:</w:t>
      </w:r>
      <w:r>
        <w:t xml:space="preserve"> </w:t>
      </w:r>
      <w:r>
        <w:t xml:space="preserve">U24 brand monitoring for fake apps, fake handles and fake collection links, with a takedown workflow and borrower alerts.</w:t>
      </w:r>
    </w:p>
    <w:p>
      <w:pPr>
        <w:numPr>
          <w:ilvl w:val="0"/>
          <w:numId w:val="1415"/>
        </w:numPr>
        <w:pStyle w:val="Compact"/>
      </w:pPr>
      <w:r>
        <w:rPr>
          <w:bCs/>
          <w:b/>
        </w:rPr>
        <w:t xml:space="preserve">REQ-CYB-21(8)</w:t>
      </w:r>
      <w:r>
        <w:t xml:space="preserve"> </w:t>
      </w:r>
      <w:r>
        <w:rPr>
          <w:bCs/>
          <w:b/>
        </w:rPr>
        <w:t xml:space="preserve">[UDOFIN]</w:t>
      </w:r>
      <w:r>
        <w:t xml:space="preserve"> </w:t>
      </w:r>
      <w:r>
        <w:t xml:space="preserve">Audit trails sufficient for audit, forensics and dispute resolution (Chapter IV).</w:t>
      </w:r>
      <w:r>
        <w:t xml:space="preserve"> </w:t>
      </w:r>
      <w:r>
        <w:rPr>
          <w:iCs/>
          <w:i/>
        </w:rPr>
        <w:t xml:space="preserve">Build:</w:t>
      </w:r>
      <w:r>
        <w:t xml:space="preserve"> </w:t>
      </w:r>
      <w:r>
        <w:t xml:space="preserve">tamper-evident audit log for every borrower-affecting and privileged action (U18).</w:t>
      </w:r>
    </w:p>
    <w:p>
      <w:pPr>
        <w:numPr>
          <w:ilvl w:val="0"/>
          <w:numId w:val="1415"/>
        </w:numPr>
        <w:pStyle w:val="Compact"/>
      </w:pPr>
      <w:r>
        <w:rPr>
          <w:bCs/>
          <w:b/>
        </w:rPr>
        <w:t xml:space="preserve">REQ-CYB-119–120</w:t>
      </w:r>
      <w:r>
        <w:t xml:space="preserve"> </w:t>
      </w:r>
      <w:r>
        <w:rPr>
          <w:bCs/>
          <w:b/>
        </w:rPr>
        <w:t xml:space="preserve">[UDOFIN]</w:t>
      </w:r>
      <w:r>
        <w:t xml:space="preserve"> </w:t>
      </w:r>
      <w:r>
        <w:t xml:space="preserve">No manual intervention in data transferred between critical applications; STP with authentication and audit trail.</w:t>
      </w:r>
      <w:r>
        <w:t xml:space="preserve"> </w:t>
      </w:r>
      <w:r>
        <w:rPr>
          <w:iCs/>
          <w:i/>
        </w:rPr>
        <w:t xml:space="preserve">Build:</w:t>
      </w:r>
      <w:r>
        <w:t xml:space="preserve"> </w:t>
      </w:r>
      <w:r>
        <w:t xml:space="preserve">U21 signed, idempotent messages; replay only through an audited, maker-checker re-push; no manual file editing.</w:t>
      </w:r>
    </w:p>
    <w:p>
      <w:pPr>
        <w:numPr>
          <w:ilvl w:val="0"/>
          <w:numId w:val="1415"/>
        </w:numPr>
        <w:pStyle w:val="Compact"/>
      </w:pPr>
      <w:r>
        <w:rPr>
          <w:bCs/>
          <w:b/>
        </w:rPr>
        <w:t xml:space="preserve">REQ-CYB-115</w:t>
      </w:r>
      <w:r>
        <w:t xml:space="preserve"> </w:t>
      </w:r>
      <w:r>
        <w:rPr>
          <w:bCs/>
          <w:b/>
        </w:rPr>
        <w:t xml:space="preserve">[UDOFIN]</w:t>
      </w:r>
      <w:r>
        <w:t xml:space="preserve"> </w:t>
      </w:r>
      <w:r>
        <w:t xml:space="preserve">MFA for privileged users of critical systems and critical activities.</w:t>
      </w:r>
      <w:r>
        <w:t xml:space="preserve"> </w:t>
      </w:r>
      <w:r>
        <w:rPr>
          <w:iCs/>
          <w:i/>
        </w:rPr>
        <w:t xml:space="preserve">Build:</w:t>
      </w:r>
      <w:r>
        <w:t xml:space="preserve"> </w:t>
      </w:r>
      <w:r>
        <w:t xml:space="preserve">MFA on the ops portal, lender portal and admin; step-up for configuration and data export.</w:t>
      </w:r>
    </w:p>
    <w:p>
      <w:pPr>
        <w:pStyle w:val="FirstParagraph"/>
      </w:pPr>
      <w:r>
        <w:rPr>
          <w:bCs/>
          <w:b/>
        </w:rPr>
        <w:t xml:space="preserve">Vendor obligations:</w:t>
      </w:r>
    </w:p>
    <w:p>
      <w:pPr>
        <w:numPr>
          <w:ilvl w:val="0"/>
          <w:numId w:val="1416"/>
        </w:numPr>
        <w:pStyle w:val="Compact"/>
      </w:pPr>
      <w:r>
        <w:rPr>
          <w:bCs/>
          <w:b/>
        </w:rPr>
        <w:t xml:space="preserve">REQ-CYB-62</w:t>
      </w:r>
      <w:r>
        <w:t xml:space="preserve"> </w:t>
      </w:r>
      <w:r>
        <w:rPr>
          <w:bCs/>
          <w:b/>
        </w:rPr>
        <w:t xml:space="preserve">[RE→UDOFIN contract]</w:t>
      </w:r>
      <w:r>
        <w:t xml:space="preserve"> </w:t>
      </w:r>
      <w:r>
        <w:t xml:space="preserve">(BL ≥ ₹500 crore REs) contract terms: continuous monitoring;</w:t>
      </w:r>
      <w:r>
        <w:t xml:space="preserve"> </w:t>
      </w:r>
      <w:r>
        <w:rPr>
          <w:bCs/>
          <w:b/>
        </w:rPr>
        <w:t xml:space="preserve">admin audit trails and logs retained by Udofin and accessible to the RE on approved request</w:t>
      </w:r>
      <w:r>
        <w:t xml:space="preserve">; audit rights and report copies; RBI access to paper and electronic records within reasonable time.</w:t>
      </w:r>
      <w:r>
        <w:t xml:space="preserve"> </w:t>
      </w:r>
      <w:r>
        <w:rPr>
          <w:iCs/>
          <w:i/>
        </w:rPr>
        <w:t xml:space="preserve">Build:</w:t>
      </w:r>
      <w:r>
        <w:t xml:space="preserve"> </w:t>
      </w:r>
      <w:r>
        <w:t xml:space="preserve">U18 log-access request workflow.</w:t>
      </w:r>
    </w:p>
    <w:p>
      <w:pPr>
        <w:numPr>
          <w:ilvl w:val="0"/>
          <w:numId w:val="1416"/>
        </w:numPr>
        <w:pStyle w:val="Compact"/>
      </w:pPr>
      <w:r>
        <w:rPr>
          <w:bCs/>
          <w:b/>
        </w:rPr>
        <w:t xml:space="preserve">REQ-CYB-64, 138</w:t>
      </w:r>
      <w:r>
        <w:t xml:space="preserve"> </w:t>
      </w:r>
      <w:r>
        <w:rPr>
          <w:bCs/>
          <w:b/>
        </w:rPr>
        <w:t xml:space="preserve">[RE→UDOFIN contract]</w:t>
      </w:r>
      <w:r>
        <w:t xml:space="preserve"> </w:t>
      </w:r>
      <w:r>
        <w:t xml:space="preserve">Proactive BCP assurance; collaborative resilience testing that meets the RE’s RTO.</w:t>
      </w:r>
      <w:r>
        <w:t xml:space="preserve"> </w:t>
      </w:r>
      <w:r>
        <w:rPr>
          <w:iCs/>
          <w:i/>
        </w:rPr>
        <w:t xml:space="preserve">Build:</w:t>
      </w:r>
      <w:r>
        <w:t xml:space="preserve"> </w:t>
      </w:r>
      <w:r>
        <w:t xml:space="preserve">Udofin publishes RTO and RPO per service; joins RE drills.</w:t>
      </w:r>
    </w:p>
    <w:p>
      <w:pPr>
        <w:numPr>
          <w:ilvl w:val="0"/>
          <w:numId w:val="1416"/>
        </w:numPr>
        <w:pStyle w:val="Compact"/>
      </w:pPr>
      <w:r>
        <w:rPr>
          <w:bCs/>
          <w:b/>
        </w:rPr>
        <w:t xml:space="preserve">REQ-CYB-97</w:t>
      </w:r>
      <w:r>
        <w:t xml:space="preserve"> </w:t>
      </w:r>
      <w:r>
        <w:rPr>
          <w:bCs/>
          <w:b/>
        </w:rPr>
        <w:t xml:space="preserve">[RE→UDOFIN contract]</w:t>
      </w:r>
      <w:r>
        <w:t xml:space="preserve"> </w:t>
      </w:r>
      <w:r>
        <w:t xml:space="preserve">Service providers comply with the RE’s information-security and acceptable-use policies.</w:t>
      </w:r>
      <w:r>
        <w:t xml:space="preserve"> </w:t>
      </w:r>
      <w:r>
        <w:rPr>
          <w:iCs/>
          <w:i/>
        </w:rPr>
        <w:t xml:space="preserve">Build:</w:t>
      </w:r>
      <w:r>
        <w:t xml:space="preserve"> </w:t>
      </w:r>
      <w:r>
        <w:t xml:space="preserve">U18 attestation per RE for Udofin staff with RE-portal or RE-data access.</w:t>
      </w:r>
    </w:p>
    <w:p>
      <w:pPr>
        <w:numPr>
          <w:ilvl w:val="0"/>
          <w:numId w:val="1416"/>
        </w:numPr>
        <w:pStyle w:val="Compact"/>
      </w:pPr>
      <w:r>
        <w:rPr>
          <w:bCs/>
          <w:b/>
        </w:rPr>
        <w:t xml:space="preserve">REQ-CYB-104–106</w:t>
      </w:r>
      <w:r>
        <w:t xml:space="preserve"> </w:t>
      </w:r>
      <w:r>
        <w:rPr>
          <w:bCs/>
          <w:b/>
        </w:rPr>
        <w:t xml:space="preserve">[RE→UDOFIN contract]</w:t>
      </w:r>
      <w:r>
        <w:t xml:space="preserve"> </w:t>
      </w:r>
      <w:r>
        <w:t xml:space="preserve">(Chapter V REs) maintenance and support by formal agreement (104); for applications the RE treats as critical, source code or</w:t>
      </w:r>
      <w:r>
        <w:t xml:space="preserve"> </w:t>
      </w:r>
      <w:r>
        <w:rPr>
          <w:bCs/>
          <w:b/>
        </w:rPr>
        <w:t xml:space="preserve">escrow including all updates and fixes</w:t>
      </w:r>
      <w:r>
        <w:t xml:space="preserve"> </w:t>
      </w:r>
      <w:r>
        <w:t xml:space="preserve">(105); written certificate that the application is</w:t>
      </w:r>
      <w:r>
        <w:t xml:space="preserve"> </w:t>
      </w:r>
      <w:r>
        <w:rPr>
          <w:bCs/>
          <w:b/>
        </w:rPr>
        <w:t xml:space="preserve">free of known vulnerabilities, malware and covert channels</w:t>
      </w:r>
      <w:r>
        <w:t xml:space="preserve">, at onboarding and on each material change.</w:t>
      </w:r>
      <w:r>
        <w:t xml:space="preserve"> </w:t>
      </w:r>
      <w:r>
        <w:rPr>
          <w:iCs/>
          <w:i/>
        </w:rPr>
        <w:t xml:space="preserve">Build:</w:t>
      </w:r>
      <w:r>
        <w:t xml:space="preserve"> </w:t>
      </w:r>
      <w:r>
        <w:t xml:space="preserve">release pipeline produces SBOM, SAST, SCA and DAST results and a signed certificate per material release; escrow offered as an option.</w:t>
      </w:r>
    </w:p>
    <w:p>
      <w:pPr>
        <w:numPr>
          <w:ilvl w:val="0"/>
          <w:numId w:val="1416"/>
        </w:numPr>
        <w:pStyle w:val="Compact"/>
      </w:pPr>
      <w:r>
        <w:rPr>
          <w:bCs/>
          <w:b/>
        </w:rPr>
        <w:t xml:space="preserve">REQ-CYB-117</w:t>
      </w:r>
      <w:r>
        <w:t xml:space="preserve"> </w:t>
      </w:r>
      <w:r>
        <w:rPr>
          <w:bCs/>
          <w:b/>
        </w:rPr>
        <w:t xml:space="preserve">[RE]</w:t>
      </w:r>
      <w:r>
        <w:t xml:space="preserve"> </w:t>
      </w:r>
      <w:r>
        <w:t xml:space="preserve">Vendor risk assessment for concentration, conflicts, single points of failure, legal compliance, high availability and supply chain.</w:t>
      </w:r>
      <w:r>
        <w:t xml:space="preserve"> </w:t>
      </w:r>
      <w:r>
        <w:rPr>
          <w:iCs/>
          <w:i/>
        </w:rPr>
        <w:t xml:space="preserve">Build:</w:t>
      </w:r>
      <w:r>
        <w:t xml:space="preserve"> </w:t>
      </w:r>
      <w:r>
        <w:t xml:space="preserve">U18 sub-processor list, SPOF analysis and HA design note.</w:t>
      </w:r>
    </w:p>
    <w:p>
      <w:pPr>
        <w:pStyle w:val="FirstParagraph"/>
      </w:pPr>
      <w:r>
        <w:rPr>
          <w:bCs/>
          <w:b/>
        </w:rPr>
        <w:t xml:space="preserve">Testing and resilience:</w:t>
      </w:r>
    </w:p>
    <w:p>
      <w:pPr>
        <w:numPr>
          <w:ilvl w:val="0"/>
          <w:numId w:val="1417"/>
        </w:numPr>
        <w:pStyle w:val="Compact"/>
      </w:pPr>
      <w:r>
        <w:rPr>
          <w:bCs/>
          <w:b/>
        </w:rPr>
        <w:t xml:space="preserve">REQ-CYB-121–126</w:t>
      </w:r>
      <w:r>
        <w:t xml:space="preserve"> </w:t>
      </w:r>
      <w:r>
        <w:rPr>
          <w:bCs/>
          <w:b/>
        </w:rPr>
        <w:t xml:space="preserve">[RE→UDOFIN contract]</w:t>
      </w:r>
      <w:r>
        <w:t xml:space="preserve"> </w:t>
      </w:r>
      <w:r>
        <w:t xml:space="preserve">VA</w:t>
      </w:r>
      <w:r>
        <w:t xml:space="preserve"> </w:t>
      </w:r>
      <w:r>
        <w:rPr>
          <w:bCs/>
          <w:b/>
        </w:rPr>
        <w:t xml:space="preserve">at least every 6 months</w:t>
      </w:r>
      <w:r>
        <w:t xml:space="preserve"> </w:t>
      </w:r>
      <w:r>
        <w:t xml:space="preserve">and PT</w:t>
      </w:r>
      <w:r>
        <w:t xml:space="preserve"> </w:t>
      </w:r>
      <w:r>
        <w:rPr>
          <w:bCs/>
          <w:b/>
        </w:rPr>
        <w:t xml:space="preserve">at least every 12 months</w:t>
      </w:r>
      <w:r>
        <w:t xml:space="preserve"> </w:t>
      </w:r>
      <w:r>
        <w:t xml:space="preserve">for critical and customer-facing DMZ systems, plus pre-implementation, post-implementation (on production) and after change, by independent experts; time-bound fixes with no recurrence of known CVEs; CVSS-based approach covering cloud.</w:t>
      </w:r>
      <w:r>
        <w:t xml:space="preserve"> </w:t>
      </w:r>
      <w:r>
        <w:rPr>
          <w:iCs/>
          <w:i/>
        </w:rPr>
        <w:t xml:space="preserve">Build:</w:t>
      </w:r>
      <w:r>
        <w:t xml:space="preserve"> </w:t>
      </w:r>
      <w:r>
        <w:t xml:space="preserve">Udofin runs this cadence on app, web, APIs and portals and shares reports and remediation status with each RE (U18).</w:t>
      </w:r>
    </w:p>
    <w:p>
      <w:pPr>
        <w:numPr>
          <w:ilvl w:val="0"/>
          <w:numId w:val="1417"/>
        </w:numPr>
        <w:pStyle w:val="Compact"/>
      </w:pPr>
      <w:r>
        <w:rPr>
          <w:bCs/>
          <w:b/>
        </w:rPr>
        <w:t xml:space="preserve">REQ-CYB-129, 131</w:t>
      </w:r>
      <w:r>
        <w:t xml:space="preserve"> </w:t>
      </w:r>
      <w:r>
        <w:rPr>
          <w:bCs/>
          <w:b/>
        </w:rPr>
        <w:t xml:space="preserve">[RE]</w:t>
      </w:r>
      <w:r>
        <w:t xml:space="preserve"> </w:t>
      </w:r>
      <w:r>
        <w:t xml:space="preserve">DR drills at least half-yearly; DR run as primary for a full working day (Chapter V).</w:t>
      </w:r>
      <w:r>
        <w:t xml:space="preserve"> </w:t>
      </w:r>
      <w:r>
        <w:rPr>
          <w:iCs/>
          <w:i/>
        </w:rPr>
        <w:t xml:space="preserve">Build:</w:t>
      </w:r>
      <w:r>
        <w:t xml:space="preserve"> </w:t>
      </w:r>
      <w:r>
        <w:t xml:space="preserve">Udofin’s own half-yearly DR drill, evidence shared.</w:t>
      </w:r>
    </w:p>
    <w:p>
      <w:pPr>
        <w:numPr>
          <w:ilvl w:val="0"/>
          <w:numId w:val="1417"/>
        </w:numPr>
        <w:pStyle w:val="Compact"/>
      </w:pPr>
      <w:r>
        <w:rPr>
          <w:bCs/>
          <w:b/>
        </w:rPr>
        <w:t xml:space="preserve">REQ-CYB-102</w:t>
      </w:r>
      <w:r>
        <w:t xml:space="preserve"> </w:t>
      </w:r>
      <w:r>
        <w:rPr>
          <w:bCs/>
          <w:b/>
        </w:rPr>
        <w:t xml:space="preserve">[RE]</w:t>
      </w:r>
      <w:r>
        <w:t xml:space="preserve"> </w:t>
      </w:r>
      <w:r>
        <w:t xml:space="preserve">DC and DR geographically separated.</w:t>
      </w:r>
      <w:r>
        <w:t xml:space="preserve"> </w:t>
      </w:r>
      <w:r>
        <w:rPr>
          <w:iCs/>
          <w:i/>
        </w:rPr>
        <w:t xml:space="preserve">Build:</w:t>
      </w:r>
      <w:r>
        <w:t xml:space="preserve"> </w:t>
      </w:r>
      <w:r>
        <w:t xml:space="preserve">both in India (Phase 21 AWS ap-south-1 and ap-south-2).</w:t>
      </w:r>
    </w:p>
    <w:p>
      <w:r>
        <w:pict>
          <v:rect style="width:0;height:1.5pt" o:hralign="center" o:hrstd="t" o:hr="t"/>
        </w:pict>
      </w:r>
    </w:p>
    <w:bookmarkEnd w:id="457"/>
    <w:bookmarkStart w:id="458" w:name="Xb45de698a2f00e9350336210bffcb1243045c42"/>
    <w:p>
      <w:pPr>
        <w:pStyle w:val="Heading2"/>
      </w:pPr>
      <w:r>
        <w:t xml:space="preserve">8A.9 FRM — Fraud Risk Management Directions (463)</w:t>
      </w:r>
    </w:p>
    <w:p>
      <w:pPr>
        <w:pStyle w:val="FirstParagraph"/>
      </w:pPr>
      <w:r>
        <w:rPr>
          <w:bCs/>
          <w:b/>
        </w:rPr>
        <w:t xml:space="preserve">Applicability to Udofin: through the RE’s contract.</w:t>
      </w:r>
      <w:r>
        <w:t xml:space="preserve"> </w:t>
      </w:r>
      <w:r>
        <w:t xml:space="preserve">FRM binds NBFCs and HFCs in UL, ML and BL with assets of ₹500 crore and above, on the audited balance sheet of the preceding 31 March (para 3). It does not bind BL REs below ₹500 crore. HFCs report frauds to NHB. Udofin is a third-party service provider: it can be served a show-cause notice (6(1)), held contractually accountable (31), and is the source of most digital-journey fraud signals (23).</w:t>
      </w:r>
    </w:p>
    <w:p>
      <w:pPr>
        <w:numPr>
          <w:ilvl w:val="0"/>
          <w:numId w:val="1418"/>
        </w:numPr>
        <w:pStyle w:val="Compact"/>
      </w:pPr>
      <w:r>
        <w:rPr>
          <w:bCs/>
          <w:b/>
        </w:rPr>
        <w:t xml:space="preserve">REQ-FRM-6</w:t>
      </w:r>
      <w:r>
        <w:t xml:space="preserve"> </w:t>
      </w:r>
      <w:r>
        <w:rPr>
          <w:bCs/>
          <w:b/>
        </w:rPr>
        <w:t xml:space="preserve">[RE]</w:t>
      </w:r>
      <w:r>
        <w:t xml:space="preserve"> </w:t>
      </w:r>
      <w:r>
        <w:t xml:space="preserve">(Udofin as respondent:</w:t>
      </w:r>
      <w:r>
        <w:t xml:space="preserve"> </w:t>
      </w:r>
      <w:r>
        <w:rPr>
          <w:bCs/>
          <w:b/>
        </w:rPr>
        <w:t xml:space="preserve">[UDOFIN]</w:t>
      </w:r>
      <w:r>
        <w:t xml:space="preserve">) Persons examined for fraud include third-party service providers; a detailed SCN gives</w:t>
      </w:r>
      <w:r>
        <w:t xml:space="preserve"> </w:t>
      </w:r>
      <w:r>
        <w:rPr>
          <w:bCs/>
          <w:b/>
        </w:rPr>
        <w:t xml:space="preserve">not less than 21 days</w:t>
      </w:r>
      <w:r>
        <w:t xml:space="preserve"> </w:t>
      </w:r>
      <w:r>
        <w:t xml:space="preserve">to respond; a reasoned order follows (6(1)–(4)).</w:t>
      </w:r>
      <w:r>
        <w:t xml:space="preserve"> </w:t>
      </w:r>
      <w:r>
        <w:rPr>
          <w:iCs/>
          <w:i/>
        </w:rPr>
        <w:t xml:space="preserve">Build:</w:t>
      </w:r>
      <w:r>
        <w:t xml:space="preserve"> </w:t>
      </w:r>
      <w:r>
        <w:t xml:space="preserve">U18 legal-matter workflow for an SCN served on Udofin; U24 evidence export when an RE examines a borrower.</w:t>
      </w:r>
    </w:p>
    <w:p>
      <w:pPr>
        <w:numPr>
          <w:ilvl w:val="0"/>
          <w:numId w:val="1418"/>
        </w:numPr>
        <w:pStyle w:val="Compact"/>
      </w:pPr>
      <w:r>
        <w:rPr>
          <w:bCs/>
          <w:b/>
        </w:rPr>
        <w:t xml:space="preserve">REQ-FRM-31</w:t>
      </w:r>
      <w:r>
        <w:t xml:space="preserve"> </w:t>
      </w:r>
      <w:r>
        <w:rPr>
          <w:bCs/>
          <w:b/>
        </w:rPr>
        <w:t xml:space="preserve">[RE→UDOFIN contract]</w:t>
      </w:r>
      <w:r>
        <w:t xml:space="preserve"> </w:t>
      </w:r>
      <w:r>
        <w:t xml:space="preserve">Agreements may hold third parties accountable where their wilful negligence or malpractice causes fraud.</w:t>
      </w:r>
      <w:r>
        <w:t xml:space="preserve"> </w:t>
      </w:r>
      <w:r>
        <w:rPr>
          <w:iCs/>
          <w:i/>
        </w:rPr>
        <w:t xml:space="preserve">Build:</w:t>
      </w:r>
      <w:r>
        <w:t xml:space="preserve"> </w:t>
      </w:r>
      <w:r>
        <w:t xml:space="preserve">clause accepted in the standard LSP agreement (U1).</w:t>
      </w:r>
    </w:p>
    <w:p>
      <w:pPr>
        <w:numPr>
          <w:ilvl w:val="0"/>
          <w:numId w:val="1418"/>
        </w:numPr>
        <w:pStyle w:val="Compact"/>
      </w:pPr>
      <w:r>
        <w:rPr>
          <w:bCs/>
          <w:b/>
        </w:rPr>
        <w:t xml:space="preserve">REQ-FRM-15, 19–23</w:t>
      </w:r>
      <w:r>
        <w:t xml:space="preserve"> </w:t>
      </w:r>
      <w:r>
        <w:rPr>
          <w:bCs/>
          <w:b/>
        </w:rPr>
        <w:t xml:space="preserve">[RE]</w:t>
      </w:r>
      <w:r>
        <w:t xml:space="preserve"> </w:t>
      </w:r>
      <w:r>
        <w:t xml:space="preserve">ML and UL REs run an EWS integrated with their systems; every alert is examined; monitoring of transactions</w:t>
      </w:r>
      <w:r>
        <w:t xml:space="preserve"> </w:t>
      </w:r>
      <w:r>
        <w:rPr>
          <w:bCs/>
          <w:b/>
        </w:rPr>
        <w:t xml:space="preserve">through digital platforms and applications</w:t>
      </w:r>
      <w:r>
        <w:t xml:space="preserve">, with vigilance on non-KYC and mule accounts.</w:t>
      </w:r>
      <w:r>
        <w:t xml:space="preserve"> </w:t>
      </w:r>
      <w:r>
        <w:rPr>
          <w:bCs/>
          <w:b/>
        </w:rPr>
        <w:t xml:space="preserve">[RE→UDOFIN contract]</w:t>
      </w:r>
      <w:r>
        <w:t xml:space="preserve"> </w:t>
      </w:r>
      <w:r>
        <w:t xml:space="preserve">Udofin supplies signals, not determinations.</w:t>
      </w:r>
      <w:r>
        <w:t xml:space="preserve"> </w:t>
      </w:r>
      <w:r>
        <w:rPr>
          <w:iCs/>
          <w:i/>
        </w:rPr>
        <w:t xml:space="preserve">Build:</w:t>
      </w:r>
      <w:r>
        <w:t xml:space="preserve"> </w:t>
      </w:r>
      <w:r>
        <w:t xml:space="preserve">U24 risk-signal service: device reuse across applicants, emulator or tampered app, SIM or device change before disbursal, location mismatch, document or selfie tampering scores, bank account reused by unrelated borrowers, identity velocity; delivered to the RE as a new event (</w:t>
      </w:r>
      <w:r>
        <w:rPr>
          <w:rStyle w:val="VerbatimChar"/>
        </w:rPr>
        <w:t xml:space="preserve">RiskSignalRaised</w:t>
      </w:r>
      <w:r>
        <w:t xml:space="preserve">, to be added to Part 5 through Finbyx change control) with evidence references.</w:t>
      </w:r>
    </w:p>
    <w:p>
      <w:pPr>
        <w:numPr>
          <w:ilvl w:val="0"/>
          <w:numId w:val="1418"/>
        </w:numPr>
        <w:pStyle w:val="Compact"/>
      </w:pPr>
      <w:r>
        <w:rPr>
          <w:bCs/>
          <w:b/>
        </w:rPr>
        <w:t xml:space="preserve">REQ-FRM-35</w:t>
      </w:r>
      <w:r>
        <w:t xml:space="preserve"> </w:t>
      </w:r>
      <w:r>
        <w:rPr>
          <w:bCs/>
          <w:b/>
        </w:rPr>
        <w:t xml:space="preserve">[RE]</w:t>
      </w:r>
      <w:r>
        <w:t xml:space="preserve"> </w:t>
      </w:r>
      <w:r>
        <w:t xml:space="preserve">Persons classified as fraud are debarred from credit from RBI-regulated entities for 5 years from full repayment of the defrauded or settlement amount.</w:t>
      </w:r>
      <w:r>
        <w:t xml:space="preserve"> </w:t>
      </w:r>
      <w:r>
        <w:rPr>
          <w:iCs/>
          <w:i/>
        </w:rPr>
        <w:t xml:space="preserve">Build:</w:t>
      </w:r>
      <w:r>
        <w:t xml:space="preserve"> </w:t>
      </w:r>
      <w:r>
        <w:t xml:space="preserve">Udofin cannot see fraud lists; U7 routing honours the RE’s decline without disclosing the reason beyond the RE’s reason code.</w:t>
      </w:r>
    </w:p>
    <w:p>
      <w:pPr>
        <w:numPr>
          <w:ilvl w:val="0"/>
          <w:numId w:val="1418"/>
        </w:numPr>
        <w:pStyle w:val="Compact"/>
      </w:pPr>
      <w:r>
        <w:rPr>
          <w:bCs/>
          <w:b/>
        </w:rPr>
        <w:t xml:space="preserve">REQ-FRM-40, 43</w:t>
      </w:r>
      <w:r>
        <w:t xml:space="preserve"> </w:t>
      </w:r>
      <w:r>
        <w:rPr>
          <w:bCs/>
          <w:b/>
        </w:rPr>
        <w:t xml:space="preserve">[RE]</w:t>
      </w:r>
      <w:r>
        <w:t xml:space="preserve"> </w:t>
      </w:r>
      <w:r>
        <w:t xml:space="preserve">Immediate report to law enforcement; FMR</w:t>
      </w:r>
      <w:r>
        <w:t xml:space="preserve"> </w:t>
      </w:r>
      <w:r>
        <w:rPr>
          <w:bCs/>
          <w:b/>
        </w:rPr>
        <w:t xml:space="preserve">within 14 days</w:t>
      </w:r>
      <w:r>
        <w:t xml:space="preserve"> </w:t>
      </w:r>
      <w:r>
        <w:t xml:space="preserve">of classification, irrespective of amount.</w:t>
      </w:r>
      <w:r>
        <w:t xml:space="preserve"> </w:t>
      </w:r>
      <w:r>
        <w:rPr>
          <w:bCs/>
          <w:b/>
        </w:rPr>
        <w:t xml:space="preserve">[RE→UDOFIN contract]</w:t>
      </w:r>
      <w:r>
        <w:t xml:space="preserve"> </w:t>
      </w:r>
      <w:r>
        <w:t xml:space="preserve">Udofin’s evidence pack (application trail, KYC evidence, device data, consents, communications and recordings) within the contractual SLA.</w:t>
      </w:r>
      <w:r>
        <w:t xml:space="preserve"> </w:t>
      </w:r>
      <w:r>
        <w:rPr>
          <w:iCs/>
          <w:i/>
        </w:rPr>
        <w:t xml:space="preserve">Build:</w:t>
      </w:r>
      <w:r>
        <w:t xml:space="preserve"> </w:t>
      </w:r>
      <w:r>
        <w:t xml:space="preserve">U24 one-click evidence pack per application or loan, hash-sealed.</w:t>
      </w:r>
    </w:p>
    <w:p>
      <w:pPr>
        <w:numPr>
          <w:ilvl w:val="0"/>
          <w:numId w:val="1418"/>
        </w:numPr>
        <w:pStyle w:val="Compact"/>
      </w:pPr>
      <w:r>
        <w:rPr>
          <w:bCs/>
          <w:b/>
        </w:rPr>
        <w:t xml:space="preserve">REQ-FRM-42(10)</w:t>
      </w:r>
      <w:r>
        <w:t xml:space="preserve"> </w:t>
      </w:r>
      <w:r>
        <w:rPr>
          <w:bCs/>
          <w:b/>
        </w:rPr>
        <w:t xml:space="preserve">[RE]</w:t>
      </w:r>
      <w:r>
        <w:t xml:space="preserve"> </w:t>
      </w:r>
      <w:r>
        <w:t xml:space="preserve">Digital-payment frauds are a reporting category.</w:t>
      </w:r>
      <w:r>
        <w:t xml:space="preserve"> </w:t>
      </w:r>
      <w:r>
        <w:rPr>
          <w:iCs/>
          <w:i/>
        </w:rPr>
        <w:t xml:space="preserve">Build:</w:t>
      </w:r>
      <w:r>
        <w:t xml:space="preserve"> </w:t>
      </w:r>
      <w:r>
        <w:t xml:space="preserve">U11 and U24 capture fake payment links, impersonated collection and UPI-handle misuse as incidents and notify the RE.</w:t>
      </w:r>
    </w:p>
    <w:p>
      <w:pPr>
        <w:numPr>
          <w:ilvl w:val="0"/>
          <w:numId w:val="1418"/>
        </w:numPr>
        <w:pStyle w:val="Compact"/>
      </w:pPr>
      <w:r>
        <w:rPr>
          <w:bCs/>
          <w:b/>
        </w:rPr>
        <w:t xml:space="preserve">Fraud by Udofin staff or agents</w:t>
      </w:r>
      <w:r>
        <w:t xml:space="preserve"> </w:t>
      </w:r>
      <w:r>
        <w:rPr>
          <w:bCs/>
          <w:b/>
        </w:rPr>
        <w:t xml:space="preserve">[UDOFIN]</w:t>
      </w:r>
      <w:r>
        <w:t xml:space="preserve"> </w:t>
      </w:r>
      <w:r>
        <w:t xml:space="preserve">Interpretation: the RE’s staff-accountability rules (paras 32–34) do not reach Udofin staff, but the RE must still classify and report the fraud.</w:t>
      </w:r>
      <w:r>
        <w:t xml:space="preserve"> </w:t>
      </w:r>
      <w:r>
        <w:rPr>
          <w:iCs/>
          <w:i/>
        </w:rPr>
        <w:t xml:space="preserve">Build:</w:t>
      </w:r>
      <w:r>
        <w:t xml:space="preserve"> </w:t>
      </w:r>
      <w:r>
        <w:t xml:space="preserve">U24 notifies the RE immediately of any suspected fraud by Udofin employees or agents (fictitious applications, misappropriated cash recoveries); U13 reconciles every cash receipt to the RE ledger on the same day (CF para 10(5)).</w:t>
      </w:r>
    </w:p>
    <w:p>
      <w:r>
        <w:pict>
          <v:rect style="width:0;height:1.5pt" o:hralign="center" o:hrstd="t" o:hr="t"/>
        </w:pict>
      </w:r>
    </w:p>
    <w:bookmarkEnd w:id="458"/>
    <w:bookmarkStart w:id="459" w:name="X05560d498d8dd9a1911aeb321950d55fa2c960b"/>
    <w:p>
      <w:pPr>
        <w:pStyle w:val="Heading2"/>
      </w:pPr>
      <w:r>
        <w:t xml:space="preserve">8A.10 WD — Treatment of Wilful Defaulters and Large Defaulters Directions (358)</w:t>
      </w:r>
    </w:p>
    <w:p>
      <w:pPr>
        <w:pStyle w:val="FirstParagraph"/>
      </w:pPr>
      <w:r>
        <w:rPr>
          <w:bCs/>
          <w:b/>
        </w:rPr>
        <w:t xml:space="preserve">Applicability to Udofin: through the RE’s contract.</w:t>
      </w:r>
      <w:r>
        <w:t xml:space="preserve"> </w:t>
      </w:r>
      <w:r>
        <w:t xml:space="preserve">WD binds ML-and-above NBFCs, HFCs and CICs (para 2(1)); the bar on further finance to wilful defaulters and the large-defaulter provisions apply to</w:t>
      </w:r>
      <w:r>
        <w:t xml:space="preserve"> </w:t>
      </w:r>
      <w:r>
        <w:rPr>
          <w:bCs/>
          <w:b/>
        </w:rPr>
        <w:t xml:space="preserve">all RBI-regulated entities</w:t>
      </w:r>
      <w:r>
        <w:t xml:space="preserve"> </w:t>
      </w:r>
      <w:r>
        <w:t xml:space="preserve">(para 2(2) proviso). A wilful defaulter has outstanding of</w:t>
      </w:r>
      <w:r>
        <w:t xml:space="preserve"> </w:t>
      </w:r>
      <w:r>
        <w:rPr>
          <w:bCs/>
          <w:b/>
        </w:rPr>
        <w:t xml:space="preserve">₹25 lakh and above</w:t>
      </w:r>
      <w:r>
        <w:t xml:space="preserve"> </w:t>
      </w:r>
      <w:r>
        <w:t xml:space="preserve">(3(1)(xix)), so most Udofin unsecured loans will never generate a classification, but any borrower, guarantor or (for non-individual borrowers) director may already be on the list.</w:t>
      </w:r>
    </w:p>
    <w:p>
      <w:pPr>
        <w:numPr>
          <w:ilvl w:val="0"/>
          <w:numId w:val="1419"/>
        </w:numPr>
        <w:pStyle w:val="Compact"/>
      </w:pPr>
      <w:r>
        <w:rPr>
          <w:bCs/>
          <w:b/>
        </w:rPr>
        <w:t xml:space="preserve">REQ-WD-7(3)</w:t>
      </w:r>
      <w:r>
        <w:t xml:space="preserve"> </w:t>
      </w:r>
      <w:r>
        <w:rPr>
          <w:bCs/>
          <w:b/>
        </w:rPr>
        <w:t xml:space="preserve">[RE]</w:t>
      </w:r>
      <w:r>
        <w:t xml:space="preserve"> </w:t>
      </w:r>
      <w:r>
        <w:t xml:space="preserve">No additional credit to a wilful defaulter or associated entity; bar continues</w:t>
      </w:r>
      <w:r>
        <w:t xml:space="preserve"> </w:t>
      </w:r>
      <w:r>
        <w:rPr>
          <w:bCs/>
          <w:b/>
        </w:rPr>
        <w:t xml:space="preserve">1 year</w:t>
      </w:r>
      <w:r>
        <w:t xml:space="preserve"> </w:t>
      </w:r>
      <w:r>
        <w:t xml:space="preserve">after removal from the LWD; no finance for new ventures for</w:t>
      </w:r>
      <w:r>
        <w:t xml:space="preserve"> </w:t>
      </w:r>
      <w:r>
        <w:rPr>
          <w:bCs/>
          <w:b/>
        </w:rPr>
        <w:t xml:space="preserve">5 years</w:t>
      </w:r>
      <w:r>
        <w:t xml:space="preserve"> </w:t>
      </w:r>
      <w:r>
        <w:t xml:space="preserve">after removal.</w:t>
      </w:r>
      <w:r>
        <w:t xml:space="preserve"> </w:t>
      </w:r>
      <w:r>
        <w:rPr>
          <w:iCs/>
          <w:i/>
        </w:rPr>
        <w:t xml:space="preserve">Build:</w:t>
      </w:r>
      <w:r>
        <w:t xml:space="preserve"> </w:t>
      </w:r>
      <w:r>
        <w:t xml:space="preserve">U7 never routes or displays an offer from an RE that has declined on this ground; U6 sends the identifiers the RE needs.</w:t>
      </w:r>
    </w:p>
    <w:p>
      <w:pPr>
        <w:numPr>
          <w:ilvl w:val="0"/>
          <w:numId w:val="1419"/>
        </w:numPr>
        <w:pStyle w:val="Compact"/>
      </w:pPr>
      <w:r>
        <w:rPr>
          <w:bCs/>
          <w:b/>
        </w:rPr>
        <w:t xml:space="preserve">REQ-WD-19(1)</w:t>
      </w:r>
      <w:r>
        <w:t xml:space="preserve"> </w:t>
      </w:r>
      <w:r>
        <w:rPr>
          <w:bCs/>
          <w:b/>
        </w:rPr>
        <w:t xml:space="preserve">[RE]</w:t>
      </w:r>
      <w:r>
        <w:t xml:space="preserve"> </w:t>
      </w:r>
      <w:r>
        <w:t xml:space="preserve">At appraisal, the RE checks directors of a company, guarantors and persons in charge against the large-defaulter list and LWD by DIN/PAN, and resolves identical names through</w:t>
      </w:r>
      <w:r>
        <w:t xml:space="preserve"> </w:t>
      </w:r>
      <w:r>
        <w:rPr>
          <w:bCs/>
          <w:b/>
        </w:rPr>
        <w:t xml:space="preserve">independent sources, not a borrower declaration</w:t>
      </w:r>
      <w:r>
        <w:t xml:space="preserve">.</w:t>
      </w:r>
      <w:r>
        <w:t xml:space="preserve"> </w:t>
      </w:r>
      <w:r>
        <w:rPr>
          <w:bCs/>
          <w:b/>
        </w:rPr>
        <w:t xml:space="preserve">[RE→UDOFIN contract]</w:t>
      </w:r>
      <w:r>
        <w:t xml:space="preserve"> </w:t>
      </w:r>
      <w:r>
        <w:t xml:space="preserve">Udofin supplies verified identifiers only; it never runs or decides the check.</w:t>
      </w:r>
      <w:r>
        <w:t xml:space="preserve"> </w:t>
      </w:r>
      <w:r>
        <w:rPr>
          <w:iCs/>
          <w:i/>
        </w:rPr>
        <w:t xml:space="preserve">Build:</w:t>
      </w:r>
      <w:r>
        <w:t xml:space="preserve"> </w:t>
      </w:r>
      <w:r>
        <w:t xml:space="preserve">U5 captures verified PAN for applicants, co-applicants and guarantors; for non-individual borrowers (Phase 18 secured products) U5 captures DIN and PAN of directors and persons in charge from verified sources [VERIFY: MCA21 data access route]; no self-declaration substitutes for these fields.</w:t>
      </w:r>
    </w:p>
    <w:p>
      <w:pPr>
        <w:numPr>
          <w:ilvl w:val="0"/>
          <w:numId w:val="1419"/>
        </w:numPr>
        <w:pStyle w:val="Compact"/>
      </w:pPr>
      <w:r>
        <w:rPr>
          <w:bCs/>
          <w:b/>
        </w:rPr>
        <w:t xml:space="preserve">REQ-WD-19(2)</w:t>
      </w:r>
      <w:r>
        <w:t xml:space="preserve"> </w:t>
      </w:r>
      <w:r>
        <w:rPr>
          <w:bCs/>
          <w:b/>
        </w:rPr>
        <w:t xml:space="preserve">[RE]</w:t>
      </w:r>
      <w:r>
        <w:t xml:space="preserve"> </w:t>
      </w:r>
      <w:r>
        <w:t xml:space="preserve">End-use monitoring and certificates from borrowers; legal action on false certification is the RE’s.</w:t>
      </w:r>
      <w:r>
        <w:t xml:space="preserve"> </w:t>
      </w:r>
      <w:r>
        <w:rPr>
          <w:bCs/>
          <w:b/>
        </w:rPr>
        <w:t xml:space="preserve">[RE→UDOFIN contract]</w:t>
      </w:r>
      <w:r>
        <w:t xml:space="preserve"> </w:t>
      </w:r>
      <w:r>
        <w:t xml:space="preserve">Udofin collects certificates where the RE product requires it.</w:t>
      </w:r>
      <w:r>
        <w:t xml:space="preserve"> </w:t>
      </w:r>
      <w:r>
        <w:rPr>
          <w:iCs/>
          <w:i/>
        </w:rPr>
        <w:t xml:space="preserve">Build:</w:t>
      </w:r>
      <w:r>
        <w:t xml:space="preserve"> </w:t>
      </w:r>
      <w:r>
        <w:t xml:space="preserve">U12 end-use certificate request and capture where the RE product requires it, with the consequence notice.</w:t>
      </w:r>
    </w:p>
    <w:p>
      <w:pPr>
        <w:numPr>
          <w:ilvl w:val="0"/>
          <w:numId w:val="1419"/>
        </w:numPr>
        <w:pStyle w:val="Compact"/>
      </w:pPr>
      <w:r>
        <w:rPr>
          <w:bCs/>
          <w:b/>
        </w:rPr>
        <w:t xml:space="preserve">REQ-WD-7(4)</w:t>
      </w:r>
      <w:r>
        <w:t xml:space="preserve"> </w:t>
      </w:r>
      <w:r>
        <w:rPr>
          <w:bCs/>
          <w:b/>
        </w:rPr>
        <w:t xml:space="preserve">[RE]</w:t>
      </w:r>
      <w:r>
        <w:t xml:space="preserve"> </w:t>
      </w:r>
      <w:r>
        <w:t xml:space="preserve">Covenant in non-individual credit agreements barring LWD persons from the board or management.</w:t>
      </w:r>
      <w:r>
        <w:t xml:space="preserve"> </w:t>
      </w:r>
      <w:r>
        <w:rPr>
          <w:iCs/>
          <w:i/>
        </w:rPr>
        <w:t xml:space="preserve">Build:</w:t>
      </w:r>
      <w:r>
        <w:t xml:space="preserve"> </w:t>
      </w:r>
      <w:r>
        <w:t xml:space="preserve">U9 template check for business-purpose products.</w:t>
      </w:r>
    </w:p>
    <w:p>
      <w:pPr>
        <w:numPr>
          <w:ilvl w:val="0"/>
          <w:numId w:val="1419"/>
        </w:numPr>
        <w:pStyle w:val="Compact"/>
      </w:pPr>
      <w:r>
        <w:rPr>
          <w:bCs/>
          <w:b/>
        </w:rPr>
        <w:t xml:space="preserve">REQ-WD-21</w:t>
      </w:r>
      <w:r>
        <w:t xml:space="preserve"> </w:t>
      </w:r>
      <w:r>
        <w:rPr>
          <w:bCs/>
          <w:b/>
        </w:rPr>
        <w:t xml:space="preserve">[RE]</w:t>
      </w:r>
      <w:r>
        <w:t xml:space="preserve"> </w:t>
      </w:r>
      <w:r>
        <w:t xml:space="preserve">Third parties engaged by the lender that played a vital role in sanction or disbursement and were negligent or facilitated a wilful default are reported to IBA, after a hearing, for a caution list circulated to all REs (21(1)–(3)).</w:t>
      </w:r>
      <w:r>
        <w:t xml:space="preserve"> </w:t>
      </w:r>
      <w:r>
        <w:rPr>
          <w:iCs/>
          <w:i/>
        </w:rPr>
        <w:t xml:space="preserve">Build:</w:t>
      </w:r>
      <w:r>
        <w:t xml:space="preserve"> </w:t>
      </w:r>
      <w:r>
        <w:t xml:space="preserve">U18 legal-matter workflow for any hearing notice served on Udofin (as REQ-FRM-6); U24 evidence export.</w:t>
      </w:r>
    </w:p>
    <w:p>
      <w:r>
        <w:pict>
          <v:rect style="width:0;height:1.5pt" o:hralign="center" o:hrstd="t" o:hr="t"/>
        </w:pict>
      </w:r>
    </w:p>
    <w:bookmarkEnd w:id="459"/>
    <w:bookmarkStart w:id="462" w:name="X37eed40317d970646aacd2819eff075fabcabed"/>
    <w:p>
      <w:pPr>
        <w:pStyle w:val="Heading2"/>
      </w:pPr>
      <w:r>
        <w:t xml:space="preserve">8A.11 DPS — Digital Payment Security Controls Directions (462)</w:t>
      </w:r>
    </w:p>
    <w:p>
      <w:pPr>
        <w:pStyle w:val="FirstParagraph"/>
      </w:pPr>
      <w:r>
        <w:rPr>
          <w:bCs/>
          <w:b/>
        </w:rPr>
        <w:t xml:space="preserve">Source:</w:t>
      </w:r>
      <w:r>
        <w:t xml:space="preserve"> </w:t>
      </w:r>
      <w:r>
        <w:t xml:space="preserve">RBI/DoS/2026-27/462; DoS.CO.CSITEG.56/31.01.015/2026-27; 31 Jul 2026, effective immediately (para 2).</w:t>
      </w:r>
    </w:p>
    <w:bookmarkStart w:id="460" w:name="applicability-to-udofin-5"/>
    <w:p>
      <w:pPr>
        <w:pStyle w:val="Heading3"/>
      </w:pPr>
      <w:r>
        <w:t xml:space="preserve">Applicability to Udofin</w:t>
      </w:r>
    </w:p>
    <w:p>
      <w:pPr>
        <w:numPr>
          <w:ilvl w:val="0"/>
          <w:numId w:val="1420"/>
        </w:numPr>
        <w:pStyle w:val="Compact"/>
      </w:pPr>
      <w:r>
        <w:rPr>
          <w:bCs/>
          <w:b/>
        </w:rPr>
        <w:t xml:space="preserve">Not directly, and not through most REs.</w:t>
      </w:r>
      <w:r>
        <w:t xml:space="preserve"> </w:t>
      </w:r>
      <w:r>
        <w:t xml:space="preserve">The Directions apply only to</w:t>
      </w:r>
      <w:r>
        <w:t xml:space="preserve"> </w:t>
      </w:r>
      <w:r>
        <w:t xml:space="preserve">“</w:t>
      </w:r>
      <w:r>
        <w:t xml:space="preserve">Credit-Card issuing Non-Banking Financial Companies</w:t>
      </w:r>
      <w:r>
        <w:t xml:space="preserve">”</w:t>
      </w:r>
      <w:r>
        <w:t xml:space="preserve"> </w:t>
      </w:r>
      <w:r>
        <w:t xml:space="preserve">(para 3). Their scope is the digital payment products and services the card-issuing NBFC offers, including non-financial functions such as app registration, OTP generation, transaction status and raising disputes (para 4(1)).</w:t>
      </w:r>
    </w:p>
    <w:p>
      <w:pPr>
        <w:numPr>
          <w:ilvl w:val="0"/>
          <w:numId w:val="1420"/>
        </w:numPr>
        <w:pStyle w:val="Compact"/>
      </w:pPr>
      <w:r>
        <w:rPr>
          <w:bCs/>
          <w:b/>
        </w:rPr>
        <w:t xml:space="preserve">Card-issuing partner REs.</w:t>
      </w:r>
      <w:r>
        <w:t xml:space="preserve"> </w:t>
      </w:r>
      <w:r>
        <w:t xml:space="preserve">If a partner RE issues credit cards, Udofin’s repayment features are the LSP’s DLA, not a product</w:t>
      </w:r>
      <w:r>
        <w:t xml:space="preserve"> </w:t>
      </w:r>
      <w:r>
        <w:t xml:space="preserve">“</w:t>
      </w:r>
      <w:r>
        <w:t xml:space="preserve">offered directly by the NBFC</w:t>
      </w:r>
      <w:r>
        <w:t xml:space="preserve">”</w:t>
      </w:r>
      <w:r>
        <w:t xml:space="preserve">. They are probably outside para 4(1) unless the RE’s contract brings them in [VERIFY: each card-issuing RE’s interpretation].</w:t>
      </w:r>
    </w:p>
    <w:p>
      <w:pPr>
        <w:numPr>
          <w:ilvl w:val="0"/>
          <w:numId w:val="1420"/>
        </w:numPr>
        <w:pStyle w:val="Compact"/>
      </w:pPr>
      <w:r>
        <w:rPr>
          <w:bCs/>
          <w:b/>
        </w:rPr>
        <w:t xml:space="preserve">Voluntary baseline.</w:t>
      </w:r>
      <w:r>
        <w:t xml:space="preserve"> </w:t>
      </w:r>
      <w:r>
        <w:t xml:space="preserve">As in Finbyx, Udofin adopts the controls below as its voluntary security baseline for U3, U11 and U24. They also help meet CF para 16 and the RE’s OUT and CYB flow-downs (see 8A.7, 8A.8). Each item is tagged</w:t>
      </w:r>
      <w:r>
        <w:t xml:space="preserve"> </w:t>
      </w:r>
      <w:r>
        <w:rPr>
          <w:bCs/>
          <w:b/>
        </w:rPr>
        <w:t xml:space="preserve">[UDOFIN]</w:t>
      </w:r>
      <w:r>
        <w:t xml:space="preserve"> </w:t>
      </w:r>
      <w:r>
        <w:t xml:space="preserve">(voluntary).</w:t>
      </w:r>
    </w:p>
    <w:bookmarkEnd w:id="460"/>
    <w:bookmarkStart w:id="461" w:name="controls-adopted"/>
    <w:p>
      <w:pPr>
        <w:pStyle w:val="Heading3"/>
      </w:pPr>
      <w:r>
        <w:t xml:space="preserve">Controls adopted</w:t>
      </w:r>
    </w:p>
    <w:p>
      <w:pPr>
        <w:numPr>
          <w:ilvl w:val="0"/>
          <w:numId w:val="1421"/>
        </w:numPr>
        <w:pStyle w:val="Compact"/>
      </w:pPr>
      <w:r>
        <w:rPr>
          <w:rStyle w:val="VerbatimChar"/>
        </w:rPr>
        <w:t xml:space="preserve">REQ-DPS-22</w:t>
      </w:r>
      <w:r>
        <w:t xml:space="preserve"> </w:t>
      </w:r>
      <w:r>
        <w:rPr>
          <w:rStyle w:val="VerbatimChar"/>
        </w:rPr>
        <w:t xml:space="preserve">REQ-DPS-23</w:t>
      </w:r>
      <w:r>
        <w:t xml:space="preserve"> </w:t>
      </w:r>
      <w:r>
        <w:rPr>
          <w:bCs/>
          <w:b/>
        </w:rPr>
        <w:t xml:space="preserve">[UDOFIN]</w:t>
      </w:r>
      <w:r>
        <w:t xml:space="preserve"> </w:t>
      </w:r>
      <w:r>
        <w:t xml:space="preserve">No sensitive data in HTML hidden fields, cookies or client-side storage. WAF and DDoS mitigation on internet-facing services.</w:t>
      </w:r>
    </w:p>
    <w:p>
      <w:pPr>
        <w:numPr>
          <w:ilvl w:val="1"/>
          <w:numId w:val="1422"/>
        </w:numPr>
        <w:pStyle w:val="Compact"/>
      </w:pPr>
      <w:r>
        <w:rPr>
          <w:iCs/>
          <w:i/>
        </w:rPr>
        <w:t xml:space="preserve">Build:</w:t>
      </w:r>
      <w:r>
        <w:t xml:space="preserve"> </w:t>
      </w:r>
      <w:r>
        <w:t xml:space="preserve">U23 web, U24 edge.</w:t>
      </w:r>
    </w:p>
    <w:p>
      <w:pPr>
        <w:numPr>
          <w:ilvl w:val="0"/>
          <w:numId w:val="1421"/>
        </w:numPr>
        <w:pStyle w:val="Compact"/>
      </w:pPr>
      <w:r>
        <w:rPr>
          <w:rStyle w:val="VerbatimChar"/>
        </w:rPr>
        <w:t xml:space="preserve">REQ-DPS-30</w:t>
      </w:r>
      <w:r>
        <w:t xml:space="preserve"> </w:t>
      </w:r>
      <w:r>
        <w:rPr>
          <w:rStyle w:val="VerbatimChar"/>
        </w:rPr>
        <w:t xml:space="preserve">REQ-DPS-32</w:t>
      </w:r>
      <w:r>
        <w:t xml:space="preserve"> </w:t>
      </w:r>
      <w:r>
        <w:rPr>
          <w:bCs/>
          <w:b/>
        </w:rPr>
        <w:t xml:space="preserve">[UDOFIN]</w:t>
      </w:r>
      <w:r>
        <w:t xml:space="preserve"> </w:t>
      </w:r>
      <w:r>
        <w:t xml:space="preserve">Threat modelling across the application lifecycle. Source review and VA/PT covering OWASP, with VA at least half-yearly, PT at least annually, and both on major change.</w:t>
      </w:r>
    </w:p>
    <w:p>
      <w:pPr>
        <w:numPr>
          <w:ilvl w:val="1"/>
          <w:numId w:val="1423"/>
        </w:numPr>
        <w:pStyle w:val="Compact"/>
      </w:pPr>
      <w:r>
        <w:t xml:space="preserve">Where an RE does not own the code, it needs the developer’s certificate that the application is</w:t>
      </w:r>
      <w:r>
        <w:t xml:space="preserve"> </w:t>
      </w:r>
      <w:r>
        <w:t xml:space="preserve">“</w:t>
      </w:r>
      <w:r>
        <w:t xml:space="preserve">free of known vulnerabilities, malware, and any covert channels</w:t>
      </w:r>
      <w:r>
        <w:t xml:space="preserve">”</w:t>
      </w:r>
      <w:r>
        <w:t xml:space="preserve">. Vendor contracts carry penal clauses.</w:t>
      </w:r>
    </w:p>
    <w:p>
      <w:pPr>
        <w:numPr>
          <w:ilvl w:val="1"/>
          <w:numId w:val="1423"/>
        </w:numPr>
        <w:pStyle w:val="Compact"/>
      </w:pPr>
      <w:r>
        <w:rPr>
          <w:iCs/>
          <w:i/>
        </w:rPr>
        <w:t xml:space="preserve">Build:</w:t>
      </w:r>
      <w:r>
        <w:t xml:space="preserve"> </w:t>
      </w:r>
      <w:r>
        <w:t xml:space="preserve">U24 security calendar. U18 issues the developer certificate to each RE, and Udofin accepts penal clauses in its RE contracts.</w:t>
      </w:r>
    </w:p>
    <w:p>
      <w:pPr>
        <w:numPr>
          <w:ilvl w:val="0"/>
          <w:numId w:val="1421"/>
        </w:numPr>
        <w:pStyle w:val="Compact"/>
      </w:pPr>
      <w:r>
        <w:rPr>
          <w:rStyle w:val="VerbatimChar"/>
        </w:rPr>
        <w:t xml:space="preserve">REQ-DPS-31</w:t>
      </w:r>
      <w:r>
        <w:t xml:space="preserve"> </w:t>
      </w:r>
      <w:r>
        <w:rPr>
          <w:bCs/>
          <w:b/>
        </w:rPr>
        <w:t xml:space="preserve">[UDOFIN]</w:t>
      </w:r>
      <w:r>
        <w:t xml:space="preserve"> </w:t>
      </w:r>
      <w:r>
        <w:t xml:space="preserve">(voluntary; contractual only where a card-issuing RE brings Udofin’s app within para 4(1)) For third-party-licensed payment applications, source-code escrow or equivalent continuity arrangements.</w:t>
      </w:r>
    </w:p>
    <w:p>
      <w:pPr>
        <w:numPr>
          <w:ilvl w:val="1"/>
          <w:numId w:val="1424"/>
        </w:numPr>
        <w:pStyle w:val="Compact"/>
      </w:pPr>
      <w:r>
        <w:rPr>
          <w:iCs/>
          <w:i/>
        </w:rPr>
        <w:t xml:space="preserve">Build:</w:t>
      </w:r>
      <w:r>
        <w:t xml:space="preserve"> </w:t>
      </w:r>
      <w:r>
        <w:t xml:space="preserve">U1 records the escrow agent and the release triggers [decision].</w:t>
      </w:r>
    </w:p>
    <w:p>
      <w:pPr>
        <w:numPr>
          <w:ilvl w:val="0"/>
          <w:numId w:val="1421"/>
        </w:numPr>
        <w:pStyle w:val="Compact"/>
      </w:pPr>
      <w:r>
        <w:rPr>
          <w:rStyle w:val="VerbatimChar"/>
        </w:rPr>
        <w:t xml:space="preserve">REQ-DPS-37</w:t>
      </w:r>
      <w:r>
        <w:t xml:space="preserve"> </w:t>
      </w:r>
      <w:r>
        <w:rPr>
          <w:bCs/>
          <w:b/>
        </w:rPr>
        <w:t xml:space="preserve">[UDOFIN]</w:t>
      </w:r>
      <w:r>
        <w:t xml:space="preserve"> </w:t>
      </w:r>
      <w:r>
        <w:t xml:space="preserve">Monitoring for rogue or look-alike apps on app stores and the web, with takedown.</w:t>
      </w:r>
    </w:p>
    <w:p>
      <w:pPr>
        <w:numPr>
          <w:ilvl w:val="1"/>
          <w:numId w:val="1425"/>
        </w:numPr>
        <w:pStyle w:val="Compact"/>
      </w:pPr>
      <w:r>
        <w:rPr>
          <w:iCs/>
          <w:i/>
        </w:rPr>
        <w:t xml:space="preserve">Build:</w:t>
      </w:r>
      <w:r>
        <w:t xml:space="preserve"> </w:t>
      </w:r>
      <w:r>
        <w:t xml:space="preserve">U24 brand-monitoring job, run weekly.</w:t>
      </w:r>
    </w:p>
    <w:p>
      <w:pPr>
        <w:numPr>
          <w:ilvl w:val="0"/>
          <w:numId w:val="1421"/>
        </w:numPr>
        <w:pStyle w:val="Compact"/>
      </w:pPr>
      <w:r>
        <w:rPr>
          <w:rStyle w:val="VerbatimChar"/>
        </w:rPr>
        <w:t xml:space="preserve">REQ-DPS-40</w:t>
      </w:r>
      <w:r>
        <w:t xml:space="preserve"> </w:t>
      </w:r>
      <w:r>
        <w:rPr>
          <w:bCs/>
          <w:b/>
        </w:rPr>
        <w:t xml:space="preserve">[UDOFIN]</w:t>
      </w:r>
      <w:r>
        <w:t xml:space="preserve"> </w:t>
      </w:r>
      <w:r>
        <w:t xml:space="preserve">Account numbers and other sensitive data are masked in SMS and email, including attachments.</w:t>
      </w:r>
    </w:p>
    <w:p>
      <w:pPr>
        <w:numPr>
          <w:ilvl w:val="1"/>
          <w:numId w:val="1426"/>
        </w:numPr>
        <w:pStyle w:val="Compact"/>
      </w:pPr>
      <w:r>
        <w:rPr>
          <w:iCs/>
          <w:i/>
        </w:rPr>
        <w:t xml:space="preserve">Build:</w:t>
      </w:r>
      <w:r>
        <w:t xml:space="preserve"> </w:t>
      </w:r>
      <w:r>
        <w:t xml:space="preserve">U16 template linter.</w:t>
      </w:r>
    </w:p>
    <w:p>
      <w:pPr>
        <w:numPr>
          <w:ilvl w:val="0"/>
          <w:numId w:val="1421"/>
        </w:numPr>
        <w:pStyle w:val="Compact"/>
      </w:pPr>
      <w:r>
        <w:rPr>
          <w:rStyle w:val="VerbatimChar"/>
        </w:rPr>
        <w:t xml:space="preserve">REQ-DPS-41</w:t>
      </w:r>
      <w:r>
        <w:t xml:space="preserve"> </w:t>
      </w:r>
      <w:r>
        <w:rPr>
          <w:rStyle w:val="VerbatimChar"/>
        </w:rPr>
        <w:t xml:space="preserve">REQ-DPS-46</w:t>
      </w:r>
      <w:r>
        <w:t xml:space="preserve"> </w:t>
      </w:r>
      <w:r>
        <w:rPr>
          <w:rStyle w:val="VerbatimChar"/>
        </w:rPr>
        <w:t xml:space="preserve">REQ-DPS-50</w:t>
      </w:r>
      <w:r>
        <w:t xml:space="preserve"> </w:t>
      </w:r>
      <w:r>
        <w:rPr>
          <w:rStyle w:val="VerbatimChar"/>
        </w:rPr>
        <w:t xml:space="preserve">REQ-DPS-51</w:t>
      </w:r>
      <w:r>
        <w:t xml:space="preserve"> </w:t>
      </w:r>
      <w:r>
        <w:rPr>
          <w:bCs/>
          <w:b/>
        </w:rPr>
        <w:t xml:space="preserve">[UDOFIN]</w:t>
      </w:r>
      <w:r>
        <w:t xml:space="preserve"> </w:t>
      </w:r>
      <w:r>
        <w:t xml:space="preserve">Authentication and alerts: MFA with at least one dynamic or non-replicable factor for payment initiation; MFA and alerts for changes to bank account, mobile, email or mandate; a maximum number of failed attempts, then lock; secure reactivation; customer notification of failed attempts.</w:t>
      </w:r>
    </w:p>
    <w:p>
      <w:pPr>
        <w:numPr>
          <w:ilvl w:val="1"/>
          <w:numId w:val="1427"/>
        </w:numPr>
        <w:pStyle w:val="Compact"/>
      </w:pPr>
      <w:r>
        <w:rPr>
          <w:iCs/>
          <w:i/>
        </w:rPr>
        <w:t xml:space="preserve">Build:</w:t>
      </w:r>
      <w:r>
        <w:t xml:space="preserve"> </w:t>
      </w:r>
      <w:r>
        <w:t xml:space="preserve">U3 and U11.</w:t>
      </w:r>
    </w:p>
    <w:p>
      <w:pPr>
        <w:numPr>
          <w:ilvl w:val="0"/>
          <w:numId w:val="1421"/>
        </w:numPr>
        <w:pStyle w:val="Compact"/>
      </w:pPr>
      <w:r>
        <w:rPr>
          <w:rStyle w:val="VerbatimChar"/>
        </w:rPr>
        <w:t xml:space="preserve">REQ-DPS-57</w:t>
      </w:r>
      <w:r>
        <w:t xml:space="preserve"> </w:t>
      </w:r>
      <w:r>
        <w:rPr>
          <w:bCs/>
          <w:b/>
        </w:rPr>
        <w:t xml:space="preserve">[UDOFIN]</w:t>
      </w:r>
      <w:r>
        <w:t xml:space="preserve"> </w:t>
      </w:r>
      <w:r>
        <w:t xml:space="preserve">Reconciliation with gateways, aggregators and other participants</w:t>
      </w:r>
      <w:r>
        <w:t xml:space="preserve"> </w:t>
      </w:r>
      <w:r>
        <w:t xml:space="preserve">“</w:t>
      </w:r>
      <w:r>
        <w:t xml:space="preserve">not later than 24 hours from the time of receipt of settlement file(s)</w:t>
      </w:r>
      <w:r>
        <w:t xml:space="preserve">”</w:t>
      </w:r>
      <w:r>
        <w:t xml:space="preserve">.</w:t>
      </w:r>
    </w:p>
    <w:p>
      <w:pPr>
        <w:numPr>
          <w:ilvl w:val="1"/>
          <w:numId w:val="1428"/>
        </w:numPr>
        <w:pStyle w:val="Compact"/>
      </w:pPr>
      <w:r>
        <w:rPr>
          <w:iCs/>
          <w:i/>
        </w:rPr>
        <w:t xml:space="preserve">Build:</w:t>
      </w:r>
      <w:r>
        <w:t xml:space="preserve"> </w:t>
      </w:r>
      <w:r>
        <w:t xml:space="preserve">U11 status reconciliation with the RE’s PG/NACH data feeds. Udofin reconciles statuses, never funds.</w:t>
      </w:r>
    </w:p>
    <w:p>
      <w:pPr>
        <w:numPr>
          <w:ilvl w:val="0"/>
          <w:numId w:val="1421"/>
        </w:numPr>
        <w:pStyle w:val="Compact"/>
      </w:pPr>
      <w:r>
        <w:rPr>
          <w:rStyle w:val="VerbatimChar"/>
        </w:rPr>
        <w:t xml:space="preserve">REQ-DPS-58</w:t>
      </w:r>
      <w:r>
        <w:t xml:space="preserve"> </w:t>
      </w:r>
      <w:r>
        <w:rPr>
          <w:rStyle w:val="VerbatimChar"/>
        </w:rPr>
        <w:t xml:space="preserve">REQ-DPS-65</w:t>
      </w:r>
      <w:r>
        <w:t xml:space="preserve"> </w:t>
      </w:r>
      <w:r>
        <w:rPr>
          <w:rStyle w:val="VerbatimChar"/>
        </w:rPr>
        <w:t xml:space="preserve">REQ-DPS-66</w:t>
      </w:r>
      <w:r>
        <w:t xml:space="preserve"> </w:t>
      </w:r>
      <w:r>
        <w:rPr>
          <w:bCs/>
          <w:b/>
        </w:rPr>
        <w:t xml:space="preserve">[UDOFIN]</w:t>
      </w:r>
      <w:r>
        <w:t xml:space="preserve"> </w:t>
      </w:r>
      <w:r>
        <w:t xml:space="preserve">Customer protection in the app: non-skippable secure-usage guidance in the customer’s preferred language, at onboarding and after updates, with confirmation recorded; services provided only on a specific opt-in with acknowledgement of terms; an in-app</w:t>
      </w:r>
      <w:r>
        <w:t xml:space="preserve"> </w:t>
      </w:r>
      <w:r>
        <w:t xml:space="preserve">“</w:t>
      </w:r>
      <w:r>
        <w:t xml:space="preserve">mark as fraudulent</w:t>
      </w:r>
      <w:r>
        <w:t xml:space="preserve">”</w:t>
      </w:r>
      <w:r>
        <w:t xml:space="preserve"> </w:t>
      </w:r>
      <w:r>
        <w:t xml:space="preserve">action.</w:t>
      </w:r>
    </w:p>
    <w:p>
      <w:pPr>
        <w:numPr>
          <w:ilvl w:val="1"/>
          <w:numId w:val="1429"/>
        </w:numPr>
        <w:pStyle w:val="Compact"/>
      </w:pPr>
      <w:r>
        <w:rPr>
          <w:iCs/>
          <w:i/>
        </w:rPr>
        <w:t xml:space="preserve">Build:</w:t>
      </w:r>
      <w:r>
        <w:t xml:space="preserve"> </w:t>
      </w:r>
      <w:r>
        <w:t xml:space="preserve">U3 onboarding, U15 fraud-report type routed to the RE, U24.</w:t>
      </w:r>
    </w:p>
    <w:p>
      <w:pPr>
        <w:numPr>
          <w:ilvl w:val="0"/>
          <w:numId w:val="1421"/>
        </w:numPr>
        <w:pStyle w:val="Compact"/>
      </w:pPr>
      <w:r>
        <w:rPr>
          <w:rStyle w:val="VerbatimChar"/>
        </w:rPr>
        <w:t xml:space="preserve">REQ-DPS-67</w:t>
      </w:r>
      <w:r>
        <w:t xml:space="preserve"> </w:t>
      </w:r>
      <w:r>
        <w:rPr>
          <w:bCs/>
          <w:b/>
        </w:rPr>
        <w:t xml:space="preserve">[UDOFIN]</w:t>
      </w:r>
      <w:r>
        <w:t xml:space="preserve"> </w:t>
      </w:r>
      <w:r>
        <w:t xml:space="preserve">Web application controls: adaptive authentication or a strong CAPTCHA with server-side validation; DNS-poisoning protection and secure cookies; a virtual keyboard option; inactivity timeout; forced change of system-issued passwords on first login.</w:t>
      </w:r>
    </w:p>
    <w:p>
      <w:pPr>
        <w:numPr>
          <w:ilvl w:val="1"/>
          <w:numId w:val="1430"/>
        </w:numPr>
        <w:pStyle w:val="Compact"/>
      </w:pPr>
      <w:r>
        <w:rPr>
          <w:iCs/>
          <w:i/>
        </w:rPr>
        <w:t xml:space="preserve">Build:</w:t>
      </w:r>
      <w:r>
        <w:t xml:space="preserve"> </w:t>
      </w:r>
      <w:r>
        <w:t xml:space="preserve">borrower web app (U3) and the portals (U23).</w:t>
      </w:r>
    </w:p>
    <w:p>
      <w:pPr>
        <w:numPr>
          <w:ilvl w:val="0"/>
          <w:numId w:val="1421"/>
        </w:numPr>
        <w:pStyle w:val="Compact"/>
      </w:pPr>
      <w:r>
        <w:rPr>
          <w:rStyle w:val="VerbatimChar"/>
        </w:rPr>
        <w:t xml:space="preserve">REQ-DPS-68</w:t>
      </w:r>
      <w:r>
        <w:t xml:space="preserve"> </w:t>
      </w:r>
      <w:r>
        <w:rPr>
          <w:bCs/>
          <w:b/>
        </w:rPr>
        <w:t xml:space="preserve">[UDOFIN]</w:t>
      </w:r>
      <w:r>
        <w:t xml:space="preserve"> </w:t>
      </w:r>
      <w:r>
        <w:t xml:space="preserve">Mobile application controls: a server-side version check, and directing the user to reinstall on anomalies; device policy checks (vulnerable OS, malicious apps, insecure Wi-Fi);</w:t>
      </w:r>
      <w:r>
        <w:t xml:space="preserve"> </w:t>
      </w:r>
      <w:r>
        <w:rPr>
          <w:bCs/>
          <w:b/>
        </w:rPr>
        <w:t xml:space="preserve">one live version, with older versions deactivated within six months</w:t>
      </w:r>
      <w:r>
        <w:t xml:space="preserve"> </w:t>
      </w:r>
      <w:r>
        <w:t xml:space="preserve">of a newer release; remote-access app detection; minimal data collection and permissions; root and jailbreak checks; a published checksum, or a store link or QR code on the website;</w:t>
      </w:r>
      <w:r>
        <w:t xml:space="preserve"> </w:t>
      </w:r>
      <w:r>
        <w:rPr>
          <w:bCs/>
          <w:b/>
        </w:rPr>
        <w:t xml:space="preserve">device binding</w:t>
      </w:r>
      <w:r>
        <w:t xml:space="preserve"> </w:t>
      </w:r>
      <w:r>
        <w:t xml:space="preserve">“</w:t>
      </w:r>
      <w:r>
        <w:t xml:space="preserve">through a combination of hardware, software, and service information</w:t>
      </w:r>
      <w:r>
        <w:t xml:space="preserve">”</w:t>
      </w:r>
      <w:r>
        <w:t xml:space="preserve">, with new-device alerts on multiple channels and a device register the user can disable; re-authentication at launch and after idle; unsecured-network detection; no credentials, keys or hashes on the device; an encrypted local database; TLS errors shown and blocked; obfuscation.</w:t>
      </w:r>
    </w:p>
    <w:p>
      <w:pPr>
        <w:numPr>
          <w:ilvl w:val="1"/>
          <w:numId w:val="1431"/>
        </w:numPr>
        <w:pStyle w:val="Compact"/>
      </w:pPr>
      <w:r>
        <w:rPr>
          <w:iCs/>
          <w:i/>
        </w:rPr>
        <w:t xml:space="preserve">Build:</w:t>
      </w:r>
      <w:r>
        <w:t xml:space="preserve"> </w:t>
      </w:r>
      <w:r>
        <w:t xml:space="preserve">U3 and U24 (Expo/React Native native modules).</w:t>
      </w:r>
    </w:p>
    <w:p>
      <w:pPr>
        <w:numPr>
          <w:ilvl w:val="1"/>
          <w:numId w:val="1431"/>
        </w:numPr>
        <w:pStyle w:val="Compact"/>
      </w:pPr>
      <w:r>
        <w:rPr>
          <w:bCs/>
          <w:b/>
        </w:rPr>
        <w:t xml:space="preserve">Conflict to resolve:</w:t>
      </w:r>
      <w:r>
        <w:t xml:space="preserve"> </w:t>
      </w:r>
      <w:r>
        <w:t xml:space="preserve">SIM-based</w:t>
      </w:r>
      <w:r>
        <w:t xml:space="preserve"> </w:t>
      </w:r>
      <w:r>
        <w:t xml:space="preserve">“</w:t>
      </w:r>
      <w:r>
        <w:t xml:space="preserve">service information</w:t>
      </w:r>
      <w:r>
        <w:t xml:space="preserve">”</w:t>
      </w:r>
      <w:r>
        <w:t xml:space="preserve"> </w:t>
      </w:r>
      <w:r>
        <w:t xml:space="preserve">usually needs telephony permissions that CF para 13(1) forbids a DLA. Udofin binds on hardware and software attestation (Play Integrity, App Attest) plus the OTP-verified registered mobile, without</w:t>
      </w:r>
      <w:r>
        <w:t xml:space="preserve"> </w:t>
      </w:r>
      <w:r>
        <w:rPr>
          <w:rStyle w:val="VerbatimChar"/>
        </w:rPr>
        <w:t xml:space="preserve">READ_PHONE_STATE</w:t>
      </w:r>
      <w:r>
        <w:t xml:space="preserve"> </w:t>
      </w:r>
      <w:r>
        <w:t xml:space="preserve">or SMS permissions [VERIFY: RE and app-store acceptance of this binding design].</w:t>
      </w:r>
    </w:p>
    <w:p>
      <w:r>
        <w:pict>
          <v:rect style="width:0;height:1.5pt" o:hralign="center" o:hrstd="t" o:hr="t"/>
        </w:pict>
      </w:r>
    </w:p>
    <w:bookmarkEnd w:id="461"/>
    <w:bookmarkEnd w:id="462"/>
    <w:bookmarkStart w:id="463" w:name="X1de09a3f353ce6d3d5e3a1775ec84b6c5040674"/>
    <w:p>
      <w:pPr>
        <w:pStyle w:val="Heading2"/>
      </w:pPr>
      <w:r>
        <w:t xml:space="preserve">8A.12 Lender governance and audit touchpoints (CMP 460, GOV 344, IAF 464, SA 465, AUD 468)</w:t>
      </w:r>
    </w:p>
    <w:p>
      <w:pPr>
        <w:pStyle w:val="FirstParagraph"/>
      </w:pPr>
      <w:r>
        <w:rPr>
          <w:bCs/>
          <w:b/>
        </w:rPr>
        <w:t xml:space="preserve">Applicability to Udofin: not directly; each shapes the evidence and approvals Udofin must hold before and after go-live.</w:t>
      </w:r>
    </w:p>
    <w:p>
      <w:pPr>
        <w:pStyle w:val="BodyText"/>
      </w:pPr>
      <w:r>
        <w:rPr>
          <w:bCs/>
          <w:b/>
        </w:rPr>
        <w:t xml:space="preserve">CMP 460</w:t>
      </w:r>
      <w:r>
        <w:t xml:space="preserve"> </w:t>
      </w:r>
      <w:r>
        <w:t xml:space="preserve">binds ML and UL NBFCs registered under the RBI Act or the Factoring Regulation Act (para 3); HFCs registered under the NHB Act are outside its text [interpretation].</w:t>
      </w:r>
    </w:p>
    <w:p>
      <w:pPr>
        <w:numPr>
          <w:ilvl w:val="0"/>
          <w:numId w:val="1432"/>
        </w:numPr>
        <w:pStyle w:val="Compact"/>
      </w:pPr>
      <w:r>
        <w:rPr>
          <w:bCs/>
          <w:b/>
        </w:rPr>
        <w:t xml:space="preserve">REQ-CMP-9(7)</w:t>
      </w:r>
      <w:r>
        <w:t xml:space="preserve"> </w:t>
      </w:r>
      <w:r>
        <w:rPr>
          <w:bCs/>
          <w:b/>
        </w:rPr>
        <w:t xml:space="preserve">[RE]</w:t>
      </w:r>
      <w:r>
        <w:t xml:space="preserve"> </w:t>
      </w:r>
      <w:r>
        <w:t xml:space="preserve">The Compliance Department approves</w:t>
      </w:r>
      <w:r>
        <w:t xml:space="preserve"> </w:t>
      </w:r>
      <w:r>
        <w:rPr>
          <w:bCs/>
          <w:b/>
        </w:rPr>
        <w:t xml:space="preserve">every new process and product before introduction</w:t>
      </w:r>
      <w:r>
        <w:t xml:space="preserve">.</w:t>
      </w:r>
      <w:r>
        <w:t xml:space="preserve"> </w:t>
      </w:r>
      <w:r>
        <w:rPr>
          <w:bCs/>
          <w:b/>
        </w:rPr>
        <w:t xml:space="preserve">[RE→UDOFIN contract]</w:t>
      </w:r>
      <w:r>
        <w:t xml:space="preserve"> </w:t>
      </w:r>
      <w:r>
        <w:rPr>
          <w:iCs/>
          <w:i/>
        </w:rPr>
        <w:t xml:space="preserve">Build:</w:t>
      </w:r>
      <w:r>
        <w:t xml:space="preserve"> </w:t>
      </w:r>
      <w:r>
        <w:t xml:space="preserve">U2 and U18 go-live gate per RE: no new product, journey change, KFS or communication template, routing rule, collection script, DLA release or sub-processor goes live for an ML or UL RE without a recorded RE compliance approval (approver, date, scope, version hash). The materiality threshold for</w:t>
      </w:r>
      <w:r>
        <w:t xml:space="preserve"> </w:t>
      </w:r>
      <w:r>
        <w:t xml:space="preserve">“</w:t>
      </w:r>
      <w:r>
        <w:t xml:space="preserve">new process</w:t>
      </w:r>
      <w:r>
        <w:t xml:space="preserve">”</w:t>
      </w:r>
      <w:r>
        <w:t xml:space="preserve"> </w:t>
      </w:r>
      <w:r>
        <w:t xml:space="preserve">is agreed per RE in the LSP agreement.</w:t>
      </w:r>
    </w:p>
    <w:p>
      <w:pPr>
        <w:numPr>
          <w:ilvl w:val="0"/>
          <w:numId w:val="1432"/>
        </w:numPr>
        <w:pStyle w:val="Compact"/>
      </w:pPr>
      <w:r>
        <w:rPr>
          <w:bCs/>
          <w:b/>
        </w:rPr>
        <w:t xml:space="preserve">REQ-CMP-15(2)</w:t>
      </w:r>
      <w:r>
        <w:t xml:space="preserve"> </w:t>
      </w:r>
      <w:r>
        <w:rPr>
          <w:bCs/>
          <w:b/>
        </w:rPr>
        <w:t xml:space="preserve">[RE]</w:t>
      </w:r>
      <w:r>
        <w:t xml:space="preserve"> </w:t>
      </w:r>
      <w:r>
        <w:t xml:space="preserve">New products intensively monitored</w:t>
      </w:r>
      <w:r>
        <w:t xml:space="preserve"> </w:t>
      </w:r>
      <w:r>
        <w:rPr>
          <w:bCs/>
          <w:b/>
        </w:rPr>
        <w:t xml:space="preserve">for at least the first six months</w:t>
      </w:r>
      <w:r>
        <w:t xml:space="preserve">.</w:t>
      </w:r>
      <w:r>
        <w:t xml:space="preserve"> </w:t>
      </w:r>
      <w:r>
        <w:rPr>
          <w:iCs/>
          <w:i/>
        </w:rPr>
        <w:t xml:space="preserve">Build:</w:t>
      </w:r>
      <w:r>
        <w:t xml:space="preserve"> </w:t>
      </w:r>
      <w:r>
        <w:t xml:space="preserve">U19 six-month monitoring pack per new product: volumes, rejections, complaints, cooling-off exits, early DPD, conduct exceptions.</w:t>
      </w:r>
    </w:p>
    <w:p>
      <w:pPr>
        <w:numPr>
          <w:ilvl w:val="0"/>
          <w:numId w:val="1432"/>
        </w:numPr>
        <w:pStyle w:val="Compact"/>
      </w:pPr>
      <w:r>
        <w:rPr>
          <w:bCs/>
          <w:b/>
        </w:rPr>
        <w:t xml:space="preserve">REQ-CMP-31</w:t>
      </w:r>
      <w:r>
        <w:t xml:space="preserve"> </w:t>
      </w:r>
      <w:r>
        <w:rPr>
          <w:bCs/>
          <w:b/>
        </w:rPr>
        <w:t xml:space="preserve">[RE]</w:t>
      </w:r>
      <w:r>
        <w:t xml:space="preserve"> </w:t>
      </w:r>
      <w:r>
        <w:t xml:space="preserve">The CCO sits on the new-product committee or evaluates every product.</w:t>
      </w:r>
      <w:r>
        <w:t xml:space="preserve"> </w:t>
      </w:r>
      <w:r>
        <w:rPr>
          <w:iCs/>
          <w:i/>
        </w:rPr>
        <w:t xml:space="preserve">Build:</w:t>
      </w:r>
      <w:r>
        <w:t xml:space="preserve"> </w:t>
      </w:r>
      <w:r>
        <w:t xml:space="preserve">the U18 approval record names the RE’s approving officer.</w:t>
      </w:r>
    </w:p>
    <w:p>
      <w:pPr>
        <w:numPr>
          <w:ilvl w:val="0"/>
          <w:numId w:val="1432"/>
        </w:numPr>
        <w:pStyle w:val="Compact"/>
      </w:pPr>
      <w:r>
        <w:rPr>
          <w:bCs/>
          <w:b/>
        </w:rPr>
        <w:t xml:space="preserve">BL REs</w:t>
      </w:r>
      <w:r>
        <w:t xml:space="preserve"> </w:t>
      </w:r>
      <w:r>
        <w:t xml:space="preserve">have no CMP, but the CCO or Board-designated official certifies each DLA on CIMS (CF para 18(3)–(4)).</w:t>
      </w:r>
      <w:r>
        <w:t xml:space="preserve"> </w:t>
      </w:r>
      <w:r>
        <w:rPr>
          <w:iCs/>
          <w:i/>
        </w:rPr>
        <w:t xml:space="preserve">Build:</w:t>
      </w:r>
      <w:r>
        <w:t xml:space="preserve"> </w:t>
      </w:r>
      <w:r>
        <w:t xml:space="preserve">U18 DLA certification evidence pack covering 18(4)(i)–(iv) for every RE.</w:t>
      </w:r>
    </w:p>
    <w:p>
      <w:pPr>
        <w:pStyle w:val="FirstParagraph"/>
      </w:pPr>
      <w:r>
        <w:rPr>
          <w:bCs/>
          <w:b/>
        </w:rPr>
        <w:t xml:space="preserve">GOV 344:</w:t>
      </w:r>
    </w:p>
    <w:p>
      <w:pPr>
        <w:numPr>
          <w:ilvl w:val="0"/>
          <w:numId w:val="1433"/>
        </w:numPr>
        <w:pStyle w:val="Compact"/>
      </w:pPr>
      <w:r>
        <w:rPr>
          <w:bCs/>
          <w:b/>
        </w:rPr>
        <w:t xml:space="preserve">REQ-GOV-23</w:t>
      </w:r>
      <w:r>
        <w:t xml:space="preserve"> </w:t>
      </w:r>
      <w:r>
        <w:rPr>
          <w:bCs/>
          <w:b/>
        </w:rPr>
        <w:t xml:space="preserve">[RE]</w:t>
      </w:r>
      <w:r>
        <w:t xml:space="preserve"> </w:t>
      </w:r>
      <w:r>
        <w:t xml:space="preserve">In NBFCs with assets above ₹5,000 crore (para 19), the CRO vets every credit product, retail or wholesale.</w:t>
      </w:r>
      <w:r>
        <w:t xml:space="preserve"> </w:t>
      </w:r>
      <w:r>
        <w:rPr>
          <w:iCs/>
          <w:i/>
        </w:rPr>
        <w:t xml:space="preserve">Build:</w:t>
      </w:r>
      <w:r>
        <w:t xml:space="preserve"> </w:t>
      </w:r>
      <w:r>
        <w:t xml:space="preserve">the U18 go-live record accepts a CRO-vetting reference.</w:t>
      </w:r>
    </w:p>
    <w:p>
      <w:pPr>
        <w:numPr>
          <w:ilvl w:val="0"/>
          <w:numId w:val="1433"/>
        </w:numPr>
        <w:pStyle w:val="Compact"/>
      </w:pPr>
      <w:r>
        <w:rPr>
          <w:bCs/>
          <w:b/>
        </w:rPr>
        <w:t xml:space="preserve">REQ-GOV-17(2)</w:t>
      </w:r>
      <w:r>
        <w:t xml:space="preserve"> </w:t>
      </w:r>
      <w:r>
        <w:rPr>
          <w:bCs/>
          <w:b/>
        </w:rPr>
        <w:t xml:space="preserve">[RE]</w:t>
      </w:r>
      <w:r>
        <w:t xml:space="preserve"> </w:t>
      </w:r>
      <w:r>
        <w:t xml:space="preserve">The Audit Committee ensures an IS audit; the cross-reference to OUT periodicity is a drafting slip (Appendix F).</w:t>
      </w:r>
      <w:r>
        <w:t xml:space="preserve"> </w:t>
      </w:r>
      <w:r>
        <w:rPr>
          <w:iCs/>
          <w:i/>
        </w:rPr>
        <w:t xml:space="preserve">Build:</w:t>
      </w:r>
      <w:r>
        <w:t xml:space="preserve"> </w:t>
      </w:r>
      <w:r>
        <w:t xml:space="preserve">Udofin supports the RE’s IS audit through U18 access.</w:t>
      </w:r>
    </w:p>
    <w:p>
      <w:pPr>
        <w:pStyle w:val="FirstParagraph"/>
      </w:pPr>
      <w:r>
        <w:rPr>
          <w:bCs/>
          <w:b/>
        </w:rPr>
        <w:t xml:space="preserve">IAF 464</w:t>
      </w:r>
      <w:r>
        <w:t xml:space="preserve"> </w:t>
      </w:r>
      <w:r>
        <w:t xml:space="preserve">binds deposit-taking NBFCs and HFCs, and non-deposit-taking ones with assets of ₹5,000 crore and above (para 3).</w:t>
      </w:r>
    </w:p>
    <w:p>
      <w:pPr>
        <w:numPr>
          <w:ilvl w:val="0"/>
          <w:numId w:val="1434"/>
        </w:numPr>
        <w:pStyle w:val="Compact"/>
      </w:pPr>
      <w:r>
        <w:rPr>
          <w:bCs/>
          <w:b/>
        </w:rPr>
        <w:t xml:space="preserve">REQ-IAF-23</w:t>
      </w:r>
      <w:r>
        <w:t xml:space="preserve"> </w:t>
      </w:r>
      <w:r>
        <w:rPr>
          <w:bCs/>
          <w:b/>
        </w:rPr>
        <w:t xml:space="preserve">[RE]</w:t>
      </w:r>
      <w:r>
        <w:t xml:space="preserve"> </w:t>
      </w:r>
      <w:r>
        <w:t xml:space="preserve">Internal audit is kept informed of new products and changes.</w:t>
      </w:r>
      <w:r>
        <w:t xml:space="preserve"> </w:t>
      </w:r>
      <w:r>
        <w:rPr>
          <w:iCs/>
          <w:i/>
        </w:rPr>
        <w:t xml:space="preserve">Build:</w:t>
      </w:r>
      <w:r>
        <w:t xml:space="preserve"> </w:t>
      </w:r>
      <w:r>
        <w:t xml:space="preserve">U18 release notes per RE delivered to the RE’s IA contact.</w:t>
      </w:r>
    </w:p>
    <w:p>
      <w:pPr>
        <w:numPr>
          <w:ilvl w:val="0"/>
          <w:numId w:val="1434"/>
        </w:numPr>
        <w:pStyle w:val="Compact"/>
      </w:pPr>
      <w:r>
        <w:rPr>
          <w:bCs/>
          <w:b/>
        </w:rPr>
        <w:t xml:space="preserve">REQ-IAF-39</w:t>
      </w:r>
      <w:r>
        <w:t xml:space="preserve"> </w:t>
      </w:r>
      <w:r>
        <w:rPr>
          <w:bCs/>
          <w:b/>
        </w:rPr>
        <w:t xml:space="preserve">[RE]</w:t>
      </w:r>
      <w:r>
        <w:t xml:space="preserve"> </w:t>
      </w:r>
      <w:r>
        <w:t xml:space="preserve">Internal audit is not outsourced. Udofin never performs the RE’s internal audit; it grants auditors read-only access (OUT 34(vii)).</w:t>
      </w:r>
    </w:p>
    <w:p>
      <w:pPr>
        <w:pStyle w:val="FirstParagraph"/>
      </w:pPr>
      <w:r>
        <w:rPr>
          <w:bCs/>
          <w:b/>
        </w:rPr>
        <w:t xml:space="preserve">SA 465 and AUD 468:</w:t>
      </w:r>
    </w:p>
    <w:p>
      <w:pPr>
        <w:numPr>
          <w:ilvl w:val="0"/>
          <w:numId w:val="1435"/>
        </w:numPr>
        <w:pStyle w:val="Compact"/>
      </w:pPr>
      <w:r>
        <w:rPr>
          <w:bCs/>
          <w:b/>
        </w:rPr>
        <w:t xml:space="preserve">REQ-SA-3</w:t>
      </w:r>
      <w:r>
        <w:t xml:space="preserve"> </w:t>
      </w:r>
      <w:r>
        <w:rPr>
          <w:bCs/>
          <w:b/>
        </w:rPr>
        <w:t xml:space="preserve">[RE]</w:t>
      </w:r>
      <w:r>
        <w:t xml:space="preserve"> </w:t>
      </w:r>
      <w:r>
        <w:t xml:space="preserve">SA governs only the RE’s own statutory auditors. Udofin’s auditor certifies Udofin’s DLG declaration under CF para 20(3) (8A.1), not under SA.</w:t>
      </w:r>
    </w:p>
    <w:p>
      <w:pPr>
        <w:numPr>
          <w:ilvl w:val="0"/>
          <w:numId w:val="1435"/>
        </w:numPr>
        <w:pStyle w:val="Compact"/>
      </w:pPr>
      <w:r>
        <w:rPr>
          <w:bCs/>
          <w:b/>
        </w:rPr>
        <w:t xml:space="preserve">REQ-AUD-11</w:t>
      </w:r>
      <w:r>
        <w:t xml:space="preserve"> </w:t>
      </w:r>
      <w:r>
        <w:rPr>
          <w:bCs/>
          <w:b/>
        </w:rPr>
        <w:t xml:space="preserve">[RE]</w:t>
      </w:r>
      <w:r>
        <w:t xml:space="preserve"> </w:t>
      </w:r>
      <w:r>
        <w:t xml:space="preserve">(NBFC auditors; HFC auditors follow the HFC Directions, AUD 3) The RE’s auditor reports non-compliance with applicable RBI Directions to the RBI SSM or Regional Office. Digital-lending compliance is therefore in audit scope.</w:t>
      </w:r>
      <w:r>
        <w:t xml:space="preserve"> </w:t>
      </w:r>
      <w:r>
        <w:rPr>
          <w:iCs/>
          <w:i/>
        </w:rPr>
        <w:t xml:space="preserve">Build:</w:t>
      </w:r>
      <w:r>
        <w:t xml:space="preserve"> </w:t>
      </w:r>
      <w:r>
        <w:t xml:space="preserve">U18 period-end evidence pack per RE: DLA register lines, consent and data-localisation attestations, fund-flow attestation (no pass-through accounts), DLG positions and disclosures, complaint MIS, recovery-agent register.</w:t>
      </w:r>
    </w:p>
    <w:p>
      <w:r>
        <w:pict>
          <v:rect style="width:0;height:1.5pt" o:hralign="center" o:hrstd="t" o:hr="t"/>
        </w:pict>
      </w:r>
    </w:p>
    <w:bookmarkEnd w:id="463"/>
    <w:bookmarkStart w:id="464" w:name="X07e63644268d42a9c72cdd00ecb6575d34e5f9f"/>
    <w:p>
      <w:pPr>
        <w:pStyle w:val="Heading2"/>
      </w:pPr>
      <w:r>
        <w:t xml:space="preserve">8A.13 Prudential touchpoints (IRACP 356, RSA 357, CAP 345, TDCR 352)</w:t>
      </w:r>
    </w:p>
    <w:p>
      <w:pPr>
        <w:pStyle w:val="FirstParagraph"/>
      </w:pPr>
      <w:r>
        <w:rPr>
          <w:bCs/>
          <w:b/>
        </w:rPr>
        <w:t xml:space="preserve">Applicability to Udofin: not directly.</w:t>
      </w:r>
      <w:r>
        <w:t xml:space="preserve"> </w:t>
      </w:r>
      <w:r>
        <w:t xml:space="preserve">The RE owns classification, provisioning, restructuring, capital and co-lending accounting. Udofin must display the RE’s positions correctly, relay borrower requests, and feed the RE what it needs.</w:t>
      </w:r>
    </w:p>
    <w:p>
      <w:pPr>
        <w:pStyle w:val="BodyText"/>
      </w:pPr>
      <w:r>
        <w:rPr>
          <w:bCs/>
          <w:b/>
        </w:rPr>
        <w:t xml:space="preserve">IRACP 356 (updated as on 13 Feb 2026):</w:t>
      </w:r>
    </w:p>
    <w:p>
      <w:pPr>
        <w:numPr>
          <w:ilvl w:val="0"/>
          <w:numId w:val="1436"/>
        </w:numPr>
        <w:pStyle w:val="Compact"/>
      </w:pPr>
      <w:r>
        <w:rPr>
          <w:bCs/>
          <w:b/>
        </w:rPr>
        <w:t xml:space="preserve">REQ-IRACP-15</w:t>
      </w:r>
      <w:r>
        <w:t xml:space="preserve"> </w:t>
      </w:r>
      <w:r>
        <w:rPr>
          <w:bCs/>
          <w:b/>
        </w:rPr>
        <w:t xml:space="preserve">[RE]</w:t>
      </w:r>
      <w:r>
        <w:t xml:space="preserve"> </w:t>
      </w:r>
      <w:r>
        <w:t xml:space="preserve">For loans sanctioned on or after 31 Dec 2021, the agreement states exact due dates, frequency, principal/interest break-up and</w:t>
      </w:r>
      <w:r>
        <w:t xml:space="preserve"> </w:t>
      </w:r>
      <w:r>
        <w:rPr>
          <w:bCs/>
          <w:b/>
        </w:rPr>
        <w:t xml:space="preserve">examples of SMA/NPA dates</w:t>
      </w:r>
      <w:r>
        <w:t xml:space="preserve">; the borrower is told at sanction and on every change.</w:t>
      </w:r>
      <w:r>
        <w:t xml:space="preserve"> </w:t>
      </w:r>
      <w:r>
        <w:rPr>
          <w:iCs/>
          <w:i/>
        </w:rPr>
        <w:t xml:space="preserve">Build:</w:t>
      </w:r>
      <w:r>
        <w:t xml:space="preserve"> </w:t>
      </w:r>
      <w:r>
        <w:t xml:space="preserve">U8 and U9 display the RE’s examples; U12 redisplays them on every</w:t>
      </w:r>
      <w:r>
        <w:t xml:space="preserve"> </w:t>
      </w:r>
      <w:r>
        <w:rPr>
          <w:rStyle w:val="VerbatimChar"/>
        </w:rPr>
        <w:t xml:space="preserve">ScheduleChanged</w:t>
      </w:r>
      <w:r>
        <w:t xml:space="preserve">.</w:t>
      </w:r>
    </w:p>
    <w:p>
      <w:pPr>
        <w:numPr>
          <w:ilvl w:val="0"/>
          <w:numId w:val="1436"/>
        </w:numPr>
        <w:pStyle w:val="Compact"/>
      </w:pPr>
      <w:r>
        <w:rPr>
          <w:bCs/>
          <w:b/>
        </w:rPr>
        <w:t xml:space="preserve">REQ-IRACP-17</w:t>
      </w:r>
      <w:r>
        <w:t xml:space="preserve"> </w:t>
      </w:r>
      <w:r>
        <w:rPr>
          <w:bCs/>
          <w:b/>
        </w:rPr>
        <w:t xml:space="preserve">[RE→UDOFIN contract]</w:t>
      </w:r>
      <w:r>
        <w:t xml:space="preserve"> </w:t>
      </w:r>
      <w:r>
        <w:t xml:space="preserve">Consumer education on overdue, SMA, NPA and upgrade with reference to the day-end process.</w:t>
      </w:r>
      <w:r>
        <w:t xml:space="preserve"> </w:t>
      </w:r>
      <w:r>
        <w:rPr>
          <w:iCs/>
          <w:i/>
        </w:rPr>
        <w:t xml:space="preserve">Build:</w:t>
      </w:r>
      <w:r>
        <w:t xml:space="preserve"> </w:t>
      </w:r>
      <w:r>
        <w:t xml:space="preserve">U25 shows RE-approved education in the borrower’s language; U16 reminders state the date each status would apply.</w:t>
      </w:r>
    </w:p>
    <w:p>
      <w:pPr>
        <w:numPr>
          <w:ilvl w:val="0"/>
          <w:numId w:val="1436"/>
        </w:numPr>
        <w:pStyle w:val="Compact"/>
      </w:pPr>
      <w:r>
        <w:rPr>
          <w:bCs/>
          <w:b/>
        </w:rPr>
        <w:t xml:space="preserve">REQ-IRACP-18–19</w:t>
      </w:r>
      <w:r>
        <w:t xml:space="preserve"> </w:t>
      </w:r>
      <w:r>
        <w:rPr>
          <w:bCs/>
          <w:b/>
        </w:rPr>
        <w:t xml:space="preserve">[RE]</w:t>
      </w:r>
      <w:r>
        <w:t xml:space="preserve"> </w:t>
      </w:r>
      <w:r>
        <w:t xml:space="preserve">Overdue flagged and SMA/NPA classified in the day-end process for the calendar date.</w:t>
      </w:r>
      <w:r>
        <w:t xml:space="preserve"> </w:t>
      </w:r>
      <w:r>
        <w:rPr>
          <w:iCs/>
          <w:i/>
        </w:rPr>
        <w:t xml:space="preserve">Build:</w:t>
      </w:r>
      <w:r>
        <w:t xml:space="preserve"> </w:t>
      </w:r>
      <w:r>
        <w:t xml:space="preserve">U12 mirror shows the RE’s</w:t>
      </w:r>
      <w:r>
        <w:t xml:space="preserve"> </w:t>
      </w:r>
      <w:r>
        <w:rPr>
          <w:rStyle w:val="VerbatimChar"/>
        </w:rPr>
        <w:t xml:space="preserve">DPDChanged</w:t>
      </w:r>
      <w:r>
        <w:t xml:space="preserve"> </w:t>
      </w:r>
      <w:r>
        <w:t xml:space="preserve">and</w:t>
      </w:r>
      <w:r>
        <w:t xml:space="preserve"> </w:t>
      </w:r>
      <w:r>
        <w:rPr>
          <w:rStyle w:val="VerbatimChar"/>
        </w:rPr>
        <w:t xml:space="preserve">AssetClassificationChanged</w:t>
      </w:r>
      <w:r>
        <w:t xml:space="preserve">; Udofin’s shadow DPD computation only raises reconciliation exceptions.</w:t>
      </w:r>
    </w:p>
    <w:p>
      <w:pPr>
        <w:numPr>
          <w:ilvl w:val="0"/>
          <w:numId w:val="1436"/>
        </w:numPr>
        <w:pStyle w:val="Compact"/>
      </w:pPr>
      <w:r>
        <w:rPr>
          <w:bCs/>
          <w:b/>
        </w:rPr>
        <w:t xml:space="preserve">REQ-IRACP-36A–36C</w:t>
      </w:r>
      <w:r>
        <w:t xml:space="preserve"> </w:t>
      </w:r>
      <w:r>
        <w:rPr>
          <w:bCs/>
          <w:b/>
        </w:rPr>
        <w:t xml:space="preserve">[RE]</w:t>
      </w:r>
      <w:r>
        <w:t xml:space="preserve"> </w:t>
      </w:r>
      <w:r>
        <w:t xml:space="preserve">DLG under CF Chapter III or TDCR Part B may be reflected in ECL only where integral to the loan’s contractual terms and not recognised separately; Ind AS 1 disclosures;</w:t>
      </w:r>
      <w:r>
        <w:t xml:space="preserve"> </w:t>
      </w:r>
      <w:r>
        <w:rPr>
          <w:bCs/>
          <w:b/>
        </w:rPr>
        <w:t xml:space="preserve">ECL recomputed after every invocation</w:t>
      </w:r>
      <w:r>
        <w:t xml:space="preserve">.</w:t>
      </w:r>
      <w:r>
        <w:t xml:space="preserve"> </w:t>
      </w:r>
      <w:r>
        <w:rPr>
          <w:bCs/>
          <w:b/>
        </w:rPr>
        <w:t xml:space="preserve">[RE→UDOFIN contract]</w:t>
      </w:r>
      <w:r>
        <w:t xml:space="preserve"> </w:t>
      </w:r>
      <w:r>
        <w:rPr>
          <w:iCs/>
          <w:i/>
        </w:rPr>
        <w:t xml:space="preserve">Build:</w:t>
      </w:r>
      <w:r>
        <w:t xml:space="preserve"> </w:t>
      </w:r>
      <w:r>
        <w:t xml:space="preserve">U14 sends invocation and settlement events the same day and a monthly DLG-set coverage file. Whether a DLG is</w:t>
      </w:r>
      <w:r>
        <w:t xml:space="preserve"> </w:t>
      </w:r>
      <w:r>
        <w:t xml:space="preserve">“</w:t>
      </w:r>
      <w:r>
        <w:t xml:space="preserve">integral to the contractual terms of the loan</w:t>
      </w:r>
      <w:r>
        <w:t xml:space="preserve">”</w:t>
      </w:r>
      <w:r>
        <w:t xml:space="preserve"> </w:t>
      </w:r>
      <w:r>
        <w:t xml:space="preserve">is the RE’s accounting judgement [interpretation]; Udofin must not represent provisioning relief.</w:t>
      </w:r>
    </w:p>
    <w:p>
      <w:pPr>
        <w:pStyle w:val="FirstParagraph"/>
      </w:pPr>
      <w:r>
        <w:rPr>
          <w:bCs/>
          <w:b/>
        </w:rPr>
        <w:t xml:space="preserve">RSA 357:</w:t>
      </w:r>
    </w:p>
    <w:p>
      <w:pPr>
        <w:numPr>
          <w:ilvl w:val="0"/>
          <w:numId w:val="1437"/>
        </w:numPr>
        <w:pStyle w:val="Compact"/>
      </w:pPr>
      <w:r>
        <w:rPr>
          <w:bCs/>
          <w:b/>
        </w:rPr>
        <w:t xml:space="preserve">REQ-RSA-18–19</w:t>
      </w:r>
      <w:r>
        <w:t xml:space="preserve"> </w:t>
      </w:r>
      <w:r>
        <w:rPr>
          <w:bCs/>
          <w:b/>
        </w:rPr>
        <w:t xml:space="preserve">[RE]</w:t>
      </w:r>
      <w:r>
        <w:t xml:space="preserve"> </w:t>
      </w:r>
      <w:r>
        <w:t xml:space="preserve">SMA-0 up to 30 days, SMA-1 more than 30 up to 60, SMA-2 more than 60 up to 90; applies to all loans including retail.</w:t>
      </w:r>
      <w:r>
        <w:t xml:space="preserve"> </w:t>
      </w:r>
      <w:r>
        <w:rPr>
          <w:iCs/>
          <w:i/>
        </w:rPr>
        <w:t xml:space="preserve">Build:</w:t>
      </w:r>
      <w:r>
        <w:t xml:space="preserve"> </w:t>
      </w:r>
      <w:r>
        <w:t xml:space="preserve">U12 shows the RE’s SMA status with plain-language consequences.</w:t>
      </w:r>
    </w:p>
    <w:p>
      <w:pPr>
        <w:numPr>
          <w:ilvl w:val="0"/>
          <w:numId w:val="1437"/>
        </w:numPr>
        <w:pStyle w:val="Compact"/>
      </w:pPr>
      <w:r>
        <w:rPr>
          <w:bCs/>
          <w:b/>
        </w:rPr>
        <w:t xml:space="preserve">REQ-RSA-87</w:t>
      </w:r>
      <w:r>
        <w:t xml:space="preserve"> </w:t>
      </w:r>
      <w:r>
        <w:rPr>
          <w:bCs/>
          <w:b/>
        </w:rPr>
        <w:t xml:space="preserve">[RE]</w:t>
      </w:r>
      <w:r>
        <w:t xml:space="preserve"> </w:t>
      </w:r>
      <w:r>
        <w:t xml:space="preserve">Compromise settlement is not a right; it is the RE’s commercial discretion.</w:t>
      </w:r>
      <w:r>
        <w:t xml:space="preserve"> </w:t>
      </w:r>
      <w:r>
        <w:rPr>
          <w:bCs/>
          <w:b/>
        </w:rPr>
        <w:t xml:space="preserve">[UDOFIN]</w:t>
      </w:r>
      <w:r>
        <w:t xml:space="preserve"> </w:t>
      </w:r>
      <w:r>
        <w:t xml:space="preserve">Udofin only relays.</w:t>
      </w:r>
      <w:r>
        <w:t xml:space="preserve"> </w:t>
      </w:r>
      <w:r>
        <w:rPr>
          <w:iCs/>
          <w:i/>
        </w:rPr>
        <w:t xml:space="preserve">Build:</w:t>
      </w:r>
      <w:r>
        <w:t xml:space="preserve"> </w:t>
      </w:r>
      <w:r>
        <w:t xml:space="preserve">U12 settlement-request form sends the request and borrower proposal to the RE (</w:t>
      </w:r>
      <w:r>
        <w:rPr>
          <w:rStyle w:val="VerbatimChar"/>
        </w:rPr>
        <w:t xml:space="preserve">SettlementRequested</w:t>
      </w:r>
      <w:r>
        <w:t xml:space="preserve">, adopted in v1.1; Part 7A UR1); no Udofin user can approve, promise or price a settlement; the app shows the RE’s decision verbatim.</w:t>
      </w:r>
    </w:p>
    <w:p>
      <w:pPr>
        <w:numPr>
          <w:ilvl w:val="0"/>
          <w:numId w:val="1437"/>
        </w:numPr>
        <w:pStyle w:val="Compact"/>
      </w:pPr>
      <w:r>
        <w:rPr>
          <w:bCs/>
          <w:b/>
        </w:rPr>
        <w:t xml:space="preserve">REQ-RSA-89–90</w:t>
      </w:r>
      <w:r>
        <w:t xml:space="preserve"> </w:t>
      </w:r>
      <w:r>
        <w:rPr>
          <w:bCs/>
          <w:b/>
        </w:rPr>
        <w:t xml:space="preserve">[RE]</w:t>
      </w:r>
      <w:r>
        <w:t xml:space="preserve"> </w:t>
      </w:r>
      <w:r>
        <w:t xml:space="preserve">A settlement payable over</w:t>
      </w:r>
      <w:r>
        <w:t xml:space="preserve"> </w:t>
      </w:r>
      <w:r>
        <w:rPr>
          <w:bCs/>
          <w:b/>
        </w:rPr>
        <w:t xml:space="preserve">more than three months</w:t>
      </w:r>
      <w:r>
        <w:t xml:space="preserve">, or any part settlement, is restructuring.</w:t>
      </w:r>
      <w:r>
        <w:t xml:space="preserve"> </w:t>
      </w:r>
      <w:r>
        <w:rPr>
          <w:iCs/>
          <w:i/>
        </w:rPr>
        <w:t xml:space="preserve">Build:</w:t>
      </w:r>
      <w:r>
        <w:t xml:space="preserve"> </w:t>
      </w:r>
      <w:r>
        <w:t xml:space="preserve">U12 shows the RE’s characterisation and the credit-report consequence before the borrower accepts.</w:t>
      </w:r>
    </w:p>
    <w:p>
      <w:pPr>
        <w:numPr>
          <w:ilvl w:val="0"/>
          <w:numId w:val="1437"/>
        </w:numPr>
        <w:pStyle w:val="Compact"/>
      </w:pPr>
      <w:r>
        <w:rPr>
          <w:bCs/>
          <w:b/>
        </w:rPr>
        <w:t xml:space="preserve">REQ-RSA-91</w:t>
      </w:r>
      <w:r>
        <w:t xml:space="preserve"> </w:t>
      </w:r>
      <w:r>
        <w:rPr>
          <w:bCs/>
          <w:b/>
        </w:rPr>
        <w:t xml:space="preserve">[RE]</w:t>
      </w:r>
      <w:r>
        <w:t xml:space="preserve"> </w:t>
      </w:r>
      <w:r>
        <w:t xml:space="preserve">A technical write-off waives no claim.</w:t>
      </w:r>
      <w:r>
        <w:t xml:space="preserve"> </w:t>
      </w:r>
      <w:r>
        <w:rPr>
          <w:iCs/>
          <w:i/>
        </w:rPr>
        <w:t xml:space="preserve">Build:</w:t>
      </w:r>
      <w:r>
        <w:t xml:space="preserve"> </w:t>
      </w:r>
      <w:r>
        <w:t xml:space="preserve">U12 never shows</w:t>
      </w:r>
      <w:r>
        <w:t xml:space="preserve"> </w:t>
      </w:r>
      <w:r>
        <w:t xml:space="preserve">“</w:t>
      </w:r>
      <w:r>
        <w:t xml:space="preserve">waived</w:t>
      </w:r>
      <w:r>
        <w:t xml:space="preserve">”</w:t>
      </w:r>
      <w:r>
        <w:t xml:space="preserve"> </w:t>
      </w:r>
      <w:r>
        <w:t xml:space="preserve">for a technically written-off balance.</w:t>
      </w:r>
    </w:p>
    <w:p>
      <w:pPr>
        <w:numPr>
          <w:ilvl w:val="0"/>
          <w:numId w:val="1437"/>
        </w:numPr>
        <w:pStyle w:val="Compact"/>
      </w:pPr>
      <w:r>
        <w:rPr>
          <w:bCs/>
          <w:b/>
        </w:rPr>
        <w:t xml:space="preserve">REQ-RSA-95</w:t>
      </w:r>
      <w:r>
        <w:t xml:space="preserve"> </w:t>
      </w:r>
      <w:r>
        <w:rPr>
          <w:bCs/>
          <w:b/>
        </w:rPr>
        <w:t xml:space="preserve">[RE]</w:t>
      </w:r>
      <w:r>
        <w:t xml:space="preserve"> </w:t>
      </w:r>
      <w:r>
        <w:t xml:space="preserve">Cooling period before fresh exposure to a settled borrower: Board-set,</w:t>
      </w:r>
      <w:r>
        <w:t xml:space="preserve"> </w:t>
      </w:r>
      <w:r>
        <w:rPr>
          <w:bCs/>
          <w:b/>
        </w:rPr>
        <w:t xml:space="preserve">floor 12 months</w:t>
      </w:r>
      <w:r>
        <w:t xml:space="preserve">.</w:t>
      </w:r>
      <w:r>
        <w:t xml:space="preserve"> </w:t>
      </w:r>
      <w:r>
        <w:rPr>
          <w:iCs/>
          <w:i/>
        </w:rPr>
        <w:t xml:space="preserve">Build:</w:t>
      </w:r>
      <w:r>
        <w:t xml:space="preserve"> </w:t>
      </w:r>
      <w:r>
        <w:t xml:space="preserve">U7 per-RE suppression list fed by the RE; the borrower can still see other REs’ offers.</w:t>
      </w:r>
    </w:p>
    <w:p>
      <w:pPr>
        <w:numPr>
          <w:ilvl w:val="0"/>
          <w:numId w:val="1437"/>
        </w:numPr>
        <w:pStyle w:val="Compact"/>
      </w:pPr>
      <w:r>
        <w:rPr>
          <w:bCs/>
          <w:b/>
        </w:rPr>
        <w:t xml:space="preserve">REQ-RSA-100</w:t>
      </w:r>
      <w:r>
        <w:t xml:space="preserve"> </w:t>
      </w:r>
      <w:r>
        <w:rPr>
          <w:bCs/>
          <w:b/>
        </w:rPr>
        <w:t xml:space="preserve">[RE]</w:t>
      </w:r>
      <w:r>
        <w:t xml:space="preserve"> </w:t>
      </w:r>
      <w:r>
        <w:t xml:space="preserve">Settlement during pending judicial recovery needs a consent decree.</w:t>
      </w:r>
      <w:r>
        <w:t xml:space="preserve"> </w:t>
      </w:r>
      <w:r>
        <w:rPr>
          <w:iCs/>
          <w:i/>
        </w:rPr>
        <w:t xml:space="preserve">Build:</w:t>
      </w:r>
      <w:r>
        <w:t xml:space="preserve"> </w:t>
      </w:r>
      <w:r>
        <w:t xml:space="preserve">U12 shows the RE’s status only.</w:t>
      </w:r>
    </w:p>
    <w:p>
      <w:pPr>
        <w:numPr>
          <w:ilvl w:val="0"/>
          <w:numId w:val="1437"/>
        </w:numPr>
        <w:pStyle w:val="Compact"/>
      </w:pPr>
      <w:r>
        <w:t xml:space="preserve">Products 7 (resolution finance) and 10 (debt reset) must be tested against these rules in their feasibility gate (Phase 19).</w:t>
      </w:r>
    </w:p>
    <w:p>
      <w:pPr>
        <w:pStyle w:val="FirstParagraph"/>
      </w:pPr>
      <w:r>
        <w:rPr>
          <w:bCs/>
          <w:b/>
        </w:rPr>
        <w:t xml:space="preserve">CAP 345:</w:t>
      </w:r>
    </w:p>
    <w:p>
      <w:pPr>
        <w:numPr>
          <w:ilvl w:val="0"/>
          <w:numId w:val="1438"/>
        </w:numPr>
        <w:pStyle w:val="Compact"/>
      </w:pPr>
      <w:r>
        <w:rPr>
          <w:bCs/>
          <w:b/>
        </w:rPr>
        <w:t xml:space="preserve">REQ-CAP-15(3)</w:t>
      </w:r>
      <w:r>
        <w:t xml:space="preserve"> </w:t>
      </w:r>
      <w:r>
        <w:rPr>
          <w:bCs/>
          <w:b/>
        </w:rPr>
        <w:t xml:space="preserve">[RE]</w:t>
      </w:r>
      <w:r>
        <w:t xml:space="preserve"> </w:t>
      </w:r>
      <w:r>
        <w:t xml:space="preserve">An NBFC that is a DLG provider deducts the full outstanding DLG from capital. For an RE that receives DLG from Udofin, capital and credit-risk mitigation on the loans continue under CAP (CF para 26(1)):</w:t>
      </w:r>
      <w:r>
        <w:t xml:space="preserve"> </w:t>
      </w:r>
      <w:r>
        <w:rPr>
          <w:bCs/>
          <w:b/>
        </w:rPr>
        <w:t xml:space="preserve">the RE gets no capital relief</w:t>
      </w:r>
      <w:r>
        <w:t xml:space="preserve">.</w:t>
      </w:r>
      <w:r>
        <w:t xml:space="preserve"> </w:t>
      </w:r>
      <w:r>
        <w:rPr>
          <w:iCs/>
          <w:i/>
        </w:rPr>
        <w:t xml:space="preserve">Build:</w:t>
      </w:r>
      <w:r>
        <w:t xml:space="preserve"> </w:t>
      </w:r>
      <w:r>
        <w:t xml:space="preserve">U16 and sales material may not claim capital relief; where another RE acts as LSP and provides DLG, U14 flags the CAP deduction to that RE.</w:t>
      </w:r>
    </w:p>
    <w:p>
      <w:pPr>
        <w:pStyle w:val="FirstParagraph"/>
      </w:pPr>
      <w:r>
        <w:rPr>
          <w:bCs/>
          <w:b/>
        </w:rPr>
        <w:t xml:space="preserve">TDCR 352, Part B co-lending (from 1 Jan 2026 or earlier by RE policy; para 95).</w:t>
      </w:r>
      <w:r>
        <w:t xml:space="preserve"> </w:t>
      </w:r>
      <w:r>
        <w:t xml:space="preserve">Digital co-lending follows both CF and Part B (para 98). Udofin may act as LSP to the originating RE, with the partner RE named in the KFS.</w:t>
      </w:r>
    </w:p>
    <w:p>
      <w:pPr>
        <w:numPr>
          <w:ilvl w:val="0"/>
          <w:numId w:val="1439"/>
        </w:numPr>
        <w:pStyle w:val="Compact"/>
      </w:pPr>
      <w:r>
        <w:rPr>
          <w:bCs/>
          <w:b/>
        </w:rPr>
        <w:t xml:space="preserve">REQ-TDCR-104–105</w:t>
      </w:r>
      <w:r>
        <w:t xml:space="preserve"> </w:t>
      </w:r>
      <w:r>
        <w:rPr>
          <w:bCs/>
          <w:b/>
        </w:rPr>
        <w:t xml:space="preserve">[RE]</w:t>
      </w:r>
      <w:r>
        <w:t xml:space="preserve"> </w:t>
      </w:r>
      <w:r>
        <w:t xml:space="preserve">The CLA agreement covers fees for lending services, segregation of responsibilities, the time-frame for exchanging critical information, customer interface and grievance redressal; the loan agreement names the</w:t>
      </w:r>
      <w:r>
        <w:t xml:space="preserve"> </w:t>
      </w:r>
      <w:r>
        <w:rPr>
          <w:bCs/>
          <w:b/>
        </w:rPr>
        <w:t xml:space="preserve">single point of customer interface</w:t>
      </w:r>
      <w:r>
        <w:t xml:space="preserve">, changed only after prior intimation to the borrower.</w:t>
      </w:r>
      <w:r>
        <w:t xml:space="preserve"> </w:t>
      </w:r>
      <w:r>
        <w:rPr>
          <w:iCs/>
          <w:i/>
        </w:rPr>
        <w:t xml:space="preserve">Build:</w:t>
      </w:r>
      <w:r>
        <w:t xml:space="preserve"> </w:t>
      </w:r>
      <w:r>
        <w:t xml:space="preserve">U1 records the CLA and Udofin’s role; U23 shows the interface entity.</w:t>
      </w:r>
    </w:p>
    <w:p>
      <w:pPr>
        <w:numPr>
          <w:ilvl w:val="0"/>
          <w:numId w:val="1439"/>
        </w:numPr>
        <w:pStyle w:val="Compact"/>
      </w:pPr>
      <w:r>
        <w:rPr>
          <w:bCs/>
          <w:b/>
        </w:rPr>
        <w:t xml:space="preserve">REQ-TDCR-106, 108–109</w:t>
      </w:r>
      <w:r>
        <w:t xml:space="preserve"> </w:t>
      </w:r>
      <w:r>
        <w:rPr>
          <w:bCs/>
          <w:b/>
        </w:rPr>
        <w:t xml:space="preserve">[RE]</w:t>
      </w:r>
      <w:r>
        <w:t xml:space="preserve"> </w:t>
      </w:r>
      <w:r>
        <w:t xml:space="preserve">CLA details in the KFS;</w:t>
      </w:r>
      <w:r>
        <w:t xml:space="preserve"> </w:t>
      </w:r>
      <w:r>
        <w:rPr>
          <w:bCs/>
          <w:b/>
        </w:rPr>
        <w:t xml:space="preserve">blended rate</w:t>
      </w:r>
      <w:r>
        <w:t xml:space="preserve"> </w:t>
      </w:r>
      <w:r>
        <w:t xml:space="preserve">weighted by funding shares; any partner rate change updates the blended rate and is communicated.</w:t>
      </w:r>
      <w:r>
        <w:t xml:space="preserve"> </w:t>
      </w:r>
      <w:r>
        <w:rPr>
          <w:iCs/>
          <w:i/>
        </w:rPr>
        <w:t xml:space="preserve">Build:</w:t>
      </w:r>
      <w:r>
        <w:t xml:space="preserve"> </w:t>
      </w:r>
      <w:r>
        <w:t xml:space="preserve">U8 checks KFS Part 2 item 5 is populated; U16 relays blended-rate changes.</w:t>
      </w:r>
    </w:p>
    <w:p>
      <w:pPr>
        <w:numPr>
          <w:ilvl w:val="0"/>
          <w:numId w:val="1439"/>
        </w:numPr>
        <w:pStyle w:val="Compact"/>
      </w:pPr>
      <w:r>
        <w:rPr>
          <w:bCs/>
          <w:b/>
        </w:rPr>
        <w:t xml:space="preserve">REQ-TDCR-116–117</w:t>
      </w:r>
      <w:r>
        <w:t xml:space="preserve"> </w:t>
      </w:r>
      <w:r>
        <w:rPr>
          <w:bCs/>
          <w:b/>
        </w:rPr>
        <w:t xml:space="preserve">[RE]</w:t>
      </w:r>
      <w:r>
        <w:t xml:space="preserve"> </w:t>
      </w:r>
      <w:r>
        <w:t xml:space="preserve">Separate borrower account per RE for its share;</w:t>
      </w:r>
      <w:r>
        <w:t xml:space="preserve"> </w:t>
      </w:r>
      <w:r>
        <w:rPr>
          <w:bCs/>
          <w:b/>
        </w:rPr>
        <w:t xml:space="preserve">all disbursements and repayments go through a bank escrow</w:t>
      </w:r>
      <w:r>
        <w:t xml:space="preserve">.</w:t>
      </w:r>
      <w:r>
        <w:t xml:space="preserve"> </w:t>
      </w:r>
      <w:r>
        <w:rPr>
          <w:iCs/>
          <w:i/>
        </w:rPr>
        <w:t xml:space="preserve">Build:</w:t>
      </w:r>
      <w:r>
        <w:t xml:space="preserve"> </w:t>
      </w:r>
      <w:r>
        <w:t xml:space="preserve">U11 mandates and payment links point to the escrow, never to one RE’s account or to Udofin; U12 mirror shows each RE’s share.</w:t>
      </w:r>
    </w:p>
    <w:p>
      <w:pPr>
        <w:numPr>
          <w:ilvl w:val="0"/>
          <w:numId w:val="1439"/>
        </w:numPr>
        <w:pStyle w:val="Compact"/>
      </w:pPr>
      <w:r>
        <w:rPr>
          <w:bCs/>
          <w:b/>
        </w:rPr>
        <w:t xml:space="preserve">REQ-TDCR-124</w:t>
      </w:r>
      <w:r>
        <w:t xml:space="preserve"> </w:t>
      </w:r>
      <w:r>
        <w:rPr>
          <w:bCs/>
          <w:b/>
        </w:rPr>
        <w:t xml:space="preserve">[RE]</w:t>
      </w:r>
      <w:r>
        <w:t xml:space="preserve"> </w:t>
      </w:r>
      <w:r>
        <w:t xml:space="preserve">Borrower-level SMA/NPA classification across both REs, shared near-real time and</w:t>
      </w:r>
      <w:r>
        <w:t xml:space="preserve"> </w:t>
      </w:r>
      <w:r>
        <w:rPr>
          <w:bCs/>
          <w:b/>
        </w:rPr>
        <w:t xml:space="preserve">by end of the next working day</w:t>
      </w:r>
      <w:r>
        <w:t xml:space="preserve">.</w:t>
      </w:r>
      <w:r>
        <w:t xml:space="preserve"> </w:t>
      </w:r>
      <w:r>
        <w:rPr>
          <w:iCs/>
          <w:i/>
        </w:rPr>
        <w:t xml:space="preserve">Build:</w:t>
      </w:r>
      <w:r>
        <w:t xml:space="preserve"> </w:t>
      </w:r>
      <w:r>
        <w:t xml:space="preserve">U12 shows one classification; a divergence between co-lenders raises an exception to both.</w:t>
      </w:r>
    </w:p>
    <w:p>
      <w:pPr>
        <w:numPr>
          <w:ilvl w:val="0"/>
          <w:numId w:val="1439"/>
        </w:numPr>
        <w:pStyle w:val="Compact"/>
      </w:pPr>
      <w:r>
        <w:rPr>
          <w:bCs/>
          <w:b/>
        </w:rPr>
        <w:t xml:space="preserve">REQ-TDCR-111, 123</w:t>
      </w:r>
      <w:r>
        <w:t xml:space="preserve"> </w:t>
      </w:r>
      <w:r>
        <w:rPr>
          <w:bCs/>
          <w:b/>
        </w:rPr>
        <w:t xml:space="preserve">[RE]</w:t>
      </w:r>
      <w:r>
        <w:t xml:space="preserve"> </w:t>
      </w:r>
      <w:r>
        <w:t xml:space="preserve">Lending-service fees must not include credit enhancement or DLG</w:t>
      </w:r>
      <w:r>
        <w:t xml:space="preserve"> </w:t>
      </w:r>
      <w:r>
        <w:t xml:space="preserve">“</w:t>
      </w:r>
      <w:r>
        <w:t xml:space="preserve">unless permitted otherwise</w:t>
      </w:r>
      <w:r>
        <w:t xml:space="preserve">”</w:t>
      </w:r>
      <w:r>
        <w:t xml:space="preserve">; the originating RE may give DLG up to 5% of CLA loans outstanding. Whether Udofin may also give DLG on CLA loans is unresolved [VERIFY: TDCR 111 versus CF para 19].</w:t>
      </w:r>
      <w:r>
        <w:t xml:space="preserve"> </w:t>
      </w:r>
      <w:r>
        <w:rPr>
          <w:iCs/>
          <w:i/>
        </w:rPr>
        <w:t xml:space="preserve">Build:</w:t>
      </w:r>
      <w:r>
        <w:t xml:space="preserve"> </w:t>
      </w:r>
      <w:r>
        <w:t xml:space="preserve">U14 blocks a DLG set that includes CLA loans until legal sign-off is recorded.</w:t>
      </w:r>
    </w:p>
    <w:p>
      <w:r>
        <w:pict>
          <v:rect style="width:0;height:1.5pt" o:hralign="center" o:hrstd="t" o:hr="t"/>
        </w:pict>
      </w:r>
    </w:p>
    <w:bookmarkEnd w:id="464"/>
    <w:bookmarkStart w:id="465" w:name="X525fc4c993ea42baaeee086257fb9a3ec9b9c1f"/>
    <w:p>
      <w:pPr>
        <w:pStyle w:val="Heading2"/>
      </w:pPr>
      <w:r>
        <w:t xml:space="preserve">8A.14 Reporting, applicability and resilience (SR 466, MISC 373, SBR 339, ORM guidance note)</w:t>
      </w:r>
    </w:p>
    <w:p>
      <w:pPr>
        <w:pStyle w:val="FirstParagraph"/>
      </w:pPr>
      <w:r>
        <w:rPr>
          <w:bCs/>
          <w:b/>
        </w:rPr>
        <w:t xml:space="preserve">SR 466</w:t>
      </w:r>
      <w:r>
        <w:t xml:space="preserve"> </w:t>
      </w:r>
      <w:r>
        <w:t xml:space="preserve">binds all NBFCs except HFCs (para 3). Udofin files no return. No return in the para 21 catalogue is filed from LSP data alone, but SR’s data-governance rules cover outsourced data processes (para 6), so Udofin data used in the RE’s returns must be reconcilable and traceable.</w:t>
      </w:r>
    </w:p>
    <w:p>
      <w:pPr>
        <w:numPr>
          <w:ilvl w:val="0"/>
          <w:numId w:val="1440"/>
        </w:numPr>
        <w:pStyle w:val="Compact"/>
      </w:pPr>
      <w:r>
        <w:rPr>
          <w:bCs/>
          <w:b/>
        </w:rPr>
        <w:t xml:space="preserve">REQ-SR-6, 14–15, 17</w:t>
      </w:r>
      <w:r>
        <w:t xml:space="preserve"> </w:t>
      </w:r>
      <w:r>
        <w:rPr>
          <w:bCs/>
          <w:b/>
        </w:rPr>
        <w:t xml:space="preserve">[RE→UDOFIN contract]</w:t>
      </w:r>
      <w:r>
        <w:t xml:space="preserve"> </w:t>
      </w:r>
      <w:r>
        <w:t xml:space="preserve">Data-quality standards for outsourced processes; returns reconciled with own sources; records of sources and aggregation rules; accuracy measured.</w:t>
      </w:r>
      <w:r>
        <w:t xml:space="preserve"> </w:t>
      </w:r>
      <w:r>
        <w:rPr>
          <w:iCs/>
          <w:i/>
        </w:rPr>
        <w:t xml:space="preserve">Build:</w:t>
      </w:r>
      <w:r>
        <w:t xml:space="preserve"> </w:t>
      </w:r>
      <w:r>
        <w:t xml:space="preserve">U19 feeds to each RE carry record-level lineage (source event, timestamp, version) and a daily control total reconciled to the RE’s LMS.</w:t>
      </w:r>
    </w:p>
    <w:p>
      <w:pPr>
        <w:numPr>
          <w:ilvl w:val="0"/>
          <w:numId w:val="1440"/>
        </w:numPr>
        <w:pStyle w:val="Compact"/>
      </w:pPr>
      <w:r>
        <w:rPr>
          <w:bCs/>
          <w:b/>
        </w:rPr>
        <w:t xml:space="preserve">REQ-SR-26</w:t>
      </w:r>
      <w:r>
        <w:t xml:space="preserve"> </w:t>
      </w:r>
      <w:r>
        <w:rPr>
          <w:bCs/>
          <w:b/>
        </w:rPr>
        <w:t xml:space="preserve">[RE]</w:t>
      </w:r>
      <w:r>
        <w:t xml:space="preserve"> </w:t>
      </w:r>
      <w:r>
        <w:t xml:space="preserve">Returns under other Directions are unaffected. The Udofin-dependent ones are: the</w:t>
      </w:r>
      <w:r>
        <w:t xml:space="preserve"> </w:t>
      </w:r>
      <w:r>
        <w:rPr>
          <w:bCs/>
          <w:b/>
        </w:rPr>
        <w:t xml:space="preserve">CIMS DLA report</w:t>
      </w:r>
      <w:r>
        <w:t xml:space="preserve">, one line per DLA per platform, updated when a DLA is added or ceases (CF para 18); Udofin’s</w:t>
      </w:r>
      <w:r>
        <w:t xml:space="preserve"> </w:t>
      </w:r>
      <w:r>
        <w:rPr>
          <w:bCs/>
          <w:b/>
        </w:rPr>
        <w:t xml:space="preserve">monthly DLG portfolio disclosure on its website within 7 working days</w:t>
      </w:r>
      <w:r>
        <w:t xml:space="preserve"> </w:t>
      </w:r>
      <w:r>
        <w:t xml:space="preserve">of month-end (CF para 28); FMR evidence (8A.9); and the RE’s financial-statement disclosures of complaints and co-lending (FS para 21(10), 21(4)).</w:t>
      </w:r>
      <w:r>
        <w:t xml:space="preserve"> </w:t>
      </w:r>
      <w:r>
        <w:rPr>
          <w:iCs/>
          <w:i/>
        </w:rPr>
        <w:t xml:space="preserve">Build:</w:t>
      </w:r>
      <w:r>
        <w:t xml:space="preserve"> </w:t>
      </w:r>
      <w:r>
        <w:t xml:space="preserve">U19 DLA register export per RE; U14 disclosure publisher; U15 complaint MIS in the FS ground-wise format.</w:t>
      </w:r>
    </w:p>
    <w:p>
      <w:pPr>
        <w:pStyle w:val="FirstParagraph"/>
      </w:pPr>
      <w:r>
        <w:rPr>
          <w:bCs/>
          <w:b/>
        </w:rPr>
        <w:t xml:space="preserve">MISC 373:</w:t>
      </w:r>
    </w:p>
    <w:p>
      <w:pPr>
        <w:numPr>
          <w:ilvl w:val="0"/>
          <w:numId w:val="1441"/>
        </w:numPr>
        <w:pStyle w:val="Compact"/>
      </w:pPr>
      <w:r>
        <w:rPr>
          <w:bCs/>
          <w:b/>
        </w:rPr>
        <w:t xml:space="preserve">REQ-MISC-27</w:t>
      </w:r>
      <w:r>
        <w:t xml:space="preserve"> </w:t>
      </w:r>
      <w:r>
        <w:rPr>
          <w:bCs/>
          <w:b/>
        </w:rPr>
        <w:t xml:space="preserve">[RE]</w:t>
      </w:r>
      <w:r>
        <w:t xml:space="preserve"> </w:t>
      </w:r>
      <w:r>
        <w:t xml:space="preserve">All transactions rounded to the nearest rupee; cheques with paise not rejected (also RBC para 103).</w:t>
      </w:r>
      <w:r>
        <w:t xml:space="preserve"> </w:t>
      </w:r>
      <w:r>
        <w:rPr>
          <w:iCs/>
          <w:i/>
        </w:rPr>
        <w:t xml:space="preserve">Build:</w:t>
      </w:r>
      <w:r>
        <w:t xml:space="preserve"> </w:t>
      </w:r>
      <w:r>
        <w:t xml:space="preserve">U11 payment requests use the RE’s rounded amount.</w:t>
      </w:r>
    </w:p>
    <w:p>
      <w:pPr>
        <w:numPr>
          <w:ilvl w:val="0"/>
          <w:numId w:val="1441"/>
        </w:numPr>
        <w:pStyle w:val="Compact"/>
      </w:pPr>
      <w:r>
        <w:rPr>
          <w:bCs/>
          <w:b/>
        </w:rPr>
        <w:t xml:space="preserve">REQ-MISC-22–23</w:t>
      </w:r>
      <w:r>
        <w:t xml:space="preserve"> </w:t>
      </w:r>
      <w:r>
        <w:rPr>
          <w:bCs/>
          <w:b/>
        </w:rPr>
        <w:t xml:space="preserve">[RE→UDOFIN contract]</w:t>
      </w:r>
      <w:r>
        <w:t xml:space="preserve"> </w:t>
      </w:r>
      <w:r>
        <w:t xml:space="preserve">Move to electronic payments;</w:t>
      </w:r>
      <w:r>
        <w:t xml:space="preserve"> </w:t>
      </w:r>
      <w:r>
        <w:rPr>
          <w:bCs/>
          <w:b/>
        </w:rPr>
        <w:t xml:space="preserve">no fresh or additional PDCs or EMI cheques</w:t>
      </w:r>
      <w:r>
        <w:t xml:space="preserve"> </w:t>
      </w:r>
      <w:r>
        <w:t xml:space="preserve">alongside NACH mandates; CTS-2010 cheques only where NACH is unavailable. Para 23 does not apply to HFCs (para 3(1)(iii)).</w:t>
      </w:r>
      <w:r>
        <w:t xml:space="preserve"> </w:t>
      </w:r>
      <w:r>
        <w:rPr>
          <w:iCs/>
          <w:i/>
        </w:rPr>
        <w:t xml:space="preserve">Build:</w:t>
      </w:r>
      <w:r>
        <w:t xml:space="preserve"> </w:t>
      </w:r>
      <w:r>
        <w:t xml:space="preserve">U11 supports eNACH and UPI AutoPay only; no PDC capture flow.</w:t>
      </w:r>
    </w:p>
    <w:p>
      <w:pPr>
        <w:numPr>
          <w:ilvl w:val="0"/>
          <w:numId w:val="1441"/>
        </w:numPr>
        <w:pStyle w:val="Compact"/>
      </w:pPr>
      <w:r>
        <w:rPr>
          <w:bCs/>
          <w:b/>
        </w:rPr>
        <w:t xml:space="preserve">REQ-MISC-24</w:t>
      </w:r>
      <w:r>
        <w:t xml:space="preserve"> </w:t>
      </w:r>
      <w:r>
        <w:rPr>
          <w:bCs/>
          <w:b/>
        </w:rPr>
        <w:t xml:space="preserve">[RE]</w:t>
      </w:r>
      <w:r>
        <w:t xml:space="preserve"> </w:t>
      </w:r>
      <w:r>
        <w:t xml:space="preserve">Cash disbursal of loans only within Income-tax Act ss.269SS and 269T (MISC Section J); Udofin never disburses.</w:t>
      </w:r>
      <w:r>
        <w:t xml:space="preserve"> </w:t>
      </w:r>
      <w:r>
        <w:rPr>
          <w:iCs/>
          <w:i/>
        </w:rPr>
        <w:t xml:space="preserve">Build:</w:t>
      </w:r>
      <w:r>
        <w:t xml:space="preserve"> </w:t>
      </w:r>
      <w:r>
        <w:t xml:space="preserve">U13 cash-recovery limits configurable per RE [VERIFY: cash-receipt limits (s.269ST) and section numbering under the Income-tax Act, 2025; not in the supplied text].</w:t>
      </w:r>
    </w:p>
    <w:p>
      <w:pPr>
        <w:numPr>
          <w:ilvl w:val="0"/>
          <w:numId w:val="1441"/>
        </w:numPr>
        <w:pStyle w:val="Compact"/>
      </w:pPr>
      <w:r>
        <w:rPr>
          <w:bCs/>
          <w:b/>
        </w:rPr>
        <w:t xml:space="preserve">REQ-MISC-14–15</w:t>
      </w:r>
      <w:r>
        <w:t xml:space="preserve"> </w:t>
      </w:r>
      <w:r>
        <w:rPr>
          <w:bCs/>
          <w:b/>
        </w:rPr>
        <w:t xml:space="preserve">[RE]</w:t>
      </w:r>
      <w:r>
        <w:t xml:space="preserve"> </w:t>
      </w:r>
      <w:r>
        <w:t xml:space="preserve">AA participants follow the ReBIT specifications.</w:t>
      </w:r>
      <w:r>
        <w:t xml:space="preserve"> </w:t>
      </w:r>
      <w:r>
        <w:rPr>
          <w:iCs/>
          <w:i/>
        </w:rPr>
        <w:t xml:space="preserve">Build:</w:t>
      </w:r>
      <w:r>
        <w:t xml:space="preserve"> </w:t>
      </w:r>
      <w:r>
        <w:t xml:space="preserve">U6 AA flows to ReBIT (8A.4).</w:t>
      </w:r>
    </w:p>
    <w:p>
      <w:pPr>
        <w:pStyle w:val="FirstParagraph"/>
      </w:pPr>
      <w:r>
        <w:rPr>
          <w:bCs/>
          <w:b/>
        </w:rPr>
        <w:t xml:space="preserve">SBR 339.</w:t>
      </w:r>
      <w:r>
        <w:t xml:space="preserve"> </w:t>
      </w:r>
      <w:r>
        <w:t xml:space="preserve">The RE’s layer and type decide which Directions bind it, and so which Udofin controls switch 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745"/>
        <w:gridCol w:w="4893"/>
      </w:tblGrid>
      <w:tr>
        <w:trPr>
          <w:tblHeader w:val="true"/>
          <w:tblHeader w:val="true"/>
        </w:trPr>
        <w:tc>
          <w:tcPr>
            <w:tcW w:w="4745" w:type="dxa"/>
            <w:shd w:val="clear" w:color="auto" w:fill="1F3A5F"/>
          </w:tcPr>
          <w:p>
            <w:pPr>
              <w:pStyle w:val="Compact"/>
              <w:spacing w:after="40"/>
              <w:jc w:val="left"/>
            </w:pPr>
            <w:r>
              <w:rPr>
                <w:b/>
                <w:color w:val="FFFFFF"/>
                <w:sz w:val="18"/>
              </w:rPr>
              <w:t xml:space="preserve">RE profile</w:t>
            </w:r>
          </w:p>
        </w:tc>
        <w:tc>
          <w:tcPr>
            <w:tcW w:w="4893" w:type="dxa"/>
            <w:shd w:val="clear" w:color="auto" w:fill="1F3A5F"/>
          </w:tcPr>
          <w:p>
            <w:pPr>
              <w:pStyle w:val="Compact"/>
              <w:spacing w:after="40"/>
              <w:jc w:val="left"/>
            </w:pPr>
            <w:r>
              <w:rPr>
                <w:b/>
                <w:color w:val="FFFFFF"/>
                <w:sz w:val="18"/>
              </w:rPr>
              <w:t xml:space="preserve">Effect on what Udofin supports</w:t>
            </w:r>
          </w:p>
        </w:tc>
      </w:tr>
      <w:tr>
        <w:tc>
          <w:tcPr>
            <w:tcW w:w="4745" w:type="dxa"/>
          </w:tcPr>
          <w:p>
            <w:pPr>
              <w:pStyle w:val="Compact"/>
              <w:spacing w:after="40"/>
              <w:jc w:val="left"/>
            </w:pPr>
            <w:r>
              <w:rPr>
                <w:sz w:val="18"/>
              </w:rPr>
              <w:t xml:space="preserve">BL below ₹500 crore</w:t>
            </w:r>
          </w:p>
        </w:tc>
        <w:tc>
          <w:tcPr>
            <w:tcW w:w="4893" w:type="dxa"/>
          </w:tcPr>
          <w:p>
            <w:pPr>
              <w:pStyle w:val="Compact"/>
              <w:spacing w:after="40"/>
              <w:jc w:val="left"/>
            </w:pPr>
            <w:r>
              <w:rPr>
                <w:sz w:val="18"/>
              </w:rPr>
              <w:t xml:space="preserve">OUT Chapter III only; CYB Chapter III; no FRM, WD (except the all-RE proviso), CMP or IAF</w:t>
            </w:r>
          </w:p>
        </w:tc>
      </w:tr>
      <w:tr>
        <w:tc>
          <w:tcPr>
            <w:tcW w:w="4745" w:type="dxa"/>
          </w:tcPr>
          <w:p>
            <w:pPr>
              <w:pStyle w:val="Compact"/>
              <w:spacing w:after="40"/>
              <w:jc w:val="left"/>
            </w:pPr>
            <w:r>
              <w:rPr>
                <w:sz w:val="18"/>
              </w:rPr>
              <w:t xml:space="preserve">BL of ₹500 crore and above</w:t>
            </w:r>
          </w:p>
        </w:tc>
        <w:tc>
          <w:tcPr>
            <w:tcW w:w="4893" w:type="dxa"/>
          </w:tcPr>
          <w:p>
            <w:pPr>
              <w:pStyle w:val="Compact"/>
              <w:spacing w:after="40"/>
              <w:jc w:val="left"/>
            </w:pPr>
            <w:r>
              <w:rPr>
                <w:sz w:val="18"/>
              </w:rPr>
              <w:t xml:space="preserve">CYB Chapter IV, including outsourcing contract terms (CYB 60–64); FRM applies; EWS not required (FRM 13 is ML/UL only)</w:t>
            </w:r>
          </w:p>
        </w:tc>
      </w:tr>
      <w:tr>
        <w:tc>
          <w:tcPr>
            <w:tcW w:w="4745" w:type="dxa"/>
          </w:tcPr>
          <w:p>
            <w:pPr>
              <w:pStyle w:val="Compact"/>
              <w:spacing w:after="40"/>
              <w:jc w:val="left"/>
            </w:pPr>
            <w:r>
              <w:rPr>
                <w:sz w:val="18"/>
              </w:rPr>
              <w:t xml:space="preserve">ML (including all HFCs and NBFC-D; non-deposit NBFCs from the date assets reach ₹1,000 crore, SBR paras 11, 22)</w:t>
            </w:r>
          </w:p>
        </w:tc>
        <w:tc>
          <w:tcPr>
            <w:tcW w:w="4893" w:type="dxa"/>
          </w:tcPr>
          <w:p>
            <w:pPr>
              <w:pStyle w:val="Compact"/>
              <w:spacing w:after="40"/>
              <w:jc w:val="left"/>
            </w:pPr>
            <w:r>
              <w:rPr>
                <w:sz w:val="18"/>
              </w:rPr>
              <w:t xml:space="preserve">OUT Chapter IV; CYB Chapter V; FRM with EWS; WD; CMP go-live gate (not HFCs); RBC 34(2) prepayment rule up to ₹50 lakh</w:t>
            </w:r>
          </w:p>
        </w:tc>
      </w:tr>
      <w:tr>
        <w:tc>
          <w:tcPr>
            <w:tcW w:w="4745" w:type="dxa"/>
          </w:tcPr>
          <w:p>
            <w:pPr>
              <w:pStyle w:val="Compact"/>
              <w:spacing w:after="40"/>
              <w:jc w:val="left"/>
            </w:pPr>
            <w:r>
              <w:rPr>
                <w:sz w:val="18"/>
              </w:rPr>
              <w:t xml:space="preserve">UL</w:t>
            </w:r>
          </w:p>
        </w:tc>
        <w:tc>
          <w:tcPr>
            <w:tcW w:w="4893" w:type="dxa"/>
          </w:tcPr>
          <w:p>
            <w:pPr>
              <w:pStyle w:val="Compact"/>
              <w:spacing w:after="40"/>
              <w:jc w:val="left"/>
            </w:pPr>
            <w:r>
              <w:rPr>
                <w:sz w:val="18"/>
              </w:rPr>
              <w:t xml:space="preserve">As ML; RBC 34(2) without the ₹50 lakh limit</w:t>
            </w:r>
          </w:p>
        </w:tc>
      </w:tr>
      <w:tr>
        <w:tc>
          <w:tcPr>
            <w:tcW w:w="4745" w:type="dxa"/>
          </w:tcPr>
          <w:p>
            <w:pPr>
              <w:pStyle w:val="Compact"/>
              <w:spacing w:after="40"/>
              <w:jc w:val="left"/>
            </w:pPr>
            <w:r>
              <w:rPr>
                <w:sz w:val="18"/>
              </w:rPr>
              <w:t xml:space="preserve">Assets of ₹5,000 crore and above, and every deposit-taking NBFC or HFC for IAF</w:t>
            </w:r>
          </w:p>
        </w:tc>
        <w:tc>
          <w:tcPr>
            <w:tcW w:w="4893" w:type="dxa"/>
          </w:tcPr>
          <w:p>
            <w:pPr>
              <w:pStyle w:val="Compact"/>
              <w:spacing w:after="40"/>
              <w:jc w:val="left"/>
            </w:pPr>
            <w:r>
              <w:rPr>
                <w:sz w:val="18"/>
              </w:rPr>
              <w:t xml:space="preserve">IAF (IAF 3); CRO vetting above ₹5,000 crore (GOV 19, 23)</w:t>
            </w:r>
          </w:p>
        </w:tc>
      </w:tr>
    </w:tbl>
    <w:p>
      <w:pPr>
        <w:pStyle w:val="BodyText"/>
      </w:pPr>
      <w:r>
        <w:rPr>
          <w:iCs/>
          <w:i/>
        </w:rPr>
        <w:t xml:space="preserve">Build:</w:t>
      </w:r>
      <w:r>
        <w:t xml:space="preserve"> </w:t>
      </w:r>
      <w:r>
        <w:t xml:space="preserve">U1 RE regulatory profile (RE type, NBFC category, layer and source, asset size and date, deposit-taking flag, effective dates); U18 resolves the obligation set and re-runs it when the profile changes, opening contract-amendment tasks where a new chapter applies.</w:t>
      </w:r>
    </w:p>
    <w:p>
      <w:pPr>
        <w:pStyle w:val="BodyText"/>
      </w:pPr>
      <w:r>
        <w:rPr>
          <w:bCs/>
          <w:b/>
        </w:rPr>
        <w:t xml:space="preserve">ORM guidance note (DOR.ORG.REC.301).</w:t>
      </w:r>
      <w:r>
        <w:t xml:space="preserve"> </w:t>
      </w:r>
      <w:r>
        <w:t xml:space="preserve">Guidance, not a Direction; applies to commercial banks, RRBs, UCBs, AIFIs and NBFC-BL, ML and UL (para 8). REQ-ORM IDs carry the register strength flag</w:t>
      </w:r>
      <w:r>
        <w:t xml:space="preserve"> </w:t>
      </w:r>
      <w:r>
        <w:t xml:space="preserve">“</w:t>
      </w:r>
      <w:r>
        <w:t xml:space="preserve">guidance</w:t>
      </w:r>
      <w:r>
        <w:t xml:space="preserve">”</w:t>
      </w:r>
      <w:r>
        <w:t xml:space="preserve">.</w:t>
      </w:r>
    </w:p>
    <w:p>
      <w:pPr>
        <w:numPr>
          <w:ilvl w:val="0"/>
          <w:numId w:val="1442"/>
        </w:numPr>
        <w:pStyle w:val="Compact"/>
      </w:pPr>
      <w:r>
        <w:rPr>
          <w:bCs/>
          <w:b/>
        </w:rPr>
        <w:t xml:space="preserve">REQ-ORM-73</w:t>
      </w:r>
      <w:r>
        <w:t xml:space="preserve"> </w:t>
      </w:r>
      <w:r>
        <w:rPr>
          <w:bCs/>
          <w:b/>
        </w:rPr>
        <w:t xml:space="preserve">[RE]</w:t>
      </w:r>
      <w:r>
        <w:t xml:space="preserve"> </w:t>
      </w:r>
      <w:r>
        <w:t xml:space="preserve">Due diligence verifying the third party has</w:t>
      </w:r>
      <w:r>
        <w:t xml:space="preserve"> </w:t>
      </w:r>
      <w:r>
        <w:rPr>
          <w:bCs/>
          <w:b/>
        </w:rPr>
        <w:t xml:space="preserve">at least equivalent operational resilience</w:t>
      </w:r>
      <w:r>
        <w:t xml:space="preserve"> </w:t>
      </w:r>
      <w:r>
        <w:t xml:space="preserve">for the RE’s critical operations.</w:t>
      </w:r>
      <w:r>
        <w:t xml:space="preserve"> </w:t>
      </w:r>
      <w:r>
        <w:rPr>
          <w:iCs/>
          <w:i/>
        </w:rPr>
        <w:t xml:space="preserve">Build:</w:t>
      </w:r>
      <w:r>
        <w:t xml:space="preserve"> </w:t>
      </w:r>
      <w:r>
        <w:t xml:space="preserve">U18 resilience statement: critical services, impact tolerances, RTO/RPO, test history.</w:t>
      </w:r>
    </w:p>
    <w:p>
      <w:pPr>
        <w:numPr>
          <w:ilvl w:val="0"/>
          <w:numId w:val="1442"/>
        </w:numPr>
        <w:pStyle w:val="Compact"/>
      </w:pPr>
      <w:r>
        <w:rPr>
          <w:bCs/>
          <w:b/>
        </w:rPr>
        <w:t xml:space="preserve">REQ-ORM-74–76</w:t>
      </w:r>
      <w:r>
        <w:t xml:space="preserve"> </w:t>
      </w:r>
      <w:r>
        <w:rPr>
          <w:bCs/>
          <w:b/>
        </w:rPr>
        <w:t xml:space="preserve">[RE]</w:t>
      </w:r>
      <w:r>
        <w:t xml:space="preserve"> </w:t>
      </w:r>
      <w:r>
        <w:t xml:space="preserve">Board-approved third-party policy and register; exit plans and substitutability; provider</w:t>
      </w:r>
      <w:r>
        <w:t xml:space="preserve"> </w:t>
      </w:r>
      <w:r>
        <w:rPr>
          <w:bCs/>
          <w:b/>
        </w:rPr>
        <w:t xml:space="preserve">contractually liable for subcontractors including nth parties</w:t>
      </w:r>
      <w:r>
        <w:t xml:space="preserve">.</w:t>
      </w:r>
      <w:r>
        <w:t xml:space="preserve"> </w:t>
      </w:r>
      <w:r>
        <w:rPr>
          <w:iCs/>
          <w:i/>
        </w:rPr>
        <w:t xml:space="preserve">Build:</w:t>
      </w:r>
      <w:r>
        <w:t xml:space="preserve"> </w:t>
      </w:r>
      <w:r>
        <w:t xml:space="preserve">clause accepted (also OUT 74(xiii)); U18 nth-party map.</w:t>
      </w:r>
    </w:p>
    <w:p>
      <w:pPr>
        <w:numPr>
          <w:ilvl w:val="0"/>
          <w:numId w:val="1442"/>
        </w:numPr>
        <w:pStyle w:val="Compact"/>
      </w:pPr>
      <w:r>
        <w:rPr>
          <w:bCs/>
          <w:b/>
        </w:rPr>
        <w:t xml:space="preserve">REQ-ORM-69–72</w:t>
      </w:r>
      <w:r>
        <w:t xml:space="preserve"> </w:t>
      </w:r>
      <w:r>
        <w:rPr>
          <w:bCs/>
          <w:b/>
        </w:rPr>
        <w:t xml:space="preserve">[RE]</w:t>
      </w:r>
      <w:r>
        <w:t xml:space="preserve"> </w:t>
      </w:r>
      <w:r>
        <w:t xml:space="preserve">Mapping of critical operations including third-party dependencies and single points of failure.</w:t>
      </w:r>
      <w:r>
        <w:t xml:space="preserve"> </w:t>
      </w:r>
      <w:r>
        <w:rPr>
          <w:iCs/>
          <w:i/>
        </w:rPr>
        <w:t xml:space="preserve">Build:</w:t>
      </w:r>
      <w:r>
        <w:t xml:space="preserve"> </w:t>
      </w:r>
      <w:r>
        <w:t xml:space="preserve">Udofin supplies a dependency map of the digital channel per RE.</w:t>
      </w:r>
    </w:p>
    <w:p>
      <w:pPr>
        <w:numPr>
          <w:ilvl w:val="0"/>
          <w:numId w:val="1442"/>
        </w:numPr>
        <w:pStyle w:val="Compact"/>
      </w:pPr>
      <w:r>
        <w:rPr>
          <w:bCs/>
          <w:b/>
        </w:rPr>
        <w:t xml:space="preserve">REQ-ORM-87, 99, 101</w:t>
      </w:r>
      <w:r>
        <w:t xml:space="preserve"> </w:t>
      </w:r>
      <w:r>
        <w:rPr>
          <w:bCs/>
          <w:b/>
        </w:rPr>
        <w:t xml:space="preserve">[RE]</w:t>
      </w:r>
      <w:r>
        <w:t xml:space="preserve"> </w:t>
      </w:r>
      <w:r>
        <w:t xml:space="preserve">Lessons from incidents, including at third parties; lessons-learned exercise with RCA.</w:t>
      </w:r>
      <w:r>
        <w:t xml:space="preserve"> </w:t>
      </w:r>
      <w:r>
        <w:rPr>
          <w:iCs/>
          <w:i/>
        </w:rPr>
        <w:t xml:space="preserve">Build:</w:t>
      </w:r>
      <w:r>
        <w:t xml:space="preserve"> </w:t>
      </w:r>
      <w:r>
        <w:t xml:space="preserve">U24 post-incident report answering the para 101 questions (cause, impact on critical operations, recovery speed, communication, tolerance breach, control adequacy) [VERIFY: the para 101 question list is not legible in the supplied text].</w:t>
      </w:r>
    </w:p>
    <w:p>
      <w:r>
        <w:pict>
          <v:rect style="width:0;height:1.5pt" o:hralign="center" o:hrstd="t" o:hr="t"/>
        </w:pict>
      </w:r>
    </w:p>
    <w:bookmarkEnd w:id="465"/>
    <w:bookmarkStart w:id="466" w:name="X8846527cb6380c1e5b6562aee3ab3de7b2a4642"/>
    <w:p>
      <w:pPr>
        <w:pStyle w:val="Heading2"/>
      </w:pPr>
      <w:r>
        <w:t xml:space="preserve">8A.15 Directions with no direct Udofin obligation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90"/>
        <w:gridCol w:w="2318"/>
        <w:gridCol w:w="5030"/>
      </w:tblGrid>
      <w:tr>
        <w:trPr>
          <w:tblHeader w:val="true"/>
          <w:tblHeader w:val="true"/>
        </w:trPr>
        <w:tc>
          <w:tcPr>
            <w:tcW w:w="2290" w:type="dxa"/>
            <w:shd w:val="clear" w:color="auto" w:fill="1F3A5F"/>
          </w:tcPr>
          <w:p>
            <w:pPr>
              <w:pStyle w:val="Compact"/>
              <w:spacing w:after="40"/>
              <w:jc w:val="left"/>
            </w:pPr>
            <w:r>
              <w:rPr>
                <w:b/>
                <w:color w:val="FFFFFF"/>
                <w:sz w:val="18"/>
              </w:rPr>
              <w:t xml:space="preserve">Direction</w:t>
            </w:r>
          </w:p>
        </w:tc>
        <w:tc>
          <w:tcPr>
            <w:tcW w:w="2318" w:type="dxa"/>
            <w:shd w:val="clear" w:color="auto" w:fill="1F3A5F"/>
          </w:tcPr>
          <w:p>
            <w:pPr>
              <w:pStyle w:val="Compact"/>
              <w:spacing w:after="40"/>
              <w:jc w:val="left"/>
            </w:pPr>
            <w:r>
              <w:rPr>
                <w:b/>
                <w:color w:val="FFFFFF"/>
                <w:sz w:val="18"/>
              </w:rPr>
              <w:t xml:space="preserve">Why no direct Udofin obligation</w:t>
            </w:r>
          </w:p>
        </w:tc>
        <w:tc>
          <w:tcPr>
            <w:tcW w:w="5030" w:type="dxa"/>
            <w:shd w:val="clear" w:color="auto" w:fill="1F3A5F"/>
          </w:tcPr>
          <w:p>
            <w:pPr>
              <w:pStyle w:val="Compact"/>
              <w:spacing w:after="40"/>
              <w:jc w:val="left"/>
            </w:pPr>
            <w:r>
              <w:rPr>
                <w:b/>
                <w:color w:val="FFFFFF"/>
                <w:sz w:val="18"/>
              </w:rPr>
              <w:t xml:space="preserve">Data or support Udofin must give the RE</w:t>
            </w:r>
          </w:p>
        </w:tc>
      </w:tr>
      <w:tr>
        <w:tc>
          <w:tcPr>
            <w:tcW w:w="2290" w:type="dxa"/>
          </w:tcPr>
          <w:p>
            <w:pPr>
              <w:pStyle w:val="Compact"/>
              <w:spacing w:after="40"/>
              <w:jc w:val="left"/>
            </w:pPr>
            <w:r>
              <w:rPr>
                <w:sz w:val="18"/>
              </w:rPr>
              <w:t xml:space="preserve">CRM 350 (Credit Risk Management)</w:t>
            </w:r>
          </w:p>
        </w:tc>
        <w:tc>
          <w:tcPr>
            <w:tcW w:w="2318" w:type="dxa"/>
          </w:tcPr>
          <w:p>
            <w:pPr>
              <w:pStyle w:val="Compact"/>
              <w:spacing w:after="40"/>
              <w:jc w:val="left"/>
            </w:pPr>
            <w:r>
              <w:rPr>
                <w:sz w:val="18"/>
              </w:rPr>
              <w:t xml:space="preserve">Credit policy, appraisal and portfolio risk are the RE’s</w:t>
            </w:r>
          </w:p>
        </w:tc>
        <w:tc>
          <w:tcPr>
            <w:tcW w:w="5030" w:type="dxa"/>
          </w:tcPr>
          <w:p>
            <w:pPr>
              <w:pStyle w:val="Compact"/>
              <w:spacing w:after="40"/>
              <w:jc w:val="left"/>
            </w:pPr>
            <w:r>
              <w:rPr>
                <w:sz w:val="18"/>
              </w:rPr>
              <w:t xml:space="preserve">Application and bureau-consented data to the RE’s underwriting; LSP-originated portfolio MIS for the RE’s monitoring (CF para 6(4))</w:t>
            </w:r>
          </w:p>
        </w:tc>
      </w:tr>
      <w:tr>
        <w:tc>
          <w:tcPr>
            <w:tcW w:w="2290" w:type="dxa"/>
          </w:tcPr>
          <w:p>
            <w:pPr>
              <w:pStyle w:val="Compact"/>
              <w:spacing w:after="40"/>
              <w:jc w:val="left"/>
            </w:pPr>
            <w:r>
              <w:rPr>
                <w:sz w:val="18"/>
              </w:rPr>
              <w:t xml:space="preserve">CON 351 (Concentration Risk Management)</w:t>
            </w:r>
          </w:p>
        </w:tc>
        <w:tc>
          <w:tcPr>
            <w:tcW w:w="2318" w:type="dxa"/>
          </w:tcPr>
          <w:p>
            <w:pPr>
              <w:pStyle w:val="Compact"/>
              <w:spacing w:after="40"/>
              <w:jc w:val="left"/>
            </w:pPr>
            <w:r>
              <w:rPr>
                <w:sz w:val="18"/>
              </w:rPr>
              <w:t xml:space="preserve">Exposure limits are measured on the RE’s book</w:t>
            </w:r>
          </w:p>
        </w:tc>
        <w:tc>
          <w:tcPr>
            <w:tcW w:w="5030" w:type="dxa"/>
          </w:tcPr>
          <w:p>
            <w:pPr>
              <w:pStyle w:val="Compact"/>
              <w:spacing w:after="40"/>
              <w:jc w:val="left"/>
            </w:pPr>
            <w:r>
              <w:rPr>
                <w:sz w:val="18"/>
              </w:rPr>
              <w:t xml:space="preserve">Group and related-party identifiers for business borrowers (Phase 18); routing caps if an RE configures them in U7</w:t>
            </w:r>
          </w:p>
        </w:tc>
      </w:tr>
      <w:tr>
        <w:tc>
          <w:tcPr>
            <w:tcW w:w="2290" w:type="dxa"/>
          </w:tcPr>
          <w:p>
            <w:pPr>
              <w:pStyle w:val="Compact"/>
              <w:spacing w:after="40"/>
              <w:jc w:val="left"/>
            </w:pPr>
            <w:r>
              <w:rPr>
                <w:sz w:val="18"/>
              </w:rPr>
              <w:t xml:space="preserve">INV 354 (Investment Portfolio)</w:t>
            </w:r>
          </w:p>
        </w:tc>
        <w:tc>
          <w:tcPr>
            <w:tcW w:w="2318" w:type="dxa"/>
          </w:tcPr>
          <w:p>
            <w:pPr>
              <w:pStyle w:val="Compact"/>
              <w:spacing w:after="40"/>
              <w:jc w:val="left"/>
            </w:pPr>
            <w:r>
              <w:rPr>
                <w:sz w:val="18"/>
              </w:rPr>
              <w:t xml:space="preserve">Udofin holds no RE investments; LAS collateral is pledged security, not RE investment</w:t>
            </w:r>
          </w:p>
        </w:tc>
        <w:tc>
          <w:tcPr>
            <w:tcW w:w="5030" w:type="dxa"/>
          </w:tcPr>
          <w:p>
            <w:pPr>
              <w:pStyle w:val="Compact"/>
              <w:spacing w:after="40"/>
              <w:jc w:val="left"/>
            </w:pPr>
            <w:r>
              <w:rPr>
                <w:sz w:val="18"/>
              </w:rPr>
              <w:t xml:space="preserve">None</w:t>
            </w:r>
          </w:p>
        </w:tc>
      </w:tr>
      <w:tr>
        <w:tc>
          <w:tcPr>
            <w:tcW w:w="2290" w:type="dxa"/>
          </w:tcPr>
          <w:p>
            <w:pPr>
              <w:pStyle w:val="Compact"/>
              <w:spacing w:after="40"/>
              <w:jc w:val="left"/>
            </w:pPr>
            <w:r>
              <w:rPr>
                <w:sz w:val="18"/>
              </w:rPr>
              <w:t xml:space="preserve">BR 342 (Branch Authorisation)</w:t>
            </w:r>
          </w:p>
        </w:tc>
        <w:tc>
          <w:tcPr>
            <w:tcW w:w="2318" w:type="dxa"/>
          </w:tcPr>
          <w:p>
            <w:pPr>
              <w:pStyle w:val="Compact"/>
              <w:spacing w:after="40"/>
              <w:jc w:val="left"/>
            </w:pPr>
            <w:r>
              <w:rPr>
                <w:sz w:val="18"/>
              </w:rPr>
              <w:t xml:space="preserve">Udofin offices are not RE branches</w:t>
            </w:r>
          </w:p>
        </w:tc>
        <w:tc>
          <w:tcPr>
            <w:tcW w:w="5030" w:type="dxa"/>
          </w:tcPr>
          <w:p>
            <w:pPr>
              <w:pStyle w:val="Compact"/>
              <w:spacing w:after="40"/>
              <w:jc w:val="left"/>
            </w:pPr>
            <w:r>
              <w:rPr>
                <w:sz w:val="18"/>
              </w:rPr>
              <w:t xml:space="preserve">A deposit-taking NBFC with NOF up to ₹50 crore or rating below AA may appoint agents only within its home State (para 6) [VERIFY: whether LSP sourcing counts as appointing agents]; U7 can geo-restrict such REs</w:t>
            </w:r>
          </w:p>
        </w:tc>
      </w:tr>
      <w:tr>
        <w:tc>
          <w:tcPr>
            <w:tcW w:w="2290" w:type="dxa"/>
          </w:tcPr>
          <w:p>
            <w:pPr>
              <w:pStyle w:val="Compact"/>
              <w:spacing w:after="40"/>
              <w:jc w:val="left"/>
            </w:pPr>
            <w:r>
              <w:rPr>
                <w:sz w:val="18"/>
              </w:rPr>
              <w:t xml:space="preserve">ALM 355 (Asset Liability Management)</w:t>
            </w:r>
          </w:p>
        </w:tc>
        <w:tc>
          <w:tcPr>
            <w:tcW w:w="2318" w:type="dxa"/>
          </w:tcPr>
          <w:p>
            <w:pPr>
              <w:pStyle w:val="Compact"/>
              <w:spacing w:after="40"/>
              <w:jc w:val="left"/>
            </w:pPr>
            <w:r>
              <w:rPr>
                <w:sz w:val="18"/>
              </w:rPr>
              <w:t xml:space="preserve">Liquidity and rate risk are on the RE’s balance sheet</w:t>
            </w:r>
          </w:p>
        </w:tc>
        <w:tc>
          <w:tcPr>
            <w:tcW w:w="5030" w:type="dxa"/>
          </w:tcPr>
          <w:p>
            <w:pPr>
              <w:pStyle w:val="Compact"/>
              <w:spacing w:after="40"/>
              <w:jc w:val="left"/>
            </w:pPr>
            <w:r>
              <w:rPr>
                <w:sz w:val="18"/>
              </w:rPr>
              <w:t xml:space="preserve">Pipeline and expected-disbursement forecast on request (U19)</w:t>
            </w:r>
          </w:p>
        </w:tc>
      </w:tr>
      <w:tr>
        <w:tc>
          <w:tcPr>
            <w:tcW w:w="2290" w:type="dxa"/>
          </w:tcPr>
          <w:p>
            <w:pPr>
              <w:pStyle w:val="Compact"/>
              <w:spacing w:after="40"/>
              <w:jc w:val="left"/>
            </w:pPr>
            <w:r>
              <w:rPr>
                <w:sz w:val="18"/>
              </w:rPr>
              <w:t xml:space="preserve">FS 359 (Financial Statements)</w:t>
            </w:r>
          </w:p>
        </w:tc>
        <w:tc>
          <w:tcPr>
            <w:tcW w:w="2318" w:type="dxa"/>
          </w:tcPr>
          <w:p>
            <w:pPr>
              <w:pStyle w:val="Compact"/>
              <w:spacing w:after="40"/>
              <w:jc w:val="left"/>
            </w:pPr>
            <w:r>
              <w:rPr>
                <w:sz w:val="18"/>
              </w:rPr>
              <w:t xml:space="preserve">Disclosures are the RE’s</w:t>
            </w:r>
          </w:p>
        </w:tc>
        <w:tc>
          <w:tcPr>
            <w:tcW w:w="5030" w:type="dxa"/>
          </w:tcPr>
          <w:p>
            <w:pPr>
              <w:pStyle w:val="Compact"/>
              <w:spacing w:after="40"/>
              <w:jc w:val="left"/>
            </w:pPr>
            <w:r>
              <w:rPr>
                <w:sz w:val="18"/>
              </w:rPr>
              <w:t xml:space="preserve">Complaint MIS in the ground-wise format (para 21(10)); CLA and DLG data for notes to accounts (para 21(4))</w:t>
            </w:r>
          </w:p>
        </w:tc>
      </w:tr>
      <w:tr>
        <w:tc>
          <w:tcPr>
            <w:tcW w:w="2290" w:type="dxa"/>
          </w:tcPr>
          <w:p>
            <w:pPr>
              <w:pStyle w:val="Compact"/>
              <w:spacing w:after="40"/>
              <w:jc w:val="left"/>
            </w:pPr>
            <w:r>
              <w:rPr>
                <w:sz w:val="18"/>
              </w:rPr>
              <w:t xml:space="preserve">CLM 364 (Climate Change Risks)</w:t>
            </w:r>
          </w:p>
        </w:tc>
        <w:tc>
          <w:tcPr>
            <w:tcW w:w="2318" w:type="dxa"/>
          </w:tcPr>
          <w:p>
            <w:pPr>
              <w:pStyle w:val="Compact"/>
              <w:spacing w:after="40"/>
              <w:jc w:val="left"/>
            </w:pPr>
            <w:r>
              <w:rPr>
                <w:sz w:val="18"/>
              </w:rPr>
              <w:t xml:space="preserve">Climate risk governance is the RE’s</w:t>
            </w:r>
          </w:p>
        </w:tc>
        <w:tc>
          <w:tcPr>
            <w:tcW w:w="5030" w:type="dxa"/>
          </w:tcPr>
          <w:p>
            <w:pPr>
              <w:pStyle w:val="Compact"/>
              <w:spacing w:after="40"/>
              <w:jc w:val="left"/>
            </w:pPr>
            <w:r>
              <w:rPr>
                <w:sz w:val="18"/>
              </w:rPr>
              <w:t xml:space="preserve">Collateral location data for secured products on request</w:t>
            </w:r>
          </w:p>
        </w:tc>
      </w:tr>
      <w:tr>
        <w:tc>
          <w:tcPr>
            <w:tcW w:w="2290" w:type="dxa"/>
          </w:tcPr>
          <w:p>
            <w:pPr>
              <w:pStyle w:val="Compact"/>
              <w:spacing w:after="40"/>
              <w:jc w:val="left"/>
            </w:pPr>
            <w:r>
              <w:rPr>
                <w:sz w:val="18"/>
              </w:rPr>
              <w:t xml:space="preserve">DIV 360 (Dividends)</w:t>
            </w:r>
          </w:p>
        </w:tc>
        <w:tc>
          <w:tcPr>
            <w:tcW w:w="2318" w:type="dxa"/>
          </w:tcPr>
          <w:p>
            <w:pPr>
              <w:pStyle w:val="Compact"/>
              <w:spacing w:after="40"/>
              <w:jc w:val="left"/>
            </w:pPr>
            <w:r>
              <w:rPr>
                <w:sz w:val="18"/>
              </w:rPr>
              <w:t xml:space="preserve">RE capital distribution only</w:t>
            </w:r>
          </w:p>
        </w:tc>
        <w:tc>
          <w:tcPr>
            <w:tcW w:w="5030" w:type="dxa"/>
          </w:tcPr>
          <w:p>
            <w:pPr>
              <w:pStyle w:val="Compact"/>
              <w:spacing w:after="40"/>
              <w:jc w:val="left"/>
            </w:pPr>
            <w:r>
              <w:rPr>
                <w:sz w:val="18"/>
              </w:rPr>
              <w:t xml:space="preserve">None</w:t>
            </w:r>
          </w:p>
        </w:tc>
      </w:tr>
      <w:tr>
        <w:tc>
          <w:tcPr>
            <w:tcW w:w="2290" w:type="dxa"/>
          </w:tcPr>
          <w:p>
            <w:pPr>
              <w:pStyle w:val="Compact"/>
              <w:spacing w:after="40"/>
              <w:jc w:val="left"/>
            </w:pPr>
            <w:r>
              <w:rPr>
                <w:sz w:val="18"/>
              </w:rPr>
              <w:t xml:space="preserve">SEC 353 (Securitisation)</w:t>
            </w:r>
          </w:p>
        </w:tc>
        <w:tc>
          <w:tcPr>
            <w:tcW w:w="2318" w:type="dxa"/>
          </w:tcPr>
          <w:p>
            <w:pPr>
              <w:pStyle w:val="Compact"/>
              <w:spacing w:after="40"/>
              <w:jc w:val="left"/>
            </w:pPr>
            <w:r>
              <w:rPr>
                <w:sz w:val="18"/>
              </w:rPr>
              <w:t xml:space="preserve">Securitisation is between the RE and investors</w:t>
            </w:r>
          </w:p>
        </w:tc>
        <w:tc>
          <w:tcPr>
            <w:tcW w:w="5030" w:type="dxa"/>
          </w:tcPr>
          <w:p>
            <w:pPr>
              <w:pStyle w:val="Compact"/>
              <w:spacing w:after="40"/>
              <w:jc w:val="left"/>
            </w:pPr>
            <w:r>
              <w:rPr>
                <w:sz w:val="18"/>
              </w:rPr>
              <w:t xml:space="preserve">KFS Part 2 item 4 disclosure display; lender-of-record and servicer changes reflected in the U12 mirror with borrower notice</w:t>
            </w:r>
          </w:p>
        </w:tc>
      </w:tr>
      <w:tr>
        <w:tc>
          <w:tcPr>
            <w:tcW w:w="2290" w:type="dxa"/>
          </w:tcPr>
          <w:p>
            <w:pPr>
              <w:pStyle w:val="Compact"/>
              <w:spacing w:after="40"/>
              <w:jc w:val="left"/>
            </w:pPr>
            <w:r>
              <w:rPr>
                <w:sz w:val="18"/>
              </w:rPr>
              <w:t xml:space="preserve">MSD 467 (Miscellaneous Supervisory)</w:t>
            </w:r>
          </w:p>
        </w:tc>
        <w:tc>
          <w:tcPr>
            <w:tcW w:w="2318" w:type="dxa"/>
          </w:tcPr>
          <w:p>
            <w:pPr>
              <w:pStyle w:val="Compact"/>
              <w:spacing w:after="40"/>
              <w:jc w:val="left"/>
            </w:pPr>
            <w:r>
              <w:rPr>
                <w:sz w:val="18"/>
              </w:rPr>
              <w:t xml:space="preserve">CFSS, nomination and PCA bind the RE</w:t>
            </w:r>
          </w:p>
        </w:tc>
        <w:tc>
          <w:tcPr>
            <w:tcW w:w="5030" w:type="dxa"/>
          </w:tcPr>
          <w:p>
            <w:pPr>
              <w:pStyle w:val="Compact"/>
              <w:spacing w:after="40"/>
              <w:jc w:val="left"/>
            </w:pPr>
            <w:r>
              <w:rPr>
                <w:sz w:val="18"/>
              </w:rPr>
              <w:t xml:space="preserve">Ch III interest-charging fairness (para 7): U12 shadow checks that interest starts from the disbursement date, EMIs are on the disbursed amount, a revised schedule is issued on each part-disbursement, interest runs only for the days outstanding in the month of disbursal or repayment, and instalments collected in advance reduce the interest base (7(1)–(5)); Udofin assisted-onboarding points carrying RE signage may count as RE fixed-point units (para 5) [interpretation]</w:t>
            </w:r>
          </w:p>
        </w:tc>
      </w:tr>
      <w:tr>
        <w:tc>
          <w:tcPr>
            <w:tcW w:w="2290" w:type="dxa"/>
          </w:tcPr>
          <w:p>
            <w:pPr>
              <w:pStyle w:val="Compact"/>
              <w:spacing w:after="40"/>
              <w:jc w:val="left"/>
            </w:pPr>
            <w:r>
              <w:rPr>
                <w:sz w:val="18"/>
              </w:rPr>
              <w:t xml:space="preserve">Credit Cards Issuance and Conduct Directions (referenced in OUT 4(1); not supplied)</w:t>
            </w:r>
          </w:p>
        </w:tc>
        <w:tc>
          <w:tcPr>
            <w:tcW w:w="2318" w:type="dxa"/>
          </w:tcPr>
          <w:p>
            <w:pPr>
              <w:pStyle w:val="Compact"/>
              <w:spacing w:after="40"/>
              <w:jc w:val="left"/>
            </w:pPr>
            <w:r>
              <w:rPr>
                <w:sz w:val="18"/>
              </w:rPr>
              <w:t xml:space="preserve">No card product in scope</w:t>
            </w:r>
          </w:p>
        </w:tc>
        <w:tc>
          <w:tcPr>
            <w:tcW w:w="5030" w:type="dxa"/>
          </w:tcPr>
          <w:p>
            <w:pPr>
              <w:pStyle w:val="Compact"/>
              <w:spacing w:after="40"/>
              <w:jc w:val="left"/>
            </w:pPr>
            <w:r>
              <w:rPr>
                <w:sz w:val="18"/>
              </w:rPr>
              <w:t xml:space="preserve">None</w:t>
            </w:r>
          </w:p>
        </w:tc>
      </w:tr>
    </w:tbl>
    <w:p>
      <w:r>
        <w:pict>
          <v:rect style="width:0;height:1.5pt" o:hralign="center" o:hrstd="t" o:hr="t"/>
        </w:pict>
      </w:r>
    </w:p>
    <w:bookmarkEnd w:id="466"/>
    <w:bookmarkStart w:id="470" w:name="X1375d5dcc1fc0c29855188ae51df6a4648e8d6f"/>
    <w:p>
      <w:pPr>
        <w:pStyle w:val="Heading2"/>
      </w:pPr>
      <w:r>
        <w:t xml:space="preserve">8A.16 Cross-module build list from Part 8A</w:t>
      </w:r>
    </w:p>
    <w:p>
      <w:pPr>
        <w:pStyle w:val="FirstParagraph"/>
      </w:pPr>
      <w:r>
        <w:t xml:space="preserve">The module specifications in Part 7 and the phase instructions in Part 12 must include the items below. Where Part 7 or Part 12 and Part 8A differ,</w:t>
      </w:r>
      <w:r>
        <w:t xml:space="preserve"> </w:t>
      </w:r>
      <w:r>
        <w:rPr>
          <w:bCs/>
          <w:b/>
        </w:rPr>
        <w:t xml:space="preserve">Part 8A prevails</w:t>
      </w:r>
      <w:r>
        <w:t xml:space="preserve">.</w:t>
      </w:r>
    </w:p>
    <w:bookmarkStart w:id="467" w:name="a.16.1-module-additions-part-7"/>
    <w:p>
      <w:pPr>
        <w:pStyle w:val="Heading3"/>
      </w:pPr>
      <w:r>
        <w:t xml:space="preserve">8A.16.1 Module additions (Part 7)</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82"/>
        <w:gridCol w:w="1383"/>
        <w:gridCol w:w="5773"/>
      </w:tblGrid>
      <w:tr>
        <w:trPr>
          <w:tblHeader w:val="true"/>
          <w:tblHeader w:val="true"/>
        </w:trPr>
        <w:tc>
          <w:tcPr>
            <w:tcW w:w="2482" w:type="dxa"/>
            <w:shd w:val="clear" w:color="auto" w:fill="1F3A5F"/>
          </w:tcPr>
          <w:p>
            <w:pPr>
              <w:pStyle w:val="Compact"/>
              <w:spacing w:after="40"/>
              <w:jc w:val="left"/>
            </w:pPr>
            <w:r>
              <w:rPr>
                <w:b/>
                <w:color w:val="FFFFFF"/>
                <w:sz w:val="18"/>
              </w:rPr>
              <w:t xml:space="preserve">Module</w:t>
            </w:r>
          </w:p>
        </w:tc>
        <w:tc>
          <w:tcPr>
            <w:tcW w:w="1383" w:type="dxa"/>
            <w:shd w:val="clear" w:color="auto" w:fill="1F3A5F"/>
          </w:tcPr>
          <w:p>
            <w:pPr>
              <w:pStyle w:val="Compact"/>
              <w:spacing w:after="40"/>
              <w:jc w:val="left"/>
            </w:pPr>
            <w:r>
              <w:rPr>
                <w:b/>
                <w:color w:val="FFFFFF"/>
                <w:sz w:val="18"/>
              </w:rPr>
              <w:t xml:space="preserve">From</w:t>
            </w:r>
          </w:p>
        </w:tc>
        <w:tc>
          <w:tcPr>
            <w:tcW w:w="5773" w:type="dxa"/>
            <w:shd w:val="clear" w:color="auto" w:fill="1F3A5F"/>
          </w:tcPr>
          <w:p>
            <w:pPr>
              <w:pStyle w:val="Compact"/>
              <w:spacing w:after="40"/>
              <w:jc w:val="left"/>
            </w:pPr>
            <w:r>
              <w:rPr>
                <w:b/>
                <w:color w:val="FFFFFF"/>
                <w:sz w:val="18"/>
              </w:rPr>
              <w:t xml:space="preserve">Additions</w:t>
            </w:r>
          </w:p>
        </w:tc>
      </w:tr>
      <w:tr>
        <w:tc>
          <w:tcPr>
            <w:tcW w:w="2482" w:type="dxa"/>
          </w:tcPr>
          <w:p>
            <w:pPr>
              <w:pStyle w:val="Compact"/>
              <w:spacing w:after="40"/>
              <w:jc w:val="left"/>
            </w:pPr>
            <w:r>
              <w:rPr>
                <w:sz w:val="18"/>
              </w:rPr>
              <w:t xml:space="preserve">U1 Tenancy, lender onboarding and LSP agreement registry</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Versioned LSP agreement record covering scope of LSP functions, DLAs covered, recovery-agent appointment, DLG yes/no, minimal data set and retention schedule; a tenant cannot go live without it (CF paras 6(1), 14(1)). DLA register lines created at onboarding in the U18 DLA register, with Annex-I export per RE (CF para 18(1)–(2), Annex-I). RE type (NBFC-MFI or other, HFC, bank) and s.11A PML notification flag (MFI para 8(3); KYC para 23). Udofin CIN and incorporation evidence before DLG (CF para 19). Escrow agent record (DPS para 31)</w:t>
            </w:r>
          </w:p>
        </w:tc>
      </w:tr>
      <w:tr>
        <w:tc>
          <w:tcPr>
            <w:tcW w:w="2482" w:type="dxa"/>
          </w:tcPr>
          <w:p>
            <w:pPr>
              <w:pStyle w:val="Compact"/>
              <w:spacing w:after="40"/>
              <w:jc w:val="left"/>
            </w:pPr>
            <w:r>
              <w:rPr>
                <w:sz w:val="18"/>
              </w:rPr>
              <w:t xml:space="preserve">U1 Tenancy, lender onboarding and LSP agreement registry</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RE regulatory profile (RE type, NBFC category, layer and source, asset size and date, deposit-taking flag) driving the obligation set (SBR 10–12, 22); OUT clause matrix per RE with pass/fail by clause ID (OUT 34, 74, 87–88; CYB 62); conflict declaration at onboarding and annually (OUT 18(vi), 59); per-RE suspension switch by product, channel and activity (OUT 17); off-boarding state machine and full per-RE data export (OUT 42–44, 87–89; CF 18(2))</w:t>
            </w:r>
          </w:p>
        </w:tc>
      </w:tr>
      <w:tr>
        <w:tc>
          <w:tcPr>
            <w:tcW w:w="2482" w:type="dxa"/>
          </w:tcPr>
          <w:p>
            <w:pPr>
              <w:pStyle w:val="Compact"/>
              <w:spacing w:after="40"/>
              <w:jc w:val="left"/>
            </w:pPr>
            <w:r>
              <w:rPr>
                <w:sz w:val="18"/>
              </w:rPr>
              <w:t xml:space="preserve">U2 Lender product catalogue and configuration</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Beneficiary rule: borrower account only, except RE-flagged end-use products (CF para 10(1)). No borrower-facing Udofin fee type (CF para 10(4)). Microfinance acceptance switch and pricing ceiling per RE (CF paras 60–61; MFI para 49). CIC preference order (CIR para 20). LAS eligible list excludes the RE’s own shares (CF para 105). Housing-finance classification (CF para 4(1)(xiv))</w:t>
            </w:r>
          </w:p>
        </w:tc>
      </w:tr>
      <w:tr>
        <w:tc>
          <w:tcPr>
            <w:tcW w:w="2482" w:type="dxa"/>
          </w:tcPr>
          <w:p>
            <w:pPr>
              <w:pStyle w:val="Compact"/>
              <w:spacing w:after="40"/>
              <w:jc w:val="left"/>
            </w:pPr>
            <w:r>
              <w:rPr>
                <w:sz w:val="18"/>
              </w:rPr>
              <w:t xml:space="preserve">U2 Lender product catalogue and configuration</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Policy references per RE product (RBC 7); RE compliance go-live gate with approver, date, scope and version hash for every new product or process (CMP 9(7), 31; GOV 23); template QA for bold penal clause and KFS summary box (RBC 13, 29(6)); penal-charge schedule feed for reminders (RBC 30(7))</w:t>
            </w:r>
          </w:p>
        </w:tc>
      </w:tr>
      <w:tr>
        <w:tc>
          <w:tcPr>
            <w:tcW w:w="2482" w:type="dxa"/>
          </w:tcPr>
          <w:p>
            <w:pPr>
              <w:pStyle w:val="Compact"/>
              <w:spacing w:after="40"/>
              <w:jc w:val="left"/>
            </w:pPr>
            <w:r>
              <w:rPr>
                <w:sz w:val="18"/>
              </w:rPr>
              <w:t xml:space="preserve">U3 Borrower identity, authentication and device binding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CI manifest and plist allow-list forbidding contacts, call-log, telephony, SMS, storage, precise-location and background-location permissions (CF para 13(1)). One borrower ID mapped to a separate UCIC in each RE (KYC paras 17(6), 66). Registered-mobile lock for NFTF accounts and Aadhaar-mobile pinning for OTP-e-KYC accounts (KYC paras 25(2), 44(2)). Device binding without telephony permissions; MFA, lockout and secure reactivation (DPS paras 41, 46, 50–51, 68)</w:t>
            </w:r>
          </w:p>
        </w:tc>
      </w:tr>
      <w:tr>
        <w:tc>
          <w:tcPr>
            <w:tcW w:w="2482" w:type="dxa"/>
          </w:tcPr>
          <w:p>
            <w:pPr>
              <w:pStyle w:val="Compact"/>
              <w:spacing w:after="40"/>
              <w:jc w:val="left"/>
            </w:pPr>
            <w:r>
              <w:rPr>
                <w:sz w:val="18"/>
              </w:rPr>
              <w:t xml:space="preserve">U3 Borrower identity, authentication and device binding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Preferred language at registration (RBC 10); app security baseline: E2E encryption, pinning, attestation, root and jailbreak detection (CYB 33)</w:t>
            </w:r>
          </w:p>
        </w:tc>
      </w:tr>
      <w:tr>
        <w:tc>
          <w:tcPr>
            <w:tcW w:w="2482" w:type="dxa"/>
          </w:tcPr>
          <w:p>
            <w:pPr>
              <w:pStyle w:val="Compact"/>
              <w:spacing w:after="40"/>
              <w:jc w:val="left"/>
            </w:pPr>
            <w:r>
              <w:rPr>
                <w:sz w:val="18"/>
              </w:rPr>
              <w:t xml:space="preserve">U4 Consent, privacy and data lifecycle</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Purpose-bound consent artefacts with an audit trail; granular deny, restrict, revoke and erase (CF para 13(1)–(4)). Data-classification register and per-RE minimal data set; purge of KYC, bureau and AA artefacts on RE acknowledgement (CF para 14(1)). Published storage and destruction policy (CF para 14(2)). AA artefact mirror and purge on revocation or expiry (AA paras 17, 20, 28). Express-permission gate for cross-selling (KYC para 61)</w:t>
            </w:r>
          </w:p>
        </w:tc>
      </w:tr>
      <w:tr>
        <w:tc>
          <w:tcPr>
            <w:tcW w:w="2482" w:type="dxa"/>
          </w:tcPr>
          <w:p>
            <w:pPr>
              <w:pStyle w:val="Compact"/>
              <w:spacing w:after="40"/>
              <w:jc w:val="left"/>
            </w:pPr>
            <w:r>
              <w:rPr>
                <w:sz w:val="18"/>
              </w:rPr>
              <w:t xml:space="preserve">U4 Consent, privacy and data lifecycle</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Data map per RE of data captured, processed and stored, and data Udofin may share (OUT 74(vii)–(viii)); RE-scoped consent boundary for multi-lender data (OUT 26–27, 70)</w:t>
            </w:r>
          </w:p>
        </w:tc>
      </w:tr>
      <w:tr>
        <w:tc>
          <w:tcPr>
            <w:tcW w:w="2482" w:type="dxa"/>
          </w:tcPr>
          <w:p>
            <w:pPr>
              <w:pStyle w:val="Compact"/>
              <w:spacing w:after="40"/>
              <w:jc w:val="left"/>
            </w:pPr>
            <w:r>
              <w:rPr>
                <w:sz w:val="18"/>
              </w:rPr>
              <w:t xml:space="preserve">U5 KYC and verification</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Evidence-only results;</w:t>
            </w:r>
            <w:r>
              <w:rPr>
                <w:sz w:val="18"/>
              </w:rPr>
              <w:t xml:space="preserve"> </w:t>
            </w:r>
            <w:r>
              <w:rPr>
                <w:sz w:val="18"/>
              </w:rPr>
              <w:t xml:space="preserve">“</w:t>
            </w:r>
            <w:r>
              <w:rPr>
                <w:sz w:val="18"/>
              </w:rPr>
              <w:t xml:space="preserve">KYC complete</w:t>
            </w:r>
            <w:r>
              <w:rPr>
                <w:sz w:val="18"/>
              </w:rPr>
              <w:t xml:space="preserve">”</w:t>
            </w:r>
            <w:r>
              <w:rPr>
                <w:sz w:val="18"/>
              </w:rPr>
              <w:t xml:space="preserve"> </w:t>
            </w:r>
            <w:r>
              <w:rPr>
                <w:sz w:val="18"/>
              </w:rPr>
              <w:t xml:space="preserve">set only by an RE actor (KYC para 13). Non-Aadhaar routes on equal footing; Aadhaar masking; number-based e-KYC only for s.11A-notified REs (KYC para 23, Expl 1 and 4). OTP-e-KYC tag and limits (KYC para 25). V-CIP as the RE’s application with no Udofin retention (KYC para 27(1)(i)). V-CIP offered first for NFTF (KYC para 44(1)). KYC Identifier first (KYC para 63(9))</w:t>
            </w:r>
          </w:p>
        </w:tc>
      </w:tr>
      <w:tr>
        <w:tc>
          <w:tcPr>
            <w:tcW w:w="2482" w:type="dxa"/>
          </w:tcPr>
          <w:p>
            <w:pPr>
              <w:pStyle w:val="Compact"/>
              <w:spacing w:after="40"/>
              <w:jc w:val="left"/>
            </w:pPr>
            <w:r>
              <w:rPr>
                <w:sz w:val="18"/>
              </w:rPr>
              <w:t xml:space="preserve">U5 KYC and verification</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Evidence and recommendation only, never the KYC decision (OUT 15); verified PAN for applicants and guarantors and DIN/PAN of directors for non-individual borrowers, no self-declaration substitute (WD 19(1)); accessible liveness alternatives (RBC 105)</w:t>
            </w:r>
          </w:p>
        </w:tc>
      </w:tr>
      <w:tr>
        <w:tc>
          <w:tcPr>
            <w:tcW w:w="2482" w:type="dxa"/>
          </w:tcPr>
          <w:p>
            <w:pPr>
              <w:pStyle w:val="Compact"/>
              <w:spacing w:after="40"/>
              <w:jc w:val="left"/>
            </w:pPr>
            <w:r>
              <w:rPr>
                <w:sz w:val="18"/>
              </w:rPr>
              <w:t xml:space="preserve">U6 Credit data, income and affordability</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Per-RE bureau adapter using RE credentials; no Udofin bureau account (CIR paras 6, 20). Age, occupation and income mandatory (CF para 8(1)). Household composition and income questionnaire; monthly family income field; indicative 50% obligation ratio (CF paras 51–56; CIR Annex I MFI field 49). AA used only as the RE’s FIU flow (AA para 8(12))</w:t>
            </w:r>
          </w:p>
        </w:tc>
      </w:tr>
      <w:tr>
        <w:tc>
          <w:tcPr>
            <w:tcW w:w="2482" w:type="dxa"/>
          </w:tcPr>
          <w:p>
            <w:pPr>
              <w:pStyle w:val="Compact"/>
              <w:spacing w:after="40"/>
              <w:jc w:val="left"/>
            </w:pPr>
            <w:r>
              <w:rPr>
                <w:sz w:val="18"/>
              </w:rPr>
              <w:t xml:space="preserve">U7 Application, eligibility and lender routing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Matched and unmatched lender sets; versioned, consistent matching models with a change log (CF para 7(1)–(2)). Microfinance flag (CF para 51). No DLG input to routing (CF para 20(2)). No new-to-credit hard filter (CIR para 38(5)). OTP-e-KYC ₹60,000 per-year cap (KYC para 25(5)). Microfinance routing only to accepting REs (MFI para 49)</w:t>
            </w:r>
          </w:p>
        </w:tc>
      </w:tr>
      <w:tr>
        <w:tc>
          <w:tcPr>
            <w:tcW w:w="2482" w:type="dxa"/>
          </w:tcPr>
          <w:p>
            <w:pPr>
              <w:pStyle w:val="Compact"/>
              <w:spacing w:after="40"/>
              <w:jc w:val="left"/>
            </w:pPr>
            <w:r>
              <w:rPr>
                <w:sz w:val="18"/>
              </w:rPr>
              <w:t xml:space="preserve">U7 Application, eligibility and lender routing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Application acknowledgement with RE disposal timeline (RBC 12); comparison information and document checklist (RBC 11); routing labelled non-binding (OUT 15); per-RE suppression list for settlement cooling periods (RSA 95); honour RE declines without exposing fraud or wilful-defaulter grounds (FRM 35; WD 7(3)); optional geo-restriction for NBFC-D REs (BR 6)</w:t>
            </w:r>
          </w:p>
        </w:tc>
      </w:tr>
      <w:tr>
        <w:tc>
          <w:tcPr>
            <w:tcW w:w="2482" w:type="dxa"/>
          </w:tcPr>
          <w:p>
            <w:pPr>
              <w:pStyle w:val="Compact"/>
              <w:spacing w:after="40"/>
              <w:jc w:val="left"/>
            </w:pPr>
            <w:r>
              <w:rPr>
                <w:sz w:val="18"/>
              </w:rPr>
              <w:t xml:space="preserve">U8 Offers, KFS, disclosures and cooling-off</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Offer card with lender, amount, tenor, APR, monthly obligation, penal charges and KFS link; ranking only by a published metric; dark-pattern checklist (CF para 7(3)–(4)). RE KFS shown unaltered with validity period (CF para 9(1); RBC para 29(2)). Cooling-off period and exit terms shown before acceptance (CF para 11). Block microfinance offers with prepayment charges or above the ceiling (RBC para 81; CF para 60)</w:t>
            </w:r>
          </w:p>
        </w:tc>
      </w:tr>
      <w:tr>
        <w:tc>
          <w:tcPr>
            <w:tcW w:w="2482" w:type="dxa"/>
          </w:tcPr>
          <w:p>
            <w:pPr>
              <w:pStyle w:val="Compact"/>
              <w:spacing w:after="40"/>
              <w:jc w:val="left"/>
            </w:pPr>
            <w:r>
              <w:rPr>
                <w:sz w:val="18"/>
              </w:rPr>
              <w:t xml:space="preserve">U8 Offers, KFS, disclosures and cooling-off</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Working-day KFS validity clock, 3 or 1 working days by tenor (RBC 29(2)); independent APR recomputation with golden test 17.07% (RBC 29(3)); acknowledgement of understanding (RBC 29(1)); Annex I Part 2 items 3, 5, 6 validation (RBC Annex I); annualised-rate copy linter (RBC 24); CLA blended rate display (TDCR 106, 108)</w:t>
            </w:r>
          </w:p>
        </w:tc>
      </w:tr>
      <w:tr>
        <w:tc>
          <w:tcPr>
            <w:tcW w:w="2482" w:type="dxa"/>
          </w:tcPr>
          <w:p>
            <w:pPr>
              <w:pStyle w:val="Compact"/>
              <w:spacing w:after="40"/>
              <w:jc w:val="left"/>
            </w:pPr>
            <w:r>
              <w:rPr>
                <w:sz w:val="18"/>
              </w:rPr>
              <w:t xml:space="preserve">U9 Documents, eSign, eStamp and DMS</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Delivery of the RE’s digitally signed pack on RE letterhead without re-rendering (CF para 9(3)). Microfinance loan card rendering (RBC para 78)</w:t>
            </w:r>
          </w:p>
        </w:tc>
      </w:tr>
      <w:tr>
        <w:tc>
          <w:tcPr>
            <w:tcW w:w="2482" w:type="dxa"/>
          </w:tcPr>
          <w:p>
            <w:pPr>
              <w:pStyle w:val="Compact"/>
              <w:spacing w:after="40"/>
              <w:jc w:val="left"/>
            </w:pPr>
            <w:r>
              <w:rPr>
                <w:sz w:val="18"/>
              </w:rPr>
              <w:t xml:space="preserve">U9 Documents, eSign, eStamp and DMS</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Full agreement pack with every enclosure delivered and evidenced (RBC 14); KFS summary-box pre-eSign check (RBC 29(6)); LWD covenant check for business products (WD 7(4))</w:t>
            </w:r>
          </w:p>
        </w:tc>
      </w:tr>
      <w:tr>
        <w:tc>
          <w:tcPr>
            <w:tcW w:w="2482" w:type="dxa"/>
          </w:tcPr>
          <w:p>
            <w:pPr>
              <w:pStyle w:val="Compact"/>
              <w:spacing w:after="40"/>
              <w:jc w:val="left"/>
            </w:pPr>
            <w:r>
              <w:rPr>
                <w:sz w:val="18"/>
              </w:rPr>
              <w:t xml:space="preserve">U10 Disbursement orchestration</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Status-only orchestration; verified borrower beneficiary (CF para 10(1)). Show the RE’s address-confirmation status for NFTF customers before the RE disburses (KYC para 44(3))</w:t>
            </w:r>
          </w:p>
        </w:tc>
      </w:tr>
      <w:tr>
        <w:tc>
          <w:tcPr>
            <w:tcW w:w="2482" w:type="dxa"/>
          </w:tcPr>
          <w:p>
            <w:pPr>
              <w:pStyle w:val="Compact"/>
              <w:spacing w:after="40"/>
              <w:jc w:val="left"/>
            </w:pPr>
            <w:r>
              <w:rPr>
                <w:sz w:val="18"/>
              </w:rPr>
              <w:t xml:space="preserve">U10 Disbursement orchestration</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Disbursal notice carries the recovery-grievance mechanism for microfinance loans (RBC 92)</w:t>
            </w:r>
          </w:p>
        </w:tc>
      </w:tr>
      <w:tr>
        <w:tc>
          <w:tcPr>
            <w:tcW w:w="2482" w:type="dxa"/>
          </w:tcPr>
          <w:p>
            <w:pPr>
              <w:pStyle w:val="Compact"/>
              <w:spacing w:after="40"/>
              <w:jc w:val="left"/>
            </w:pPr>
            <w:r>
              <w:rPr>
                <w:sz w:val="18"/>
              </w:rPr>
              <w:t xml:space="preserve">U11 Repayments, mandates, payments and reconciliation</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Payment links, UPI and mandates only on RE merchant or sponsor accounts; connector validator blocks Udofin accounts (CF para 10(2)–(3)). Every payment event reaches the RE (CIR para 10(3)). Status reconciliation within 24 hours of settlement file (DPS para 57). Cooling-off exit payment to the RE account (CF para 11(1))</w:t>
            </w:r>
          </w:p>
        </w:tc>
      </w:tr>
      <w:tr>
        <w:tc>
          <w:tcPr>
            <w:tcW w:w="2482" w:type="dxa"/>
          </w:tcPr>
          <w:p>
            <w:pPr>
              <w:pStyle w:val="Compact"/>
              <w:spacing w:after="40"/>
              <w:jc w:val="left"/>
            </w:pPr>
            <w:r>
              <w:rPr>
                <w:sz w:val="18"/>
              </w:rPr>
              <w:t xml:space="preserve">U11 Repayments, mandates, payments and reconciliation</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Electronic mandates only, no PDC capture (MISC 22–23); RE-rounded amounts only (RBC 103; MISC 27); CLA payments to the bank escrow only (TDCR 117); reconciliation break ageing for the RE’s ACB (OUT 12(2), 39); digital-payment fraud incident capture (FRM 42(10))</w:t>
            </w:r>
          </w:p>
        </w:tc>
      </w:tr>
      <w:tr>
        <w:tc>
          <w:tcPr>
            <w:tcW w:w="2482" w:type="dxa"/>
          </w:tcPr>
          <w:p>
            <w:pPr>
              <w:pStyle w:val="Compact"/>
              <w:spacing w:after="40"/>
              <w:jc w:val="left"/>
            </w:pPr>
            <w:r>
              <w:rPr>
                <w:sz w:val="18"/>
              </w:rPr>
              <w:t xml:space="preserve">U12 Loan mirror and borrower servicing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Persistent cooling-off exit action (CF para 11). Limit increase only on a borrower request event (CF para 8(2)). DLG invocation never shown as reducing dues (CF para 25(2)). Drawdown and top-up requests withheld in Udofin channels 12 months after OTP-e-KYC without upgrade; the debit bar is the RE’s (KYC para 25(6)–(7))</w:t>
            </w:r>
          </w:p>
        </w:tc>
      </w:tr>
      <w:tr>
        <w:tc>
          <w:tcPr>
            <w:tcW w:w="2482" w:type="dxa"/>
          </w:tcPr>
          <w:p>
            <w:pPr>
              <w:pStyle w:val="Compact"/>
              <w:spacing w:after="40"/>
              <w:jc w:val="left"/>
            </w:pPr>
            <w:r>
              <w:rPr>
                <w:sz w:val="18"/>
              </w:rPr>
              <w:t xml:space="preserve">U12 Loan mirror and borrower servicing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Prospective-only change check (RBC 15); account-transfer service request with 21-day clock (RBC 19); floating-rate quarterly statement display (RBC 31(6)); release-of-documents relay and clock (RBC 35–39); microfinance loan card (RBC 78–79); hardship request (RBC 89); SMA/NPA display and examples (IRACP 15, 18–19; RSA 18); settlement-request relay with RE characterisation (RSA 87, 89–91); end-use certificate capture (WD 19(2)); interest-charging shadow checks (MSD 7)</w:t>
            </w:r>
          </w:p>
        </w:tc>
      </w:tr>
      <w:tr>
        <w:tc>
          <w:tcPr>
            <w:tcW w:w="2482" w:type="dxa"/>
          </w:tcPr>
          <w:p>
            <w:pPr>
              <w:pStyle w:val="Compact"/>
              <w:spacing w:after="40"/>
              <w:jc w:val="left"/>
            </w:pPr>
            <w:r>
              <w:rPr>
                <w:sz w:val="18"/>
              </w:rPr>
              <w:t xml:space="preserve">U13 Collections and recovery support</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Enabled only with a recovery-agent appointment (CF para 6(5)). Hard gate: agent particulars delivered before first contact (CF para 9(6); RBC paras 95–97). Cash receipts only on overdue loans, full amount, same-day RE posting, no fee netting (CF para 10(5)). Contact windows: 09:00–18:00 microfinance, 08:00–19:00 others (RBC paras 91(2), 100). Visit rule after two successive non-appearances (RBC para 90)</w:t>
            </w:r>
          </w:p>
        </w:tc>
      </w:tr>
      <w:tr>
        <w:tc>
          <w:tcPr>
            <w:tcW w:w="2482" w:type="dxa"/>
          </w:tcPr>
          <w:p>
            <w:pPr>
              <w:pStyle w:val="Compact"/>
              <w:spacing w:after="40"/>
              <w:jc w:val="left"/>
            </w:pPr>
            <w:r>
              <w:rPr>
                <w:sz w:val="18"/>
              </w:rPr>
              <w:t xml:space="preserve">U13 Collections and recovery support</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Active only under an RE recovery-agent contract; agent register with police verification, training and undertaking (RBC 94, 98–99); per-case notice and authorisation letter (RBC 95–96); 08:00–19:00 window, 09:00–18:00 and visit rule for microfinance (RBC 90–91, 100); frequency caps and registered caller IDs; same-day cash reflection (CF 10(5))</w:t>
            </w:r>
          </w:p>
        </w:tc>
      </w:tr>
      <w:tr>
        <w:tc>
          <w:tcPr>
            <w:tcW w:w="2482" w:type="dxa"/>
          </w:tcPr>
          <w:p>
            <w:pPr>
              <w:pStyle w:val="Compact"/>
              <w:spacing w:after="40"/>
              <w:jc w:val="left"/>
            </w:pPr>
            <w:r>
              <w:rPr>
                <w:sz w:val="18"/>
              </w:rPr>
              <w:t xml:space="preserve">U14 DLG management</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Eligibility gate (CF para 19). Instrument register for the three forms (CF para 23). Fixed DLG set ledger with 5% of disbursed cap and implicit-guarantee modelling (CF para 24). No reinstatement transaction (CF para 25(4)). Recovery-sharing ledger (CF para 25(3)). Invocation within 120 DPD and term at least the longest tenor (CF para 27). Monthly portfolio disclosure within 7 working days (CF para 28). Auditor-certified declaration data (CF para 20(3))</w:t>
            </w:r>
          </w:p>
        </w:tc>
      </w:tr>
      <w:tr>
        <w:tc>
          <w:tcPr>
            <w:tcW w:w="2482" w:type="dxa"/>
          </w:tcPr>
          <w:p>
            <w:pPr>
              <w:pStyle w:val="Compact"/>
              <w:spacing w:after="40"/>
              <w:jc w:val="left"/>
            </w:pPr>
            <w:r>
              <w:rPr>
                <w:sz w:val="18"/>
              </w:rPr>
              <w:t xml:space="preserve">U14 DLG management</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Same-day invocation events and monthly coverage file for RE ECL recomputation (IRACP 36A–36C); no capital-relief claims (CAP 15(3); CF 26(1)); block CLA loans in a DLG set pending legal sign-off (TDCR 111, 123)</w:t>
            </w:r>
          </w:p>
        </w:tc>
      </w:tr>
      <w:tr>
        <w:tc>
          <w:tcPr>
            <w:tcW w:w="2482" w:type="dxa"/>
          </w:tcPr>
          <w:p>
            <w:pPr>
              <w:pStyle w:val="Compact"/>
              <w:spacing w:after="40"/>
              <w:jc w:val="left"/>
            </w:pPr>
            <w:r>
              <w:rPr>
                <w:sz w:val="18"/>
              </w:rPr>
              <w:t xml:space="preserve">U15 Grievance redressal, AI support and Equator</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Udofin nodal officer; in-app and web intake; immediate forwarding to the RE GRO; CMS and CRPC escalation text at day 31 or on rejection (CF para 12). Credit-report complaint type capturing email and bank account or UPI (CIR para 35(8)). Fraud-report type (DPS para 66)</w:t>
            </w:r>
          </w:p>
        </w:tc>
      </w:tr>
      <w:tr>
        <w:tc>
          <w:tcPr>
            <w:tcW w:w="2482" w:type="dxa"/>
          </w:tcPr>
          <w:p>
            <w:pPr>
              <w:pStyle w:val="Compact"/>
              <w:spacing w:after="40"/>
              <w:jc w:val="left"/>
            </w:pPr>
            <w:r>
              <w:rPr>
                <w:sz w:val="18"/>
              </w:rPr>
              <w:t xml:space="preserve">U15 Grievance redressal, AI support and Equator</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Every complaint routed to the RE GRO; Udofin GRO never closes RE complaints (OUT 56, 98; CF 12); RBI Ombudsman route opened at the earliest of rejection, the borrower’s dissatisfaction or 30 days without reply, with the RB-IOS 2026 90-day window (OUT 57(4); CF 12(4); full chain in Part 7C UB3); PwD and recovery-grievance categories (RBC 28, 92); complaint MIS in the FS ground-wise format (FS 21(10))</w:t>
            </w:r>
          </w:p>
        </w:tc>
      </w:tr>
      <w:tr>
        <w:tc>
          <w:tcPr>
            <w:tcW w:w="2482" w:type="dxa"/>
          </w:tcPr>
          <w:p>
            <w:pPr>
              <w:pStyle w:val="Compact"/>
              <w:spacing w:after="40"/>
              <w:jc w:val="left"/>
            </w:pPr>
            <w:r>
              <w:rPr>
                <w:sz w:val="18"/>
              </w:rPr>
              <w:t xml:space="preserve">U16 Communications, notifications and marketing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CIC default-reporting alerts on the RE’s behalf when contracted (CIR para 34(1)(i)). Copy linter blocking</w:t>
            </w:r>
            <w:r>
              <w:rPr>
                <w:sz w:val="18"/>
              </w:rPr>
              <w:t xml:space="preserve"> </w:t>
            </w:r>
            <w:r>
              <w:rPr>
                <w:sz w:val="18"/>
              </w:rPr>
              <w:t xml:space="preserve">“</w:t>
            </w:r>
            <w:r>
              <w:rPr>
                <w:sz w:val="18"/>
              </w:rPr>
              <w:t xml:space="preserve">RBI registered/approved</w:t>
            </w:r>
            <w:r>
              <w:rPr>
                <w:sz w:val="18"/>
              </w:rPr>
              <w:t xml:space="preserve">”</w:t>
            </w:r>
            <w:r>
              <w:rPr>
                <w:sz w:val="18"/>
              </w:rPr>
              <w:t xml:space="preserve"> </w:t>
            </w:r>
            <w:r>
              <w:rPr>
                <w:sz w:val="18"/>
              </w:rPr>
              <w:t xml:space="preserve">claims (CF para 18(6)) and masking account numbers (DPS para 40). No KYC-derived marketing audiences without express permission (KYC para 61). OTP-e-KYC upgrade reminders (KYC para 25(6))</w:t>
            </w:r>
          </w:p>
        </w:tc>
      </w:tr>
      <w:tr>
        <w:tc>
          <w:tcPr>
            <w:tcW w:w="2482" w:type="dxa"/>
          </w:tcPr>
          <w:p>
            <w:pPr>
              <w:pStyle w:val="Compact"/>
              <w:spacing w:after="40"/>
              <w:jc w:val="left"/>
            </w:pPr>
            <w:r>
              <w:rPr>
                <w:sz w:val="18"/>
              </w:rPr>
              <w:t xml:space="preserve">U16 Communications, notifications and marketing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RE-approved template per event per language, dispatch blocked otherwise (RBC 10); quiet-hours and frequency engine (RBC 20, 91, 100); penal charges in every reminder (RBC 30(7)); agent particulars before first contact (CF 9(6)); registered telemarketing numbers and consent checks (RBC 101); no claim of RBI endorsement from CIMS listing (CF 18(6))</w:t>
            </w:r>
          </w:p>
        </w:tc>
      </w:tr>
      <w:tr>
        <w:tc>
          <w:tcPr>
            <w:tcW w:w="2482" w:type="dxa"/>
          </w:tcPr>
          <w:p>
            <w:pPr>
              <w:pStyle w:val="Compact"/>
              <w:spacing w:after="40"/>
              <w:jc w:val="left"/>
            </w:pPr>
            <w:r>
              <w:rPr>
                <w:sz w:val="18"/>
              </w:rPr>
              <w:t xml:space="preserve">U17 Udofin finance and accounting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LSP fee invoicing to REs only (CF para 10(4)). DLG deposits, FD liens, BG contingent liabilities, invocations and recovery shares (CF paras 23, 25(3)). Cash-in-transit ledger for field recoveries (CF para 10(5))</w:t>
            </w:r>
          </w:p>
        </w:tc>
      </w:tr>
      <w:tr>
        <w:tc>
          <w:tcPr>
            <w:tcW w:w="2482" w:type="dxa"/>
          </w:tcPr>
          <w:p>
            <w:pPr>
              <w:pStyle w:val="Compact"/>
              <w:spacing w:after="40"/>
              <w:jc w:val="left"/>
            </w:pPr>
            <w:r>
              <w:rPr>
                <w:sz w:val="18"/>
              </w:rPr>
              <w:t xml:space="preserve">U17 Udofin finance and accounting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Fee-invoice reconciliation with each RE (OUT 39)</w:t>
            </w:r>
          </w:p>
        </w:tc>
      </w:tr>
      <w:tr>
        <w:tc>
          <w:tcPr>
            <w:tcW w:w="2482" w:type="dxa"/>
          </w:tcPr>
          <w:p>
            <w:pPr>
              <w:pStyle w:val="Compact"/>
              <w:spacing w:after="40"/>
              <w:jc w:val="left"/>
            </w:pPr>
            <w:r>
              <w:rPr>
                <w:sz w:val="18"/>
              </w:rPr>
              <w:t xml:space="preserve">U18 Compliance, regulatory register, audit access and LawDocsComply bridge</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RE due-diligence pack (CF para 6(2)). Per-RE CIMS certification evidence pack (CF para 18(3)–(4)). Sub-processor and SDK register with processing location (CF paras 14(4), 15(2)). Channel risk pack before each new DLA or KYC method (KYC para 68). DLG disclosure calendar on working days (CF para 28). Developer security certificate (DPS para 32)</w:t>
            </w:r>
          </w:p>
        </w:tc>
      </w:tr>
      <w:tr>
        <w:tc>
          <w:tcPr>
            <w:tcW w:w="2482" w:type="dxa"/>
          </w:tcPr>
          <w:p>
            <w:pPr>
              <w:pStyle w:val="Compact"/>
              <w:spacing w:after="40"/>
              <w:jc w:val="left"/>
            </w:pPr>
            <w:r>
              <w:rPr>
                <w:sz w:val="18"/>
              </w:rPr>
              <w:t xml:space="preserve">U18 Compliance, regulatory register, audit access and LawDocsComply bridge</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Vendor assurance pack refreshed annually (OUT 30, 38, 71, 80; ORM 73); sub-processor register with RE prior consent (OUT 34(iv), 74(xi)); audit and RBI access roles (OUT 34(vii)–(ix), 81; CYB 62); DLA certification evidence (CF 18(4)); period-end evidence pack for RE auditors (AUD 11); training and undertaking records; obligation resolver by RE profile (SBR)</w:t>
            </w:r>
          </w:p>
        </w:tc>
      </w:tr>
      <w:tr>
        <w:tc>
          <w:tcPr>
            <w:tcW w:w="2482" w:type="dxa"/>
          </w:tcPr>
          <w:p>
            <w:pPr>
              <w:pStyle w:val="Compact"/>
              <w:spacing w:after="40"/>
              <w:jc w:val="left"/>
            </w:pPr>
            <w:r>
              <w:rPr>
                <w:sz w:val="18"/>
              </w:rPr>
              <w:t xml:space="preserve">U19 Reports, MIS and lender dashboards</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RE portfolio-monitoring dashboards for Udofin-sourced loans (CF para 6(3)–(4)). Microfinance sourcing MIS (MFI paras 12, 49)</w:t>
            </w:r>
          </w:p>
        </w:tc>
      </w:tr>
      <w:tr>
        <w:tc>
          <w:tcPr>
            <w:tcW w:w="2482" w:type="dxa"/>
          </w:tcPr>
          <w:p>
            <w:pPr>
              <w:pStyle w:val="Compact"/>
              <w:spacing w:after="40"/>
              <w:jc w:val="left"/>
            </w:pPr>
            <w:r>
              <w:rPr>
                <w:sz w:val="18"/>
              </w:rPr>
              <w:t xml:space="preserve">U19 Reports, MIS and lender dashboards</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FPC conduct pack (RBC 8); SLA and half-yearly outsourcing report (OUT 35–36); six-month new-product monitoring pack (CMP 15(2)); recovery-agency list feed (RBC 97); record-level lineage and control totals (SR 6, 14–15, 17); DLA register export (CF 18)</w:t>
            </w:r>
          </w:p>
        </w:tc>
      </w:tr>
      <w:tr>
        <w:tc>
          <w:tcPr>
            <w:tcW w:w="2482" w:type="dxa"/>
          </w:tcPr>
          <w:p>
            <w:pPr>
              <w:pStyle w:val="Compact"/>
              <w:spacing w:after="40"/>
              <w:jc w:val="left"/>
            </w:pPr>
            <w:r>
              <w:rPr>
                <w:sz w:val="18"/>
              </w:rPr>
              <w:t xml:space="preserve">U20 AI layer (governed)</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No personal data to processors outside India unless deleted and repatriated within 24 hours; redacted prompts by default (CF para 14(4)). No access to AA data or KYC risk category (AA para 28; KYC para 20(4))</w:t>
            </w:r>
          </w:p>
        </w:tc>
      </w:tr>
      <w:tr>
        <w:tc>
          <w:tcPr>
            <w:tcW w:w="2482" w:type="dxa"/>
          </w:tcPr>
          <w:p>
            <w:pPr>
              <w:pStyle w:val="Compact"/>
              <w:spacing w:after="40"/>
              <w:jc w:val="left"/>
            </w:pPr>
            <w:r>
              <w:rPr>
                <w:sz w:val="18"/>
              </w:rPr>
              <w:t xml:space="preserve">U20 AI layer</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No personal data to offshore model endpoints without RE consent (OUT 53; CF 14(4))</w:t>
            </w:r>
          </w:p>
        </w:tc>
      </w:tr>
      <w:tr>
        <w:tc>
          <w:tcPr>
            <w:tcW w:w="2482" w:type="dxa"/>
          </w:tcPr>
          <w:p>
            <w:pPr>
              <w:pStyle w:val="Compact"/>
              <w:spacing w:after="40"/>
              <w:jc w:val="left"/>
            </w:pPr>
            <w:r>
              <w:rPr>
                <w:sz w:val="18"/>
              </w:rPr>
              <w:t xml:space="preserve">U21 Integration hub and lender connectors</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Outbound calls refused without a matching consent ID (CF para 13(4)). Per-RE credential vault for CIC and AA FIU identities (CIR para 6; AA para 8(12)). Escalate cash receipts not acknowledged same day (CF para 10(5))</w:t>
            </w:r>
          </w:p>
        </w:tc>
      </w:tr>
      <w:tr>
        <w:tc>
          <w:tcPr>
            <w:tcW w:w="2482" w:type="dxa"/>
          </w:tcPr>
          <w:p>
            <w:pPr>
              <w:pStyle w:val="Compact"/>
              <w:spacing w:after="40"/>
              <w:jc w:val="left"/>
            </w:pPr>
            <w:r>
              <w:rPr>
                <w:sz w:val="18"/>
              </w:rPr>
              <w:t xml:space="preserve">U21 Integration hub and lender connectors</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Signed STP, audited maker-checker replay, no manual file editing (CYB 119–120); new events</w:t>
            </w:r>
            <w:r>
              <w:rPr>
                <w:sz w:val="18"/>
              </w:rPr>
              <w:t xml:space="preserve"> </w:t>
            </w:r>
            <w:r>
              <w:rPr>
                <w:rStyle w:val="VerbatimChar"/>
                <w:sz w:val="18"/>
              </w:rPr>
              <w:t xml:space="preserve">ConsentWithdrawn</w:t>
            </w:r>
            <w:r>
              <w:rPr>
                <w:sz w:val="18"/>
              </w:rPr>
              <w:t xml:space="preserve">,</w:t>
            </w:r>
            <w:r>
              <w:rPr>
                <w:sz w:val="18"/>
              </w:rPr>
              <w:t xml:space="preserve"> </w:t>
            </w:r>
            <w:r>
              <w:rPr>
                <w:rStyle w:val="VerbatimChar"/>
                <w:sz w:val="18"/>
              </w:rPr>
              <w:t xml:space="preserve">DataPrincipalRequest</w:t>
            </w:r>
            <w:r>
              <w:rPr>
                <w:sz w:val="18"/>
              </w:rPr>
              <w:t xml:space="preserve">,</w:t>
            </w:r>
            <w:r>
              <w:rPr>
                <w:sz w:val="18"/>
              </w:rPr>
              <w:t xml:space="preserve"> </w:t>
            </w:r>
            <w:r>
              <w:rPr>
                <w:rStyle w:val="VerbatimChar"/>
                <w:sz w:val="18"/>
              </w:rPr>
              <w:t xml:space="preserve">SecurityIncidentNotified</w:t>
            </w:r>
            <w:r>
              <w:rPr>
                <w:sz w:val="18"/>
              </w:rPr>
              <w:t xml:space="preserve">,</w:t>
            </w:r>
            <w:r>
              <w:rPr>
                <w:sz w:val="18"/>
              </w:rPr>
              <w:t xml:space="preserve"> </w:t>
            </w:r>
            <w:r>
              <w:rPr>
                <w:rStyle w:val="VerbatimChar"/>
                <w:sz w:val="18"/>
              </w:rPr>
              <w:t xml:space="preserve">DLGDisclosurePublished</w:t>
            </w:r>
            <w:r>
              <w:rPr>
                <w:sz w:val="18"/>
              </w:rPr>
              <w:t xml:space="preserve">,</w:t>
            </w:r>
            <w:r>
              <w:rPr>
                <w:sz w:val="18"/>
              </w:rPr>
              <w:t xml:space="preserve"> </w:t>
            </w:r>
            <w:r>
              <w:rPr>
                <w:rStyle w:val="VerbatimChar"/>
                <w:sz w:val="18"/>
              </w:rPr>
              <w:t xml:space="preserve">RiskSignalRaised</w:t>
            </w:r>
            <w:r>
              <w:rPr>
                <w:sz w:val="18"/>
              </w:rPr>
              <w:t xml:space="preserve"> </w:t>
            </w:r>
            <w:r>
              <w:rPr>
                <w:sz w:val="18"/>
              </w:rPr>
              <w:t xml:space="preserve">and</w:t>
            </w:r>
            <w:r>
              <w:rPr>
                <w:sz w:val="18"/>
              </w:rPr>
              <w:t xml:space="preserve"> </w:t>
            </w:r>
            <w:r>
              <w:rPr>
                <w:rStyle w:val="VerbatimChar"/>
                <w:sz w:val="18"/>
              </w:rPr>
              <w:t xml:space="preserve">SettlementRequested</w:t>
            </w:r>
            <w:r>
              <w:rPr>
                <w:sz w:val="18"/>
              </w:rPr>
              <w:t xml:space="preserve"> </w:t>
            </w:r>
            <w:r>
              <w:rPr>
                <w:sz w:val="18"/>
              </w:rPr>
              <w:t xml:space="preserve">adopted in the Ecosystem Integration Specification v1.0 (Part 5.2)</w:t>
            </w:r>
          </w:p>
        </w:tc>
      </w:tr>
      <w:tr>
        <w:tc>
          <w:tcPr>
            <w:tcW w:w="2482" w:type="dxa"/>
          </w:tcPr>
          <w:p>
            <w:pPr>
              <w:pStyle w:val="Compact"/>
              <w:spacing w:after="40"/>
              <w:jc w:val="left"/>
            </w:pPr>
            <w:r>
              <w:rPr>
                <w:sz w:val="18"/>
              </w:rPr>
              <w:t xml:space="preserve">U22 Field and assisted-onboarding app</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Digital KYC only as the RE’s authenticated application with RE officer codes, watermarking and OTP text rules (KYC para 24). Cash receipts per CF para 10(5). Screening and training evidence for field staff (KYC para 72)</w:t>
            </w:r>
          </w:p>
        </w:tc>
      </w:tr>
      <w:tr>
        <w:tc>
          <w:tcPr>
            <w:tcW w:w="2482" w:type="dxa"/>
          </w:tcPr>
          <w:p>
            <w:pPr>
              <w:pStyle w:val="Compact"/>
              <w:spacing w:after="40"/>
              <w:jc w:val="left"/>
            </w:pPr>
            <w:r>
              <w:rPr>
                <w:sz w:val="18"/>
              </w:rPr>
              <w:t xml:space="preserve">U22 Field and assisted-onboarding app</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Digital agent ID and authorisation letter shown to borrower (RBC 95); assisted path for PwD (RBC 28)</w:t>
            </w:r>
          </w:p>
        </w:tc>
      </w:tr>
      <w:tr>
        <w:tc>
          <w:tcPr>
            <w:tcW w:w="2482" w:type="dxa"/>
          </w:tcPr>
          <w:p>
            <w:pPr>
              <w:pStyle w:val="Compact"/>
              <w:spacing w:after="40"/>
              <w:jc w:val="left"/>
            </w:pPr>
            <w:r>
              <w:rPr>
                <w:sz w:val="18"/>
              </w:rPr>
              <w:t xml:space="preserve">U23 Administration, white-labelling and theming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Per-RE disclosure panel linking to the RE’s single-place page (CF para 9(4)–(5)). Publication of the storage policy, privacy policy, nodal officer details and monthly DLG disclosure (CF paras 12(2), 14(2), 15(1), 28). Web controls (DPS para 67)</w:t>
            </w:r>
          </w:p>
        </w:tc>
      </w:tr>
      <w:tr>
        <w:tc>
          <w:tcPr>
            <w:tcW w:w="2482" w:type="dxa"/>
          </w:tcPr>
          <w:p>
            <w:pPr>
              <w:pStyle w:val="Compact"/>
              <w:spacing w:after="40"/>
              <w:jc w:val="left"/>
            </w:pPr>
            <w:r>
              <w:rPr>
                <w:sz w:val="18"/>
              </w:rPr>
              <w:t xml:space="preserve">U23 Administration, white-labelling and theming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RE named as lender and Udofin as LSP on every screen (OUT 46, 55); FPC and RE website links (RBC 21; CF 9(5)); WCAG 2.2 AA [recommendation]</w:t>
            </w:r>
          </w:p>
        </w:tc>
      </w:tr>
      <w:tr>
        <w:tc>
          <w:tcPr>
            <w:tcW w:w="2482" w:type="dxa"/>
          </w:tcPr>
          <w:p>
            <w:pPr>
              <w:pStyle w:val="Compact"/>
              <w:spacing w:after="40"/>
              <w:jc w:val="left"/>
            </w:pPr>
            <w:r>
              <w:rPr>
                <w:sz w:val="18"/>
              </w:rPr>
              <w:t xml:space="preserve">U24 Security operations, fraud and risk signals</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Mobile controls, one live app version, rogue-app monitoring (DPS paras 37, 68). Geo-IP blocking and 3-working-day validators for V-CIP (KYC para 27). Sanctions pre-screen as a fraud signal only (KYC paras 54–57)</w:t>
            </w:r>
          </w:p>
        </w:tc>
      </w:tr>
      <w:tr>
        <w:tc>
          <w:tcPr>
            <w:tcW w:w="2482" w:type="dxa"/>
          </w:tcPr>
          <w:p>
            <w:pPr>
              <w:pStyle w:val="Compact"/>
              <w:spacing w:after="40"/>
              <w:jc w:val="left"/>
            </w:pPr>
            <w:r>
              <w:rPr>
                <w:sz w:val="18"/>
              </w:rPr>
              <w:t xml:space="preserve">U24 Security operations, fraud and risk signals</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Incident notification to RE within 2 hours of detection [recommendation; the rule is the RE’s 6-hour clock] (OUT 61; CYB 28, 141); breach notification (OUT 28); VA 6-monthly and PT annual (CYB 121–126); brand-impersonation monitoring (CYB 34); fraud signals (FRM 15, 19–23); evidence packs (FRM 40, 43); RCA per ORM 101</w:t>
            </w:r>
          </w:p>
        </w:tc>
      </w:tr>
      <w:tr>
        <w:tc>
          <w:tcPr>
            <w:tcW w:w="2482" w:type="dxa"/>
          </w:tcPr>
          <w:p>
            <w:pPr>
              <w:pStyle w:val="Compact"/>
              <w:spacing w:after="40"/>
              <w:jc w:val="left"/>
            </w:pPr>
            <w:r>
              <w:rPr>
                <w:sz w:val="18"/>
              </w:rPr>
              <w:t xml:space="preserve">U25 Borrower financial dashboard and transparency</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FIP-record-prevails disclaimer on AA figures (AA para 14(11)). No PFM built on lender-purpose AA data (AA para 28). Display of the KYC Identifier (KYC para 63(6)) and the RE loan card (RBC para 78)</w:t>
            </w:r>
          </w:p>
        </w:tc>
      </w:tr>
      <w:tr>
        <w:tc>
          <w:tcPr>
            <w:tcW w:w="2482" w:type="dxa"/>
          </w:tcPr>
          <w:p>
            <w:pPr>
              <w:pStyle w:val="Compact"/>
              <w:spacing w:after="40"/>
              <w:jc w:val="left"/>
            </w:pPr>
            <w:r>
              <w:rPr>
                <w:sz w:val="18"/>
              </w:rPr>
              <w:t xml:space="preserve">U25 Borrower financial dashboard</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Overdue, SMA and NPA education with day-end examples (IRACP 17)</w:t>
            </w:r>
          </w:p>
        </w:tc>
      </w:tr>
    </w:tbl>
    <w:bookmarkEnd w:id="467"/>
    <w:bookmarkStart w:id="468" w:name="a.16.2-phase-additions-part-12"/>
    <w:p>
      <w:pPr>
        <w:pStyle w:val="Heading3"/>
      </w:pPr>
      <w:r>
        <w:t xml:space="preserve">8A.16.2 Phase additions (Part 12)</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45"/>
        <w:gridCol w:w="1751"/>
        <w:gridCol w:w="6742"/>
      </w:tblGrid>
      <w:tr>
        <w:trPr>
          <w:tblHeader w:val="true"/>
          <w:tblHeader w:val="true"/>
        </w:trPr>
        <w:tc>
          <w:tcPr>
            <w:tcW w:w="1145" w:type="dxa"/>
            <w:shd w:val="clear" w:color="auto" w:fill="1F3A5F"/>
          </w:tcPr>
          <w:p>
            <w:pPr>
              <w:pStyle w:val="Compact"/>
              <w:spacing w:after="40"/>
              <w:jc w:val="left"/>
            </w:pPr>
            <w:r>
              <w:rPr>
                <w:b/>
                <w:color w:val="FFFFFF"/>
                <w:sz w:val="18"/>
              </w:rPr>
              <w:t xml:space="preserve">Phase</w:t>
            </w:r>
          </w:p>
        </w:tc>
        <w:tc>
          <w:tcPr>
            <w:tcW w:w="1751" w:type="dxa"/>
            <w:shd w:val="clear" w:color="auto" w:fill="1F3A5F"/>
          </w:tcPr>
          <w:p>
            <w:pPr>
              <w:pStyle w:val="Compact"/>
              <w:spacing w:after="40"/>
              <w:jc w:val="left"/>
            </w:pPr>
            <w:r>
              <w:rPr>
                <w:b/>
                <w:color w:val="FFFFFF"/>
                <w:sz w:val="18"/>
              </w:rPr>
              <w:t xml:space="preserve">From</w:t>
            </w:r>
          </w:p>
        </w:tc>
        <w:tc>
          <w:tcPr>
            <w:tcW w:w="6742" w:type="dxa"/>
            <w:shd w:val="clear" w:color="auto" w:fill="1F3A5F"/>
          </w:tcPr>
          <w:p>
            <w:pPr>
              <w:pStyle w:val="Compact"/>
              <w:spacing w:after="40"/>
              <w:jc w:val="left"/>
            </w:pPr>
            <w:r>
              <w:rPr>
                <w:b/>
                <w:color w:val="FFFFFF"/>
                <w:sz w:val="18"/>
              </w:rPr>
              <w:t xml:space="preserve">Addition</w:t>
            </w:r>
          </w:p>
        </w:tc>
      </w:tr>
      <w:tr>
        <w:tc>
          <w:tcPr>
            <w:tcW w:w="1145" w:type="dxa"/>
          </w:tcPr>
          <w:p>
            <w:pPr>
              <w:pStyle w:val="Compact"/>
              <w:spacing w:after="40"/>
              <w:jc w:val="left"/>
            </w:pPr>
            <w:r>
              <w:rPr>
                <w:sz w:val="18"/>
              </w:rPr>
              <w:t xml:space="preserve">0</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ADR on Udofin’s regulatory position: LSP under CF para 4(1)(xix), DLA per channel, not CI or SU, not FIU, not KYC decision-maker. Add the KYC</w:t>
            </w:r>
            <w:r>
              <w:rPr>
                <w:sz w:val="18"/>
              </w:rPr>
              <w:t xml:space="preserve"> </w:t>
            </w:r>
            <w:r>
              <w:rPr>
                <w:sz w:val="18"/>
              </w:rPr>
              <w:t xml:space="preserve">“</w:t>
            </w:r>
            <w:r>
              <w:rPr>
                <w:sz w:val="18"/>
              </w:rPr>
              <w:t xml:space="preserve">paragraph 62</w:t>
            </w:r>
            <w:r>
              <w:rPr>
                <w:sz w:val="18"/>
              </w:rPr>
              <w:t xml:space="preserve">”</w:t>
            </w:r>
            <w:r>
              <w:rPr>
                <w:sz w:val="18"/>
              </w:rPr>
              <w:t xml:space="preserve"> </w:t>
            </w:r>
            <w:r>
              <w:rPr>
                <w:sz w:val="18"/>
              </w:rPr>
              <w:t xml:space="preserve">CKYCR cross-reference slip to errata.md</w:t>
            </w:r>
          </w:p>
        </w:tc>
      </w:tr>
      <w:tr>
        <w:tc>
          <w:tcPr>
            <w:tcW w:w="1145" w:type="dxa"/>
          </w:tcPr>
          <w:p>
            <w:pPr>
              <w:pStyle w:val="Compact"/>
              <w:spacing w:after="40"/>
              <w:jc w:val="left"/>
            </w:pPr>
            <w:r>
              <w:rPr>
                <w:sz w:val="18"/>
              </w:rPr>
              <w:t xml:space="preserve">0</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Record the OUT Chapter III and Chapter IV design decision and the RE-type rule-pack approach (NBFC, HFC, bank) in an ADR</w:t>
            </w:r>
          </w:p>
        </w:tc>
      </w:tr>
      <w:tr>
        <w:tc>
          <w:tcPr>
            <w:tcW w:w="1145" w:type="dxa"/>
          </w:tcPr>
          <w:p>
            <w:pPr>
              <w:pStyle w:val="Compact"/>
              <w:spacing w:after="40"/>
              <w:jc w:val="left"/>
            </w:pPr>
            <w:r>
              <w:rPr>
                <w:sz w:val="18"/>
              </w:rPr>
              <w:t xml:space="preserve">1</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SDK inventory of every third party that can collect personal data through the DLA, with processing location, checked in CI and feeding the privacy policy (CF paras 14(4), 15(2)); the permission allow-list check is already in the Phase 1 instruction</w:t>
            </w:r>
          </w:p>
        </w:tc>
      </w:tr>
      <w:tr>
        <w:tc>
          <w:tcPr>
            <w:tcW w:w="1145" w:type="dxa"/>
          </w:tcPr>
          <w:p>
            <w:pPr>
              <w:pStyle w:val="Compact"/>
              <w:spacing w:after="40"/>
              <w:jc w:val="left"/>
            </w:pPr>
            <w:r>
              <w:rPr>
                <w:sz w:val="18"/>
              </w:rPr>
              <w:t xml:space="preserve">2</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India-only data residency for all stores; sub-processor register; data-classification register with per-RE minimal data set (CF para 14)</w:t>
            </w:r>
          </w:p>
        </w:tc>
      </w:tr>
      <w:tr>
        <w:tc>
          <w:tcPr>
            <w:tcW w:w="1145" w:type="dxa"/>
          </w:tcPr>
          <w:p>
            <w:pPr>
              <w:pStyle w:val="Compact"/>
              <w:spacing w:after="40"/>
              <w:jc w:val="left"/>
            </w:pPr>
            <w:r>
              <w:rPr>
                <w:sz w:val="18"/>
              </w:rPr>
              <w:t xml:space="preserve">2</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RLS isolation tests per RE (OUT 26–27, 70); tamper-evident audit log (CYB 21(8)); MFA on privileged roles (CYB 115)</w:t>
            </w:r>
          </w:p>
        </w:tc>
      </w:tr>
      <w:tr>
        <w:tc>
          <w:tcPr>
            <w:tcW w:w="1145" w:type="dxa"/>
          </w:tcPr>
          <w:p>
            <w:pPr>
              <w:pStyle w:val="Compact"/>
              <w:spacing w:after="40"/>
              <w:jc w:val="left"/>
            </w:pPr>
            <w:r>
              <w:rPr>
                <w:sz w:val="18"/>
              </w:rPr>
              <w:t xml:space="preserve">3</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U1 LSP agreement registry, initial DLA register lines (U18 table) with Annex-I export, recovery-agent and DLG flags; U2 beneficiary and fee rules (CF paras 6, 10, 18)</w:t>
            </w:r>
          </w:p>
        </w:tc>
      </w:tr>
      <w:tr>
        <w:tc>
          <w:tcPr>
            <w:tcW w:w="1145" w:type="dxa"/>
          </w:tcPr>
          <w:p>
            <w:pPr>
              <w:pStyle w:val="Compact"/>
              <w:spacing w:after="40"/>
              <w:jc w:val="left"/>
            </w:pPr>
            <w:r>
              <w:rPr>
                <w:sz w:val="18"/>
              </w:rPr>
              <w:t xml:space="preserve">3</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RE regulatory profile, clause matrix, conflict declaration, compliance go-live gate and suspension switches (U1, U2, U18)</w:t>
            </w:r>
          </w:p>
        </w:tc>
      </w:tr>
      <w:tr>
        <w:tc>
          <w:tcPr>
            <w:tcW w:w="1145" w:type="dxa"/>
          </w:tcPr>
          <w:p>
            <w:pPr>
              <w:pStyle w:val="Compact"/>
              <w:spacing w:after="40"/>
              <w:jc w:val="left"/>
            </w:pPr>
            <w:r>
              <w:rPr>
                <w:sz w:val="18"/>
              </w:rPr>
              <w:t xml:space="preserve">3b</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Consent centre with purpose-bound artefacts, revocation and erasure; storage and privacy policy publication (CF paras 13–15)</w:t>
            </w:r>
          </w:p>
        </w:tc>
      </w:tr>
      <w:tr>
        <w:tc>
          <w:tcPr>
            <w:tcW w:w="1145" w:type="dxa"/>
          </w:tcPr>
          <w:p>
            <w:pPr>
              <w:pStyle w:val="Compact"/>
              <w:spacing w:after="40"/>
              <w:jc w:val="left"/>
            </w:pPr>
            <w:r>
              <w:rPr>
                <w:sz w:val="18"/>
              </w:rPr>
              <w:t xml:space="preserve">3b</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Language template registry, quiet-hours and frequency engine, telemarketing number registry and consent checks (U16)</w:t>
            </w:r>
          </w:p>
        </w:tc>
      </w:tr>
      <w:tr>
        <w:tc>
          <w:tcPr>
            <w:tcW w:w="1145" w:type="dxa"/>
          </w:tcPr>
          <w:p>
            <w:pPr>
              <w:pStyle w:val="Compact"/>
              <w:spacing w:after="40"/>
              <w:jc w:val="left"/>
            </w:pPr>
            <w:r>
              <w:rPr>
                <w:sz w:val="18"/>
              </w:rPr>
              <w:t xml:space="preserve">4</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Borrower identity across app and web; UCIC mapping per RE; registered-mobile lock; one-time camera, microphone and location in onboarding only (CF para 13(1); KYC paras 17(6), 44(2))</w:t>
            </w:r>
          </w:p>
        </w:tc>
      </w:tr>
      <w:tr>
        <w:tc>
          <w:tcPr>
            <w:tcW w:w="1145" w:type="dxa"/>
          </w:tcPr>
          <w:p>
            <w:pPr>
              <w:pStyle w:val="Compact"/>
              <w:spacing w:after="40"/>
              <w:jc w:val="left"/>
            </w:pPr>
            <w:r>
              <w:rPr>
                <w:sz w:val="18"/>
              </w:rPr>
              <w:t xml:space="preserve">4</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Preferred language capture; accessible journey and assisted fallback (RBC 10, 28)</w:t>
            </w:r>
          </w:p>
        </w:tc>
      </w:tr>
      <w:tr>
        <w:tc>
          <w:tcPr>
            <w:tcW w:w="1145" w:type="dxa"/>
          </w:tcPr>
          <w:p>
            <w:pPr>
              <w:pStyle w:val="Compact"/>
              <w:spacing w:after="40"/>
              <w:jc w:val="left"/>
            </w:pPr>
            <w:r>
              <w:rPr>
                <w:sz w:val="18"/>
              </w:rPr>
              <w:t xml:space="preserve">5</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KYC evidence pipeline with RE-actor decision; Aadhaar routes by s.11A status; OTP-e-KYC limits; V-CIP as RE application; CKYC Identifier first (KYC paras 13, 23, 25, 27, 44, 63)</w:t>
            </w:r>
          </w:p>
        </w:tc>
      </w:tr>
      <w:tr>
        <w:tc>
          <w:tcPr>
            <w:tcW w:w="1145" w:type="dxa"/>
          </w:tcPr>
          <w:p>
            <w:pPr>
              <w:pStyle w:val="Compact"/>
              <w:spacing w:after="40"/>
              <w:jc w:val="left"/>
            </w:pPr>
            <w:r>
              <w:rPr>
                <w:sz w:val="18"/>
              </w:rPr>
              <w:t xml:space="preserve">5</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Accessible liveness alternatives (RBC 105); DIN/PAN capture for non-individual borrowers deferred to Phase 18</w:t>
            </w:r>
          </w:p>
        </w:tc>
      </w:tr>
      <w:tr>
        <w:tc>
          <w:tcPr>
            <w:tcW w:w="1145" w:type="dxa"/>
          </w:tcPr>
          <w:p>
            <w:pPr>
              <w:pStyle w:val="Compact"/>
              <w:spacing w:after="40"/>
              <w:jc w:val="left"/>
            </w:pPr>
            <w:r>
              <w:rPr>
                <w:sz w:val="18"/>
              </w:rPr>
              <w:t xml:space="preserve">6</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Per-RE bureau adapter; household-income questionnaire and microfinance flag; indicative 50% obligation ratio (CIR paras 6, 20; CF paras 51–58)</w:t>
            </w:r>
          </w:p>
        </w:tc>
      </w:tr>
      <w:tr>
        <w:tc>
          <w:tcPr>
            <w:tcW w:w="1145" w:type="dxa"/>
          </w:tcPr>
          <w:p>
            <w:pPr>
              <w:pStyle w:val="Compact"/>
              <w:spacing w:after="40"/>
              <w:jc w:val="left"/>
            </w:pPr>
            <w:r>
              <w:rPr>
                <w:sz w:val="18"/>
              </w:rPr>
              <w:t xml:space="preserve">7</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Multi-lender offer view with unmatched lenders, published ranking metric, dark-pattern review; KFS display; cooling-off display and exit (CF paras 7, 9, 11)</w:t>
            </w:r>
          </w:p>
        </w:tc>
      </w:tr>
      <w:tr>
        <w:tc>
          <w:tcPr>
            <w:tcW w:w="1145" w:type="dxa"/>
          </w:tcPr>
          <w:p>
            <w:pPr>
              <w:pStyle w:val="Compact"/>
              <w:spacing w:after="40"/>
              <w:jc w:val="left"/>
            </w:pPr>
            <w:r>
              <w:rPr>
                <w:sz w:val="18"/>
              </w:rPr>
              <w:t xml:space="preserve">7</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KFS validity clock, APR recomputation golden test, acknowledgement capture, Annex I Part 2 validation (RBC 29)</w:t>
            </w:r>
          </w:p>
        </w:tc>
      </w:tr>
      <w:tr>
        <w:tc>
          <w:tcPr>
            <w:tcW w:w="1145" w:type="dxa"/>
          </w:tcPr>
          <w:p>
            <w:pPr>
              <w:pStyle w:val="Compact"/>
              <w:spacing w:after="40"/>
              <w:jc w:val="left"/>
            </w:pPr>
            <w:r>
              <w:rPr>
                <w:sz w:val="18"/>
              </w:rPr>
              <w:t xml:space="preserve">8</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RE signed-document pack delivery without re-rendering; microfinance loan card (CF para 9(3); RBC para 78)</w:t>
            </w:r>
          </w:p>
        </w:tc>
      </w:tr>
      <w:tr>
        <w:tc>
          <w:tcPr>
            <w:tcW w:w="1145" w:type="dxa"/>
          </w:tcPr>
          <w:p>
            <w:pPr>
              <w:pStyle w:val="Compact"/>
              <w:spacing w:after="40"/>
              <w:jc w:val="left"/>
            </w:pPr>
            <w:r>
              <w:rPr>
                <w:sz w:val="18"/>
              </w:rPr>
              <w:t xml:space="preserve">8</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Agreement pack completeness and summary-box checks (RBC 14, 29(6))</w:t>
            </w:r>
          </w:p>
        </w:tc>
      </w:tr>
      <w:tr>
        <w:tc>
          <w:tcPr>
            <w:tcW w:w="1145" w:type="dxa"/>
          </w:tcPr>
          <w:p>
            <w:pPr>
              <w:pStyle w:val="Compact"/>
              <w:spacing w:after="40"/>
              <w:jc w:val="left"/>
            </w:pPr>
            <w:r>
              <w:rPr>
                <w:sz w:val="18"/>
              </w:rPr>
              <w:t xml:space="preserve">9</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Disbursement status orchestration with verified-beneficiary checks; connector validator against Udofin accounts (CF para 10(1)–(3))</w:t>
            </w:r>
          </w:p>
        </w:tc>
      </w:tr>
      <w:tr>
        <w:tc>
          <w:tcPr>
            <w:tcW w:w="1145" w:type="dxa"/>
          </w:tcPr>
          <w:p>
            <w:pPr>
              <w:pStyle w:val="Compact"/>
              <w:spacing w:after="40"/>
              <w:jc w:val="left"/>
            </w:pPr>
            <w:r>
              <w:rPr>
                <w:sz w:val="18"/>
              </w:rPr>
              <w:t xml:space="preserve">9</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Disbursal notice carries the RE’s recovery-grievance mechanism for microfinance loans (RBC 92)</w:t>
            </w:r>
          </w:p>
        </w:tc>
      </w:tr>
      <w:tr>
        <w:tc>
          <w:tcPr>
            <w:tcW w:w="1145" w:type="dxa"/>
          </w:tcPr>
          <w:p>
            <w:pPr>
              <w:pStyle w:val="Compact"/>
              <w:spacing w:after="40"/>
              <w:jc w:val="left"/>
            </w:pPr>
            <w:r>
              <w:rPr>
                <w:sz w:val="18"/>
              </w:rPr>
              <w:t xml:space="preserve">10</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Collections on RE merchant accounts only; 24-hour status reconciliation; no borrower fees (CF para 10(2)–(4); DPS para 57)</w:t>
            </w:r>
          </w:p>
        </w:tc>
      </w:tr>
      <w:tr>
        <w:tc>
          <w:tcPr>
            <w:tcW w:w="1145" w:type="dxa"/>
          </w:tcPr>
          <w:p>
            <w:pPr>
              <w:pStyle w:val="Compact"/>
              <w:spacing w:after="40"/>
              <w:jc w:val="left"/>
            </w:pPr>
            <w:r>
              <w:rPr>
                <w:sz w:val="18"/>
              </w:rPr>
              <w:t xml:space="preserve">10</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Electronic mandates only; escrow routing for CLA loans; reconciliation ageing (MISC 23; TDCR 117; OUT 39)</w:t>
            </w:r>
          </w:p>
        </w:tc>
      </w:tr>
      <w:tr>
        <w:tc>
          <w:tcPr>
            <w:tcW w:w="1145" w:type="dxa"/>
          </w:tcPr>
          <w:p>
            <w:pPr>
              <w:pStyle w:val="Compact"/>
              <w:spacing w:after="40"/>
              <w:jc w:val="left"/>
            </w:pPr>
            <w:r>
              <w:rPr>
                <w:sz w:val="18"/>
              </w:rPr>
              <w:t xml:space="preserve">11</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Loan mirror with cooling-off exit, limit-increase request event and OTP-e-KYC drawdown block (CF paras 8(2), 11; KYC para 25(7))</w:t>
            </w:r>
          </w:p>
        </w:tc>
      </w:tr>
      <w:tr>
        <w:tc>
          <w:tcPr>
            <w:tcW w:w="1145" w:type="dxa"/>
          </w:tcPr>
          <w:p>
            <w:pPr>
              <w:pStyle w:val="Compact"/>
              <w:spacing w:after="40"/>
              <w:jc w:val="left"/>
            </w:pPr>
            <w:r>
              <w:rPr>
                <w:sz w:val="18"/>
              </w:rPr>
              <w:t xml:space="preserve">11</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Prospective-change check, 21-day transfer request, SMA/NPA display, settlement relay, end-use certificates, interest-charging shadow checks (RBC 15, 19; IRACP 15–19; RSA 87–95; WD 19(2); MSD 7)</w:t>
            </w:r>
          </w:p>
        </w:tc>
      </w:tr>
      <w:tr>
        <w:tc>
          <w:tcPr>
            <w:tcW w:w="1145" w:type="dxa"/>
          </w:tcPr>
          <w:p>
            <w:pPr>
              <w:pStyle w:val="Compact"/>
              <w:spacing w:after="40"/>
              <w:jc w:val="left"/>
            </w:pPr>
            <w:r>
              <w:rPr>
                <w:sz w:val="18"/>
              </w:rPr>
              <w:t xml:space="preserve">12</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Recovery-agent gating, notice-before-contact, contact windows, cash same-day posting (CF paras 6(5), 9(6), 10(5); RBC paras 90–100)</w:t>
            </w:r>
          </w:p>
        </w:tc>
      </w:tr>
      <w:tr>
        <w:tc>
          <w:tcPr>
            <w:tcW w:w="1145" w:type="dxa"/>
          </w:tcPr>
          <w:p>
            <w:pPr>
              <w:pStyle w:val="Compact"/>
              <w:spacing w:after="40"/>
              <w:jc w:val="left"/>
            </w:pPr>
            <w:r>
              <w:rPr>
                <w:sz w:val="18"/>
              </w:rPr>
              <w:t xml:space="preserve">12</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Recovery-agent register, verification gates, notices, contact-window enforcement, call recording [recommendation], same-day cash reflection (RBC 90–100; CF 9(6), 10(5))</w:t>
            </w:r>
          </w:p>
        </w:tc>
      </w:tr>
      <w:tr>
        <w:tc>
          <w:tcPr>
            <w:tcW w:w="1145" w:type="dxa"/>
          </w:tcPr>
          <w:p>
            <w:pPr>
              <w:pStyle w:val="Compact"/>
              <w:spacing w:after="40"/>
              <w:jc w:val="left"/>
            </w:pPr>
            <w:r>
              <w:rPr>
                <w:sz w:val="18"/>
              </w:rPr>
              <w:t xml:space="preserve">12b</w:t>
            </w:r>
          </w:p>
        </w:tc>
        <w:tc>
          <w:tcPr>
            <w:tcW w:w="1751" w:type="dxa"/>
          </w:tcPr>
          <w:p>
            <w:pPr>
              <w:pStyle w:val="Compact"/>
              <w:spacing w:after="40"/>
              <w:jc w:val="left"/>
            </w:pPr>
            <w:r>
              <w:rPr>
                <w:sz w:val="18"/>
              </w:rPr>
              <w:t xml:space="preserve">7A, 8A.6–8A.10, 8A.12–8A.15</w:t>
            </w:r>
          </w:p>
        </w:tc>
        <w:tc>
          <w:tcPr>
            <w:tcW w:w="6742" w:type="dxa"/>
          </w:tcPr>
          <w:p>
            <w:pPr>
              <w:pStyle w:val="Compact"/>
              <w:spacing w:after="40"/>
              <w:jc w:val="left"/>
            </w:pPr>
            <w:r>
              <w:rPr>
                <w:sz w:val="18"/>
              </w:rPr>
              <w:t xml:space="preserve">Rule pack B from 1 Jan 2027 (RBC Third Amendment paras 100A–100AB) [VERIFY: official text]; settlement relay with the RE’s characterisation block and no Udofin approval (RSA paras 16(5), 87–100; CIR para 12(4); OUT para 15); ADR basis check and no referral scope (A&amp;C Act s.7;</w:t>
            </w:r>
            <w:r>
              <w:rPr>
                <w:sz w:val="18"/>
              </w:rPr>
              <w:t xml:space="preserve"> </w:t>
            </w:r>
            <w:r>
              <w:rPr>
                <w:iCs/>
                <w:i/>
                <w:sz w:val="18"/>
              </w:rPr>
              <w:t xml:space="preserve">CORE</w:t>
            </w:r>
            <w:r>
              <w:rPr>
                <w:sz w:val="18"/>
              </w:rPr>
              <w:t xml:space="preserve">, SC, 8 Nov 2024); notice delivery evidence without a served state; same-day cash posting (CF para 10(5))</w:t>
            </w:r>
          </w:p>
        </w:tc>
      </w:tr>
      <w:tr>
        <w:tc>
          <w:tcPr>
            <w:tcW w:w="1145" w:type="dxa"/>
          </w:tcPr>
          <w:p>
            <w:pPr>
              <w:pStyle w:val="Compact"/>
              <w:spacing w:after="40"/>
              <w:jc w:val="left"/>
            </w:pPr>
            <w:r>
              <w:rPr>
                <w:sz w:val="18"/>
              </w:rPr>
              <w:t xml:space="preserve">13</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DLG engine on the provider side, auditor declaration data, monthly website disclosure (CF paras 19–29)</w:t>
            </w:r>
          </w:p>
        </w:tc>
      </w:tr>
      <w:tr>
        <w:tc>
          <w:tcPr>
            <w:tcW w:w="1145" w:type="dxa"/>
          </w:tcPr>
          <w:p>
            <w:pPr>
              <w:pStyle w:val="Compact"/>
              <w:spacing w:after="40"/>
              <w:jc w:val="left"/>
            </w:pPr>
            <w:r>
              <w:rPr>
                <w:sz w:val="18"/>
              </w:rPr>
              <w:t xml:space="preserve">13</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DLG event feed for ECL; CLA exclusion until legal sign-off (IRACP 36A–36C; TDCR 111, 123)</w:t>
            </w:r>
          </w:p>
        </w:tc>
      </w:tr>
      <w:tr>
        <w:tc>
          <w:tcPr>
            <w:tcW w:w="1145" w:type="dxa"/>
          </w:tcPr>
          <w:p>
            <w:pPr>
              <w:pStyle w:val="Compact"/>
              <w:spacing w:after="40"/>
              <w:jc w:val="left"/>
            </w:pPr>
            <w:r>
              <w:rPr>
                <w:sz w:val="18"/>
              </w:rPr>
              <w:t xml:space="preserve">14</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LSP nodal officer, intake, immediate RE routing, CMS and CRPC escalation; CIR complaint fields (CF para 12; CIR para 35(8))</w:t>
            </w:r>
          </w:p>
        </w:tc>
      </w:tr>
      <w:tr>
        <w:tc>
          <w:tcPr>
            <w:tcW w:w="1145" w:type="dxa"/>
          </w:tcPr>
          <w:p>
            <w:pPr>
              <w:pStyle w:val="Compact"/>
              <w:spacing w:after="40"/>
              <w:jc w:val="left"/>
            </w:pPr>
            <w:r>
              <w:rPr>
                <w:sz w:val="18"/>
              </w:rPr>
              <w:t xml:space="preserve">14</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RE GRO routing, RBI Ombudsman prompt (rejection, dissatisfaction or 30 days; 90-day RB-IOS 2026 window; full chain in Phase 14b), FS-format complaint MIS (OUT 56–57; FS 21(10))</w:t>
            </w:r>
          </w:p>
        </w:tc>
      </w:tr>
      <w:tr>
        <w:tc>
          <w:tcPr>
            <w:tcW w:w="1145" w:type="dxa"/>
          </w:tcPr>
          <w:p>
            <w:pPr>
              <w:pStyle w:val="Compact"/>
              <w:spacing w:after="40"/>
              <w:jc w:val="left"/>
            </w:pPr>
            <w:r>
              <w:rPr>
                <w:sz w:val="18"/>
              </w:rPr>
              <w:t xml:space="preserve">15</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LSP fee invoicing to REs; DLG instrument and cash-in-transit accounting (CF paras 10(4)–(5), 23)</w:t>
            </w:r>
          </w:p>
        </w:tc>
      </w:tr>
      <w:tr>
        <w:tc>
          <w:tcPr>
            <w:tcW w:w="1145" w:type="dxa"/>
          </w:tcPr>
          <w:p>
            <w:pPr>
              <w:pStyle w:val="Compact"/>
              <w:spacing w:after="40"/>
              <w:jc w:val="left"/>
            </w:pPr>
            <w:r>
              <w:rPr>
                <w:sz w:val="18"/>
              </w:rPr>
              <w:t xml:space="preserve">15</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U19 FPC conduct pack, SLA and half-yearly outsourcing reports, six-month new-product monitoring pack, recovery-agency list feed, record-level lineage and control totals; U17 fee-invoice reconciliation with each RE (RBC 8, 97; OUT 35–36, 39; CMP 15(2); SR 6, 14–15, 17)</w:t>
            </w:r>
          </w:p>
        </w:tc>
      </w:tr>
      <w:tr>
        <w:tc>
          <w:tcPr>
            <w:tcW w:w="1145" w:type="dxa"/>
          </w:tcPr>
          <w:p>
            <w:pPr>
              <w:pStyle w:val="Compact"/>
              <w:spacing w:after="40"/>
              <w:jc w:val="left"/>
            </w:pPr>
            <w:r>
              <w:rPr>
                <w:sz w:val="18"/>
              </w:rPr>
              <w:t xml:space="preserve">16</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CIMS certification evidence pack; RE due-diligence pack; channel risk pack; DPS voluntary baseline controls (CF paras 6(2), 18(3)–(4); KYC para 68; DPS)</w:t>
            </w:r>
          </w:p>
        </w:tc>
      </w:tr>
      <w:tr>
        <w:tc>
          <w:tcPr>
            <w:tcW w:w="1145" w:type="dxa"/>
          </w:tcPr>
          <w:p>
            <w:pPr>
              <w:pStyle w:val="Compact"/>
              <w:spacing w:after="40"/>
              <w:jc w:val="left"/>
            </w:pPr>
            <w:r>
              <w:rPr>
                <w:sz w:val="18"/>
              </w:rPr>
              <w:t xml:space="preserve">16</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Incident notification workflow, VAPT cadence, vendor assurance pack, audit access roles, fraud signals and evidence packs (OUT 61; CYB 121–126; FRM 15–23)</w:t>
            </w:r>
          </w:p>
        </w:tc>
      </w:tr>
      <w:tr>
        <w:tc>
          <w:tcPr>
            <w:tcW w:w="1145" w:type="dxa"/>
          </w:tcPr>
          <w:p>
            <w:pPr>
              <w:pStyle w:val="Compact"/>
              <w:spacing w:after="40"/>
              <w:jc w:val="left"/>
            </w:pPr>
            <w:r>
              <w:rPr>
                <w:sz w:val="18"/>
              </w:rPr>
              <w:t xml:space="preserve">17</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One line per DLA per store in the DLA register before each store or PWA launch; checksum or store link published; old app versions retired within 6 months (CF para 18; DPS para 68)</w:t>
            </w:r>
          </w:p>
        </w:tc>
      </w:tr>
      <w:tr>
        <w:tc>
          <w:tcPr>
            <w:tcW w:w="1145" w:type="dxa"/>
          </w:tcPr>
          <w:p>
            <w:pPr>
              <w:pStyle w:val="Compact"/>
              <w:spacing w:after="40"/>
              <w:jc w:val="left"/>
            </w:pPr>
            <w:r>
              <w:rPr>
                <w:sz w:val="18"/>
              </w:rPr>
              <w:t xml:space="preserve">17</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Mobile and web security baseline and pre-release VA/PT; vulnerability-free certificate and SBOM per material release (CYB 33, 106, 121)</w:t>
            </w:r>
          </w:p>
        </w:tc>
      </w:tr>
      <w:tr>
        <w:tc>
          <w:tcPr>
            <w:tcW w:w="1145" w:type="dxa"/>
          </w:tcPr>
          <w:p>
            <w:pPr>
              <w:pStyle w:val="Compact"/>
              <w:spacing w:after="40"/>
              <w:jc w:val="left"/>
            </w:pPr>
            <w:r>
              <w:rPr>
                <w:sz w:val="18"/>
              </w:rPr>
              <w:t xml:space="preserve">P</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Pilot gate: each pilot RE confirms its Annex-I CIMS entries, cooling-off period, retention schedule, KYC route set and recovery-agent status in writing</w:t>
            </w:r>
          </w:p>
        </w:tc>
      </w:tr>
      <w:tr>
        <w:tc>
          <w:tcPr>
            <w:tcW w:w="1145" w:type="dxa"/>
          </w:tcPr>
          <w:p>
            <w:pPr>
              <w:pStyle w:val="Compact"/>
              <w:spacing w:after="40"/>
              <w:jc w:val="left"/>
            </w:pPr>
            <w:r>
              <w:rPr>
                <w:sz w:val="18"/>
              </w:rPr>
              <w:t xml:space="preserve">P</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Pilot gate: RE compliance approval recorded for every pilot product (CMP 9(7)); RE confirms CIMS DLA lines; first joint BCP test; clause matrix fully passed</w:t>
            </w:r>
          </w:p>
        </w:tc>
      </w:tr>
      <w:tr>
        <w:tc>
          <w:tcPr>
            <w:tcW w:w="1145" w:type="dxa"/>
          </w:tcPr>
          <w:p>
            <w:pPr>
              <w:pStyle w:val="Compact"/>
              <w:spacing w:after="40"/>
              <w:jc w:val="left"/>
            </w:pPr>
            <w:r>
              <w:rPr>
                <w:sz w:val="18"/>
              </w:rPr>
              <w:t xml:space="preserve">18</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LAS own-share exclusion and LTV margin notices (CF paras 105–106); housing classification (CF para 4(1)(xiv))</w:t>
            </w:r>
          </w:p>
        </w:tc>
      </w:tr>
      <w:tr>
        <w:tc>
          <w:tcPr>
            <w:tcW w:w="1145" w:type="dxa"/>
          </w:tcPr>
          <w:p>
            <w:pPr>
              <w:pStyle w:val="Compact"/>
              <w:spacing w:after="40"/>
              <w:jc w:val="left"/>
            </w:pPr>
            <w:r>
              <w:rPr>
                <w:sz w:val="18"/>
              </w:rPr>
              <w:t xml:space="preserve">18</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DIN/PAN of directors and guarantors (WD 19(1)); release-of-documents relay (RBC 35–39); LWD covenant check</w:t>
            </w:r>
          </w:p>
        </w:tc>
      </w:tr>
      <w:tr>
        <w:tc>
          <w:tcPr>
            <w:tcW w:w="1145" w:type="dxa"/>
          </w:tcPr>
          <w:p>
            <w:pPr>
              <w:pStyle w:val="Compact"/>
              <w:spacing w:after="40"/>
              <w:jc w:val="left"/>
            </w:pPr>
            <w:r>
              <w:rPr>
                <w:sz w:val="18"/>
              </w:rPr>
              <w:t xml:space="preserve">18b</w:t>
            </w:r>
          </w:p>
        </w:tc>
        <w:tc>
          <w:tcPr>
            <w:tcW w:w="1751" w:type="dxa"/>
          </w:tcPr>
          <w:p>
            <w:pPr>
              <w:pStyle w:val="Compact"/>
              <w:spacing w:after="40"/>
              <w:jc w:val="left"/>
            </w:pPr>
            <w:r>
              <w:rPr>
                <w:sz w:val="18"/>
              </w:rPr>
              <w:t xml:space="preserve">6.4, 8A.1–8A.5, 8A.6–8A.10</w:t>
            </w:r>
          </w:p>
        </w:tc>
        <w:tc>
          <w:tcPr>
            <w:tcW w:w="6742" w:type="dxa"/>
          </w:tcPr>
          <w:p>
            <w:pPr>
              <w:pStyle w:val="Compact"/>
              <w:spacing w:after="40"/>
              <w:jc w:val="left"/>
            </w:pPr>
            <w:r>
              <w:rPr>
                <w:sz w:val="18"/>
              </w:rPr>
              <w:t xml:space="preserve">Gold: no Udofin handling of collateral (RBC paras 53–54), valuation and LTV only from RE data (CF paras 40, 43–44), auction and release notices shown as the RE’s (RBC paras 58–69); microfinance household test and cap (CF paras 51–57) and loan card (RBC paras 78–81); MSME DIN or PAN of directors and guarantors (WD para 19(1)) and CGTMSE block on DLG (CF para 21(1)); end-beneficiary routing for education and supply chain (CF para 10(1))</w:t>
            </w:r>
          </w:p>
        </w:tc>
      </w:tr>
      <w:tr>
        <w:tc>
          <w:tcPr>
            <w:tcW w:w="1145" w:type="dxa"/>
          </w:tcPr>
          <w:p>
            <w:pPr>
              <w:pStyle w:val="Compact"/>
              <w:spacing w:after="40"/>
              <w:jc w:val="left"/>
            </w:pPr>
            <w:r>
              <w:rPr>
                <w:sz w:val="18"/>
              </w:rPr>
              <w:t xml:space="preserve">19</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Feasibility gate for resolution finance and debt reset tests RSA 87–100 restructuring characterisation</w:t>
            </w:r>
          </w:p>
        </w:tc>
      </w:tr>
      <w:tr>
        <w:tc>
          <w:tcPr>
            <w:tcW w:w="1145" w:type="dxa"/>
          </w:tcPr>
          <w:p>
            <w:pPr>
              <w:pStyle w:val="Compact"/>
              <w:spacing w:after="40"/>
              <w:jc w:val="left"/>
            </w:pPr>
            <w:r>
              <w:rPr>
                <w:sz w:val="18"/>
              </w:rPr>
              <w:t xml:space="preserve">20</w:t>
            </w:r>
          </w:p>
        </w:tc>
        <w:tc>
          <w:tcPr>
            <w:tcW w:w="1751" w:type="dxa"/>
          </w:tcPr>
          <w:p>
            <w:pPr>
              <w:pStyle w:val="Compact"/>
              <w:spacing w:after="40"/>
              <w:jc w:val="left"/>
            </w:pPr>
            <w:r>
              <w:rPr>
                <w:sz w:val="18"/>
              </w:rPr>
              <w:t xml:space="preserve">8A.1–8A.5, 8A.11</w:t>
            </w:r>
          </w:p>
        </w:tc>
        <w:tc>
          <w:tcPr>
            <w:tcW w:w="6742" w:type="dxa"/>
          </w:tcPr>
          <w:p>
            <w:pPr>
              <w:pStyle w:val="Compact"/>
              <w:spacing w:after="40"/>
              <w:jc w:val="left"/>
            </w:pPr>
            <w:r>
              <w:rPr>
                <w:sz w:val="18"/>
              </w:rPr>
              <w:t xml:space="preserve">Field app digital KYC only after the authorised-officer question is resolved (KYC para 24)</w:t>
            </w:r>
          </w:p>
        </w:tc>
      </w:tr>
      <w:tr>
        <w:tc>
          <w:tcPr>
            <w:tcW w:w="1145" w:type="dxa"/>
          </w:tcPr>
          <w:p>
            <w:pPr>
              <w:pStyle w:val="Compact"/>
              <w:spacing w:after="40"/>
              <w:jc w:val="left"/>
            </w:pPr>
            <w:r>
              <w:rPr>
                <w:sz w:val="18"/>
              </w:rPr>
              <w:t xml:space="preserve">20</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Field app shows the agent’s digital ID and RE authorisation letter; assisted path for persons with disabilities (RBC 28, 95)</w:t>
            </w:r>
          </w:p>
        </w:tc>
      </w:tr>
      <w:tr>
        <w:tc>
          <w:tcPr>
            <w:tcW w:w="1145" w:type="dxa"/>
          </w:tcPr>
          <w:p>
            <w:pPr>
              <w:pStyle w:val="Compact"/>
              <w:spacing w:after="40"/>
              <w:jc w:val="left"/>
            </w:pPr>
            <w:r>
              <w:rPr>
                <w:sz w:val="18"/>
              </w:rPr>
              <w:t xml:space="preserve">21</w:t>
            </w:r>
          </w:p>
        </w:tc>
        <w:tc>
          <w:tcPr>
            <w:tcW w:w="1751" w:type="dxa"/>
          </w:tcPr>
          <w:p>
            <w:pPr>
              <w:pStyle w:val="Compact"/>
              <w:spacing w:after="40"/>
              <w:jc w:val="left"/>
            </w:pPr>
            <w:r>
              <w:rPr>
                <w:sz w:val="18"/>
              </w:rPr>
              <w:t xml:space="preserve">8A.6–8A.10, 8A.12–8A.15</w:t>
            </w:r>
          </w:p>
        </w:tc>
        <w:tc>
          <w:tcPr>
            <w:tcW w:w="6742" w:type="dxa"/>
          </w:tcPr>
          <w:p>
            <w:pPr>
              <w:pStyle w:val="Compact"/>
              <w:spacing w:after="40"/>
              <w:jc w:val="left"/>
            </w:pPr>
            <w:r>
              <w:rPr>
                <w:sz w:val="18"/>
              </w:rPr>
              <w:t xml:space="preserve">DC and DR in separate India regions; exit and portability dry-run (CYB 102; OUT 87–88)</w:t>
            </w:r>
          </w:p>
        </w:tc>
      </w:tr>
    </w:tbl>
    <w:bookmarkEnd w:id="468"/>
    <w:bookmarkStart w:id="469" w:name="a.16.3-open-regulatory-questions"/>
    <w:p>
      <w:pPr>
        <w:pStyle w:val="Heading3"/>
      </w:pPr>
      <w:r>
        <w:t xml:space="preserve">8A.16.3 Open regulatory questions</w:t>
      </w:r>
    </w:p>
    <w:p>
      <w:pPr>
        <w:pStyle w:val="FirstParagraph"/>
      </w:pPr>
      <w:r>
        <w:t xml:space="preserve">Resolve each before the phase that depends on it, record the answer in the register, and mark whether it is law, interpretation or a decision of the RE.</w:t>
      </w:r>
    </w:p>
    <w:p>
      <w:pPr>
        <w:numPr>
          <w:ilvl w:val="0"/>
          <w:numId w:val="1443"/>
        </w:numPr>
        <w:pStyle w:val="Compact"/>
      </w:pPr>
      <w:r>
        <w:t xml:space="preserve">[VERIFY] Commercial-bank equivalents of CF Chapter III for bank REs (not supplied).</w:t>
      </w:r>
    </w:p>
    <w:p>
      <w:pPr>
        <w:numPr>
          <w:ilvl w:val="0"/>
          <w:numId w:val="1443"/>
        </w:numPr>
        <w:pStyle w:val="Compact"/>
      </w:pPr>
      <w:r>
        <w:t xml:space="preserve">[VERIFY] Current CCPA dark-pattern list referred to in CF para 7(4) Note.</w:t>
      </w:r>
    </w:p>
    <w:p>
      <w:pPr>
        <w:numPr>
          <w:ilvl w:val="0"/>
          <w:numId w:val="1443"/>
        </w:numPr>
        <w:pStyle w:val="Compact"/>
      </w:pPr>
      <w:r>
        <w:t xml:space="preserve">[VERIFY] Android SMS Retriever and SMS User Consent API behaviour (no SMS permission), and app-store policy on document pickers.</w:t>
      </w:r>
    </w:p>
    <w:p>
      <w:pPr>
        <w:numPr>
          <w:ilvl w:val="0"/>
          <w:numId w:val="1443"/>
        </w:numPr>
        <w:pStyle w:val="Compact"/>
      </w:pPr>
      <w:r>
        <w:t xml:space="preserve">[VERIFY] Whether KYC live photographs count as</w:t>
      </w:r>
      <w:r>
        <w:t xml:space="preserve"> </w:t>
      </w:r>
      <w:r>
        <w:t xml:space="preserve">“</w:t>
      </w:r>
      <w:r>
        <w:t xml:space="preserve">biometric</w:t>
      </w:r>
      <w:r>
        <w:t xml:space="preserve">”</w:t>
      </w:r>
      <w:r>
        <w:t xml:space="preserve"> </w:t>
      </w:r>
      <w:r>
        <w:t xml:space="preserve">under the Aadhaar Act s.2(g), and the basis for any retention by Udofin (CF para 14(3)).</w:t>
      </w:r>
    </w:p>
    <w:p>
      <w:pPr>
        <w:numPr>
          <w:ilvl w:val="0"/>
          <w:numId w:val="1443"/>
        </w:numPr>
        <w:pStyle w:val="Compact"/>
      </w:pPr>
      <w:r>
        <w:t xml:space="preserve">[VERIFY] Cooling-off start trigger in each RE’s credit policy (CF para 11 is silent).</w:t>
      </w:r>
    </w:p>
    <w:p>
      <w:pPr>
        <w:numPr>
          <w:ilvl w:val="0"/>
          <w:numId w:val="1443"/>
        </w:numPr>
        <w:pStyle w:val="Compact"/>
      </w:pPr>
      <w:r>
        <w:t xml:space="preserve">[VERIFY] Which GRO each RE enters in the Annex-I CIMS columns for Udofin-owned DLAs.</w:t>
      </w:r>
    </w:p>
    <w:p>
      <w:pPr>
        <w:numPr>
          <w:ilvl w:val="0"/>
          <w:numId w:val="1443"/>
        </w:numPr>
        <w:pStyle w:val="Compact"/>
      </w:pPr>
      <w:r>
        <w:t xml:space="preserve">[VERIFY] Udofin’s incorporating statute and CIN for CF para 19.</w:t>
      </w:r>
    </w:p>
    <w:p>
      <w:pPr>
        <w:numPr>
          <w:ilvl w:val="0"/>
          <w:numId w:val="1443"/>
        </w:numPr>
        <w:pStyle w:val="Compact"/>
      </w:pPr>
      <w:r>
        <w:t xml:space="preserve">[VERIFY] Ind AS treatment of DLG cash deposits, FD liens and BGs in Udofin’s books.</w:t>
      </w:r>
    </w:p>
    <w:p>
      <w:pPr>
        <w:numPr>
          <w:ilvl w:val="0"/>
          <w:numId w:val="1443"/>
        </w:numPr>
        <w:pStyle w:val="Compact"/>
      </w:pPr>
      <w:r>
        <w:t xml:space="preserve">[VERIFY] How each RE converts bullet or payday repayments into a monthly obligation for the 50% test (CF paras 55–56).</w:t>
      </w:r>
    </w:p>
    <w:p>
      <w:pPr>
        <w:numPr>
          <w:ilvl w:val="0"/>
          <w:numId w:val="1443"/>
        </w:numPr>
        <w:pStyle w:val="Compact"/>
      </w:pPr>
      <w:r>
        <w:t xml:space="preserve">[VERIFY] CIR amendment RBI/DOR/2025-26/117 text (paras 10(2), 12(10), 15, Annex VI).</w:t>
      </w:r>
    </w:p>
    <w:p>
      <w:pPr>
        <w:numPr>
          <w:ilvl w:val="0"/>
          <w:numId w:val="1443"/>
        </w:numPr>
        <w:pStyle w:val="Compact"/>
      </w:pPr>
      <w:r>
        <w:t xml:space="preserve">[VERIFY] CICRA s.2(l), CIC Regulations reg 3 and CIC Rules on who may obtain a CIR; whether CICs allow a member CI’s technology service provider; whether any</w:t>
      </w:r>
      <w:r>
        <w:t xml:space="preserve"> </w:t>
      </w:r>
      <w:r>
        <w:t xml:space="preserve">“</w:t>
      </w:r>
      <w:r>
        <w:t xml:space="preserve">borrower’s own report</w:t>
      </w:r>
      <w:r>
        <w:t xml:space="preserve">”</w:t>
      </w:r>
      <w:r>
        <w:t xml:space="preserve"> </w:t>
      </w:r>
      <w:r>
        <w:t xml:space="preserve">flow may be used for pre-qualification.</w:t>
      </w:r>
    </w:p>
    <w:p>
      <w:pPr>
        <w:numPr>
          <w:ilvl w:val="0"/>
          <w:numId w:val="1443"/>
        </w:numPr>
        <w:pStyle w:val="Compact"/>
      </w:pPr>
      <w:r>
        <w:t xml:space="preserve">[VERIFY] Treatment of soft versus hard enquiries by each CIC.</w:t>
      </w:r>
    </w:p>
    <w:p>
      <w:pPr>
        <w:numPr>
          <w:ilvl w:val="0"/>
          <w:numId w:val="1443"/>
        </w:numPr>
        <w:pStyle w:val="Compact"/>
      </w:pPr>
      <w:r>
        <w:t xml:space="preserve">[VERIFY] Whether Udofin is a reporting entity under PML Act s.2(1)(wa).</w:t>
      </w:r>
    </w:p>
    <w:p>
      <w:pPr>
        <w:numPr>
          <w:ilvl w:val="0"/>
          <w:numId w:val="1443"/>
        </w:numPr>
        <w:pStyle w:val="Compact"/>
      </w:pPr>
      <w:r>
        <w:t xml:space="preserve">[VERIFY] Whether an RE-approved KYC rule executed on Udofin infrastructure satisfies KYC para 13 for each RE.</w:t>
      </w:r>
    </w:p>
    <w:p>
      <w:pPr>
        <w:numPr>
          <w:ilvl w:val="0"/>
          <w:numId w:val="1443"/>
        </w:numPr>
        <w:pStyle w:val="Compact"/>
      </w:pPr>
      <w:r>
        <w:t xml:space="preserve">[VERIFY] Each partner RE’s s.11A notification status; the UIDAI AUA/KUA or sub-AUA arrangement for any vendor (for example Surepass); Aadhaar Data Vault obligations.</w:t>
      </w:r>
    </w:p>
    <w:p>
      <w:pPr>
        <w:numPr>
          <w:ilvl w:val="0"/>
          <w:numId w:val="1443"/>
        </w:numPr>
        <w:pStyle w:val="Compact"/>
      </w:pPr>
      <w:r>
        <w:t xml:space="preserve">[VERIFY] Whether a borrower-captured liveness selfie meets</w:t>
      </w:r>
      <w:r>
        <w:t xml:space="preserve"> </w:t>
      </w:r>
      <w:r>
        <w:t xml:space="preserve">“</w:t>
      </w:r>
      <w:r>
        <w:t xml:space="preserve">live photo as specified under paragraph 24</w:t>
      </w:r>
      <w:r>
        <w:t xml:space="preserve">”</w:t>
      </w:r>
      <w:r>
        <w:t xml:space="preserve"> </w:t>
      </w:r>
      <w:r>
        <w:t xml:space="preserve">for the e-document route (KYC para 23 proviso (iii)).</w:t>
      </w:r>
    </w:p>
    <w:p>
      <w:pPr>
        <w:numPr>
          <w:ilvl w:val="0"/>
          <w:numId w:val="1443"/>
        </w:numPr>
        <w:pStyle w:val="Compact"/>
      </w:pPr>
      <w:r>
        <w:t xml:space="preserve">[VERIFY] Whether Udofin field staff may be the RE’s</w:t>
      </w:r>
      <w:r>
        <w:t xml:space="preserve"> </w:t>
      </w:r>
      <w:r>
        <w:t xml:space="preserve">“</w:t>
      </w:r>
      <w:r>
        <w:t xml:space="preserve">authorised officer</w:t>
      </w:r>
      <w:r>
        <w:t xml:space="preserve">”</w:t>
      </w:r>
      <w:r>
        <w:t xml:space="preserve"> </w:t>
      </w:r>
      <w:r>
        <w:t xml:space="preserve">for digital KYC (KYC para 24).</w:t>
      </w:r>
    </w:p>
    <w:p>
      <w:pPr>
        <w:numPr>
          <w:ilvl w:val="0"/>
          <w:numId w:val="1443"/>
        </w:numPr>
        <w:pStyle w:val="Compact"/>
      </w:pPr>
      <w:r>
        <w:t xml:space="preserve">[VERIFY] How each RE applies</w:t>
      </w:r>
      <w:r>
        <w:t xml:space="preserve"> </w:t>
      </w:r>
      <w:r>
        <w:t xml:space="preserve">“</w:t>
      </w:r>
      <w:r>
        <w:t xml:space="preserve">first transaction shall be a credit</w:t>
      </w:r>
      <w:r>
        <w:t xml:space="preserve">”</w:t>
      </w:r>
      <w:r>
        <w:t xml:space="preserve"> </w:t>
      </w:r>
      <w:r>
        <w:t xml:space="preserve">(KYC para 44(5)) to loan accounts.</w:t>
      </w:r>
    </w:p>
    <w:p>
      <w:pPr>
        <w:numPr>
          <w:ilvl w:val="0"/>
          <w:numId w:val="1443"/>
        </w:numPr>
        <w:pStyle w:val="Compact"/>
      </w:pPr>
      <w:r>
        <w:t xml:space="preserve">[VERIFY] Sahamati/ReBIT model for a technology service provider to an FIU; current ReBIT API version.</w:t>
      </w:r>
    </w:p>
    <w:p>
      <w:pPr>
        <w:numPr>
          <w:ilvl w:val="0"/>
          <w:numId w:val="1443"/>
        </w:numPr>
        <w:pStyle w:val="Compact"/>
      </w:pPr>
      <w:r>
        <w:t xml:space="preserve">[VERIFY] Any consent route under which borrower AA data could feed a personal-finance dashboard.</w:t>
      </w:r>
    </w:p>
    <w:p>
      <w:pPr>
        <w:numPr>
          <w:ilvl w:val="0"/>
          <w:numId w:val="1443"/>
        </w:numPr>
        <w:pStyle w:val="Compact"/>
      </w:pPr>
      <w:r>
        <w:t xml:space="preserve">[VERIFY] Current SRO Code of Conduct text for NBFC-MFI partners.</w:t>
      </w:r>
    </w:p>
    <w:p>
      <w:pPr>
        <w:numPr>
          <w:ilvl w:val="0"/>
          <w:numId w:val="1443"/>
        </w:numPr>
        <w:pStyle w:val="Compact"/>
      </w:pPr>
      <w:r>
        <w:t xml:space="preserve">[VERIFY] Card-issuing REs’ view on whether Udofin repayment features fall within DPS para 4(1).</w:t>
      </w:r>
    </w:p>
    <w:p>
      <w:pPr>
        <w:numPr>
          <w:ilvl w:val="0"/>
          <w:numId w:val="1443"/>
        </w:numPr>
        <w:pStyle w:val="Compact"/>
      </w:pPr>
      <w:r>
        <w:t xml:space="preserve">[VERIFY] RE and app-store acceptance of device binding without SIM or telephony permissions (DPS para 68(6) against CF para 13(1)).</w:t>
      </w:r>
    </w:p>
    <w:p>
      <w:pPr>
        <w:numPr>
          <w:ilvl w:val="0"/>
          <w:numId w:val="1443"/>
        </w:numPr>
        <w:pStyle w:val="Compact"/>
      </w:pPr>
      <w:r>
        <w:t xml:space="preserve">Decision: carry the Udofin nodal officer and DLA particulars to REs in the U1 onboarding pack, or add LSP-to-RE events to the Part 5 catalogue through a versioned contract change.</w:t>
      </w:r>
    </w:p>
    <w:p>
      <w:pPr>
        <w:numPr>
          <w:ilvl w:val="0"/>
          <w:numId w:val="1443"/>
        </w:numPr>
        <w:pStyle w:val="Compact"/>
      </w:pPr>
      <w:r>
        <w:t xml:space="preserve">Decision: per-RE retention schedule for LSP-held data, signed off by each RE (CF para 14(1)).</w:t>
      </w:r>
    </w:p>
    <w:p>
      <w:pPr>
        <w:numPr>
          <w:ilvl w:val="0"/>
          <w:numId w:val="1443"/>
        </w:numPr>
        <w:pStyle w:val="Compact"/>
      </w:pPr>
      <w:r>
        <w:t xml:space="preserve">Decision: buy a V-CIP product contracted by the RE, or build it as the RE’s application.</w:t>
      </w:r>
    </w:p>
    <w:p>
      <w:pPr>
        <w:numPr>
          <w:ilvl w:val="0"/>
          <w:numId w:val="1443"/>
        </w:numPr>
        <w:pStyle w:val="Compact"/>
      </w:pPr>
      <w:r>
        <w:t xml:space="preserve">Decision: source-code escrow agent and release triggers for REs that require them (DPS para 31).</w:t>
      </w:r>
    </w:p>
    <w:p>
      <w:pPr>
        <w:numPr>
          <w:ilvl w:val="0"/>
          <w:numId w:val="1443"/>
        </w:numPr>
        <w:pStyle w:val="Compact"/>
      </w:pPr>
      <w:r>
        <w:t xml:space="preserve">Decision: whether Udofin offers DLG at all, and to which REs; commercial terms must count any fee clawback as implicit DLG within the 5% cap.</w:t>
      </w:r>
    </w:p>
    <w:p>
      <w:pPr>
        <w:numPr>
          <w:ilvl w:val="0"/>
          <w:numId w:val="1443"/>
        </w:numPr>
        <w:pStyle w:val="Compact"/>
      </w:pPr>
      <w:r>
        <w:t xml:space="preserve">Decision: whether Udofin accepts recovery-agent appointments and cash collection (U13, U22) in the MVP.</w:t>
      </w:r>
    </w:p>
    <w:p>
      <w:pPr>
        <w:numPr>
          <w:ilvl w:val="0"/>
          <w:numId w:val="1443"/>
        </w:numPr>
        <w:pStyle w:val="Compact"/>
      </w:pPr>
      <w:r>
        <w:t xml:space="preserve">Does each RE classify Udofin under OUT Chapter III only, or also as material IT outsourcing under Chapter IV (OUT 58(3)(iii) versus 5(1))? This changes the clause set and audit scope per RE.</w:t>
      </w:r>
    </w:p>
    <w:p>
      <w:pPr>
        <w:numPr>
          <w:ilvl w:val="0"/>
          <w:numId w:val="1443"/>
        </w:numPr>
        <w:pStyle w:val="Compact"/>
      </w:pPr>
      <w:r>
        <w:t xml:space="preserve">Will Chapter V REs treat the DLA as a critical application needing source code or escrow (CYB 105), and who bears the escrow cost? (Escrow agent and release triggers: the DPS para 31 decision above.)</w:t>
      </w:r>
    </w:p>
    <w:p>
      <w:pPr>
        <w:numPr>
          <w:ilvl w:val="0"/>
          <w:numId w:val="1443"/>
        </w:numPr>
        <w:pStyle w:val="Compact"/>
      </w:pPr>
      <w:r>
        <w:t xml:space="preserve">Is Udofin owned or controlled by a director of any partner RE, or (for IT outsourcing) by its KMP, the arrangement approver or their relatives (OUT 18(vi), 59)? If so, Udofin must be a group company of that RE; only the IT bar admits a Board-approved, disclosed exception (59 proviso).</w:t>
      </w:r>
    </w:p>
    <w:p>
      <w:pPr>
        <w:numPr>
          <w:ilvl w:val="0"/>
          <w:numId w:val="1443"/>
        </w:numPr>
        <w:pStyle w:val="Compact"/>
      </w:pPr>
      <w:r>
        <w:t xml:space="preserve">Where an RE appoints Udofin as recovery agent: recording retention period and consent wording for recovery calls.</w:t>
      </w:r>
    </w:p>
    <w:p>
      <w:pPr>
        <w:numPr>
          <w:ilvl w:val="0"/>
          <w:numId w:val="1443"/>
        </w:numPr>
        <w:pStyle w:val="Compact"/>
      </w:pPr>
      <w:r>
        <w:t xml:space="preserve">Official texts of the RBC Second Amendment (Chapter IIIA) and Third Amendment (RBI/2026-27/230; paras 100A–100AB in force 1 Jan 2027) for docs/regulations/rbi/, and whether a microfinance-specific contact window survives the deletion of paras 89–97.</w:t>
      </w:r>
    </w:p>
    <w:p>
      <w:pPr>
        <w:numPr>
          <w:ilvl w:val="0"/>
          <w:numId w:val="1443"/>
        </w:numPr>
        <w:pStyle w:val="Compact"/>
      </w:pPr>
      <w:r>
        <w:t xml:space="preserve">Whether RBI’s affidavit in</w:t>
      </w:r>
      <w:r>
        <w:t xml:space="preserve"> </w:t>
      </w:r>
      <w:r>
        <w:rPr>
          <w:iCs/>
          <w:i/>
        </w:rPr>
        <w:t xml:space="preserve">Shikha Ghosh v Axis Bank</w:t>
      </w:r>
      <w:r>
        <w:t xml:space="preserve"> </w:t>
      </w:r>
      <w:r>
        <w:t xml:space="preserve">(Del HC, due 16 Nov 2026; hearing 17 Nov 2026) leads to RBI instructions on lender arbitration that Part 7A UR2 must reflect.</w:t>
      </w:r>
    </w:p>
    <w:p>
      <w:pPr>
        <w:numPr>
          <w:ilvl w:val="0"/>
          <w:numId w:val="1443"/>
        </w:numPr>
        <w:pStyle w:val="Compact"/>
      </w:pPr>
      <w:r>
        <w:t xml:space="preserve">Which bank Directions (conduct, outsourcing, IT, fraud) apply to bank REs, and do any terms differ from the NBFC clause set?</w:t>
      </w:r>
    </w:p>
    <w:p>
      <w:pPr>
        <w:numPr>
          <w:ilvl w:val="0"/>
          <w:numId w:val="1443"/>
        </w:numPr>
        <w:pStyle w:val="Compact"/>
      </w:pPr>
      <w:r>
        <w:t xml:space="preserve">May Udofin give DLG on co-lending loans given TDCR 111 and 123?</w:t>
      </w:r>
    </w:p>
    <w:p>
      <w:pPr>
        <w:numPr>
          <w:ilvl w:val="0"/>
          <w:numId w:val="1443"/>
        </w:numPr>
        <w:pStyle w:val="Compact"/>
      </w:pPr>
      <w:r>
        <w:t xml:space="preserve">Persistent-calling cap: will each RE set a numeric daily and weekly cap, or will Udofin propose a default?</w:t>
      </w:r>
    </w:p>
    <w:p>
      <w:pPr>
        <w:numPr>
          <w:ilvl w:val="0"/>
          <w:numId w:val="1443"/>
        </w:numPr>
        <w:pStyle w:val="Compact"/>
      </w:pPr>
      <w:r>
        <w:t xml:space="preserve">TRAI registration path for Udofin’s sourcing and reminder calls (telemarketer or principal entity) under the current regulations.</w:t>
      </w:r>
    </w:p>
    <w:p>
      <w:pPr>
        <w:numPr>
          <w:ilvl w:val="0"/>
          <w:numId w:val="1443"/>
        </w:numPr>
        <w:pStyle w:val="Compact"/>
      </w:pPr>
      <w:r>
        <w:t xml:space="preserve">Content and scope of the Supreme Court order of 30 Apr 2025 (RBC 105) for digital KYC design.</w:t>
      </w:r>
    </w:p>
    <w:p>
      <w:pPr>
        <w:numPr>
          <w:ilvl w:val="0"/>
          <w:numId w:val="1443"/>
        </w:numPr>
        <w:pStyle w:val="Compact"/>
      </w:pPr>
      <w:r>
        <w:t xml:space="preserve">For NBFC-D REs with NOF up to ₹50 crore or rating below AA, does LSP sourcing outside the home State count as appointing agents (BR 6)?</w:t>
      </w:r>
    </w:p>
    <w:p>
      <w:pPr>
        <w:numPr>
          <w:ilvl w:val="0"/>
          <w:numId w:val="1443"/>
        </w:numPr>
        <w:pStyle w:val="Compact"/>
      </w:pPr>
      <w:r>
        <w:t xml:space="preserve">Are offshore AI or analytics services acceptable to any RE, and on what data?</w:t>
      </w:r>
    </w:p>
    <w:p>
      <w:pPr>
        <w:numPr>
          <w:ilvl w:val="0"/>
          <w:numId w:val="1443"/>
        </w:numPr>
        <w:pStyle w:val="Compact"/>
      </w:pPr>
      <w:r>
        <w:t xml:space="preserve">Internal incident-notification target: confirm 2 hours from detection with each RE.</w:t>
      </w:r>
    </w:p>
    <w:p>
      <w:pPr>
        <w:numPr>
          <w:ilvl w:val="0"/>
          <w:numId w:val="1443"/>
        </w:numPr>
        <w:pStyle w:val="Compact"/>
      </w:pPr>
      <w:r>
        <w:t xml:space="preserve">v1.2: the open items for Parts 7B–7H are listed in Part 8A.17.1.</w:t>
      </w:r>
    </w:p>
    <w:bookmarkEnd w:id="469"/>
    <w:bookmarkEnd w:id="470"/>
    <w:bookmarkStart w:id="472" w:name="X3d2c94b30bb733d1cb34bcd65529097f9afb699"/>
    <w:p>
      <w:pPr>
        <w:pStyle w:val="Heading2"/>
      </w:pPr>
      <w:r>
        <w:t xml:space="preserve">8A.17 v1.2 sources and requirement codes (non-RBI and later RBI instruments)</w:t>
      </w:r>
    </w:p>
    <w:p>
      <w:pPr>
        <w:pStyle w:val="FirstParagraph"/>
      </w:pPr>
      <w:r>
        <w:t xml:space="preserve">Parts 7B–7H rely on instruments that are not among the 33 Directions and 1 guidance note of 8A.0.2: RBI instruments issued or confirmed later, and non-RBI law, regulation, self-regulatory codes and standards. Their codes are the same as in Finbyx Part 8A.37, so the ecosystem keeps one register. Requirement IDs follow 8A.0.1 rule 2 (</w:t>
      </w:r>
      <w:r>
        <w:rPr>
          <w:rStyle w:val="VerbatimChar"/>
        </w:rPr>
        <w:t xml:space="preserve">REQ-[code]-[section or para]</w:t>
      </w:r>
      <w:r>
        <w:t xml:space="preserve">, for example</w:t>
      </w:r>
      <w:r>
        <w:t xml:space="preserve"> </w:t>
      </w:r>
      <w:r>
        <w:rPr>
          <w:rStyle w:val="VerbatimChar"/>
        </w:rPr>
        <w:t xml:space="preserve">REQ-RBIOS26-10(1)(g)</w:t>
      </w:r>
      <w:r>
        <w:t xml:space="preserve">,</w:t>
      </w:r>
      <w:r>
        <w:t xml:space="preserve"> </w:t>
      </w:r>
      <w:r>
        <w:rPr>
          <w:rStyle w:val="VerbatimChar"/>
        </w:rPr>
        <w:t xml:space="preserve">REQ-MSCS-67</w:t>
      </w:r>
      <w:r>
        <w:t xml:space="preserve">,</w:t>
      </w:r>
      <w:r>
        <w:t xml:space="preserve"> </w:t>
      </w:r>
      <w:r>
        <w:rPr>
          <w:rStyle w:val="VerbatimChar"/>
        </w:rPr>
        <w:t xml:space="preserve">REQ-ITA25-393</w:t>
      </w:r>
      <w:r>
        <w:t xml:space="preserve">,</w:t>
      </w:r>
      <w:r>
        <w:t xml:space="preserve"> </w:t>
      </w:r>
      <w:r>
        <w:rPr>
          <w:rStyle w:val="VerbatimChar"/>
        </w:rPr>
        <w:t xml:space="preserve">REQ-MFIN-GR2-1</w:t>
      </w:r>
      <w:r>
        <w:t xml:space="preserve">). Rules 3–6 of 8A.0.1 apply unchanged.</w:t>
      </w:r>
      <w:r>
        <w:t xml:space="preserve"> </w:t>
      </w:r>
      <w:r>
        <w:rPr>
          <w:bCs/>
          <w:b/>
        </w:rPr>
        <w:t xml:space="preserve">None of these texts is yet in</w:t>
      </w:r>
      <w:r>
        <w:rPr>
          <w:bCs/>
          <w:b/>
        </w:rPr>
        <w:t xml:space="preserve"> </w:t>
      </w:r>
      <w:r>
        <w:rPr>
          <w:rStyle w:val="VerbatimChar"/>
          <w:bCs/>
          <w:b/>
        </w:rPr>
        <w:t xml:space="preserve">docs/regulations/</w:t>
      </w:r>
      <w:r>
        <w:rPr>
          <w:bCs/>
          <w:b/>
        </w:rPr>
        <w:t xml:space="preserve">.</w:t>
      </w:r>
      <w:r>
        <w:t xml:space="preserve"> </w:t>
      </w:r>
      <w:r>
        <w:t xml:space="preserve">Status reflects checks made up to 23 October 2026:</w:t>
      </w:r>
      <w:r>
        <w:t xml:space="preserve"> </w:t>
      </w:r>
      <w:r>
        <w:t xml:space="preserve">“</w:t>
      </w:r>
      <w:r>
        <w:t xml:space="preserve">confirmed</w:t>
      </w:r>
      <w:r>
        <w:t xml:space="preserve">”</w:t>
      </w:r>
      <w:r>
        <w:t xml:space="preserve"> </w:t>
      </w:r>
      <w:r>
        <w:t xml:space="preserve">means read from the issuer’s own page or notification;</w:t>
      </w:r>
      <w:r>
        <w:t xml:space="preserve"> </w:t>
      </w:r>
      <w:r>
        <w:t xml:space="preserve">“</w:t>
      </w:r>
      <w:r>
        <w:t xml:space="preserve">secondary</w:t>
      </w:r>
      <w:r>
        <w:t xml:space="preserve">”</w:t>
      </w:r>
      <w:r>
        <w:t xml:space="preserve"> </w:t>
      </w:r>
      <w:r>
        <w:t xml:space="preserve">means taken from a law-firm, regulator-hosted or press summary and still carrying</w:t>
      </w:r>
      <w:r>
        <w:t xml:space="preserve"> </w:t>
      </w:r>
      <w:r>
        <w:rPr>
          <w:rStyle w:val="VerbatimChar"/>
        </w:rPr>
        <w:t xml:space="preserve">[VERIFY]</w:t>
      </w:r>
      <w:r>
        <w:t xml:space="preserve">. Commit each official text, with its SHA-256 hash and date, to</w:t>
      </w:r>
      <w:r>
        <w:t xml:space="preserve"> </w:t>
      </w:r>
      <w:r>
        <w:rPr>
          <w:rStyle w:val="VerbatimChar"/>
        </w:rPr>
        <w:t xml:space="preserve">docs/regulations/rbi/</w:t>
      </w:r>
      <w:r>
        <w:t xml:space="preserve"> </w:t>
      </w:r>
      <w:r>
        <w:t xml:space="preserve">(RBI) or</w:t>
      </w:r>
      <w:r>
        <w:t xml:space="preserve"> </w:t>
      </w:r>
      <w:r>
        <w:rPr>
          <w:rStyle w:val="VerbatimChar"/>
        </w:rPr>
        <w:t xml:space="preserve">docs/regulations/other/</w:t>
      </w:r>
      <w:r>
        <w:t xml:space="preserve"> </w:t>
      </w:r>
      <w:r>
        <w:t xml:space="preserve">(all others) before the module that cites it is built.</w:t>
      </w:r>
    </w:p>
    <w:p>
      <w:pPr>
        <w:pStyle w:val="BodyText"/>
      </w:pPr>
      <w:r>
        <w:rPr>
          <w:bCs/>
          <w:b/>
        </w:rPr>
        <w:t xml:space="preserve">Aliases used in the Part 7 drafts.</w:t>
      </w:r>
      <w:r>
        <w:t xml:space="preserve"> </w:t>
      </w:r>
      <w:r>
        <w:rPr>
          <w:rStyle w:val="VerbatimChar"/>
        </w:rPr>
        <w:t xml:space="preserve">RB-IOS 2026</w:t>
      </w:r>
      <w:r>
        <w:t xml:space="preserve"> </w:t>
      </w:r>
      <w:r>
        <w:t xml:space="preserve">=</w:t>
      </w:r>
      <w:r>
        <w:t xml:space="preserve"> </w:t>
      </w:r>
      <w:r>
        <w:rPr>
          <w:rStyle w:val="VerbatimChar"/>
        </w:rPr>
        <w:t xml:space="preserve">RBIOS26</w:t>
      </w:r>
      <w:r>
        <w:t xml:space="preserve">;</w:t>
      </w:r>
      <w:r>
        <w:t xml:space="preserve"> </w:t>
      </w:r>
      <w:r>
        <w:rPr>
          <w:rStyle w:val="VerbatimChar"/>
        </w:rPr>
        <w:t xml:space="preserve">IO 2026</w:t>
      </w:r>
      <w:r>
        <w:t xml:space="preserve"> </w:t>
      </w:r>
      <w:r>
        <w:t xml:space="preserve">=</w:t>
      </w:r>
      <w:r>
        <w:t xml:space="preserve"> </w:t>
      </w:r>
      <w:r>
        <w:rPr>
          <w:rStyle w:val="VerbatimChar"/>
        </w:rPr>
        <w:t xml:space="preserve">IO26</w:t>
      </w:r>
      <w:r>
        <w:t xml:space="preserve">;</w:t>
      </w:r>
      <w:r>
        <w:t xml:space="preserve"> </w:t>
      </w:r>
      <w:r>
        <w:rPr>
          <w:rStyle w:val="VerbatimChar"/>
        </w:rPr>
        <w:t xml:space="preserve">CCPA-DP</w:t>
      </w:r>
      <w:r>
        <w:t xml:space="preserve"> </w:t>
      </w:r>
      <w:r>
        <w:t xml:space="preserve">and</w:t>
      </w:r>
      <w:r>
        <w:t xml:space="preserve"> </w:t>
      </w:r>
      <w:r>
        <w:rPr>
          <w:rStyle w:val="VerbatimChar"/>
        </w:rPr>
        <w:t xml:space="preserve">CCPA-MA</w:t>
      </w:r>
      <w:r>
        <w:t xml:space="preserve"> </w:t>
      </w:r>
      <w:r>
        <w:t xml:space="preserve">=</w:t>
      </w:r>
      <w:r>
        <w:t xml:space="preserve"> </w:t>
      </w:r>
      <w:r>
        <w:rPr>
          <w:rStyle w:val="VerbatimChar"/>
        </w:rPr>
        <w:t xml:space="preserve">CCPA</w:t>
      </w:r>
      <w:r>
        <w:t xml:space="preserve"> </w:t>
      </w:r>
      <w:r>
        <w:t xml:space="preserve">(dark patterns; misleading advertisements);</w:t>
      </w:r>
      <w:r>
        <w:t xml:space="preserve"> </w:t>
      </w:r>
      <w:r>
        <w:rPr>
          <w:rStyle w:val="VerbatimChar"/>
        </w:rPr>
        <w:t xml:space="preserve">SRO-MFIN</w:t>
      </w:r>
      <w:r>
        <w:t xml:space="preserve"> </w:t>
      </w:r>
      <w:r>
        <w:t xml:space="preserve">=</w:t>
      </w:r>
      <w:r>
        <w:t xml:space="preserve"> </w:t>
      </w:r>
      <w:r>
        <w:rPr>
          <w:rStyle w:val="VerbatimChar"/>
        </w:rPr>
        <w:t xml:space="preserve">MFIN</w:t>
      </w:r>
      <w:r>
        <w:t xml:space="preserve">;</w:t>
      </w:r>
      <w:r>
        <w:t xml:space="preserve"> </w:t>
      </w:r>
      <w:r>
        <w:rPr>
          <w:rStyle w:val="VerbatimChar"/>
        </w:rPr>
        <w:t xml:space="preserve">SCS-MH</w:t>
      </w:r>
      <w:r>
        <w:t xml:space="preserve"> </w:t>
      </w:r>
      <w:r>
        <w:t xml:space="preserve">and other</w:t>
      </w:r>
      <w:r>
        <w:t xml:space="preserve"> </w:t>
      </w:r>
      <w:r>
        <w:rPr>
          <w:rStyle w:val="VerbatimChar"/>
        </w:rPr>
        <w:t xml:space="preserve">SCS-[State]</w:t>
      </w:r>
      <w:r>
        <w:t xml:space="preserve"> </w:t>
      </w:r>
      <w:r>
        <w:t xml:space="preserve">=</w:t>
      </w:r>
      <w:r>
        <w:t xml:space="preserve"> </w:t>
      </w:r>
      <w:r>
        <w:rPr>
          <w:rStyle w:val="VerbatimChar"/>
        </w:rPr>
        <w:t xml:space="preserve">SCS</w:t>
      </w:r>
      <w:r>
        <w:t xml:space="preserve">;</w:t>
      </w:r>
      <w:r>
        <w:t xml:space="preserve"> </w:t>
      </w:r>
      <w:r>
        <w:rPr>
          <w:rStyle w:val="VerbatimChar"/>
        </w:rPr>
        <w:t xml:space="preserve">SEBI</w:t>
      </w:r>
      <w:r>
        <w:t xml:space="preserve"> </w:t>
      </w:r>
      <w:r>
        <w:t xml:space="preserve">used alone =</w:t>
      </w:r>
      <w:r>
        <w:t xml:space="preserve"> </w:t>
      </w:r>
      <w:r>
        <w:rPr>
          <w:rStyle w:val="VerbatimChar"/>
        </w:rPr>
        <w:t xml:space="preserve">SEBI-IA</w:t>
      </w:r>
      <w:r>
        <w:t xml:space="preserve"> </w:t>
      </w:r>
      <w:r>
        <w:t xml:space="preserve">or</w:t>
      </w:r>
      <w:r>
        <w:t xml:space="preserve"> </w:t>
      </w:r>
      <w:r>
        <w:rPr>
          <w:rStyle w:val="VerbatimChar"/>
        </w:rPr>
        <w:t xml:space="preserve">SEBI-MF</w:t>
      </w:r>
      <w:r>
        <w:t xml:space="preserve"> </w:t>
      </w:r>
      <w:r>
        <w:t xml:space="preserve">as the context shows;</w:t>
      </w:r>
      <w:r>
        <w:t xml:space="preserve"> </w:t>
      </w:r>
      <w:r>
        <w:rPr>
          <w:rStyle w:val="VerbatimChar"/>
        </w:rPr>
        <w:t xml:space="preserve">BR Act</w:t>
      </w:r>
      <w:r>
        <w:t xml:space="preserve"> </w:t>
      </w:r>
      <w:r>
        <w:t xml:space="preserve">=</w:t>
      </w:r>
      <w:r>
        <w:t xml:space="preserve"> </w:t>
      </w:r>
      <w:r>
        <w:rPr>
          <w:rStyle w:val="VerbatimChar"/>
        </w:rPr>
        <w:t xml:space="preserve">BRA</w:t>
      </w:r>
      <w:r>
        <w:t xml:space="preserve"> </w:t>
      </w:r>
      <w:r>
        <w:t xml:space="preserve">(never</w:t>
      </w:r>
      <w:r>
        <w:t xml:space="preserve"> </w:t>
      </w:r>
      <w:r>
        <w:rPr>
          <w:rStyle w:val="VerbatimChar"/>
        </w:rPr>
        <w:t xml:space="preserve">BR</w:t>
      </w:r>
      <w:r>
        <w:t xml:space="preserve">, the Branch Authorisation code);</w:t>
      </w:r>
      <w:r>
        <w:t xml:space="preserve"> </w:t>
      </w:r>
      <w:r>
        <w:rPr>
          <w:rStyle w:val="VerbatimChar"/>
        </w:rPr>
        <w:t xml:space="preserve">Companies Act</w:t>
      </w:r>
      <w:r>
        <w:t xml:space="preserve"> </w:t>
      </w:r>
      <w:r>
        <w:t xml:space="preserve">=</w:t>
      </w:r>
      <w:r>
        <w:t xml:space="preserve"> </w:t>
      </w:r>
      <w:r>
        <w:rPr>
          <w:rStyle w:val="VerbatimChar"/>
        </w:rPr>
        <w:t xml:space="preserve">CA13</w:t>
      </w:r>
      <w:r>
        <w:t xml:space="preserve">;</w:t>
      </w:r>
      <w:r>
        <w:t xml:space="preserve"> </w:t>
      </w:r>
      <w:r>
        <w:rPr>
          <w:rStyle w:val="VerbatimChar"/>
        </w:rPr>
        <w:t xml:space="preserve">PML Act</w:t>
      </w:r>
      <w:r>
        <w:t xml:space="preserve"> </w:t>
      </w:r>
      <w:r>
        <w:t xml:space="preserve">=</w:t>
      </w:r>
      <w:r>
        <w:t xml:space="preserve"> </w:t>
      </w:r>
      <w:r>
        <w:rPr>
          <w:rStyle w:val="VerbatimChar"/>
        </w:rPr>
        <w:t xml:space="preserve">PMLA</w:t>
      </w:r>
      <w:r>
        <w:t xml:space="preserve">; DAY-NRLM SHG guidelines (Ministry of Rural Development) are tagged with</w:t>
      </w:r>
      <w:r>
        <w:t xml:space="preserve"> </w:t>
      </w:r>
      <w:r>
        <w:rPr>
          <w:rStyle w:val="VerbatimChar"/>
        </w:rPr>
        <w:t xml:space="preserve">NABARD</w:t>
      </w:r>
      <w:r>
        <w:t xml:space="preserve"> </w:t>
      </w:r>
      <w:r>
        <w:t xml:space="preserve">and named in full; the tag</w:t>
      </w:r>
      <w:r>
        <w:t xml:space="preserve"> </w:t>
      </w:r>
      <w:r>
        <w:rPr>
          <w:rStyle w:val="VerbatimChar"/>
        </w:rPr>
        <w:t xml:space="preserve">[GUID]</w:t>
      </w:r>
      <w:r>
        <w:t xml:space="preserve"> </w:t>
      </w:r>
      <w:r>
        <w:t xml:space="preserve">marks non-binding guidance (</w:t>
      </w:r>
      <w:r>
        <w:rPr>
          <w:rStyle w:val="VerbatimChar"/>
        </w:rPr>
        <w:t xml:space="preserve">FREE-AI</w:t>
      </w:r>
      <w:r>
        <w:t xml:space="preserve">, ORM). Use the canonical code in the register.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33"/>
        <w:gridCol w:w="2426"/>
        <w:gridCol w:w="2700"/>
        <w:gridCol w:w="1750"/>
        <w:gridCol w:w="2129"/>
      </w:tblGrid>
      <w:tr>
        <w:trPr>
          <w:tblHeader w:val="true"/>
          <w:tblHeader w:val="true"/>
        </w:trPr>
        <w:tc>
          <w:tcPr>
            <w:tcW w:w="633" w:type="dxa"/>
            <w:shd w:val="clear" w:color="auto" w:fill="1F3A5F"/>
          </w:tcPr>
          <w:p>
            <w:pPr>
              <w:pStyle w:val="Compact"/>
              <w:spacing w:after="40"/>
              <w:jc w:val="left"/>
            </w:pPr>
            <w:r>
              <w:rPr>
                <w:b/>
                <w:color w:val="FFFFFF"/>
                <w:sz w:val="18"/>
              </w:rPr>
              <w:t xml:space="preserve">Code</w:t>
            </w:r>
          </w:p>
        </w:tc>
        <w:tc>
          <w:tcPr>
            <w:tcW w:w="2426" w:type="dxa"/>
            <w:shd w:val="clear" w:color="auto" w:fill="1F3A5F"/>
          </w:tcPr>
          <w:p>
            <w:pPr>
              <w:pStyle w:val="Compact"/>
              <w:spacing w:after="40"/>
              <w:jc w:val="left"/>
            </w:pPr>
            <w:r>
              <w:rPr>
                <w:b/>
                <w:color w:val="FFFFFF"/>
                <w:sz w:val="18"/>
              </w:rPr>
              <w:t xml:space="preserve">Instrument</w:t>
            </w:r>
          </w:p>
        </w:tc>
        <w:tc>
          <w:tcPr>
            <w:tcW w:w="2700" w:type="dxa"/>
            <w:shd w:val="clear" w:color="auto" w:fill="1F3A5F"/>
          </w:tcPr>
          <w:p>
            <w:pPr>
              <w:pStyle w:val="Compact"/>
              <w:spacing w:after="40"/>
              <w:jc w:val="left"/>
            </w:pPr>
            <w:r>
              <w:rPr>
                <w:b/>
                <w:color w:val="FFFFFF"/>
                <w:sz w:val="18"/>
              </w:rPr>
              <w:t xml:space="preserve">Issuer, number and date</w:t>
            </w:r>
          </w:p>
        </w:tc>
        <w:tc>
          <w:tcPr>
            <w:tcW w:w="1750" w:type="dxa"/>
            <w:shd w:val="clear" w:color="auto" w:fill="1F3A5F"/>
          </w:tcPr>
          <w:p>
            <w:pPr>
              <w:pStyle w:val="Compact"/>
              <w:spacing w:after="40"/>
              <w:jc w:val="left"/>
            </w:pPr>
            <w:r>
              <w:rPr>
                <w:b/>
                <w:color w:val="FFFFFF"/>
                <w:sz w:val="18"/>
              </w:rPr>
              <w:t xml:space="preserve">Status (23 Oct 2026)</w:t>
            </w:r>
          </w:p>
        </w:tc>
        <w:tc>
          <w:tcPr>
            <w:tcW w:w="2129" w:type="dxa"/>
            <w:shd w:val="clear" w:color="auto" w:fill="1F3A5F"/>
          </w:tcPr>
          <w:p>
            <w:pPr>
              <w:pStyle w:val="Compact"/>
              <w:spacing w:after="40"/>
              <w:jc w:val="left"/>
            </w:pPr>
            <w:r>
              <w:rPr>
                <w:b/>
                <w:color w:val="FFFFFF"/>
                <w:sz w:val="18"/>
              </w:rPr>
              <w:t xml:space="preserve">Where used in Udofin</w:t>
            </w:r>
          </w:p>
        </w:tc>
      </w:tr>
      <w:tr>
        <w:tc>
          <w:tcPr>
            <w:tcW w:w="633" w:type="dxa"/>
          </w:tcPr>
          <w:p>
            <w:pPr>
              <w:pStyle w:val="Compact"/>
              <w:spacing w:after="40"/>
              <w:jc w:val="left"/>
            </w:pPr>
            <w:r>
              <w:rPr>
                <w:sz w:val="18"/>
              </w:rPr>
              <w:t xml:space="preserve">RBIOS26</w:t>
            </w:r>
          </w:p>
        </w:tc>
        <w:tc>
          <w:tcPr>
            <w:tcW w:w="2426" w:type="dxa"/>
          </w:tcPr>
          <w:p>
            <w:pPr>
              <w:pStyle w:val="Compact"/>
              <w:spacing w:after="40"/>
              <w:jc w:val="left"/>
            </w:pPr>
            <w:r>
              <w:rPr>
                <w:sz w:val="18"/>
              </w:rPr>
              <w:t xml:space="preserve">Reserve Bank – Integrated Ombudsman Scheme, 2026</w:t>
            </w:r>
          </w:p>
        </w:tc>
        <w:tc>
          <w:tcPr>
            <w:tcW w:w="2700" w:type="dxa"/>
          </w:tcPr>
          <w:p>
            <w:pPr>
              <w:pStyle w:val="Compact"/>
              <w:spacing w:after="40"/>
              <w:jc w:val="left"/>
            </w:pPr>
            <w:r>
              <w:rPr>
                <w:sz w:val="18"/>
              </w:rPr>
              <w:t xml:space="preserve">RBI; notified 16 Jan 2026 (No. 2025-2026/1936); effective 1 Jul 2026; the 2021 Scheme continues for complaints received earlier (cl.20). NBFC coverage cl.1(3)(b): deposit-taking, or customer interface and assets of ₹100 crore or more; HFCs, CICs, IDF-NBFCs, IFCs, NOFHCs, PDs and MGCs excluded. Complaint within 90 days after the RE’s 30-day period or its last reply (cl.10(1)(g)); compensation up to ₹30 lakh plus ₹3 lakh; appeal to the ED in charge of CEPD within 30 days (extendable by 30)</w:t>
            </w:r>
          </w:p>
        </w:tc>
        <w:tc>
          <w:tcPr>
            <w:tcW w:w="1750" w:type="dxa"/>
          </w:tcPr>
          <w:p>
            <w:pPr>
              <w:pStyle w:val="Compact"/>
              <w:spacing w:after="40"/>
              <w:jc w:val="left"/>
            </w:pPr>
            <w:r>
              <w:rPr>
                <w:sz w:val="18"/>
              </w:rPr>
              <w:t xml:space="preserve">Issue and dates confirmed (RBI press release); clause numbers from a bank-hosted copy [VERIFY: official text and numbering]</w:t>
            </w:r>
          </w:p>
        </w:tc>
        <w:tc>
          <w:tcPr>
            <w:tcW w:w="2129" w:type="dxa"/>
          </w:tcPr>
          <w:p>
            <w:pPr>
              <w:pStyle w:val="Compact"/>
              <w:spacing w:after="40"/>
              <w:jc w:val="left"/>
            </w:pPr>
            <w:r>
              <w:rPr>
                <w:sz w:val="18"/>
              </w:rPr>
              <w:t xml:space="preserve">U15; Part 7C UB3 (tiers T3’–T5, clock rules, redress profile), UB4 (case pack, representative); Part 7B UP2 section 10, UP3 P4</w:t>
            </w:r>
          </w:p>
        </w:tc>
      </w:tr>
      <w:tr>
        <w:tc>
          <w:tcPr>
            <w:tcW w:w="633" w:type="dxa"/>
          </w:tcPr>
          <w:p>
            <w:pPr>
              <w:pStyle w:val="Compact"/>
              <w:spacing w:after="40"/>
              <w:jc w:val="left"/>
            </w:pPr>
            <w:r>
              <w:rPr>
                <w:sz w:val="18"/>
              </w:rPr>
              <w:t xml:space="preserve">IO26</w:t>
            </w:r>
          </w:p>
        </w:tc>
        <w:tc>
          <w:tcPr>
            <w:tcW w:w="2426" w:type="dxa"/>
          </w:tcPr>
          <w:p>
            <w:pPr>
              <w:pStyle w:val="Compact"/>
              <w:spacing w:after="40"/>
              <w:jc w:val="left"/>
            </w:pPr>
            <w:r>
              <w:rPr>
                <w:sz w:val="18"/>
              </w:rPr>
              <w:t xml:space="preserve">RBI (Non-Banking Financial Companies – Internal Ombudsman) Directions, 2026</w:t>
            </w:r>
          </w:p>
        </w:tc>
        <w:tc>
          <w:tcPr>
            <w:tcW w:w="2700" w:type="dxa"/>
          </w:tcPr>
          <w:p>
            <w:pPr>
              <w:pStyle w:val="Compact"/>
              <w:spacing w:after="40"/>
              <w:jc w:val="left"/>
            </w:pPr>
            <w:r>
              <w:rPr>
                <w:sz w:val="18"/>
              </w:rPr>
              <w:t xml:space="preserve">RBI; issued 14 Jan 2026, replacing the 2023 Directions. NBFC-D with 10 or more branches; NBFC-ND with assets of ₹5,000 crore or more and a public interface; HFCs and CICs excluded. Partly or wholly rejected complaints auto-escalated within 20 days; final reply within 30 days</w:t>
            </w:r>
          </w:p>
        </w:tc>
        <w:tc>
          <w:tcPr>
            <w:tcW w:w="1750" w:type="dxa"/>
          </w:tcPr>
          <w:p>
            <w:pPr>
              <w:pStyle w:val="Compact"/>
              <w:spacing w:after="40"/>
              <w:jc w:val="left"/>
            </w:pPr>
            <w:r>
              <w:rPr>
                <w:sz w:val="18"/>
              </w:rPr>
              <w:t xml:space="preserve">Secondary [VERIFY: paragraph numbers]</w:t>
            </w:r>
          </w:p>
        </w:tc>
        <w:tc>
          <w:tcPr>
            <w:tcW w:w="2129" w:type="dxa"/>
          </w:tcPr>
          <w:p>
            <w:pPr>
              <w:pStyle w:val="Compact"/>
              <w:spacing w:after="40"/>
              <w:jc w:val="left"/>
            </w:pPr>
            <w:r>
              <w:rPr>
                <w:sz w:val="18"/>
              </w:rPr>
              <w:t xml:space="preserve">U1 (IO applicability); U15; UB3 (tier T3,</w:t>
            </w:r>
            <w:r>
              <w:rPr>
                <w:sz w:val="18"/>
              </w:rPr>
              <w:t xml:space="preserve"> </w:t>
            </w:r>
            <w:r>
              <w:rPr>
                <w:rStyle w:val="VerbatimChar"/>
                <w:sz w:val="18"/>
              </w:rPr>
              <w:t xml:space="preserve">io_applicable</w:t>
            </w:r>
            <w:r>
              <w:rPr>
                <w:sz w:val="18"/>
              </w:rPr>
              <w:t xml:space="preserve">); UP2 section 10</w:t>
            </w:r>
          </w:p>
        </w:tc>
      </w:tr>
      <w:tr>
        <w:tc>
          <w:tcPr>
            <w:tcW w:w="633" w:type="dxa"/>
          </w:tcPr>
          <w:p>
            <w:pPr>
              <w:pStyle w:val="Compact"/>
              <w:spacing w:after="40"/>
              <w:jc w:val="left"/>
            </w:pPr>
            <w:r>
              <w:rPr>
                <w:sz w:val="18"/>
              </w:rPr>
              <w:t xml:space="preserve">RBC (Second Amendment)</w:t>
            </w:r>
          </w:p>
        </w:tc>
        <w:tc>
          <w:tcPr>
            <w:tcW w:w="2426" w:type="dxa"/>
          </w:tcPr>
          <w:p>
            <w:pPr>
              <w:pStyle w:val="Compact"/>
              <w:spacing w:after="40"/>
              <w:jc w:val="left"/>
            </w:pPr>
            <w:r>
              <w:rPr>
                <w:sz w:val="18"/>
              </w:rPr>
              <w:t xml:space="preserve">RBI (NBFCs – Responsible Business Conduct) Second Amendment Directions, 2026 — Chapter IIIA, sales practices (separate versions per RE type)</w:t>
            </w:r>
          </w:p>
        </w:tc>
        <w:tc>
          <w:tcPr>
            <w:tcW w:w="2700" w:type="dxa"/>
          </w:tcPr>
          <w:p>
            <w:pPr>
              <w:pStyle w:val="Compact"/>
              <w:spacing w:after="40"/>
              <w:jc w:val="left"/>
            </w:pPr>
            <w:r>
              <w:rPr>
                <w:sz w:val="18"/>
              </w:rPr>
              <w:t xml:space="preserve">RBI; issued 15 Jun 2026; effective 1 Jan 2027. NBFC paragraphs reported as 101G (product-specific explicit consent, kept 1 year), 101I (default</w:t>
            </w:r>
            <w:r>
              <w:rPr>
                <w:sz w:val="18"/>
              </w:rPr>
              <w:t xml:space="preserve"> </w:t>
            </w:r>
            <w:r>
              <w:rPr>
                <w:sz w:val="18"/>
              </w:rPr>
              <w:t xml:space="preserve">“</w:t>
            </w:r>
            <w:r>
              <w:rPr>
                <w:sz w:val="18"/>
              </w:rPr>
              <w:t xml:space="preserve">No</w:t>
            </w:r>
            <w:r>
              <w:rPr>
                <w:sz w:val="18"/>
              </w:rPr>
              <w:t xml:space="preserve">”</w:t>
            </w:r>
            <w:r>
              <w:rPr>
                <w:sz w:val="18"/>
              </w:rPr>
              <w:t xml:space="preserve">), 101M (unsubscribe as easy as subscribe), 101Q (separate forms), 101V (no compulsory bundling), 101W (no loan-funding of add-ons without explicit consent), 101X (no dark patterns; UI audit), 101Y–Z (refund, compensation, feedback within 30 days)</w:t>
            </w:r>
          </w:p>
        </w:tc>
        <w:tc>
          <w:tcPr>
            <w:tcW w:w="1750" w:type="dxa"/>
          </w:tcPr>
          <w:p>
            <w:pPr>
              <w:pStyle w:val="Compact"/>
              <w:spacing w:after="40"/>
              <w:jc w:val="left"/>
            </w:pPr>
            <w:r>
              <w:rPr>
                <w:sz w:val="18"/>
              </w:rPr>
              <w:t xml:space="preserve">Issue and dates confirmed; paragraph numbers and content from secondary sources [VERIFY: final NBFC text; whether an LSP is a DSA or DMA; final para 101O calling hours]</w:t>
            </w:r>
          </w:p>
        </w:tc>
        <w:tc>
          <w:tcPr>
            <w:tcW w:w="2129" w:type="dxa"/>
          </w:tcPr>
          <w:p>
            <w:pPr>
              <w:pStyle w:val="Compact"/>
              <w:spacing w:after="40"/>
              <w:jc w:val="left"/>
            </w:pPr>
            <w:r>
              <w:rPr>
                <w:sz w:val="18"/>
              </w:rPr>
              <w:t xml:space="preserve">U4, U16; Part 7D FW4; Part 7F XP2.2, XP4; Part 7G RV2.3, RV4.1; applied by Udofin as policy from v1.2</w:t>
            </w:r>
          </w:p>
        </w:tc>
      </w:tr>
      <w:tr>
        <w:tc>
          <w:tcPr>
            <w:tcW w:w="633" w:type="dxa"/>
          </w:tcPr>
          <w:p>
            <w:pPr>
              <w:pStyle w:val="Compact"/>
              <w:spacing w:after="40"/>
              <w:jc w:val="left"/>
            </w:pPr>
            <w:r>
              <w:rPr>
                <w:sz w:val="18"/>
              </w:rPr>
              <w:t xml:space="preserve">RBC (Third Amendment)</w:t>
            </w:r>
          </w:p>
        </w:tc>
        <w:tc>
          <w:tcPr>
            <w:tcW w:w="2426" w:type="dxa"/>
          </w:tcPr>
          <w:p>
            <w:pPr>
              <w:pStyle w:val="Compact"/>
              <w:spacing w:after="40"/>
              <w:jc w:val="left"/>
            </w:pPr>
            <w:r>
              <w:rPr>
                <w:sz w:val="18"/>
              </w:rPr>
              <w:t xml:space="preserve">RBI (NBFCs – Responsible Business Conduct) Third Amendment Directions, 2026</w:t>
            </w:r>
          </w:p>
        </w:tc>
        <w:tc>
          <w:tcPr>
            <w:tcW w:w="2700" w:type="dxa"/>
          </w:tcPr>
          <w:p>
            <w:pPr>
              <w:pStyle w:val="Compact"/>
              <w:spacing w:after="40"/>
              <w:jc w:val="left"/>
            </w:pPr>
            <w:r>
              <w:rPr>
                <w:sz w:val="18"/>
              </w:rPr>
              <w:t xml:space="preserve">RBI/2026-27/230; 6 Aug 2026; in force 1 Jan 2027; paras 89–100 replaced by Section J, paras 100A–100AB</w:t>
            </w:r>
          </w:p>
        </w:tc>
        <w:tc>
          <w:tcPr>
            <w:tcW w:w="1750" w:type="dxa"/>
          </w:tcPr>
          <w:p>
            <w:pPr>
              <w:pStyle w:val="Compact"/>
              <w:spacing w:after="40"/>
              <w:jc w:val="left"/>
            </w:pPr>
            <w:r>
              <w:rPr>
                <w:sz w:val="18"/>
              </w:rPr>
              <w:t xml:space="preserve">Confirmed from the RBI notification (Id=13672); official text not committed [VERIFY]</w:t>
            </w:r>
          </w:p>
        </w:tc>
        <w:tc>
          <w:tcPr>
            <w:tcW w:w="2129" w:type="dxa"/>
          </w:tcPr>
          <w:p>
            <w:pPr>
              <w:pStyle w:val="Compact"/>
              <w:spacing w:after="40"/>
              <w:jc w:val="left"/>
            </w:pPr>
            <w:r>
              <w:rPr>
                <w:sz w:val="18"/>
              </w:rPr>
              <w:t xml:space="preserve">Part 7A (unchanged from v1.1); Part 7B UP2 section 8, UP5; Part 7E MG2.8; Part 7G RV1 (S04, para 100Q); Part 7H RA5.3, RA5.5 (para 100P)</w:t>
            </w:r>
          </w:p>
        </w:tc>
      </w:tr>
      <w:tr>
        <w:tc>
          <w:tcPr>
            <w:tcW w:w="633" w:type="dxa"/>
          </w:tcPr>
          <w:p>
            <w:pPr>
              <w:pStyle w:val="Compact"/>
              <w:spacing w:after="40"/>
              <w:jc w:val="left"/>
            </w:pPr>
            <w:r>
              <w:rPr>
                <w:sz w:val="18"/>
              </w:rPr>
              <w:t xml:space="preserve">CIC-AMD</w:t>
            </w:r>
          </w:p>
        </w:tc>
        <w:tc>
          <w:tcPr>
            <w:tcW w:w="2426" w:type="dxa"/>
          </w:tcPr>
          <w:p>
            <w:pPr>
              <w:pStyle w:val="Compact"/>
              <w:spacing w:after="40"/>
              <w:jc w:val="left"/>
            </w:pPr>
            <w:r>
              <w:rPr>
                <w:sz w:val="18"/>
              </w:rPr>
              <w:t xml:space="preserve">RBI (Credit Information Companies) Amendment Directions, 2025, read with the RBI (Credit Information Companies) Directions, 2025 (updated 1 Jul 2026)</w:t>
            </w:r>
          </w:p>
        </w:tc>
        <w:tc>
          <w:tcPr>
            <w:tcW w:w="2700" w:type="dxa"/>
          </w:tcPr>
          <w:p>
            <w:pPr>
              <w:pStyle w:val="Compact"/>
              <w:spacing w:after="40"/>
              <w:jc w:val="left"/>
            </w:pPr>
            <w:r>
              <w:rPr>
                <w:sz w:val="18"/>
              </w:rPr>
              <w:t xml:space="preserve">RBI/DOR/2025-26/119; DoR.FIN.REC.No.326/20.16.056/2025-26; 4 Dec 2025; in force 1 Jul 2026 (CIC side). The CI-side amendment (RBI/DOR/2025-26/117; DOR.FIN.REC.No.324) stays under</w:t>
            </w:r>
            <w:r>
              <w:rPr>
                <w:sz w:val="18"/>
              </w:rPr>
              <w:t xml:space="preserve"> </w:t>
            </w:r>
            <w:r>
              <w:rPr>
                <w:rStyle w:val="VerbatimChar"/>
                <w:sz w:val="18"/>
              </w:rPr>
              <w:t xml:space="preserve">CIR</w:t>
            </w:r>
            <w:r>
              <w:rPr>
                <w:sz w:val="18"/>
              </w:rPr>
              <w:t xml:space="preserve"> </w:t>
            </w:r>
            <w:r>
              <w:rPr>
                <w:sz w:val="18"/>
              </w:rPr>
              <w:t xml:space="preserve">in 8A.0.2</w:t>
            </w:r>
          </w:p>
        </w:tc>
        <w:tc>
          <w:tcPr>
            <w:tcW w:w="1750" w:type="dxa"/>
          </w:tcPr>
          <w:p>
            <w:pPr>
              <w:pStyle w:val="Compact"/>
              <w:spacing w:after="40"/>
              <w:jc w:val="left"/>
            </w:pPr>
            <w:r>
              <w:rPr>
                <w:sz w:val="18"/>
              </w:rPr>
              <w:t xml:space="preserve">Amendment confirmed (RBI notification Id=13189); limits, if any, on CIC consumer-partner channels in the consolidated CIC Directions not read [VERIFY]</w:t>
            </w:r>
          </w:p>
        </w:tc>
        <w:tc>
          <w:tcPr>
            <w:tcW w:w="2129" w:type="dxa"/>
          </w:tcPr>
          <w:p>
            <w:pPr>
              <w:pStyle w:val="Compact"/>
              <w:spacing w:after="40"/>
              <w:jc w:val="left"/>
            </w:pPr>
            <w:r>
              <w:rPr>
                <w:sz w:val="18"/>
              </w:rPr>
              <w:t xml:space="preserve">Part 7D FW1 (partner-channel terms, refresh and marketing use); Part 7C UB3 (credit-information route)</w:t>
            </w:r>
          </w:p>
        </w:tc>
      </w:tr>
      <w:tr>
        <w:tc>
          <w:tcPr>
            <w:tcW w:w="633" w:type="dxa"/>
          </w:tcPr>
          <w:p>
            <w:pPr>
              <w:pStyle w:val="Compact"/>
              <w:spacing w:after="40"/>
              <w:jc w:val="left"/>
            </w:pPr>
            <w:r>
              <w:rPr>
                <w:sz w:val="18"/>
              </w:rPr>
              <w:t xml:space="preserve">EMD</w:t>
            </w:r>
          </w:p>
        </w:tc>
        <w:tc>
          <w:tcPr>
            <w:tcW w:w="2426" w:type="dxa"/>
          </w:tcPr>
          <w:p>
            <w:pPr>
              <w:pStyle w:val="Compact"/>
              <w:spacing w:after="40"/>
              <w:jc w:val="left"/>
            </w:pPr>
            <w:r>
              <w:rPr>
                <w:sz w:val="18"/>
              </w:rPr>
              <w:t xml:space="preserve">Reserve Bank of India (Digital Payments – E-mandate Framework) Directions, 2026</w:t>
            </w:r>
          </w:p>
        </w:tc>
        <w:tc>
          <w:tcPr>
            <w:tcW w:w="2700" w:type="dxa"/>
          </w:tcPr>
          <w:p>
            <w:pPr>
              <w:pStyle w:val="Compact"/>
              <w:spacing w:after="40"/>
              <w:jc w:val="left"/>
            </w:pPr>
            <w:r>
              <w:rPr>
                <w:sz w:val="18"/>
              </w:rPr>
              <w:t xml:space="preserve">RBI/DPSS/2026-27/396; 21 Apr 2026; in force immediately. No additional factor up to ₹15,000 per debit (₹1,00,000 for insurance, MF and credit-card bills); pre-debit notice at least 24 hours before; opt-out with AFA; no charge to the customer (para 10(a))</w:t>
            </w:r>
          </w:p>
        </w:tc>
        <w:tc>
          <w:tcPr>
            <w:tcW w:w="1750" w:type="dxa"/>
          </w:tcPr>
          <w:p>
            <w:pPr>
              <w:pStyle w:val="Compact"/>
              <w:spacing w:after="40"/>
              <w:jc w:val="left"/>
            </w:pPr>
            <w:r>
              <w:rPr>
                <w:sz w:val="18"/>
              </w:rPr>
              <w:t xml:space="preserve">Confirmed (RBI Master Direction)</w:t>
            </w:r>
          </w:p>
        </w:tc>
        <w:tc>
          <w:tcPr>
            <w:tcW w:w="2129" w:type="dxa"/>
          </w:tcPr>
          <w:p>
            <w:pPr>
              <w:pStyle w:val="Compact"/>
              <w:spacing w:after="40"/>
              <w:jc w:val="left"/>
            </w:pPr>
            <w:r>
              <w:rPr>
                <w:sz w:val="18"/>
              </w:rPr>
              <w:t xml:space="preserve">Part 7G RV1.1 (mandate-charge ban), RV3.3; Part 7D FW4 (subscription renewals); Part 7F XP2.3 (premium debits)</w:t>
            </w:r>
          </w:p>
        </w:tc>
      </w:tr>
      <w:tr>
        <w:tc>
          <w:tcPr>
            <w:tcW w:w="633" w:type="dxa"/>
          </w:tcPr>
          <w:p>
            <w:pPr>
              <w:pStyle w:val="Compact"/>
              <w:spacing w:after="40"/>
              <w:jc w:val="left"/>
            </w:pPr>
            <w:r>
              <w:rPr>
                <w:sz w:val="18"/>
              </w:rPr>
              <w:t xml:space="preserve">PA</w:t>
            </w:r>
          </w:p>
        </w:tc>
        <w:tc>
          <w:tcPr>
            <w:tcW w:w="2426" w:type="dxa"/>
          </w:tcPr>
          <w:p>
            <w:pPr>
              <w:pStyle w:val="Compact"/>
              <w:spacing w:after="40"/>
              <w:jc w:val="left"/>
            </w:pPr>
            <w:r>
              <w:rPr>
                <w:sz w:val="18"/>
              </w:rPr>
              <w:t xml:space="preserve">RBI (Regulation of Payment Aggregators) Directions, 2025</w:t>
            </w:r>
          </w:p>
        </w:tc>
        <w:tc>
          <w:tcPr>
            <w:tcW w:w="2700" w:type="dxa"/>
          </w:tcPr>
          <w:p>
            <w:pPr>
              <w:pStyle w:val="Compact"/>
              <w:spacing w:after="40"/>
              <w:jc w:val="left"/>
            </w:pPr>
            <w:r>
              <w:rPr>
                <w:sz w:val="18"/>
              </w:rPr>
              <w:t xml:space="preserve">RBI; 15 Sep 2025</w:t>
            </w:r>
          </w:p>
        </w:tc>
        <w:tc>
          <w:tcPr>
            <w:tcW w:w="1750" w:type="dxa"/>
          </w:tcPr>
          <w:p>
            <w:pPr>
              <w:pStyle w:val="Compact"/>
              <w:spacing w:after="40"/>
              <w:jc w:val="left"/>
            </w:pPr>
            <w:r>
              <w:rPr>
                <w:sz w:val="18"/>
              </w:rPr>
              <w:t xml:space="preserve">Confirmed (in v1.1 Sources)</w:t>
            </w:r>
          </w:p>
        </w:tc>
        <w:tc>
          <w:tcPr>
            <w:tcW w:w="2129" w:type="dxa"/>
          </w:tcPr>
          <w:p>
            <w:pPr>
              <w:pStyle w:val="Compact"/>
              <w:spacing w:after="40"/>
              <w:jc w:val="left"/>
            </w:pPr>
            <w:r>
              <w:rPr>
                <w:sz w:val="18"/>
              </w:rPr>
              <w:t xml:space="preserve">Part 4.3 (unchanged); Part 7G RV3 (Razorpay is the PA; Udofin is a merchant for its own revenue only)</w:t>
            </w:r>
          </w:p>
        </w:tc>
      </w:tr>
      <w:tr>
        <w:tc>
          <w:tcPr>
            <w:tcW w:w="633" w:type="dxa"/>
          </w:tcPr>
          <w:p>
            <w:pPr>
              <w:pStyle w:val="Compact"/>
              <w:spacing w:after="40"/>
              <w:jc w:val="left"/>
            </w:pPr>
            <w:r>
              <w:rPr>
                <w:sz w:val="18"/>
              </w:rPr>
              <w:t xml:space="preserve">NPCI-BBPS</w:t>
            </w:r>
          </w:p>
        </w:tc>
        <w:tc>
          <w:tcPr>
            <w:tcW w:w="2426" w:type="dxa"/>
          </w:tcPr>
          <w:p>
            <w:pPr>
              <w:pStyle w:val="Compact"/>
              <w:spacing w:after="40"/>
              <w:jc w:val="left"/>
            </w:pPr>
            <w:r>
              <w:rPr>
                <w:sz w:val="18"/>
              </w:rPr>
              <w:t xml:space="preserve">RBI Master Direction on the Bharat Bill Payment System, 2024, with NPCI Bharat BillPay procedural guidelines</w:t>
            </w:r>
          </w:p>
        </w:tc>
        <w:tc>
          <w:tcPr>
            <w:tcW w:w="2700" w:type="dxa"/>
          </w:tcPr>
          <w:p>
            <w:pPr>
              <w:pStyle w:val="Compact"/>
              <w:spacing w:after="40"/>
              <w:jc w:val="left"/>
            </w:pPr>
            <w:r>
              <w:rPr>
                <w:sz w:val="18"/>
              </w:rPr>
              <w:t xml:space="preserve">RBI; 29 Feb 2024; NPCI Bharat BillPay Ltd guidelines</w:t>
            </w:r>
          </w:p>
        </w:tc>
        <w:tc>
          <w:tcPr>
            <w:tcW w:w="1750" w:type="dxa"/>
          </w:tcPr>
          <w:p>
            <w:pPr>
              <w:pStyle w:val="Compact"/>
              <w:spacing w:after="40"/>
              <w:jc w:val="left"/>
            </w:pPr>
            <w:r>
              <w:rPr>
                <w:sz w:val="18"/>
              </w:rPr>
              <w:t xml:space="preserve">Secondary [VERIFY: agent-institution conditions]</w:t>
            </w:r>
          </w:p>
        </w:tc>
        <w:tc>
          <w:tcPr>
            <w:tcW w:w="2129" w:type="dxa"/>
          </w:tcPr>
          <w:p>
            <w:pPr>
              <w:pStyle w:val="Compact"/>
              <w:spacing w:after="40"/>
              <w:jc w:val="left"/>
            </w:pPr>
            <w:r>
              <w:rPr>
                <w:sz w:val="18"/>
              </w:rPr>
              <w:t xml:space="preserve">Part 7F XP1.2, XP3 (BBPS agent candidate; feasibility-gated)</w:t>
            </w:r>
          </w:p>
        </w:tc>
      </w:tr>
      <w:tr>
        <w:tc>
          <w:tcPr>
            <w:tcW w:w="633" w:type="dxa"/>
          </w:tcPr>
          <w:p>
            <w:pPr>
              <w:pStyle w:val="Compact"/>
              <w:spacing w:after="40"/>
              <w:jc w:val="left"/>
            </w:pPr>
            <w:r>
              <w:rPr>
                <w:sz w:val="18"/>
              </w:rPr>
              <w:t xml:space="preserve">FREE-AI</w:t>
            </w:r>
          </w:p>
        </w:tc>
        <w:tc>
          <w:tcPr>
            <w:tcW w:w="2426" w:type="dxa"/>
          </w:tcPr>
          <w:p>
            <w:pPr>
              <w:pStyle w:val="Compact"/>
              <w:spacing w:after="40"/>
              <w:jc w:val="left"/>
            </w:pPr>
            <w:r>
              <w:rPr>
                <w:sz w:val="18"/>
              </w:rPr>
              <w:t xml:space="preserve">Report of the Committee on the Framework for Responsible and Ethical Enablement of AI (FREE-AI)</w:t>
            </w:r>
          </w:p>
        </w:tc>
        <w:tc>
          <w:tcPr>
            <w:tcW w:w="2700" w:type="dxa"/>
          </w:tcPr>
          <w:p>
            <w:pPr>
              <w:pStyle w:val="Compact"/>
              <w:spacing w:after="40"/>
              <w:jc w:val="left"/>
            </w:pPr>
            <w:r>
              <w:rPr>
                <w:sz w:val="18"/>
              </w:rPr>
              <w:t xml:space="preserve">RBI; 13 Aug 2025; guidance, not a Direction (strength flag</w:t>
            </w:r>
            <w:r>
              <w:rPr>
                <w:sz w:val="18"/>
              </w:rPr>
              <w:t xml:space="preserve"> </w:t>
            </w:r>
            <w:r>
              <w:rPr>
                <w:sz w:val="18"/>
              </w:rPr>
              <w:t xml:space="preserve">“</w:t>
            </w:r>
            <w:r>
              <w:rPr>
                <w:sz w:val="18"/>
              </w:rPr>
              <w:t xml:space="preserve">guidance</w:t>
            </w:r>
            <w:r>
              <w:rPr>
                <w:sz w:val="18"/>
              </w:rPr>
              <w:t xml:space="preserve">”</w:t>
            </w:r>
            <w:r>
              <w:rPr>
                <w:sz w:val="18"/>
              </w:rPr>
              <w:t xml:space="preserve">, never reported as a statutory breach)</w:t>
            </w:r>
          </w:p>
        </w:tc>
        <w:tc>
          <w:tcPr>
            <w:tcW w:w="1750" w:type="dxa"/>
          </w:tcPr>
          <w:p>
            <w:pPr>
              <w:pStyle w:val="Compact"/>
              <w:spacing w:after="40"/>
              <w:jc w:val="left"/>
            </w:pPr>
            <w:r>
              <w:rPr>
                <w:sz w:val="18"/>
              </w:rPr>
              <w:t xml:space="preserve">Confirmed (in v1.1 Sources) [VERIFY: number of recommendations]</w:t>
            </w:r>
          </w:p>
        </w:tc>
        <w:tc>
          <w:tcPr>
            <w:tcW w:w="2129" w:type="dxa"/>
          </w:tcPr>
          <w:p>
            <w:pPr>
              <w:pStyle w:val="Compact"/>
              <w:spacing w:after="40"/>
              <w:jc w:val="left"/>
            </w:pPr>
            <w:r>
              <w:rPr>
                <w:sz w:val="18"/>
              </w:rPr>
              <w:t xml:space="preserve">U20; Part 7B UP1 (AI-use disclosure), UP3 P9; Part 7C UB3; Part 7H RA1.2 (R15), RA5.4</w:t>
            </w:r>
          </w:p>
        </w:tc>
      </w:tr>
      <w:tr>
        <w:tc>
          <w:tcPr>
            <w:tcW w:w="633" w:type="dxa"/>
          </w:tcPr>
          <w:p>
            <w:pPr>
              <w:pStyle w:val="Compact"/>
              <w:spacing w:after="40"/>
              <w:jc w:val="left"/>
            </w:pPr>
            <w:r>
              <w:rPr>
                <w:sz w:val="18"/>
              </w:rPr>
              <w:t xml:space="preserve">DPDP</w:t>
            </w:r>
          </w:p>
        </w:tc>
        <w:tc>
          <w:tcPr>
            <w:tcW w:w="2426" w:type="dxa"/>
          </w:tcPr>
          <w:p>
            <w:pPr>
              <w:pStyle w:val="Compact"/>
              <w:spacing w:after="40"/>
              <w:jc w:val="left"/>
            </w:pPr>
            <w:r>
              <w:rPr>
                <w:sz w:val="18"/>
              </w:rPr>
              <w:t xml:space="preserve">Digital Personal Data Protection Act, 2023 and DPDP Rules, 2025</w:t>
            </w:r>
          </w:p>
        </w:tc>
        <w:tc>
          <w:tcPr>
            <w:tcW w:w="2700" w:type="dxa"/>
          </w:tcPr>
          <w:p>
            <w:pPr>
              <w:pStyle w:val="Compact"/>
              <w:spacing w:after="40"/>
              <w:jc w:val="left"/>
            </w:pPr>
            <w:r>
              <w:rPr>
                <w:sz w:val="18"/>
              </w:rPr>
              <w:t xml:space="preserve">Act 22 of 2023; Rules G.S.R. 846(E), 13 Nov 2025: Board rules in force; Consent Manager rule from 13 Nov 2026; substantive rules (notice, breach, rights, 90-day grievance response) from 13 May 2027. No portability right</w:t>
            </w:r>
          </w:p>
        </w:tc>
        <w:tc>
          <w:tcPr>
            <w:tcW w:w="1750" w:type="dxa"/>
          </w:tcPr>
          <w:p>
            <w:pPr>
              <w:pStyle w:val="Compact"/>
              <w:spacing w:after="40"/>
              <w:jc w:val="left"/>
            </w:pPr>
            <w:r>
              <w:rPr>
                <w:sz w:val="18"/>
              </w:rPr>
              <w:t xml:space="preserve">Confirmed; proposal to bring the 13 May 2027 date forward not notified [VERIFY]</w:t>
            </w:r>
          </w:p>
        </w:tc>
        <w:tc>
          <w:tcPr>
            <w:tcW w:w="2129" w:type="dxa"/>
          </w:tcPr>
          <w:p>
            <w:pPr>
              <w:pStyle w:val="Compact"/>
              <w:spacing w:after="40"/>
              <w:jc w:val="left"/>
            </w:pPr>
            <w:r>
              <w:rPr>
                <w:sz w:val="18"/>
              </w:rPr>
              <w:t xml:space="preserve">U3, U4; Part 7C UB1 (s.11 summary; export as policy), UB3 (personal-data route; s.13), UB1 (s.14 nominee); Part 7D (Udofin as Data Fiduciary); Part 7E (society as fiduciary, Udofin as processor); Part 7G RV4.3 (s.9(3) children); Part 7H RA2.4 (s.7)</w:t>
            </w:r>
          </w:p>
        </w:tc>
      </w:tr>
      <w:tr>
        <w:tc>
          <w:tcPr>
            <w:tcW w:w="633" w:type="dxa"/>
          </w:tcPr>
          <w:p>
            <w:pPr>
              <w:pStyle w:val="Compact"/>
              <w:spacing w:after="40"/>
              <w:jc w:val="left"/>
            </w:pPr>
            <w:r>
              <w:rPr>
                <w:sz w:val="18"/>
              </w:rPr>
              <w:t xml:space="preserve">ITA25</w:t>
            </w:r>
          </w:p>
        </w:tc>
        <w:tc>
          <w:tcPr>
            <w:tcW w:w="2426" w:type="dxa"/>
          </w:tcPr>
          <w:p>
            <w:pPr>
              <w:pStyle w:val="Compact"/>
              <w:spacing w:after="40"/>
              <w:jc w:val="left"/>
            </w:pPr>
            <w:r>
              <w:rPr>
                <w:sz w:val="18"/>
              </w:rPr>
              <w:t xml:space="preserve">Income-tax Act, 2025</w:t>
            </w:r>
          </w:p>
        </w:tc>
        <w:tc>
          <w:tcPr>
            <w:tcW w:w="2700" w:type="dxa"/>
          </w:tcPr>
          <w:p>
            <w:pPr>
              <w:pStyle w:val="Compact"/>
              <w:spacing w:after="40"/>
              <w:jc w:val="left"/>
            </w:pPr>
            <w:r>
              <w:rPr>
                <w:sz w:val="18"/>
              </w:rPr>
              <w:t xml:space="preserve">In force 1 Apr 2026; applies from tax year 2026-27. Used: s.22 (house-property interest and lender certificate), s.123 (old 80C), s.129 (old 80E), s.131–132 (old 80EEA–80EEB), s.202 (default regime), s.393 (TDS table), Form 131 (TDS certificate), Form 168 (annual statement)</w:t>
            </w:r>
          </w:p>
        </w:tc>
        <w:tc>
          <w:tcPr>
            <w:tcW w:w="1750" w:type="dxa"/>
          </w:tcPr>
          <w:p>
            <w:pPr>
              <w:pStyle w:val="Compact"/>
              <w:spacing w:after="40"/>
              <w:jc w:val="left"/>
            </w:pPr>
            <w:r>
              <w:rPr>
                <w:sz w:val="18"/>
              </w:rPr>
              <w:t xml:space="preserve">Act confirmed; section and form map from secondary concordances [VERIFY: official comparison table; s.131 as successor of 80EEA]</w:t>
            </w:r>
          </w:p>
        </w:tc>
        <w:tc>
          <w:tcPr>
            <w:tcW w:w="2129" w:type="dxa"/>
          </w:tcPr>
          <w:p>
            <w:pPr>
              <w:pStyle w:val="Compact"/>
              <w:spacing w:after="40"/>
              <w:jc w:val="left"/>
            </w:pPr>
            <w:r>
              <w:rPr>
                <w:sz w:val="18"/>
              </w:rPr>
              <w:t xml:space="preserve">U17; Part 7C UB2; Part 7G RV2.2 (Form 131 upload), RV1.3 (TDS position); Part 7E MG4.5 (cash-receipt limits)</w:t>
            </w:r>
          </w:p>
        </w:tc>
      </w:tr>
      <w:tr>
        <w:tc>
          <w:tcPr>
            <w:tcW w:w="633" w:type="dxa"/>
          </w:tcPr>
          <w:p>
            <w:pPr>
              <w:pStyle w:val="Compact"/>
              <w:spacing w:after="40"/>
              <w:jc w:val="left"/>
            </w:pPr>
            <w:r>
              <w:rPr>
                <w:sz w:val="18"/>
              </w:rPr>
              <w:t xml:space="preserve">ITA61</w:t>
            </w:r>
          </w:p>
        </w:tc>
        <w:tc>
          <w:tcPr>
            <w:tcW w:w="2426" w:type="dxa"/>
          </w:tcPr>
          <w:p>
            <w:pPr>
              <w:pStyle w:val="Compact"/>
              <w:spacing w:after="40"/>
              <w:jc w:val="left"/>
            </w:pPr>
            <w:r>
              <w:rPr>
                <w:sz w:val="18"/>
              </w:rPr>
              <w:t xml:space="preserve">Income-tax Act, 1961</w:t>
            </w:r>
          </w:p>
        </w:tc>
        <w:tc>
          <w:tcPr>
            <w:tcW w:w="2700" w:type="dxa"/>
          </w:tcPr>
          <w:p>
            <w:pPr>
              <w:pStyle w:val="Compact"/>
              <w:spacing w:after="40"/>
              <w:jc w:val="left"/>
            </w:pPr>
            <w:r>
              <w:rPr>
                <w:sz w:val="18"/>
              </w:rPr>
              <w:t xml:space="preserve">Governs documents for FY 2025-26 and earlier</w:t>
            </w:r>
          </w:p>
        </w:tc>
        <w:tc>
          <w:tcPr>
            <w:tcW w:w="1750" w:type="dxa"/>
          </w:tcPr>
          <w:p>
            <w:pPr>
              <w:pStyle w:val="Compact"/>
              <w:spacing w:after="40"/>
              <w:jc w:val="left"/>
            </w:pPr>
            <w:r>
              <w:rPr>
                <w:sz w:val="18"/>
              </w:rPr>
              <w:t xml:space="preserve">Confirmed [VERIFY: CBDT transition guidance]</w:t>
            </w:r>
          </w:p>
        </w:tc>
        <w:tc>
          <w:tcPr>
            <w:tcW w:w="2129" w:type="dxa"/>
          </w:tcPr>
          <w:p>
            <w:pPr>
              <w:pStyle w:val="Compact"/>
              <w:spacing w:after="40"/>
              <w:jc w:val="left"/>
            </w:pPr>
            <w:r>
              <w:rPr>
                <w:sz w:val="18"/>
              </w:rPr>
              <w:t xml:space="preserve">Part 7C UB2 (transition); U17</w:t>
            </w:r>
          </w:p>
        </w:tc>
      </w:tr>
      <w:tr>
        <w:tc>
          <w:tcPr>
            <w:tcW w:w="633" w:type="dxa"/>
          </w:tcPr>
          <w:p>
            <w:pPr>
              <w:pStyle w:val="Compact"/>
              <w:spacing w:after="40"/>
              <w:jc w:val="left"/>
            </w:pPr>
            <w:r>
              <w:rPr>
                <w:sz w:val="18"/>
              </w:rPr>
              <w:t xml:space="preserve">GST</w:t>
            </w:r>
          </w:p>
        </w:tc>
        <w:tc>
          <w:tcPr>
            <w:tcW w:w="2426" w:type="dxa"/>
          </w:tcPr>
          <w:p>
            <w:pPr>
              <w:pStyle w:val="Compact"/>
              <w:spacing w:after="40"/>
              <w:jc w:val="left"/>
            </w:pPr>
            <w:r>
              <w:rPr>
                <w:sz w:val="18"/>
              </w:rPr>
              <w:t xml:space="preserve">Central Goods and Services Tax Act, 2017; Integrated Goods and Services Tax Act, 2017; CGST Rules, 2017</w:t>
            </w:r>
          </w:p>
        </w:tc>
        <w:tc>
          <w:tcPr>
            <w:tcW w:w="2700" w:type="dxa"/>
          </w:tcPr>
          <w:p>
            <w:pPr>
              <w:pStyle w:val="Compact"/>
              <w:spacing w:after="40"/>
              <w:jc w:val="left"/>
            </w:pPr>
            <w:r>
              <w:rPr>
                <w:sz w:val="18"/>
              </w:rPr>
              <w:t xml:space="preserve">Rule 46 (tax invoice); Notification 12/2017-Central Tax (Rate), entry 27(a) (interest exempt); e-invoicing above ₹5 crore aggregate turnover</w:t>
            </w:r>
          </w:p>
        </w:tc>
        <w:tc>
          <w:tcPr>
            <w:tcW w:w="1750" w:type="dxa"/>
          </w:tcPr>
          <w:p>
            <w:pPr>
              <w:pStyle w:val="Compact"/>
              <w:spacing w:after="40"/>
              <w:jc w:val="left"/>
            </w:pPr>
            <w:r>
              <w:rPr>
                <w:sz w:val="18"/>
              </w:rPr>
              <w:t xml:space="preserve">In force [VERIFY: SAC and rate per fee; entry wording; e-invoicing threshold]</w:t>
            </w:r>
          </w:p>
        </w:tc>
        <w:tc>
          <w:tcPr>
            <w:tcW w:w="2129" w:type="dxa"/>
          </w:tcPr>
          <w:p>
            <w:pPr>
              <w:pStyle w:val="Compact"/>
              <w:spacing w:after="40"/>
              <w:jc w:val="left"/>
            </w:pPr>
            <w:r>
              <w:rPr>
                <w:sz w:val="18"/>
              </w:rPr>
              <w:t xml:space="preserve">U17; Part 7C UB2 (business-borrower GST details; RE invoices for charges); Part 7G RV1.3, RV3.6</w:t>
            </w:r>
          </w:p>
        </w:tc>
      </w:tr>
      <w:tr>
        <w:tc>
          <w:tcPr>
            <w:tcW w:w="633" w:type="dxa"/>
          </w:tcPr>
          <w:p>
            <w:pPr>
              <w:pStyle w:val="Compact"/>
              <w:spacing w:after="40"/>
              <w:jc w:val="left"/>
            </w:pPr>
            <w:r>
              <w:rPr>
                <w:sz w:val="18"/>
              </w:rPr>
              <w:t xml:space="preserve">CICRA</w:t>
            </w:r>
          </w:p>
        </w:tc>
        <w:tc>
          <w:tcPr>
            <w:tcW w:w="2426" w:type="dxa"/>
          </w:tcPr>
          <w:p>
            <w:pPr>
              <w:pStyle w:val="Compact"/>
              <w:spacing w:after="40"/>
              <w:jc w:val="left"/>
            </w:pPr>
            <w:r>
              <w:rPr>
                <w:sz w:val="18"/>
              </w:rPr>
              <w:t xml:space="preserve">Credit Information Companies (Regulation) Act, 2005; CIC Rules, 2006; CIC Regulations, 2006; RBI circular DBR.CID.BC.No.11/20.16.042/2016-17 (free annual full credit report)</w:t>
            </w:r>
          </w:p>
        </w:tc>
        <w:tc>
          <w:tcPr>
            <w:tcW w:w="2700" w:type="dxa"/>
          </w:tcPr>
          <w:p>
            <w:pPr>
              <w:pStyle w:val="Compact"/>
              <w:spacing w:after="40"/>
              <w:jc w:val="left"/>
            </w:pPr>
            <w:r>
              <w:rPr>
                <w:sz w:val="18"/>
              </w:rPr>
              <w:t xml:space="preserve">Act 30 of 2005; reg 3 (specified users, amended 10 Nov 2021; RBI criteria by press release of 5 Jan 2022); reg 9 (a person may know their own credit information); circular of 1 Sep 2016</w:t>
            </w:r>
          </w:p>
        </w:tc>
        <w:tc>
          <w:tcPr>
            <w:tcW w:w="1750" w:type="dxa"/>
          </w:tcPr>
          <w:p>
            <w:pPr>
              <w:pStyle w:val="Compact"/>
              <w:spacing w:after="40"/>
              <w:jc w:val="left"/>
            </w:pPr>
            <w:r>
              <w:rPr>
                <w:sz w:val="18"/>
              </w:rPr>
              <w:t xml:space="preserve">In force; reg 9 text from secondary [VERIFY]; 2019 RBI instruction on unregulated access [VERIFY: reference]</w:t>
            </w:r>
          </w:p>
        </w:tc>
        <w:tc>
          <w:tcPr>
            <w:tcW w:w="2129" w:type="dxa"/>
          </w:tcPr>
          <w:p>
            <w:pPr>
              <w:pStyle w:val="Compact"/>
              <w:spacing w:after="40"/>
              <w:jc w:val="left"/>
            </w:pPr>
            <w:r>
              <w:rPr>
                <w:sz w:val="18"/>
              </w:rPr>
              <w:t xml:space="preserve">U6; Part 7D FW1–FW2; Part 7B UP4 (society CIC membership); Part 7C UB3</w:t>
            </w:r>
          </w:p>
        </w:tc>
      </w:tr>
      <w:tr>
        <w:tc>
          <w:tcPr>
            <w:tcW w:w="633" w:type="dxa"/>
          </w:tcPr>
          <w:p>
            <w:pPr>
              <w:pStyle w:val="Compact"/>
              <w:spacing w:after="40"/>
              <w:jc w:val="left"/>
            </w:pPr>
            <w:r>
              <w:rPr>
                <w:sz w:val="18"/>
              </w:rPr>
              <w:t xml:space="preserve">MSCS</w:t>
            </w:r>
          </w:p>
        </w:tc>
        <w:tc>
          <w:tcPr>
            <w:tcW w:w="2426" w:type="dxa"/>
          </w:tcPr>
          <w:p>
            <w:pPr>
              <w:pStyle w:val="Compact"/>
              <w:spacing w:after="40"/>
              <w:jc w:val="left"/>
            </w:pPr>
            <w:r>
              <w:rPr>
                <w:sz w:val="18"/>
              </w:rPr>
              <w:t xml:space="preserve">Multi-State Co-operative Societies Act, 2002 (as amended by the Amendment Act, 2023) and MSCS Rules, 2023; CRCS prudential norms for credit MSCS</w:t>
            </w:r>
          </w:p>
        </w:tc>
        <w:tc>
          <w:tcPr>
            <w:tcW w:w="2700" w:type="dxa"/>
          </w:tcPr>
          <w:p>
            <w:pPr>
              <w:pStyle w:val="Compact"/>
              <w:spacing w:after="40"/>
              <w:jc w:val="left"/>
            </w:pPr>
            <w:r>
              <w:rPr>
                <w:sz w:val="18"/>
              </w:rPr>
              <w:t xml:space="preserve">Amendment Act notified 3 Aug 2023; Rules 4 Aug 2023; CRCS Order L-11012/01/2023-Reg, 22 Jan 2024; CRCS model bye-laws. Used: s.67 (deposits only from voting members), s.84 (disputes), s.85A (Co-operative Ombudsman), s.120 (returns)</w:t>
            </w:r>
          </w:p>
        </w:tc>
        <w:tc>
          <w:tcPr>
            <w:tcW w:w="1750" w:type="dxa"/>
          </w:tcPr>
          <w:p>
            <w:pPr>
              <w:pStyle w:val="Compact"/>
              <w:spacing w:after="40"/>
              <w:jc w:val="left"/>
            </w:pPr>
            <w:r>
              <w:rPr>
                <w:sz w:val="18"/>
              </w:rPr>
              <w:t xml:space="preserve">Act confirmed; section texts and the CRCS order from secondary sources [VERIFY]</w:t>
            </w:r>
          </w:p>
        </w:tc>
        <w:tc>
          <w:tcPr>
            <w:tcW w:w="2129" w:type="dxa"/>
          </w:tcPr>
          <w:p>
            <w:pPr>
              <w:pStyle w:val="Compact"/>
              <w:spacing w:after="40"/>
              <w:jc w:val="left"/>
            </w:pPr>
            <w:r>
              <w:rPr>
                <w:sz w:val="18"/>
              </w:rPr>
              <w:t xml:space="preserve">Part 7B UP4; Part 7E MG1; Part 7C UB3 (co-operative route); Part 7H RA2.1</w:t>
            </w:r>
          </w:p>
        </w:tc>
      </w:tr>
      <w:tr>
        <w:tc>
          <w:tcPr>
            <w:tcW w:w="633" w:type="dxa"/>
          </w:tcPr>
          <w:p>
            <w:pPr>
              <w:pStyle w:val="Compact"/>
              <w:spacing w:after="40"/>
              <w:jc w:val="left"/>
            </w:pPr>
            <w:r>
              <w:rPr>
                <w:sz w:val="18"/>
              </w:rPr>
              <w:t xml:space="preserve">SCS</w:t>
            </w:r>
          </w:p>
        </w:tc>
        <w:tc>
          <w:tcPr>
            <w:tcW w:w="2426" w:type="dxa"/>
          </w:tcPr>
          <w:p>
            <w:pPr>
              <w:pStyle w:val="Compact"/>
              <w:spacing w:after="40"/>
              <w:jc w:val="left"/>
            </w:pPr>
            <w:r>
              <w:rPr>
                <w:sz w:val="18"/>
              </w:rPr>
              <w:t xml:space="preserve">State co-operative societies Acts and rules, one rule pack per State (first:</w:t>
            </w:r>
            <w:r>
              <w:rPr>
                <w:sz w:val="18"/>
              </w:rPr>
              <w:t xml:space="preserve"> </w:t>
            </w:r>
            <w:r>
              <w:rPr>
                <w:rStyle w:val="VerbatimChar"/>
                <w:sz w:val="18"/>
              </w:rPr>
              <w:t xml:space="preserve">SCS-MH</w:t>
            </w:r>
            <w:r>
              <w:rPr>
                <w:sz w:val="18"/>
              </w:rPr>
              <w:t xml:space="preserve">, Maharashtra Co-operative Societies Act, 1960 and Rules, 1961: s.144-5A deposits, s.91 co-operative court, s.101 recovery certificate, s.48–49)</w:t>
            </w:r>
          </w:p>
        </w:tc>
        <w:tc>
          <w:tcPr>
            <w:tcW w:w="2700" w:type="dxa"/>
          </w:tcPr>
          <w:p>
            <w:pPr>
              <w:pStyle w:val="Compact"/>
              <w:spacing w:after="40"/>
              <w:jc w:val="left"/>
            </w:pPr>
            <w:r>
              <w:rPr>
                <w:sz w:val="18"/>
              </w:rPr>
              <w:t xml:space="preserve">State legislatures and Registrars</w:t>
            </w:r>
          </w:p>
        </w:tc>
        <w:tc>
          <w:tcPr>
            <w:tcW w:w="1750" w:type="dxa"/>
          </w:tcPr>
          <w:p>
            <w:pPr>
              <w:pStyle w:val="Compact"/>
              <w:spacing w:after="40"/>
              <w:jc w:val="left"/>
            </w:pPr>
            <w:r>
              <w:rPr>
                <w:sz w:val="18"/>
              </w:rPr>
              <w:t xml:space="preserve">In force; State notifications and other States not fetched [VERIFY per State]</w:t>
            </w:r>
          </w:p>
        </w:tc>
        <w:tc>
          <w:tcPr>
            <w:tcW w:w="2129" w:type="dxa"/>
          </w:tcPr>
          <w:p>
            <w:pPr>
              <w:pStyle w:val="Compact"/>
              <w:spacing w:after="40"/>
              <w:jc w:val="left"/>
            </w:pPr>
            <w:r>
              <w:rPr>
                <w:sz w:val="18"/>
              </w:rPr>
              <w:t xml:space="preserve">Part 7B UP4; Part 7E MG1.8; Part 7C UB3</w:t>
            </w:r>
          </w:p>
        </w:tc>
      </w:tr>
      <w:tr>
        <w:tc>
          <w:tcPr>
            <w:tcW w:w="633" w:type="dxa"/>
          </w:tcPr>
          <w:p>
            <w:pPr>
              <w:pStyle w:val="Compact"/>
              <w:spacing w:after="40"/>
              <w:jc w:val="left"/>
            </w:pPr>
            <w:r>
              <w:rPr>
                <w:sz w:val="18"/>
              </w:rPr>
              <w:t xml:space="preserve">BUDS</w:t>
            </w:r>
          </w:p>
        </w:tc>
        <w:tc>
          <w:tcPr>
            <w:tcW w:w="2426" w:type="dxa"/>
          </w:tcPr>
          <w:p>
            <w:pPr>
              <w:pStyle w:val="Compact"/>
              <w:spacing w:after="40"/>
              <w:jc w:val="left"/>
            </w:pPr>
            <w:r>
              <w:rPr>
                <w:sz w:val="18"/>
              </w:rPr>
              <w:t xml:space="preserve">Banning of Unregulated Deposit Schemes Act, 2019</w:t>
            </w:r>
          </w:p>
        </w:tc>
        <w:tc>
          <w:tcPr>
            <w:tcW w:w="2700" w:type="dxa"/>
          </w:tcPr>
          <w:p>
            <w:pPr>
              <w:pStyle w:val="Compact"/>
              <w:spacing w:after="40"/>
              <w:jc w:val="left"/>
            </w:pPr>
            <w:r>
              <w:rPr>
                <w:sz w:val="18"/>
              </w:rPr>
              <w:t xml:space="preserve">Act 21 of 2019; First Schedule items 4(i) (State co-operative society schemes) and 8 (MSCS deposits from voting members)</w:t>
            </w:r>
          </w:p>
        </w:tc>
        <w:tc>
          <w:tcPr>
            <w:tcW w:w="1750" w:type="dxa"/>
          </w:tcPr>
          <w:p>
            <w:pPr>
              <w:pStyle w:val="Compact"/>
              <w:spacing w:after="40"/>
              <w:jc w:val="left"/>
            </w:pPr>
            <w:r>
              <w:rPr>
                <w:sz w:val="18"/>
              </w:rPr>
              <w:t xml:space="preserve">Confirmed</w:t>
            </w:r>
          </w:p>
        </w:tc>
        <w:tc>
          <w:tcPr>
            <w:tcW w:w="2129" w:type="dxa"/>
          </w:tcPr>
          <w:p>
            <w:pPr>
              <w:pStyle w:val="Compact"/>
              <w:spacing w:after="40"/>
              <w:jc w:val="left"/>
            </w:pPr>
            <w:r>
              <w:rPr>
                <w:sz w:val="18"/>
              </w:rPr>
              <w:t xml:space="preserve">Part 7B UP4; Part 7E MG1 (deposit ban); Part 7G RV4.4 (prohibited ad category)</w:t>
            </w:r>
          </w:p>
        </w:tc>
      </w:tr>
      <w:tr>
        <w:tc>
          <w:tcPr>
            <w:tcW w:w="633" w:type="dxa"/>
          </w:tcPr>
          <w:p>
            <w:pPr>
              <w:pStyle w:val="Compact"/>
              <w:spacing w:after="40"/>
              <w:jc w:val="left"/>
            </w:pPr>
            <w:r>
              <w:rPr>
                <w:sz w:val="18"/>
              </w:rPr>
              <w:t xml:space="preserve">TRAI</w:t>
            </w:r>
          </w:p>
        </w:tc>
        <w:tc>
          <w:tcPr>
            <w:tcW w:w="2426" w:type="dxa"/>
          </w:tcPr>
          <w:p>
            <w:pPr>
              <w:pStyle w:val="Compact"/>
              <w:spacing w:after="40"/>
              <w:jc w:val="left"/>
            </w:pPr>
            <w:r>
              <w:rPr>
                <w:sz w:val="18"/>
              </w:rPr>
              <w:t xml:space="preserve">Telecom Commercial Communications Customer Preference Regulations, 2018 as amended; TRAI directions on number series</w:t>
            </w:r>
          </w:p>
        </w:tc>
        <w:tc>
          <w:tcPr>
            <w:tcW w:w="2700" w:type="dxa"/>
          </w:tcPr>
          <w:p>
            <w:pPr>
              <w:pStyle w:val="Compact"/>
              <w:spacing w:after="40"/>
              <w:jc w:val="left"/>
            </w:pPr>
            <w:r>
              <w:rPr>
                <w:sz w:val="18"/>
              </w:rPr>
              <w:t xml:space="preserve">Second Amendment 12 Feb 2025 (PR 11/2025): 140-series promotional, 1600-series service and transactional, 10-digit numbers barred for telemarketing; Direction of 19 Nov 2025 (RBI-regulated entities: banks 1 Jan 2026; NBFCs above ₹5,000 crore, payments banks and SFBs 1 Feb 2026; other NBFCs, co-operative banks and RRBs 1 Mar 2026); Direction of 16 Dec 2025 (IRDAI entities, 15 Feb 2026); clarification of 10 Jul 2026</w:t>
            </w:r>
          </w:p>
        </w:tc>
        <w:tc>
          <w:tcPr>
            <w:tcW w:w="1750" w:type="dxa"/>
          </w:tcPr>
          <w:p>
            <w:pPr>
              <w:pStyle w:val="Compact"/>
              <w:spacing w:after="40"/>
              <w:jc w:val="left"/>
            </w:pPr>
            <w:r>
              <w:rPr>
                <w:sz w:val="18"/>
              </w:rPr>
              <w:t xml:space="preserve">Confirmed; LSP eligibility for 1600 or 1601 numbers and calling on the RE’s number unresolved [VERIFY]</w:t>
            </w:r>
          </w:p>
        </w:tc>
        <w:tc>
          <w:tcPr>
            <w:tcW w:w="2129" w:type="dxa"/>
          </w:tcPr>
          <w:p>
            <w:pPr>
              <w:pStyle w:val="Compact"/>
              <w:spacing w:after="40"/>
              <w:jc w:val="left"/>
            </w:pPr>
            <w:r>
              <w:rPr>
                <w:sz w:val="18"/>
              </w:rPr>
              <w:t xml:space="preserve">U16; Part 7B UP1 (DD checklist), UP4; Part 7E MG2.8; Part 7G RV4.1; Part 7H RA5.3</w:t>
            </w:r>
          </w:p>
        </w:tc>
      </w:tr>
      <w:tr>
        <w:tc>
          <w:tcPr>
            <w:tcW w:w="633" w:type="dxa"/>
          </w:tcPr>
          <w:p>
            <w:pPr>
              <w:pStyle w:val="Compact"/>
              <w:spacing w:after="40"/>
              <w:jc w:val="left"/>
            </w:pPr>
            <w:r>
              <w:rPr>
                <w:sz w:val="18"/>
              </w:rPr>
              <w:t xml:space="preserve">IRDAI</w:t>
            </w:r>
          </w:p>
        </w:tc>
        <w:tc>
          <w:tcPr>
            <w:tcW w:w="2426" w:type="dxa"/>
          </w:tcPr>
          <w:p>
            <w:pPr>
              <w:pStyle w:val="Compact"/>
              <w:spacing w:after="40"/>
              <w:jc w:val="left"/>
            </w:pPr>
            <w:r>
              <w:rPr>
                <w:sz w:val="18"/>
              </w:rPr>
              <w:t xml:space="preserve">Insurance Act, 1938 as amended by the Sabka Bima Sabki Raksha (Amendment of Insurance Laws) Act, 2025; IRDAI intermediary regulations (Corporate Agents; Insurance Web Aggregators) as amended; IRDAI (Protection of Policyholders’ Interests) Regulations, 2024 and Master Circular of 5 Sep 2024; Insurance Ombudsman Rules, 2017</w:t>
            </w:r>
          </w:p>
        </w:tc>
        <w:tc>
          <w:tcPr>
            <w:tcW w:w="2700" w:type="dxa"/>
          </w:tcPr>
          <w:p>
            <w:pPr>
              <w:pStyle w:val="Compact"/>
              <w:spacing w:after="40"/>
              <w:jc w:val="left"/>
            </w:pPr>
            <w:r>
              <w:rPr>
                <w:sz w:val="18"/>
              </w:rPr>
              <w:t xml:space="preserve">IRDAI (Insurance Intermediaries) (Amendment) Regulations, 2026, F. No. IRDAI/Reg/8/222/2026, 30 Jul 2026: continuing registration with annual fee; fresh certificate by 31 Jan 2027 (31 Mar 2027 with extra fee); seller name and functional ID on documents from 1 Jan 2027; policy-wise records with remote IRDAI access. Insurance Act s.40 (commission only to licensed persons), s.42D(8) (penalties)</w:t>
            </w:r>
          </w:p>
        </w:tc>
        <w:tc>
          <w:tcPr>
            <w:tcW w:w="1750" w:type="dxa"/>
          </w:tcPr>
          <w:p>
            <w:pPr>
              <w:pStyle w:val="Compact"/>
              <w:spacing w:after="40"/>
              <w:jc w:val="left"/>
            </w:pPr>
            <w:r>
              <w:rPr>
                <w:sz w:val="18"/>
              </w:rPr>
              <w:t xml:space="preserve">2026 amendment from secondary sources; date of the 2025 amending Act, s.40 and s.42D(8) as amended, and the consolidated intermediary regulations [VERIFY]</w:t>
            </w:r>
          </w:p>
        </w:tc>
        <w:tc>
          <w:tcPr>
            <w:tcW w:w="2129" w:type="dxa"/>
          </w:tcPr>
          <w:p>
            <w:pPr>
              <w:pStyle w:val="Compact"/>
              <w:spacing w:after="40"/>
              <w:jc w:val="left"/>
            </w:pPr>
            <w:r>
              <w:rPr>
                <w:sz w:val="18"/>
              </w:rPr>
              <w:t xml:space="preserve">U4; Part 7F XP1–XP2; Part 7G RV1 (S11, S12); Part 7C UB3 (insurance route)</w:t>
            </w:r>
          </w:p>
        </w:tc>
      </w:tr>
      <w:tr>
        <w:tc>
          <w:tcPr>
            <w:tcW w:w="633" w:type="dxa"/>
          </w:tcPr>
          <w:p>
            <w:pPr>
              <w:pStyle w:val="Compact"/>
              <w:spacing w:after="40"/>
              <w:jc w:val="left"/>
            </w:pPr>
            <w:r>
              <w:rPr>
                <w:sz w:val="18"/>
              </w:rPr>
              <w:t xml:space="preserve">CCPA</w:t>
            </w:r>
          </w:p>
        </w:tc>
        <w:tc>
          <w:tcPr>
            <w:tcW w:w="2426" w:type="dxa"/>
          </w:tcPr>
          <w:p>
            <w:pPr>
              <w:pStyle w:val="Compact"/>
              <w:spacing w:after="40"/>
              <w:jc w:val="left"/>
            </w:pPr>
            <w:r>
              <w:rPr>
                <w:sz w:val="18"/>
              </w:rPr>
              <w:t xml:space="preserve">Guidelines for Prevention and Regulation of Dark Patterns, 2023; Guidelines for Prevention of Misleading Advertisements and Endorsements for Misleading Advertisements, 2022</w:t>
            </w:r>
          </w:p>
        </w:tc>
        <w:tc>
          <w:tcPr>
            <w:tcW w:w="2700" w:type="dxa"/>
          </w:tcPr>
          <w:p>
            <w:pPr>
              <w:pStyle w:val="Compact"/>
              <w:spacing w:after="40"/>
              <w:jc w:val="left"/>
            </w:pPr>
            <w:r>
              <w:rPr>
                <w:sz w:val="18"/>
              </w:rPr>
              <w:t xml:space="preserve">Central Consumer Protection Authority; 30 Nov 2023 (Annexure 1 list of specified dark patterns); 9 Jun 2022</w:t>
            </w:r>
          </w:p>
        </w:tc>
        <w:tc>
          <w:tcPr>
            <w:tcW w:w="1750" w:type="dxa"/>
          </w:tcPr>
          <w:p>
            <w:pPr>
              <w:pStyle w:val="Compact"/>
              <w:spacing w:after="40"/>
              <w:jc w:val="left"/>
            </w:pPr>
            <w:r>
              <w:rPr>
                <w:sz w:val="18"/>
              </w:rPr>
              <w:t xml:space="preserve">In force [VERIFY: current Annexure 1 list]</w:t>
            </w:r>
          </w:p>
        </w:tc>
        <w:tc>
          <w:tcPr>
            <w:tcW w:w="2129" w:type="dxa"/>
          </w:tcPr>
          <w:p>
            <w:pPr>
              <w:pStyle w:val="Compact"/>
              <w:spacing w:after="40"/>
              <w:jc w:val="left"/>
            </w:pPr>
            <w:r>
              <w:rPr>
                <w:sz w:val="18"/>
              </w:rPr>
              <w:t xml:space="preserve">CF para 7(4) Note (Part 4.6); Part 7B UP2 neutrality firewall; Part 7D FW4; Part 7F XP4.3; Part 7G RV1.5, RV2.3, RV4</w:t>
            </w:r>
          </w:p>
        </w:tc>
      </w:tr>
      <w:tr>
        <w:tc>
          <w:tcPr>
            <w:tcW w:w="633" w:type="dxa"/>
          </w:tcPr>
          <w:p>
            <w:pPr>
              <w:pStyle w:val="Compact"/>
              <w:spacing w:after="40"/>
              <w:jc w:val="left"/>
            </w:pPr>
            <w:r>
              <w:rPr>
                <w:sz w:val="18"/>
              </w:rPr>
              <w:t xml:space="preserve">CPA19</w:t>
            </w:r>
          </w:p>
        </w:tc>
        <w:tc>
          <w:tcPr>
            <w:tcW w:w="2426" w:type="dxa"/>
          </w:tcPr>
          <w:p>
            <w:pPr>
              <w:pStyle w:val="Compact"/>
              <w:spacing w:after="40"/>
              <w:jc w:val="left"/>
            </w:pPr>
            <w:r>
              <w:rPr>
                <w:sz w:val="18"/>
              </w:rPr>
              <w:t xml:space="preserve">Consumer Protection Act, 2019; Consumer Protection (E-Commerce) Rules, 2020</w:t>
            </w:r>
          </w:p>
        </w:tc>
        <w:tc>
          <w:tcPr>
            <w:tcW w:w="2700" w:type="dxa"/>
          </w:tcPr>
          <w:p>
            <w:pPr>
              <w:pStyle w:val="Compact"/>
              <w:spacing w:after="40"/>
              <w:jc w:val="left"/>
            </w:pPr>
            <w:r>
              <w:rPr>
                <w:sz w:val="18"/>
              </w:rPr>
              <w:t xml:space="preserve">Act 35 of 2019; National Consumer Helpline 1915; e-Daakhil</w:t>
            </w:r>
          </w:p>
        </w:tc>
        <w:tc>
          <w:tcPr>
            <w:tcW w:w="1750" w:type="dxa"/>
          </w:tcPr>
          <w:p>
            <w:pPr>
              <w:pStyle w:val="Compact"/>
              <w:spacing w:after="40"/>
              <w:jc w:val="left"/>
            </w:pPr>
            <w:r>
              <w:rPr>
                <w:sz w:val="18"/>
              </w:rPr>
              <w:t xml:space="preserve">In force [VERIFY: applicability of the E-Commerce Rules to Udofin’s paid plans]</w:t>
            </w:r>
          </w:p>
        </w:tc>
        <w:tc>
          <w:tcPr>
            <w:tcW w:w="2129" w:type="dxa"/>
          </w:tcPr>
          <w:p>
            <w:pPr>
              <w:pStyle w:val="Compact"/>
              <w:spacing w:after="40"/>
              <w:jc w:val="left"/>
            </w:pPr>
            <w:r>
              <w:rPr>
                <w:sz w:val="18"/>
              </w:rPr>
              <w:t xml:space="preserve">Part 7C UB3 (subscription route); Part 7D FW4 (G2 opinion); Part 7F XP4</w:t>
            </w:r>
          </w:p>
        </w:tc>
      </w:tr>
      <w:tr>
        <w:tc>
          <w:tcPr>
            <w:tcW w:w="633" w:type="dxa"/>
          </w:tcPr>
          <w:p>
            <w:pPr>
              <w:pStyle w:val="Compact"/>
              <w:spacing w:after="40"/>
              <w:jc w:val="left"/>
            </w:pPr>
            <w:r>
              <w:rPr>
                <w:sz w:val="18"/>
              </w:rPr>
              <w:t xml:space="preserve">SEBI-IA</w:t>
            </w:r>
          </w:p>
        </w:tc>
        <w:tc>
          <w:tcPr>
            <w:tcW w:w="2426" w:type="dxa"/>
          </w:tcPr>
          <w:p>
            <w:pPr>
              <w:pStyle w:val="Compact"/>
              <w:spacing w:after="40"/>
              <w:jc w:val="left"/>
            </w:pPr>
            <w:r>
              <w:rPr>
                <w:sz w:val="18"/>
              </w:rPr>
              <w:t xml:space="preserve">SEBI (Investment Advisers) Regulations, 2013, as amended</w:t>
            </w:r>
          </w:p>
        </w:tc>
        <w:tc>
          <w:tcPr>
            <w:tcW w:w="2700" w:type="dxa"/>
          </w:tcPr>
          <w:p>
            <w:pPr>
              <w:pStyle w:val="Compact"/>
              <w:spacing w:after="40"/>
              <w:jc w:val="left"/>
            </w:pPr>
            <w:r>
              <w:rPr>
                <w:sz w:val="18"/>
              </w:rPr>
              <w:t xml:space="preserve">SEBI; Board decision of 27 Jun 2024 (PR 12/2024) barring association with unregistered persons giving advice or return claims</w:t>
            </w:r>
          </w:p>
        </w:tc>
        <w:tc>
          <w:tcPr>
            <w:tcW w:w="1750" w:type="dxa"/>
          </w:tcPr>
          <w:p>
            <w:pPr>
              <w:pStyle w:val="Compact"/>
              <w:spacing w:after="40"/>
              <w:jc w:val="left"/>
            </w:pPr>
            <w:r>
              <w:rPr>
                <w:sz w:val="18"/>
              </w:rPr>
              <w:t xml:space="preserve">In force [VERIFY: December 2024 amendments]</w:t>
            </w:r>
          </w:p>
        </w:tc>
        <w:tc>
          <w:tcPr>
            <w:tcW w:w="2129" w:type="dxa"/>
          </w:tcPr>
          <w:p>
            <w:pPr>
              <w:pStyle w:val="Compact"/>
              <w:spacing w:after="40"/>
              <w:jc w:val="left"/>
            </w:pPr>
            <w:r>
              <w:rPr>
                <w:sz w:val="18"/>
              </w:rPr>
              <w:t xml:space="preserve">Part 7D FW3 (no advice); Part 7F XP3; Part 7G RV4.4</w:t>
            </w:r>
          </w:p>
        </w:tc>
      </w:tr>
      <w:tr>
        <w:tc>
          <w:tcPr>
            <w:tcW w:w="633" w:type="dxa"/>
          </w:tcPr>
          <w:p>
            <w:pPr>
              <w:pStyle w:val="Compact"/>
              <w:spacing w:after="40"/>
              <w:jc w:val="left"/>
            </w:pPr>
            <w:r>
              <w:rPr>
                <w:sz w:val="18"/>
              </w:rPr>
              <w:t xml:space="preserve">SEBI-MF</w:t>
            </w:r>
          </w:p>
        </w:tc>
        <w:tc>
          <w:tcPr>
            <w:tcW w:w="2426" w:type="dxa"/>
          </w:tcPr>
          <w:p>
            <w:pPr>
              <w:pStyle w:val="Compact"/>
              <w:spacing w:after="40"/>
              <w:jc w:val="left"/>
            </w:pPr>
            <w:r>
              <w:rPr>
                <w:sz w:val="18"/>
              </w:rPr>
              <w:t xml:space="preserve">SEBI (Mutual Funds) Regulations, 1996 and the execution-only platform framework</w:t>
            </w:r>
          </w:p>
        </w:tc>
        <w:tc>
          <w:tcPr>
            <w:tcW w:w="2700" w:type="dxa"/>
          </w:tcPr>
          <w:p>
            <w:pPr>
              <w:pStyle w:val="Compact"/>
              <w:spacing w:after="40"/>
              <w:jc w:val="left"/>
            </w:pPr>
            <w:r>
              <w:rPr>
                <w:sz w:val="18"/>
              </w:rPr>
              <w:t xml:space="preserve">SEBI</w:t>
            </w:r>
          </w:p>
        </w:tc>
        <w:tc>
          <w:tcPr>
            <w:tcW w:w="1750" w:type="dxa"/>
          </w:tcPr>
          <w:p>
            <w:pPr>
              <w:pStyle w:val="Compact"/>
              <w:spacing w:after="40"/>
              <w:jc w:val="left"/>
            </w:pPr>
            <w:r>
              <w:rPr>
                <w:sz w:val="18"/>
              </w:rPr>
              <w:t xml:space="preserve">In force [VERIFY: EOP framework status and eligibility]</w:t>
            </w:r>
          </w:p>
        </w:tc>
        <w:tc>
          <w:tcPr>
            <w:tcW w:w="2129" w:type="dxa"/>
          </w:tcPr>
          <w:p>
            <w:pPr>
              <w:pStyle w:val="Compact"/>
              <w:spacing w:after="40"/>
              <w:jc w:val="left"/>
            </w:pPr>
            <w:r>
              <w:rPr>
                <w:sz w:val="18"/>
              </w:rPr>
              <w:t xml:space="preserve">Part 7F XP1.2, XP3; Part 7G RV4.4</w:t>
            </w:r>
          </w:p>
        </w:tc>
      </w:tr>
      <w:tr>
        <w:tc>
          <w:tcPr>
            <w:tcW w:w="633" w:type="dxa"/>
          </w:tcPr>
          <w:p>
            <w:pPr>
              <w:pStyle w:val="Compact"/>
              <w:spacing w:after="40"/>
              <w:jc w:val="left"/>
            </w:pPr>
            <w:r>
              <w:rPr>
                <w:sz w:val="18"/>
              </w:rPr>
              <w:t xml:space="preserve">AMFI</w:t>
            </w:r>
          </w:p>
        </w:tc>
        <w:tc>
          <w:tcPr>
            <w:tcW w:w="2426" w:type="dxa"/>
          </w:tcPr>
          <w:p>
            <w:pPr>
              <w:pStyle w:val="Compact"/>
              <w:spacing w:after="40"/>
              <w:jc w:val="left"/>
            </w:pPr>
            <w:r>
              <w:rPr>
                <w:sz w:val="18"/>
              </w:rPr>
              <w:t xml:space="preserve">AMFI registration (ARN), NISM Series V-A certification and the AMFI code of conduct for distributors</w:t>
            </w:r>
          </w:p>
        </w:tc>
        <w:tc>
          <w:tcPr>
            <w:tcW w:w="2700" w:type="dxa"/>
          </w:tcPr>
          <w:p>
            <w:pPr>
              <w:pStyle w:val="Compact"/>
              <w:spacing w:after="40"/>
              <w:jc w:val="left"/>
            </w:pPr>
            <w:r>
              <w:rPr>
                <w:sz w:val="18"/>
              </w:rPr>
              <w:t xml:space="preserve">AMFI; NISM</w:t>
            </w:r>
          </w:p>
        </w:tc>
        <w:tc>
          <w:tcPr>
            <w:tcW w:w="1750" w:type="dxa"/>
          </w:tcPr>
          <w:p>
            <w:pPr>
              <w:pStyle w:val="Compact"/>
              <w:spacing w:after="40"/>
              <w:jc w:val="left"/>
            </w:pPr>
            <w:r>
              <w:rPr>
                <w:sz w:val="18"/>
              </w:rPr>
              <w:t xml:space="preserve">Market framework [VERIFY]</w:t>
            </w:r>
          </w:p>
        </w:tc>
        <w:tc>
          <w:tcPr>
            <w:tcW w:w="2129" w:type="dxa"/>
          </w:tcPr>
          <w:p>
            <w:pPr>
              <w:pStyle w:val="Compact"/>
              <w:spacing w:after="40"/>
              <w:jc w:val="left"/>
            </w:pPr>
            <w:r>
              <w:rPr>
                <w:sz w:val="18"/>
              </w:rPr>
              <w:t xml:space="preserve">Part 7F XP1.2, XP3; Part 7G RV4.4</w:t>
            </w:r>
          </w:p>
        </w:tc>
      </w:tr>
      <w:tr>
        <w:tc>
          <w:tcPr>
            <w:tcW w:w="633" w:type="dxa"/>
          </w:tcPr>
          <w:p>
            <w:pPr>
              <w:pStyle w:val="Compact"/>
              <w:spacing w:after="40"/>
              <w:jc w:val="left"/>
            </w:pPr>
            <w:r>
              <w:rPr>
                <w:sz w:val="18"/>
              </w:rPr>
              <w:t xml:space="preserve">ASCI</w:t>
            </w:r>
          </w:p>
        </w:tc>
        <w:tc>
          <w:tcPr>
            <w:tcW w:w="2426" w:type="dxa"/>
          </w:tcPr>
          <w:p>
            <w:pPr>
              <w:pStyle w:val="Compact"/>
              <w:spacing w:after="40"/>
              <w:jc w:val="left"/>
            </w:pPr>
            <w:r>
              <w:rPr>
                <w:sz w:val="18"/>
              </w:rPr>
              <w:t xml:space="preserve">ASCI Code for Self-Regulation of Advertising Content in India, with its financial and influencer guidelines</w:t>
            </w:r>
          </w:p>
        </w:tc>
        <w:tc>
          <w:tcPr>
            <w:tcW w:w="2700" w:type="dxa"/>
          </w:tcPr>
          <w:p>
            <w:pPr>
              <w:pStyle w:val="Compact"/>
              <w:spacing w:after="40"/>
              <w:jc w:val="left"/>
            </w:pPr>
            <w:r>
              <w:rPr>
                <w:sz w:val="18"/>
              </w:rPr>
              <w:t xml:space="preserve">Advertising Standards Council of India</w:t>
            </w:r>
          </w:p>
        </w:tc>
        <w:tc>
          <w:tcPr>
            <w:tcW w:w="1750" w:type="dxa"/>
          </w:tcPr>
          <w:p>
            <w:pPr>
              <w:pStyle w:val="Compact"/>
              <w:spacing w:after="40"/>
              <w:jc w:val="left"/>
            </w:pPr>
            <w:r>
              <w:rPr>
                <w:sz w:val="18"/>
              </w:rPr>
              <w:t xml:space="preserve">Self-regulatory; binds advertisers, agencies and publishers [VERIFY: current finfluencer guidelines]</w:t>
            </w:r>
          </w:p>
        </w:tc>
        <w:tc>
          <w:tcPr>
            <w:tcW w:w="2129" w:type="dxa"/>
          </w:tcPr>
          <w:p>
            <w:pPr>
              <w:pStyle w:val="Compact"/>
              <w:spacing w:after="40"/>
              <w:jc w:val="left"/>
            </w:pPr>
            <w:r>
              <w:rPr>
                <w:sz w:val="18"/>
              </w:rPr>
              <w:t xml:space="preserve">Part 7G RV1.5, RV4</w:t>
            </w:r>
          </w:p>
        </w:tc>
      </w:tr>
      <w:tr>
        <w:tc>
          <w:tcPr>
            <w:tcW w:w="633" w:type="dxa"/>
          </w:tcPr>
          <w:p>
            <w:pPr>
              <w:pStyle w:val="Compact"/>
              <w:spacing w:after="40"/>
              <w:jc w:val="left"/>
            </w:pPr>
            <w:r>
              <w:rPr>
                <w:sz w:val="18"/>
              </w:rPr>
              <w:t xml:space="preserve">MFIN</w:t>
            </w:r>
          </w:p>
        </w:tc>
        <w:tc>
          <w:tcPr>
            <w:tcW w:w="2426" w:type="dxa"/>
          </w:tcPr>
          <w:p>
            <w:pPr>
              <w:pStyle w:val="Compact"/>
              <w:spacing w:after="40"/>
              <w:jc w:val="left"/>
            </w:pPr>
            <w:r>
              <w:rPr>
                <w:sz w:val="18"/>
              </w:rPr>
              <w:t xml:space="preserve">MFIN Guardrails 2.0 and the SRO code of conduct (MFI para 46)</w:t>
            </w:r>
          </w:p>
        </w:tc>
        <w:tc>
          <w:tcPr>
            <w:tcW w:w="2700" w:type="dxa"/>
          </w:tcPr>
          <w:p>
            <w:pPr>
              <w:pStyle w:val="Compact"/>
              <w:spacing w:after="40"/>
              <w:jc w:val="left"/>
            </w:pPr>
            <w:r>
              <w:rPr>
                <w:sz w:val="18"/>
              </w:rPr>
              <w:t xml:space="preserve">MFIN Directive 14, 25 Nov 2024 (at most 3 microfinance lenders; indebtedness up to ₹2 lakh; no new loan with any loan above ₹3,000 more than 60 DPD; processing fee up to 1.5% plus GST); MFIN compendium Jan 2025</w:t>
            </w:r>
          </w:p>
        </w:tc>
        <w:tc>
          <w:tcPr>
            <w:tcW w:w="1750" w:type="dxa"/>
          </w:tcPr>
          <w:p>
            <w:pPr>
              <w:pStyle w:val="Compact"/>
              <w:spacing w:after="40"/>
              <w:jc w:val="left"/>
            </w:pPr>
            <w:r>
              <w:rPr>
                <w:sz w:val="18"/>
              </w:rPr>
              <w:t xml:space="preserve">Self-regulatory; still current per CARE Ratings (20 Aug 2026) [VERIFY: Sa-Dhan code for non-MFIN REs]</w:t>
            </w:r>
          </w:p>
        </w:tc>
        <w:tc>
          <w:tcPr>
            <w:tcW w:w="2129" w:type="dxa"/>
          </w:tcPr>
          <w:p>
            <w:pPr>
              <w:pStyle w:val="Compact"/>
              <w:spacing w:after="40"/>
              <w:jc w:val="left"/>
            </w:pPr>
            <w:r>
              <w:rPr>
                <w:sz w:val="18"/>
              </w:rPr>
              <w:t xml:space="preserve">Part 7E MG2.4, MG2.9; Part 7F XP2.2 (no insurance cross-sell within one month of a microfinance disbursal)</w:t>
            </w:r>
          </w:p>
        </w:tc>
      </w:tr>
      <w:tr>
        <w:tc>
          <w:tcPr>
            <w:tcW w:w="633" w:type="dxa"/>
          </w:tcPr>
          <w:p>
            <w:pPr>
              <w:pStyle w:val="Compact"/>
              <w:spacing w:after="40"/>
              <w:jc w:val="left"/>
            </w:pPr>
            <w:r>
              <w:rPr>
                <w:sz w:val="18"/>
              </w:rPr>
              <w:t xml:space="preserve">KA15</w:t>
            </w:r>
          </w:p>
        </w:tc>
        <w:tc>
          <w:tcPr>
            <w:tcW w:w="2426" w:type="dxa"/>
          </w:tcPr>
          <w:p>
            <w:pPr>
              <w:pStyle w:val="Compact"/>
              <w:spacing w:after="40"/>
              <w:jc w:val="left"/>
            </w:pPr>
            <w:r>
              <w:rPr>
                <w:sz w:val="18"/>
              </w:rPr>
              <w:t xml:space="preserve">Karnataka Act 15 of 2025 on micro and small loans and coercive actions [VERIFY: short title]</w:t>
            </w:r>
          </w:p>
        </w:tc>
        <w:tc>
          <w:tcPr>
            <w:tcW w:w="2700" w:type="dxa"/>
          </w:tcPr>
          <w:p>
            <w:pPr>
              <w:pStyle w:val="Compact"/>
              <w:spacing w:after="40"/>
              <w:jc w:val="left"/>
            </w:pPr>
            <w:r>
              <w:rPr>
                <w:sz w:val="18"/>
              </w:rPr>
              <w:t xml:space="preserve">In force 12 Feb 2025; exempts banks and their BCs, co-operative banks, KCS and Souharda societies, NBFCs and HFCs (s.1(3)); other lenders and digital platforms register annually; coercion an offence (s.8)</w:t>
            </w:r>
          </w:p>
        </w:tc>
        <w:tc>
          <w:tcPr>
            <w:tcW w:w="1750" w:type="dxa"/>
          </w:tcPr>
          <w:p>
            <w:pPr>
              <w:pStyle w:val="Compact"/>
              <w:spacing w:after="40"/>
              <w:jc w:val="left"/>
            </w:pPr>
            <w:r>
              <w:rPr>
                <w:sz w:val="18"/>
              </w:rPr>
              <w:t xml:space="preserve">Confirmed from the Act (PRS); whether it binds an MSCS in Karnataka and whether its platform limb requires Udofin to register for non-exempt lenders is open [VERIFY]</w:t>
            </w:r>
          </w:p>
        </w:tc>
        <w:tc>
          <w:tcPr>
            <w:tcW w:w="2129" w:type="dxa"/>
          </w:tcPr>
          <w:p>
            <w:pPr>
              <w:pStyle w:val="Compact"/>
              <w:spacing w:after="40"/>
              <w:jc w:val="left"/>
            </w:pPr>
            <w:r>
              <w:rPr>
                <w:sz w:val="18"/>
              </w:rPr>
              <w:t xml:space="preserve">Part 7B UP4 (eligibility gate item 9); Part 7E MG1.8</w:t>
            </w:r>
          </w:p>
        </w:tc>
      </w:tr>
      <w:tr>
        <w:tc>
          <w:tcPr>
            <w:tcW w:w="633" w:type="dxa"/>
          </w:tcPr>
          <w:p>
            <w:pPr>
              <w:pStyle w:val="Compact"/>
              <w:spacing w:after="40"/>
              <w:jc w:val="left"/>
            </w:pPr>
            <w:r>
              <w:rPr>
                <w:sz w:val="18"/>
              </w:rPr>
              <w:t xml:space="preserve">TN40</w:t>
            </w:r>
          </w:p>
        </w:tc>
        <w:tc>
          <w:tcPr>
            <w:tcW w:w="2426" w:type="dxa"/>
          </w:tcPr>
          <w:p>
            <w:pPr>
              <w:pStyle w:val="Compact"/>
              <w:spacing w:after="40"/>
              <w:jc w:val="left"/>
            </w:pPr>
            <w:r>
              <w:rPr>
                <w:sz w:val="18"/>
              </w:rPr>
              <w:t xml:space="preserve">Tamil Nadu Act 40 of 2025 on money-lending entities and coercive actions [VERIFY: short title]</w:t>
            </w:r>
          </w:p>
        </w:tc>
        <w:tc>
          <w:tcPr>
            <w:tcW w:w="2700" w:type="dxa"/>
          </w:tcPr>
          <w:p>
            <w:pPr>
              <w:pStyle w:val="Compact"/>
              <w:spacing w:after="40"/>
              <w:jc w:val="left"/>
            </w:pPr>
            <w:r>
              <w:rPr>
                <w:sz w:val="18"/>
              </w:rPr>
              <w:t xml:space="preserve">Assent 9 Jun 2025; banks, NBFCs, co-operative banks and co-operative societies exempt from registration but the s.20 coercion provisions apply to them (s.2 proviso); micro loan = household income up to ₹3 lakh; penalties s.21; deemed abetment s.22</w:t>
            </w:r>
          </w:p>
        </w:tc>
        <w:tc>
          <w:tcPr>
            <w:tcW w:w="1750" w:type="dxa"/>
          </w:tcPr>
          <w:p>
            <w:pPr>
              <w:pStyle w:val="Compact"/>
              <w:spacing w:after="40"/>
              <w:jc w:val="left"/>
            </w:pPr>
            <w:r>
              <w:rPr>
                <w:sz w:val="18"/>
              </w:rPr>
              <w:t xml:space="preserve">Confirmed from the Act (PRS) [VERIFY: commencement]</w:t>
            </w:r>
          </w:p>
        </w:tc>
        <w:tc>
          <w:tcPr>
            <w:tcW w:w="2129" w:type="dxa"/>
          </w:tcPr>
          <w:p>
            <w:pPr>
              <w:pStyle w:val="Compact"/>
              <w:spacing w:after="40"/>
              <w:jc w:val="left"/>
            </w:pPr>
            <w:r>
              <w:rPr>
                <w:sz w:val="18"/>
              </w:rPr>
              <w:t xml:space="preserve">Part 7B UP4; Part 7E MG1.8, MG2.8; Part 7H RA5.3</w:t>
            </w:r>
          </w:p>
        </w:tc>
      </w:tr>
      <w:tr>
        <w:tc>
          <w:tcPr>
            <w:tcW w:w="633" w:type="dxa"/>
          </w:tcPr>
          <w:p>
            <w:pPr>
              <w:pStyle w:val="Compact"/>
              <w:spacing w:after="40"/>
              <w:jc w:val="left"/>
            </w:pPr>
            <w:r>
              <w:rPr>
                <w:sz w:val="18"/>
              </w:rPr>
              <w:t xml:space="preserve">PCI</w:t>
            </w:r>
          </w:p>
        </w:tc>
        <w:tc>
          <w:tcPr>
            <w:tcW w:w="2426" w:type="dxa"/>
          </w:tcPr>
          <w:p>
            <w:pPr>
              <w:pStyle w:val="Compact"/>
              <w:spacing w:after="40"/>
              <w:jc w:val="left"/>
            </w:pPr>
            <w:r>
              <w:rPr>
                <w:sz w:val="18"/>
              </w:rPr>
              <w:t xml:space="preserve">PCI DSS v4.0.1 and SAQ A (revised 31 Jan 2025)</w:t>
            </w:r>
          </w:p>
        </w:tc>
        <w:tc>
          <w:tcPr>
            <w:tcW w:w="2700" w:type="dxa"/>
          </w:tcPr>
          <w:p>
            <w:pPr>
              <w:pStyle w:val="Compact"/>
              <w:spacing w:after="40"/>
              <w:jc w:val="left"/>
            </w:pPr>
            <w:r>
              <w:rPr>
                <w:sz w:val="18"/>
              </w:rPr>
              <w:t xml:space="preserve">PCI Security Standards Council; Jun 2024; SAQ A eligibility now includes confirming the payment page is not susceptible to script attacks</w:t>
            </w:r>
          </w:p>
        </w:tc>
        <w:tc>
          <w:tcPr>
            <w:tcW w:w="1750" w:type="dxa"/>
          </w:tcPr>
          <w:p>
            <w:pPr>
              <w:pStyle w:val="Compact"/>
              <w:spacing w:after="40"/>
              <w:jc w:val="left"/>
            </w:pPr>
            <w:r>
              <w:rPr>
                <w:sz w:val="18"/>
              </w:rPr>
              <w:t xml:space="preserve">Confirmed [VERIFY: current SAQ A wording]</w:t>
            </w:r>
          </w:p>
        </w:tc>
        <w:tc>
          <w:tcPr>
            <w:tcW w:w="2129" w:type="dxa"/>
          </w:tcPr>
          <w:p>
            <w:pPr>
              <w:pStyle w:val="Compact"/>
              <w:spacing w:after="40"/>
              <w:jc w:val="left"/>
            </w:pPr>
            <w:r>
              <w:rPr>
                <w:sz w:val="18"/>
              </w:rPr>
              <w:t xml:space="preserve">Part 7G RV3.2; Part 7H RA4.4</w:t>
            </w:r>
          </w:p>
        </w:tc>
      </w:tr>
      <w:tr>
        <w:tc>
          <w:tcPr>
            <w:tcW w:w="633" w:type="dxa"/>
          </w:tcPr>
          <w:p>
            <w:pPr>
              <w:pStyle w:val="Compact"/>
              <w:spacing w:after="40"/>
              <w:jc w:val="left"/>
            </w:pPr>
            <w:r>
              <w:rPr>
                <w:sz w:val="18"/>
              </w:rPr>
              <w:t xml:space="preserve">SOC2</w:t>
            </w:r>
          </w:p>
        </w:tc>
        <w:tc>
          <w:tcPr>
            <w:tcW w:w="2426" w:type="dxa"/>
          </w:tcPr>
          <w:p>
            <w:pPr>
              <w:pStyle w:val="Compact"/>
              <w:spacing w:after="40"/>
              <w:jc w:val="left"/>
            </w:pPr>
            <w:r>
              <w:rPr>
                <w:sz w:val="18"/>
              </w:rPr>
              <w:t xml:space="preserve">AICPA Trust Services Criteria (2017, revised points of focus 2022); SOC 2 Type 1 and Type 2 reports</w:t>
            </w:r>
          </w:p>
        </w:tc>
        <w:tc>
          <w:tcPr>
            <w:tcW w:w="2700" w:type="dxa"/>
          </w:tcPr>
          <w:p>
            <w:pPr>
              <w:pStyle w:val="Compact"/>
              <w:spacing w:after="40"/>
              <w:jc w:val="left"/>
            </w:pPr>
            <w:r>
              <w:rPr>
                <w:sz w:val="18"/>
              </w:rPr>
              <w:t xml:space="preserve">AICPA</w:t>
            </w:r>
          </w:p>
        </w:tc>
        <w:tc>
          <w:tcPr>
            <w:tcW w:w="1750" w:type="dxa"/>
          </w:tcPr>
          <w:p>
            <w:pPr>
              <w:pStyle w:val="Compact"/>
              <w:spacing w:after="40"/>
              <w:jc w:val="left"/>
            </w:pPr>
            <w:r>
              <w:rPr>
                <w:sz w:val="18"/>
              </w:rPr>
              <w:t xml:space="preserve">Standard; a report is issued only by a licensed CPA firm</w:t>
            </w:r>
          </w:p>
        </w:tc>
        <w:tc>
          <w:tcPr>
            <w:tcW w:w="2129" w:type="dxa"/>
          </w:tcPr>
          <w:p>
            <w:pPr>
              <w:pStyle w:val="Compact"/>
              <w:spacing w:after="40"/>
              <w:jc w:val="left"/>
            </w:pPr>
            <w:r>
              <w:rPr>
                <w:sz w:val="18"/>
              </w:rPr>
              <w:t xml:space="preserve">Part 7H RA4.4; Part 10.8 item 25</w:t>
            </w:r>
          </w:p>
        </w:tc>
      </w:tr>
      <w:tr>
        <w:tc>
          <w:tcPr>
            <w:tcW w:w="633" w:type="dxa"/>
          </w:tcPr>
          <w:p>
            <w:pPr>
              <w:pStyle w:val="Compact"/>
              <w:spacing w:after="40"/>
              <w:jc w:val="left"/>
            </w:pPr>
            <w:r>
              <w:rPr>
                <w:sz w:val="18"/>
              </w:rPr>
              <w:t xml:space="preserve">ISO</w:t>
            </w:r>
          </w:p>
        </w:tc>
        <w:tc>
          <w:tcPr>
            <w:tcW w:w="2426" w:type="dxa"/>
          </w:tcPr>
          <w:p>
            <w:pPr>
              <w:pStyle w:val="Compact"/>
              <w:spacing w:after="40"/>
              <w:jc w:val="left"/>
            </w:pPr>
            <w:r>
              <w:rPr>
                <w:sz w:val="18"/>
              </w:rPr>
              <w:t xml:space="preserve">ISO/IEC 27001:2022 with Amendment 1:2024; ISO/IEC 27701:2025 (stand-alone privacy management system, published 14 Oct 2025); ISO 22301:2019; ISO/IEC 42001:2023</w:t>
            </w:r>
          </w:p>
        </w:tc>
        <w:tc>
          <w:tcPr>
            <w:tcW w:w="2700" w:type="dxa"/>
          </w:tcPr>
          <w:p>
            <w:pPr>
              <w:pStyle w:val="Compact"/>
              <w:spacing w:after="40"/>
              <w:jc w:val="left"/>
            </w:pPr>
            <w:r>
              <w:rPr>
                <w:sz w:val="18"/>
              </w:rPr>
              <w:t xml:space="preserve">ISO/IEC</w:t>
            </w:r>
          </w:p>
        </w:tc>
        <w:tc>
          <w:tcPr>
            <w:tcW w:w="1750" w:type="dxa"/>
          </w:tcPr>
          <w:p>
            <w:pPr>
              <w:pStyle w:val="Compact"/>
              <w:spacing w:after="40"/>
              <w:jc w:val="left"/>
            </w:pPr>
            <w:r>
              <w:rPr>
                <w:sz w:val="18"/>
              </w:rPr>
              <w:t xml:space="preserve">Standards; certification only by an accredited body</w:t>
            </w:r>
          </w:p>
        </w:tc>
        <w:tc>
          <w:tcPr>
            <w:tcW w:w="2129" w:type="dxa"/>
          </w:tcPr>
          <w:p>
            <w:pPr>
              <w:pStyle w:val="Compact"/>
              <w:spacing w:after="40"/>
              <w:jc w:val="left"/>
            </w:pPr>
            <w:r>
              <w:rPr>
                <w:sz w:val="18"/>
              </w:rPr>
              <w:t xml:space="preserve">Part 7H RA4.4; Part 10.8 item 25</w:t>
            </w:r>
          </w:p>
        </w:tc>
      </w:tr>
      <w:tr>
        <w:tc>
          <w:tcPr>
            <w:tcW w:w="633" w:type="dxa"/>
          </w:tcPr>
          <w:p>
            <w:pPr>
              <w:pStyle w:val="Compact"/>
              <w:spacing w:after="40"/>
              <w:jc w:val="left"/>
            </w:pPr>
            <w:r>
              <w:rPr>
                <w:sz w:val="18"/>
              </w:rPr>
              <w:t xml:space="preserve">CERTIN</w:t>
            </w:r>
          </w:p>
        </w:tc>
        <w:tc>
          <w:tcPr>
            <w:tcW w:w="2426" w:type="dxa"/>
          </w:tcPr>
          <w:p>
            <w:pPr>
              <w:pStyle w:val="Compact"/>
              <w:spacing w:after="40"/>
              <w:jc w:val="left"/>
            </w:pPr>
            <w:r>
              <w:rPr>
                <w:sz w:val="18"/>
              </w:rPr>
              <w:t xml:space="preserve">CERT-In Directions under IT Act s.70B(6)</w:t>
            </w:r>
          </w:p>
        </w:tc>
        <w:tc>
          <w:tcPr>
            <w:tcW w:w="2700" w:type="dxa"/>
          </w:tcPr>
          <w:p>
            <w:pPr>
              <w:pStyle w:val="Compact"/>
              <w:spacing w:after="40"/>
              <w:jc w:val="left"/>
            </w:pPr>
            <w:r>
              <w:rPr>
                <w:sz w:val="18"/>
              </w:rPr>
              <w:t xml:space="preserve">CERT-In; 28 Apr 2022: incident report within 6 hours; logs kept 180 days in India; NTP time sync; point of contact</w:t>
            </w:r>
          </w:p>
        </w:tc>
        <w:tc>
          <w:tcPr>
            <w:tcW w:w="1750" w:type="dxa"/>
          </w:tcPr>
          <w:p>
            <w:pPr>
              <w:pStyle w:val="Compact"/>
              <w:spacing w:after="40"/>
              <w:jc w:val="left"/>
            </w:pPr>
            <w:r>
              <w:rPr>
                <w:sz w:val="18"/>
              </w:rPr>
              <w:t xml:space="preserve">Confirmed (in v1.1 Sources)</w:t>
            </w:r>
          </w:p>
        </w:tc>
        <w:tc>
          <w:tcPr>
            <w:tcW w:w="2129" w:type="dxa"/>
          </w:tcPr>
          <w:p>
            <w:pPr>
              <w:pStyle w:val="Compact"/>
              <w:spacing w:after="40"/>
              <w:jc w:val="left"/>
            </w:pPr>
            <w:r>
              <w:rPr>
                <w:sz w:val="18"/>
              </w:rPr>
              <w:t xml:space="preserve">U24; Part 10.8 item 9; Part 7H RA4</w:t>
            </w:r>
          </w:p>
        </w:tc>
      </w:tr>
      <w:tr>
        <w:tc>
          <w:tcPr>
            <w:tcW w:w="633" w:type="dxa"/>
          </w:tcPr>
          <w:p>
            <w:pPr>
              <w:pStyle w:val="Compact"/>
              <w:spacing w:after="40"/>
              <w:jc w:val="left"/>
            </w:pPr>
            <w:r>
              <w:rPr>
                <w:sz w:val="18"/>
              </w:rPr>
              <w:t xml:space="preserve">HFC</w:t>
            </w:r>
          </w:p>
        </w:tc>
        <w:tc>
          <w:tcPr>
            <w:tcW w:w="2426" w:type="dxa"/>
          </w:tcPr>
          <w:p>
            <w:pPr>
              <w:pStyle w:val="Compact"/>
              <w:spacing w:after="40"/>
              <w:jc w:val="left"/>
            </w:pPr>
            <w:r>
              <w:rPr>
                <w:sz w:val="18"/>
              </w:rPr>
              <w:t xml:space="preserve">RBI Housing Finance Companies Directions, 2025</w:t>
            </w:r>
          </w:p>
        </w:tc>
        <w:tc>
          <w:tcPr>
            <w:tcW w:w="2700" w:type="dxa"/>
          </w:tcPr>
          <w:p>
            <w:pPr>
              <w:pStyle w:val="Compact"/>
              <w:spacing w:after="40"/>
              <w:jc w:val="left"/>
            </w:pPr>
            <w:r>
              <w:rPr>
                <w:sz w:val="18"/>
              </w:rPr>
              <w:t xml:space="preserve">RBI/DoR/2025-26/365; 28 Nov 2025</w:t>
            </w:r>
          </w:p>
        </w:tc>
        <w:tc>
          <w:tcPr>
            <w:tcW w:w="1750" w:type="dxa"/>
          </w:tcPr>
          <w:p>
            <w:pPr>
              <w:pStyle w:val="Compact"/>
              <w:spacing w:after="40"/>
              <w:jc w:val="left"/>
            </w:pPr>
            <w:r>
              <w:rPr>
                <w:sz w:val="18"/>
              </w:rPr>
              <w:t xml:space="preserve">Not in the supplied set [VERIFY: paragraph numbers]</w:t>
            </w:r>
          </w:p>
        </w:tc>
        <w:tc>
          <w:tcPr>
            <w:tcW w:w="2129" w:type="dxa"/>
          </w:tcPr>
          <w:p>
            <w:pPr>
              <w:pStyle w:val="Compact"/>
              <w:spacing w:after="40"/>
              <w:jc w:val="left"/>
            </w:pPr>
            <w:r>
              <w:rPr>
                <w:sz w:val="18"/>
              </w:rPr>
              <w:t xml:space="preserve">U1 (HFC rule pack); Part 7C UB3 (NHB route); Part 7H RA2.2 (</w:t>
            </w:r>
            <w:r>
              <w:rPr>
                <w:rStyle w:val="VerbatimChar"/>
                <w:sz w:val="18"/>
              </w:rPr>
              <w:t xml:space="preserve">NHB</w:t>
            </w:r>
            <w:r>
              <w:rPr>
                <w:sz w:val="18"/>
              </w:rPr>
              <w:t xml:space="preserve"> </w:t>
            </w:r>
            <w:r>
              <w:rPr>
                <w:sz w:val="18"/>
              </w:rPr>
              <w:t xml:space="preserve">grantee)</w:t>
            </w:r>
          </w:p>
        </w:tc>
      </w:tr>
      <w:tr>
        <w:tc>
          <w:tcPr>
            <w:tcW w:w="633" w:type="dxa"/>
          </w:tcPr>
          <w:p>
            <w:pPr>
              <w:pStyle w:val="Compact"/>
              <w:spacing w:after="40"/>
              <w:jc w:val="left"/>
            </w:pPr>
            <w:r>
              <w:rPr>
                <w:sz w:val="18"/>
              </w:rPr>
              <w:t xml:space="preserve">NHB</w:t>
            </w:r>
          </w:p>
        </w:tc>
        <w:tc>
          <w:tcPr>
            <w:tcW w:w="2426" w:type="dxa"/>
          </w:tcPr>
          <w:p>
            <w:pPr>
              <w:pStyle w:val="Compact"/>
              <w:spacing w:after="40"/>
              <w:jc w:val="left"/>
            </w:pPr>
            <w:r>
              <w:rPr>
                <w:sz w:val="18"/>
              </w:rPr>
              <w:t xml:space="preserve">National Housing Bank Act, 1987; NHB supervisory and grievance arrangements for HFCs</w:t>
            </w:r>
          </w:p>
        </w:tc>
        <w:tc>
          <w:tcPr>
            <w:tcW w:w="2700" w:type="dxa"/>
          </w:tcPr>
          <w:p>
            <w:pPr>
              <w:pStyle w:val="Compact"/>
              <w:spacing w:after="40"/>
              <w:jc w:val="left"/>
            </w:pPr>
            <w:r>
              <w:rPr>
                <w:sz w:val="18"/>
              </w:rPr>
              <w:t xml:space="preserve">Parliament; NHB</w:t>
            </w:r>
          </w:p>
        </w:tc>
        <w:tc>
          <w:tcPr>
            <w:tcW w:w="1750" w:type="dxa"/>
          </w:tcPr>
          <w:p>
            <w:pPr>
              <w:pStyle w:val="Compact"/>
              <w:spacing w:after="40"/>
              <w:jc w:val="left"/>
            </w:pPr>
            <w:r>
              <w:rPr>
                <w:sz w:val="18"/>
              </w:rPr>
              <w:t xml:space="preserve">In force [VERIFY: current NHB grievance route]</w:t>
            </w:r>
          </w:p>
        </w:tc>
        <w:tc>
          <w:tcPr>
            <w:tcW w:w="2129" w:type="dxa"/>
          </w:tcPr>
          <w:p>
            <w:pPr>
              <w:pStyle w:val="Compact"/>
              <w:spacing w:after="40"/>
              <w:jc w:val="left"/>
            </w:pPr>
            <w:r>
              <w:rPr>
                <w:sz w:val="18"/>
              </w:rPr>
              <w:t xml:space="preserve">Part 7C UB3 (</w:t>
            </w:r>
            <w:r>
              <w:rPr>
                <w:rStyle w:val="VerbatimChar"/>
                <w:sz w:val="18"/>
              </w:rPr>
              <w:t xml:space="preserve">top_tier</w:t>
            </w:r>
            <w:r>
              <w:rPr>
                <w:sz w:val="18"/>
              </w:rPr>
              <w:t xml:space="preserve"> </w:t>
            </w:r>
            <w:r>
              <w:rPr>
                <w:sz w:val="18"/>
              </w:rPr>
              <w:t xml:space="preserve">NHB); Part 7H RA2.2</w:t>
            </w:r>
          </w:p>
        </w:tc>
      </w:tr>
      <w:tr>
        <w:tc>
          <w:tcPr>
            <w:tcW w:w="633" w:type="dxa"/>
          </w:tcPr>
          <w:p>
            <w:pPr>
              <w:pStyle w:val="Compact"/>
              <w:spacing w:after="40"/>
              <w:jc w:val="left"/>
            </w:pPr>
            <w:r>
              <w:rPr>
                <w:sz w:val="18"/>
              </w:rPr>
              <w:t xml:space="preserve">BRA</w:t>
            </w:r>
          </w:p>
        </w:tc>
        <w:tc>
          <w:tcPr>
            <w:tcW w:w="2426" w:type="dxa"/>
          </w:tcPr>
          <w:p>
            <w:pPr>
              <w:pStyle w:val="Compact"/>
              <w:spacing w:after="40"/>
              <w:jc w:val="left"/>
            </w:pPr>
            <w:r>
              <w:rPr>
                <w:sz w:val="18"/>
              </w:rPr>
              <w:t xml:space="preserve">Banking Regulation Act, 1949 (s.7 restriction on</w:t>
            </w:r>
            <w:r>
              <w:rPr>
                <w:sz w:val="18"/>
              </w:rPr>
              <w:t xml:space="preserve"> </w:t>
            </w:r>
            <w:r>
              <w:rPr>
                <w:sz w:val="18"/>
              </w:rPr>
              <w:t xml:space="preserve">“</w:t>
            </w:r>
            <w:r>
              <w:rPr>
                <w:sz w:val="18"/>
              </w:rPr>
              <w:t xml:space="preserve">bank</w:t>
            </w:r>
            <w:r>
              <w:rPr>
                <w:sz w:val="18"/>
              </w:rPr>
              <w:t xml:space="preserve">”</w:t>
            </w:r>
            <w:r>
              <w:rPr>
                <w:sz w:val="18"/>
              </w:rPr>
              <w:t xml:space="preserve">,</w:t>
            </w:r>
            <w:r>
              <w:rPr>
                <w:sz w:val="18"/>
              </w:rPr>
              <w:t xml:space="preserve"> </w:t>
            </w:r>
            <w:r>
              <w:rPr>
                <w:sz w:val="18"/>
              </w:rPr>
              <w:t xml:space="preserve">“</w:t>
            </w:r>
            <w:r>
              <w:rPr>
                <w:sz w:val="18"/>
              </w:rPr>
              <w:t xml:space="preserve">banker</w:t>
            </w:r>
            <w:r>
              <w:rPr>
                <w:sz w:val="18"/>
              </w:rPr>
              <w:t xml:space="preserve">”</w:t>
            </w:r>
            <w:r>
              <w:rPr>
                <w:sz w:val="18"/>
              </w:rPr>
              <w:t xml:space="preserve"> </w:t>
            </w:r>
            <w:r>
              <w:rPr>
                <w:sz w:val="18"/>
              </w:rPr>
              <w:t xml:space="preserve">and</w:t>
            </w:r>
            <w:r>
              <w:rPr>
                <w:sz w:val="18"/>
              </w:rPr>
              <w:t xml:space="preserve"> </w:t>
            </w:r>
            <w:r>
              <w:rPr>
                <w:sz w:val="18"/>
              </w:rPr>
              <w:t xml:space="preserve">“</w:t>
            </w:r>
            <w:r>
              <w:rPr>
                <w:sz w:val="18"/>
              </w:rPr>
              <w:t xml:space="preserve">banking</w:t>
            </w:r>
            <w:r>
              <w:rPr>
                <w:sz w:val="18"/>
              </w:rPr>
              <w:t xml:space="preserve">”</w:t>
            </w:r>
            <w:r>
              <w:rPr>
                <w:sz w:val="18"/>
              </w:rPr>
              <w:t xml:space="preserve"> </w:t>
            </w:r>
            <w:r>
              <w:rPr>
                <w:sz w:val="18"/>
              </w:rPr>
              <w:t xml:space="preserve">in names; Part V for co-operative banks)</w:t>
            </w:r>
          </w:p>
        </w:tc>
        <w:tc>
          <w:tcPr>
            <w:tcW w:w="2700" w:type="dxa"/>
          </w:tcPr>
          <w:p>
            <w:pPr>
              <w:pStyle w:val="Compact"/>
              <w:spacing w:after="40"/>
              <w:jc w:val="left"/>
            </w:pPr>
            <w:r>
              <w:rPr>
                <w:sz w:val="18"/>
              </w:rPr>
              <w:t xml:space="preserve">Parliament</w:t>
            </w:r>
          </w:p>
        </w:tc>
        <w:tc>
          <w:tcPr>
            <w:tcW w:w="1750" w:type="dxa"/>
          </w:tcPr>
          <w:p>
            <w:pPr>
              <w:pStyle w:val="Compact"/>
              <w:spacing w:after="40"/>
              <w:jc w:val="left"/>
            </w:pPr>
            <w:r>
              <w:rPr>
                <w:sz w:val="18"/>
              </w:rPr>
              <w:t xml:space="preserve">In force</w:t>
            </w:r>
          </w:p>
        </w:tc>
        <w:tc>
          <w:tcPr>
            <w:tcW w:w="2129" w:type="dxa"/>
          </w:tcPr>
          <w:p>
            <w:pPr>
              <w:pStyle w:val="Compact"/>
              <w:spacing w:after="40"/>
              <w:jc w:val="left"/>
            </w:pPr>
            <w:r>
              <w:rPr>
                <w:sz w:val="18"/>
              </w:rPr>
              <w:t xml:space="preserve">Part 7B UP4 (eligibility gate name check); Part 3.4</w:t>
            </w:r>
          </w:p>
        </w:tc>
      </w:tr>
      <w:tr>
        <w:tc>
          <w:tcPr>
            <w:tcW w:w="633" w:type="dxa"/>
          </w:tcPr>
          <w:p>
            <w:pPr>
              <w:pStyle w:val="Compact"/>
              <w:spacing w:after="40"/>
              <w:jc w:val="left"/>
            </w:pPr>
            <w:r>
              <w:rPr>
                <w:sz w:val="18"/>
              </w:rPr>
              <w:t xml:space="preserve">DICGC</w:t>
            </w:r>
          </w:p>
        </w:tc>
        <w:tc>
          <w:tcPr>
            <w:tcW w:w="2426" w:type="dxa"/>
          </w:tcPr>
          <w:p>
            <w:pPr>
              <w:pStyle w:val="Compact"/>
              <w:spacing w:after="40"/>
              <w:jc w:val="left"/>
            </w:pPr>
            <w:r>
              <w:rPr>
                <w:sz w:val="18"/>
              </w:rPr>
              <w:t xml:space="preserve">Deposit Insurance and Credit Guarantee Corporation Act, 1961</w:t>
            </w:r>
          </w:p>
        </w:tc>
        <w:tc>
          <w:tcPr>
            <w:tcW w:w="2700" w:type="dxa"/>
          </w:tcPr>
          <w:p>
            <w:pPr>
              <w:pStyle w:val="Compact"/>
              <w:spacing w:after="40"/>
              <w:jc w:val="left"/>
            </w:pPr>
            <w:r>
              <w:rPr>
                <w:sz w:val="18"/>
              </w:rPr>
              <w:t xml:space="preserve">Parliament; DICGC</w:t>
            </w:r>
          </w:p>
        </w:tc>
        <w:tc>
          <w:tcPr>
            <w:tcW w:w="1750" w:type="dxa"/>
          </w:tcPr>
          <w:p>
            <w:pPr>
              <w:pStyle w:val="Compact"/>
              <w:spacing w:after="40"/>
              <w:jc w:val="left"/>
            </w:pPr>
            <w:r>
              <w:rPr>
                <w:sz w:val="18"/>
              </w:rPr>
              <w:t xml:space="preserve">In force; no cover for deposits with credit co-operative societies [VERIFY: current per-depositor limit]</w:t>
            </w:r>
          </w:p>
        </w:tc>
        <w:tc>
          <w:tcPr>
            <w:tcW w:w="2129" w:type="dxa"/>
          </w:tcPr>
          <w:p>
            <w:pPr>
              <w:pStyle w:val="Compact"/>
              <w:spacing w:after="40"/>
              <w:jc w:val="left"/>
            </w:pPr>
            <w:r>
              <w:rPr>
                <w:sz w:val="18"/>
              </w:rPr>
              <w:t xml:space="preserve">Part 7E MG1 (fixed lender card); Part 7F XP3.2 (FD marketplace disclosures)</w:t>
            </w:r>
          </w:p>
        </w:tc>
      </w:tr>
      <w:tr>
        <w:tc>
          <w:tcPr>
            <w:tcW w:w="633" w:type="dxa"/>
          </w:tcPr>
          <w:p>
            <w:pPr>
              <w:pStyle w:val="Compact"/>
              <w:spacing w:after="40"/>
              <w:jc w:val="left"/>
            </w:pPr>
            <w:r>
              <w:rPr>
                <w:sz w:val="18"/>
              </w:rPr>
              <w:t xml:space="preserve">NABARD</w:t>
            </w:r>
          </w:p>
        </w:tc>
        <w:tc>
          <w:tcPr>
            <w:tcW w:w="2426" w:type="dxa"/>
          </w:tcPr>
          <w:p>
            <w:pPr>
              <w:pStyle w:val="Compact"/>
              <w:spacing w:after="40"/>
              <w:jc w:val="left"/>
            </w:pPr>
            <w:r>
              <w:rPr>
                <w:sz w:val="18"/>
              </w:rPr>
              <w:t xml:space="preserve">NABARD Act, 1981; NABARD JLG and SHG–bank linkage guidelines; DAY-NRLM SHG and grading (Panchasutra) guidelines named in full</w:t>
            </w:r>
          </w:p>
        </w:tc>
        <w:tc>
          <w:tcPr>
            <w:tcW w:w="2700" w:type="dxa"/>
          </w:tcPr>
          <w:p>
            <w:pPr>
              <w:pStyle w:val="Compact"/>
              <w:spacing w:after="40"/>
              <w:jc w:val="left"/>
            </w:pPr>
            <w:r>
              <w:rPr>
                <w:sz w:val="18"/>
              </w:rPr>
              <w:t xml:space="preserve">NABARD; Ministry of Rural Development</w:t>
            </w:r>
          </w:p>
        </w:tc>
        <w:tc>
          <w:tcPr>
            <w:tcW w:w="1750" w:type="dxa"/>
          </w:tcPr>
          <w:p>
            <w:pPr>
              <w:pStyle w:val="Compact"/>
              <w:spacing w:after="40"/>
              <w:jc w:val="left"/>
            </w:pPr>
            <w:r>
              <w:rPr>
                <w:sz w:val="18"/>
              </w:rPr>
              <w:t xml:space="preserve">In force [VERIFY: current group-size, CGT and grading norms]</w:t>
            </w:r>
          </w:p>
        </w:tc>
        <w:tc>
          <w:tcPr>
            <w:tcW w:w="2129" w:type="dxa"/>
          </w:tcPr>
          <w:p>
            <w:pPr>
              <w:pStyle w:val="Compact"/>
              <w:spacing w:after="40"/>
              <w:jc w:val="left"/>
            </w:pPr>
            <w:r>
              <w:rPr>
                <w:sz w:val="18"/>
              </w:rPr>
              <w:t xml:space="preserve">Part 7E MG2.2, MG2.5, MG3</w:t>
            </w:r>
          </w:p>
        </w:tc>
      </w:tr>
      <w:tr>
        <w:tc>
          <w:tcPr>
            <w:tcW w:w="633" w:type="dxa"/>
          </w:tcPr>
          <w:p>
            <w:pPr>
              <w:pStyle w:val="Compact"/>
              <w:spacing w:after="40"/>
              <w:jc w:val="left"/>
            </w:pPr>
            <w:r>
              <w:rPr>
                <w:sz w:val="18"/>
              </w:rPr>
              <w:t xml:space="preserve">CA13</w:t>
            </w:r>
          </w:p>
        </w:tc>
        <w:tc>
          <w:tcPr>
            <w:tcW w:w="2426" w:type="dxa"/>
          </w:tcPr>
          <w:p>
            <w:pPr>
              <w:pStyle w:val="Compact"/>
              <w:spacing w:after="40"/>
              <w:jc w:val="left"/>
            </w:pPr>
            <w:r>
              <w:rPr>
                <w:sz w:val="18"/>
              </w:rPr>
              <w:t xml:space="preserve">Companies Act, 2013 and rules (s.128 books of account; Companies (Accounts) Rules r.3(5) daily India backup of electronic books)</w:t>
            </w:r>
          </w:p>
        </w:tc>
        <w:tc>
          <w:tcPr>
            <w:tcW w:w="2700" w:type="dxa"/>
          </w:tcPr>
          <w:p>
            <w:pPr>
              <w:pStyle w:val="Compact"/>
              <w:spacing w:after="40"/>
              <w:jc w:val="left"/>
            </w:pPr>
            <w:r>
              <w:rPr>
                <w:sz w:val="18"/>
              </w:rPr>
              <w:t xml:space="preserve">Parliament; MCA</w:t>
            </w:r>
          </w:p>
        </w:tc>
        <w:tc>
          <w:tcPr>
            <w:tcW w:w="1750" w:type="dxa"/>
          </w:tcPr>
          <w:p>
            <w:pPr>
              <w:pStyle w:val="Compact"/>
              <w:spacing w:after="40"/>
              <w:jc w:val="left"/>
            </w:pPr>
            <w:r>
              <w:rPr>
                <w:sz w:val="18"/>
              </w:rPr>
              <w:t xml:space="preserve">In force [VERIFY: r.3(5) text]</w:t>
            </w:r>
          </w:p>
        </w:tc>
        <w:tc>
          <w:tcPr>
            <w:tcW w:w="2129" w:type="dxa"/>
          </w:tcPr>
          <w:p>
            <w:pPr>
              <w:pStyle w:val="Compact"/>
              <w:spacing w:after="40"/>
              <w:jc w:val="left"/>
            </w:pPr>
            <w:r>
              <w:rPr>
                <w:sz w:val="18"/>
              </w:rPr>
              <w:t xml:space="preserve">Part 4.4 (DLG provider must be a company, CF para 19); Part 7H RA3.1</w:t>
            </w:r>
          </w:p>
        </w:tc>
      </w:tr>
      <w:tr>
        <w:tc>
          <w:tcPr>
            <w:tcW w:w="633" w:type="dxa"/>
          </w:tcPr>
          <w:p>
            <w:pPr>
              <w:pStyle w:val="Compact"/>
              <w:spacing w:after="40"/>
              <w:jc w:val="left"/>
            </w:pPr>
            <w:r>
              <w:rPr>
                <w:sz w:val="18"/>
              </w:rPr>
              <w:t xml:space="preserve">PMLA</w:t>
            </w:r>
          </w:p>
        </w:tc>
        <w:tc>
          <w:tcPr>
            <w:tcW w:w="2426" w:type="dxa"/>
          </w:tcPr>
          <w:p>
            <w:pPr>
              <w:pStyle w:val="Compact"/>
              <w:spacing w:after="40"/>
              <w:jc w:val="left"/>
            </w:pPr>
            <w:r>
              <w:rPr>
                <w:sz w:val="18"/>
              </w:rPr>
              <w:t xml:space="preserve">Prevention of Money-laundering Act, 2002 (incl. s.11A) and PML (Maintenance of Records) Rules, 2005</w:t>
            </w:r>
          </w:p>
        </w:tc>
        <w:tc>
          <w:tcPr>
            <w:tcW w:w="2700" w:type="dxa"/>
          </w:tcPr>
          <w:p>
            <w:pPr>
              <w:pStyle w:val="Compact"/>
              <w:spacing w:after="40"/>
              <w:jc w:val="left"/>
            </w:pPr>
            <w:r>
              <w:rPr>
                <w:sz w:val="18"/>
              </w:rPr>
              <w:t xml:space="preserve">Parliament; FIU-IND</w:t>
            </w:r>
          </w:p>
        </w:tc>
        <w:tc>
          <w:tcPr>
            <w:tcW w:w="1750" w:type="dxa"/>
          </w:tcPr>
          <w:p>
            <w:pPr>
              <w:pStyle w:val="Compact"/>
              <w:spacing w:after="40"/>
              <w:jc w:val="left"/>
            </w:pPr>
            <w:r>
              <w:rPr>
                <w:sz w:val="18"/>
              </w:rPr>
              <w:t xml:space="preserve">In force</w:t>
            </w:r>
          </w:p>
        </w:tc>
        <w:tc>
          <w:tcPr>
            <w:tcW w:w="2129" w:type="dxa"/>
          </w:tcPr>
          <w:p>
            <w:pPr>
              <w:pStyle w:val="Compact"/>
              <w:spacing w:after="40"/>
              <w:jc w:val="left"/>
            </w:pPr>
            <w:r>
              <w:rPr>
                <w:sz w:val="18"/>
              </w:rPr>
              <w:t xml:space="preserve">U5; Part 7B UP4 (society KYC routes); Part 7E MG4</w:t>
            </w:r>
          </w:p>
        </w:tc>
      </w:tr>
      <w:tr>
        <w:tc>
          <w:tcPr>
            <w:tcW w:w="633" w:type="dxa"/>
          </w:tcPr>
          <w:p>
            <w:pPr>
              <w:pStyle w:val="Compact"/>
              <w:spacing w:after="40"/>
              <w:jc w:val="left"/>
            </w:pPr>
            <w:r>
              <w:rPr>
                <w:sz w:val="18"/>
              </w:rPr>
              <w:t xml:space="preserve">BCI</w:t>
            </w:r>
          </w:p>
        </w:tc>
        <w:tc>
          <w:tcPr>
            <w:tcW w:w="2426" w:type="dxa"/>
          </w:tcPr>
          <w:p>
            <w:pPr>
              <w:pStyle w:val="Compact"/>
              <w:spacing w:after="40"/>
              <w:jc w:val="left"/>
            </w:pPr>
            <w:r>
              <w:rPr>
                <w:sz w:val="18"/>
              </w:rPr>
              <w:t xml:space="preserve">Bar Council of India Rules, Part VI Chapter II (rule 36: no advertising or solicitation by advocates)</w:t>
            </w:r>
          </w:p>
        </w:tc>
        <w:tc>
          <w:tcPr>
            <w:tcW w:w="2700" w:type="dxa"/>
          </w:tcPr>
          <w:p>
            <w:pPr>
              <w:pStyle w:val="Compact"/>
              <w:spacing w:after="40"/>
              <w:jc w:val="left"/>
            </w:pPr>
            <w:r>
              <w:rPr>
                <w:sz w:val="18"/>
              </w:rPr>
              <w:t xml:space="preserve">Bar Council of India</w:t>
            </w:r>
          </w:p>
        </w:tc>
        <w:tc>
          <w:tcPr>
            <w:tcW w:w="1750" w:type="dxa"/>
          </w:tcPr>
          <w:p>
            <w:pPr>
              <w:pStyle w:val="Compact"/>
              <w:spacing w:after="40"/>
              <w:jc w:val="left"/>
            </w:pPr>
            <w:r>
              <w:rPr>
                <w:sz w:val="18"/>
              </w:rPr>
              <w:t xml:space="preserve">In force [VERIFY: rule numbers for referral fees]</w:t>
            </w:r>
          </w:p>
        </w:tc>
        <w:tc>
          <w:tcPr>
            <w:tcW w:w="2129" w:type="dxa"/>
          </w:tcPr>
          <w:p>
            <w:pPr>
              <w:pStyle w:val="Compact"/>
              <w:spacing w:after="40"/>
              <w:jc w:val="left"/>
            </w:pPr>
            <w:r>
              <w:rPr>
                <w:sz w:val="18"/>
              </w:rPr>
              <w:t xml:space="preserve">Part 7G RV1.1 (no referral fees to or from advocates)</w:t>
            </w:r>
          </w:p>
        </w:tc>
      </w:tr>
      <w:tr>
        <w:tc>
          <w:tcPr>
            <w:tcW w:w="633" w:type="dxa"/>
          </w:tcPr>
          <w:p>
            <w:pPr>
              <w:pStyle w:val="Compact"/>
              <w:spacing w:after="40"/>
              <w:jc w:val="left"/>
            </w:pPr>
            <w:r>
              <w:rPr>
                <w:sz w:val="18"/>
              </w:rPr>
              <w:t xml:space="preserve">LC</w:t>
            </w:r>
          </w:p>
        </w:tc>
        <w:tc>
          <w:tcPr>
            <w:tcW w:w="2426" w:type="dxa"/>
          </w:tcPr>
          <w:p>
            <w:pPr>
              <w:pStyle w:val="Compact"/>
              <w:spacing w:after="40"/>
              <w:jc w:val="left"/>
            </w:pPr>
            <w:r>
              <w:rPr>
                <w:sz w:val="18"/>
              </w:rPr>
              <w:t xml:space="preserve">Labour Codes (Code on Wages, 2019; Industrial Relations Code, 2020; Code on Social Security, 2020; Occupational Safety, Health and Working Conditions Code, 2020)</w:t>
            </w:r>
          </w:p>
        </w:tc>
        <w:tc>
          <w:tcPr>
            <w:tcW w:w="2700" w:type="dxa"/>
          </w:tcPr>
          <w:p>
            <w:pPr>
              <w:pStyle w:val="Compact"/>
              <w:spacing w:after="40"/>
              <w:jc w:val="left"/>
            </w:pPr>
            <w:r>
              <w:rPr>
                <w:sz w:val="18"/>
              </w:rPr>
              <w:t xml:space="preserve">In force 21 Nov 2025; Central Rules notified 8 May 2026</w:t>
            </w:r>
          </w:p>
        </w:tc>
        <w:tc>
          <w:tcPr>
            <w:tcW w:w="1750" w:type="dxa"/>
          </w:tcPr>
          <w:p>
            <w:pPr>
              <w:pStyle w:val="Compact"/>
              <w:spacing w:after="40"/>
              <w:jc w:val="left"/>
            </w:pPr>
            <w:r>
              <w:rPr>
                <w:sz w:val="18"/>
              </w:rPr>
              <w:t xml:space="preserve">Confirmed</w:t>
            </w:r>
          </w:p>
        </w:tc>
        <w:tc>
          <w:tcPr>
            <w:tcW w:w="2129" w:type="dxa"/>
          </w:tcPr>
          <w:p>
            <w:pPr>
              <w:pStyle w:val="Compact"/>
              <w:spacing w:after="40"/>
              <w:jc w:val="left"/>
            </w:pPr>
            <w:r>
              <w:rPr>
                <w:sz w:val="18"/>
              </w:rPr>
              <w:t xml:space="preserve">No Udofin module. Udofin’s own staff HR and payroll run in the Operations Hub (OH10); listed for code parity with Finbyx Part 8A.37</w:t>
            </w:r>
          </w:p>
        </w:tc>
      </w:tr>
    </w:tbl>
    <w:bookmarkStart w:id="471" w:name="a.17.1-v1.2-verify-register"/>
    <w:p>
      <w:pPr>
        <w:pStyle w:val="Heading3"/>
      </w:pPr>
      <w:r>
        <w:t xml:space="preserve">8A.17.1 v1.2 [VERIFY] register</w:t>
      </w:r>
    </w:p>
    <w:p>
      <w:pPr>
        <w:pStyle w:val="FirstParagraph"/>
      </w:pPr>
      <w:r>
        <w:t xml:space="preserve">Resolve each item before the phase shown, record the answer in the regulatory register (law, interpretation or RE decision), and update the citing section. Items already in 8A.16.3 are not repeated.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33"/>
        <w:gridCol w:w="1026"/>
        <w:gridCol w:w="4287"/>
        <w:gridCol w:w="2439"/>
        <w:gridCol w:w="953"/>
      </w:tblGrid>
      <w:tr>
        <w:trPr>
          <w:tblHeader w:val="true"/>
          <w:tblHeader w:val="true"/>
        </w:trPr>
        <w:tc>
          <w:tcPr>
            <w:tcW w:w="933" w:type="dxa"/>
            <w:shd w:val="clear" w:color="auto" w:fill="1F3A5F"/>
          </w:tcPr>
          <w:p>
            <w:pPr>
              <w:pStyle w:val="Compact"/>
              <w:spacing w:after="40"/>
              <w:jc w:val="left"/>
            </w:pPr>
            <w:r>
              <w:rPr>
                <w:b/>
                <w:color w:val="FFFFFF"/>
                <w:sz w:val="18"/>
              </w:rPr>
              <w:t xml:space="preserve">#</w:t>
            </w:r>
          </w:p>
        </w:tc>
        <w:tc>
          <w:tcPr>
            <w:tcW w:w="1026" w:type="dxa"/>
            <w:shd w:val="clear" w:color="auto" w:fill="1F3A5F"/>
          </w:tcPr>
          <w:p>
            <w:pPr>
              <w:pStyle w:val="Compact"/>
              <w:spacing w:after="40"/>
              <w:jc w:val="left"/>
            </w:pPr>
            <w:r>
              <w:rPr>
                <w:b/>
                <w:color w:val="FFFFFF"/>
                <w:sz w:val="18"/>
              </w:rPr>
              <w:t xml:space="preserve">Part</w:t>
            </w:r>
          </w:p>
        </w:tc>
        <w:tc>
          <w:tcPr>
            <w:tcW w:w="4287" w:type="dxa"/>
            <w:shd w:val="clear" w:color="auto" w:fill="1F3A5F"/>
          </w:tcPr>
          <w:p>
            <w:pPr>
              <w:pStyle w:val="Compact"/>
              <w:spacing w:after="40"/>
              <w:jc w:val="left"/>
            </w:pPr>
            <w:r>
              <w:rPr>
                <w:b/>
                <w:color w:val="FFFFFF"/>
                <w:sz w:val="18"/>
              </w:rPr>
              <w:t xml:space="preserve">Item to verify</w:t>
            </w:r>
          </w:p>
        </w:tc>
        <w:tc>
          <w:tcPr>
            <w:tcW w:w="2439" w:type="dxa"/>
            <w:shd w:val="clear" w:color="auto" w:fill="1F3A5F"/>
          </w:tcPr>
          <w:p>
            <w:pPr>
              <w:pStyle w:val="Compact"/>
              <w:spacing w:after="40"/>
              <w:jc w:val="left"/>
            </w:pPr>
            <w:r>
              <w:rPr>
                <w:b/>
                <w:color w:val="FFFFFF"/>
                <w:sz w:val="18"/>
              </w:rPr>
              <w:t xml:space="preserve">Blocks</w:t>
            </w:r>
          </w:p>
        </w:tc>
        <w:tc>
          <w:tcPr>
            <w:tcW w:w="953" w:type="dxa"/>
            <w:shd w:val="clear" w:color="auto" w:fill="1F3A5F"/>
          </w:tcPr>
          <w:p>
            <w:pPr>
              <w:pStyle w:val="Compact"/>
              <w:spacing w:after="40"/>
              <w:jc w:val="left"/>
            </w:pPr>
            <w:r>
              <w:rPr>
                <w:b/>
                <w:color w:val="FFFFFF"/>
                <w:sz w:val="18"/>
              </w:rPr>
              <w:t xml:space="preserve">Before phase</w:t>
            </w:r>
          </w:p>
        </w:tc>
      </w:tr>
      <w:tr>
        <w:tc>
          <w:tcPr>
            <w:tcW w:w="933" w:type="dxa"/>
          </w:tcPr>
          <w:p>
            <w:pPr>
              <w:pStyle w:val="Compact"/>
              <w:spacing w:after="40"/>
              <w:jc w:val="left"/>
            </w:pPr>
            <w:r>
              <w:rPr>
                <w:sz w:val="18"/>
              </w:rPr>
              <w:t xml:space="preserve">1</w:t>
            </w:r>
          </w:p>
        </w:tc>
        <w:tc>
          <w:tcPr>
            <w:tcW w:w="1026" w:type="dxa"/>
          </w:tcPr>
          <w:p>
            <w:pPr>
              <w:pStyle w:val="Compact"/>
              <w:spacing w:after="40"/>
              <w:jc w:val="left"/>
            </w:pPr>
            <w:r>
              <w:rPr>
                <w:sz w:val="18"/>
              </w:rPr>
              <w:t xml:space="preserve">2–4, U16</w:t>
            </w:r>
          </w:p>
        </w:tc>
        <w:tc>
          <w:tcPr>
            <w:tcW w:w="4287" w:type="dxa"/>
          </w:tcPr>
          <w:p>
            <w:pPr>
              <w:pStyle w:val="Compact"/>
              <w:spacing w:after="40"/>
              <w:jc w:val="left"/>
            </w:pPr>
            <w:r>
              <w:rPr>
                <w:sz w:val="18"/>
              </w:rPr>
              <w:t xml:space="preserve">DoT and TRAI eligibility of an LSP for 1600 or 1601 numbers; whether Udofin may originate RE service calls on the RE’s number; TRAI’s NBFC size threshold for the 1 Feb 2026 date</w:t>
            </w:r>
          </w:p>
        </w:tc>
        <w:tc>
          <w:tcPr>
            <w:tcW w:w="2439" w:type="dxa"/>
          </w:tcPr>
          <w:p>
            <w:pPr>
              <w:pStyle w:val="Compact"/>
              <w:spacing w:after="40"/>
              <w:jc w:val="left"/>
            </w:pPr>
            <w:r>
              <w:rPr>
                <w:sz w:val="18"/>
              </w:rPr>
              <w:t xml:space="preserve">Udofin’s own outbound service calls (off until resolved)</w:t>
            </w:r>
          </w:p>
        </w:tc>
        <w:tc>
          <w:tcPr>
            <w:tcW w:w="953" w:type="dxa"/>
          </w:tcPr>
          <w:p>
            <w:pPr>
              <w:pStyle w:val="Compact"/>
              <w:spacing w:after="40"/>
              <w:jc w:val="left"/>
            </w:pPr>
            <w:r>
              <w:rPr>
                <w:sz w:val="18"/>
              </w:rPr>
              <w:t xml:space="preserve">20d</w:t>
            </w:r>
          </w:p>
        </w:tc>
      </w:tr>
      <w:tr>
        <w:tc>
          <w:tcPr>
            <w:tcW w:w="933" w:type="dxa"/>
          </w:tcPr>
          <w:p>
            <w:pPr>
              <w:pStyle w:val="Compact"/>
              <w:spacing w:after="40"/>
              <w:jc w:val="left"/>
            </w:pPr>
            <w:r>
              <w:rPr>
                <w:sz w:val="18"/>
              </w:rPr>
              <w:t xml:space="preserve">2</w:t>
            </w:r>
          </w:p>
        </w:tc>
        <w:tc>
          <w:tcPr>
            <w:tcW w:w="1026" w:type="dxa"/>
          </w:tcPr>
          <w:p>
            <w:pPr>
              <w:pStyle w:val="Compact"/>
              <w:spacing w:after="40"/>
              <w:jc w:val="left"/>
            </w:pPr>
            <w:r>
              <w:rPr>
                <w:sz w:val="18"/>
              </w:rPr>
              <w:t xml:space="preserve">4.8, 7F</w:t>
            </w:r>
          </w:p>
        </w:tc>
        <w:tc>
          <w:tcPr>
            <w:tcW w:w="4287" w:type="dxa"/>
          </w:tcPr>
          <w:p>
            <w:pPr>
              <w:pStyle w:val="Compact"/>
              <w:spacing w:after="40"/>
              <w:jc w:val="left"/>
            </w:pPr>
            <w:r>
              <w:rPr>
                <w:sz w:val="18"/>
              </w:rPr>
              <w:t xml:space="preserve">Insurance Act s.40 and s.42D(8) as amended in 2025; date and text of the Sabka Bima Sabki Raksha Act</w:t>
            </w:r>
          </w:p>
        </w:tc>
        <w:tc>
          <w:tcPr>
            <w:tcW w:w="2439" w:type="dxa"/>
          </w:tcPr>
          <w:p>
            <w:pPr>
              <w:pStyle w:val="Compact"/>
              <w:spacing w:after="40"/>
              <w:jc w:val="left"/>
            </w:pPr>
            <w:r>
              <w:rPr>
                <w:sz w:val="18"/>
              </w:rPr>
              <w:t xml:space="preserve">Any insurance remuneration; model C</w:t>
            </w:r>
          </w:p>
        </w:tc>
        <w:tc>
          <w:tcPr>
            <w:tcW w:w="953" w:type="dxa"/>
          </w:tcPr>
          <w:p>
            <w:pPr>
              <w:pStyle w:val="Compact"/>
              <w:spacing w:after="40"/>
              <w:jc w:val="left"/>
            </w:pPr>
            <w:r>
              <w:rPr>
                <w:sz w:val="18"/>
              </w:rPr>
              <w:t xml:space="preserve">20c</w:t>
            </w:r>
          </w:p>
        </w:tc>
      </w:tr>
      <w:tr>
        <w:tc>
          <w:tcPr>
            <w:tcW w:w="933" w:type="dxa"/>
          </w:tcPr>
          <w:p>
            <w:pPr>
              <w:pStyle w:val="Compact"/>
              <w:spacing w:after="40"/>
              <w:jc w:val="left"/>
            </w:pPr>
            <w:r>
              <w:rPr>
                <w:sz w:val="18"/>
              </w:rPr>
              <w:t xml:space="preserve">3</w:t>
            </w:r>
          </w:p>
        </w:tc>
        <w:tc>
          <w:tcPr>
            <w:tcW w:w="1026" w:type="dxa"/>
          </w:tcPr>
          <w:p>
            <w:pPr>
              <w:pStyle w:val="Compact"/>
              <w:spacing w:after="40"/>
              <w:jc w:val="left"/>
            </w:pPr>
            <w:r>
              <w:rPr>
                <w:sz w:val="18"/>
              </w:rPr>
              <w:t xml:space="preserve">U4, 7D, 7F, 7G</w:t>
            </w:r>
          </w:p>
        </w:tc>
        <w:tc>
          <w:tcPr>
            <w:tcW w:w="4287" w:type="dxa"/>
          </w:tcPr>
          <w:p>
            <w:pPr>
              <w:pStyle w:val="Compact"/>
              <w:spacing w:after="40"/>
              <w:jc w:val="left"/>
            </w:pPr>
            <w:r>
              <w:rPr>
                <w:sz w:val="18"/>
              </w:rPr>
              <w:t xml:space="preserve">Final NBFC text and numbering of the RBC Second Amendment (101G–101Z; 101O calling hours); whether an LSP is a DSA or DMA under it</w:t>
            </w:r>
          </w:p>
        </w:tc>
        <w:tc>
          <w:tcPr>
            <w:tcW w:w="2439" w:type="dxa"/>
          </w:tcPr>
          <w:p>
            <w:pPr>
              <w:pStyle w:val="Compact"/>
              <w:spacing w:after="40"/>
              <w:jc w:val="left"/>
            </w:pPr>
            <w:r>
              <w:rPr>
                <w:sz w:val="18"/>
              </w:rPr>
              <w:t xml:space="preserve">Consent defaults (applied now as policy), XP4, FW4, RV2</w:t>
            </w:r>
          </w:p>
        </w:tc>
        <w:tc>
          <w:tcPr>
            <w:tcW w:w="953" w:type="dxa"/>
          </w:tcPr>
          <w:p>
            <w:pPr>
              <w:pStyle w:val="Compact"/>
              <w:spacing w:after="40"/>
              <w:jc w:val="left"/>
            </w:pPr>
            <w:r>
              <w:rPr>
                <w:sz w:val="18"/>
              </w:rPr>
              <w:t xml:space="preserve">20b, 20c</w:t>
            </w:r>
          </w:p>
        </w:tc>
      </w:tr>
      <w:tr>
        <w:tc>
          <w:tcPr>
            <w:tcW w:w="933" w:type="dxa"/>
          </w:tcPr>
          <w:p>
            <w:pPr>
              <w:pStyle w:val="Compact"/>
              <w:spacing w:after="40"/>
              <w:jc w:val="left"/>
            </w:pPr>
            <w:r>
              <w:rPr>
                <w:sz w:val="18"/>
              </w:rPr>
              <w:t xml:space="preserve">4</w:t>
            </w:r>
          </w:p>
        </w:tc>
        <w:tc>
          <w:tcPr>
            <w:tcW w:w="1026" w:type="dxa"/>
          </w:tcPr>
          <w:p>
            <w:pPr>
              <w:pStyle w:val="Compact"/>
              <w:spacing w:after="40"/>
              <w:jc w:val="left"/>
            </w:pPr>
            <w:r>
              <w:rPr>
                <w:sz w:val="18"/>
              </w:rPr>
              <w:t xml:space="preserve">U15, 7C</w:t>
            </w:r>
          </w:p>
        </w:tc>
        <w:tc>
          <w:tcPr>
            <w:tcW w:w="4287" w:type="dxa"/>
          </w:tcPr>
          <w:p>
            <w:pPr>
              <w:pStyle w:val="Compact"/>
              <w:spacing w:after="40"/>
              <w:jc w:val="left"/>
            </w:pPr>
            <w:r>
              <w:rPr>
                <w:sz w:val="18"/>
              </w:rPr>
              <w:t xml:space="preserve">Official texts of RB-IOS 2026 and IO 2026 for</w:t>
            </w:r>
            <w:r>
              <w:rPr>
                <w:sz w:val="18"/>
              </w:rPr>
              <w:t xml:space="preserve"> </w:t>
            </w:r>
            <w:r>
              <w:rPr>
                <w:rStyle w:val="VerbatimChar"/>
                <w:sz w:val="18"/>
              </w:rPr>
              <w:t xml:space="preserve">docs/regulations/rbi/</w:t>
            </w:r>
          </w:p>
        </w:tc>
        <w:tc>
          <w:tcPr>
            <w:tcW w:w="2439" w:type="dxa"/>
          </w:tcPr>
          <w:p>
            <w:pPr>
              <w:pStyle w:val="Compact"/>
              <w:spacing w:after="40"/>
              <w:jc w:val="left"/>
            </w:pPr>
            <w:r>
              <w:rPr>
                <w:sz w:val="18"/>
              </w:rPr>
              <w:t xml:space="preserve">UB3 clocks and display text</w:t>
            </w:r>
          </w:p>
        </w:tc>
        <w:tc>
          <w:tcPr>
            <w:tcW w:w="953" w:type="dxa"/>
          </w:tcPr>
          <w:p>
            <w:pPr>
              <w:pStyle w:val="Compact"/>
              <w:spacing w:after="40"/>
              <w:jc w:val="left"/>
            </w:pPr>
            <w:r>
              <w:rPr>
                <w:sz w:val="18"/>
              </w:rPr>
              <w:t xml:space="preserve">14b</w:t>
            </w:r>
          </w:p>
        </w:tc>
      </w:tr>
      <w:tr>
        <w:tc>
          <w:tcPr>
            <w:tcW w:w="933" w:type="dxa"/>
          </w:tcPr>
          <w:p>
            <w:pPr>
              <w:pStyle w:val="Compact"/>
              <w:spacing w:after="40"/>
              <w:jc w:val="left"/>
            </w:pPr>
            <w:r>
              <w:rPr>
                <w:sz w:val="18"/>
              </w:rPr>
              <w:t xml:space="preserve">5</w:t>
            </w:r>
          </w:p>
        </w:tc>
        <w:tc>
          <w:tcPr>
            <w:tcW w:w="1026" w:type="dxa"/>
          </w:tcPr>
          <w:p>
            <w:pPr>
              <w:pStyle w:val="Compact"/>
              <w:spacing w:after="40"/>
              <w:jc w:val="left"/>
            </w:pPr>
            <w:r>
              <w:rPr>
                <w:sz w:val="18"/>
              </w:rPr>
              <w:t xml:space="preserve">U17, 7C, 7G</w:t>
            </w:r>
          </w:p>
        </w:tc>
        <w:tc>
          <w:tcPr>
            <w:tcW w:w="4287" w:type="dxa"/>
          </w:tcPr>
          <w:p>
            <w:pPr>
              <w:pStyle w:val="Compact"/>
              <w:spacing w:after="40"/>
              <w:jc w:val="left"/>
            </w:pPr>
            <w:r>
              <w:rPr>
                <w:sz w:val="18"/>
              </w:rPr>
              <w:t xml:space="preserve">Income-tax Act 2025 form numbers (131, 168) and the s.393 table entry for interest</w:t>
            </w:r>
          </w:p>
        </w:tc>
        <w:tc>
          <w:tcPr>
            <w:tcW w:w="2439" w:type="dxa"/>
          </w:tcPr>
          <w:p>
            <w:pPr>
              <w:pStyle w:val="Compact"/>
              <w:spacing w:after="40"/>
              <w:jc w:val="left"/>
            </w:pPr>
            <w:r>
              <w:rPr>
                <w:sz w:val="18"/>
              </w:rPr>
              <w:t xml:space="preserve">Udofin TDS reconciliation; UB2; RV2 billing settings</w:t>
            </w:r>
          </w:p>
        </w:tc>
        <w:tc>
          <w:tcPr>
            <w:tcW w:w="953" w:type="dxa"/>
          </w:tcPr>
          <w:p>
            <w:pPr>
              <w:pStyle w:val="Compact"/>
              <w:spacing w:after="40"/>
              <w:jc w:val="left"/>
            </w:pPr>
            <w:r>
              <w:rPr>
                <w:sz w:val="18"/>
              </w:rPr>
              <w:t xml:space="preserve">11b</w:t>
            </w:r>
          </w:p>
        </w:tc>
      </w:tr>
      <w:tr>
        <w:tc>
          <w:tcPr>
            <w:tcW w:w="933" w:type="dxa"/>
          </w:tcPr>
          <w:p>
            <w:pPr>
              <w:pStyle w:val="Compact"/>
              <w:spacing w:after="40"/>
              <w:jc w:val="left"/>
            </w:pPr>
            <w:r>
              <w:rPr>
                <w:sz w:val="18"/>
              </w:rPr>
              <w:t xml:space="preserve">6</w:t>
            </w:r>
          </w:p>
        </w:tc>
        <w:tc>
          <w:tcPr>
            <w:tcW w:w="1026" w:type="dxa"/>
          </w:tcPr>
          <w:p>
            <w:pPr>
              <w:pStyle w:val="Compact"/>
              <w:spacing w:after="40"/>
              <w:jc w:val="left"/>
            </w:pPr>
            <w:r>
              <w:rPr>
                <w:sz w:val="18"/>
              </w:rPr>
              <w:t xml:space="preserve">7B</w:t>
            </w:r>
          </w:p>
        </w:tc>
        <w:tc>
          <w:tcPr>
            <w:tcW w:w="4287" w:type="dxa"/>
          </w:tcPr>
          <w:p>
            <w:pPr>
              <w:pStyle w:val="Compact"/>
              <w:spacing w:after="40"/>
              <w:jc w:val="left"/>
            </w:pPr>
            <w:r>
              <w:rPr>
                <w:sz w:val="18"/>
              </w:rPr>
              <w:t xml:space="preserve">Bank, SFB and co-operative-bank digital-lending and outsourcing Directions</w:t>
            </w:r>
          </w:p>
        </w:tc>
        <w:tc>
          <w:tcPr>
            <w:tcW w:w="2439" w:type="dxa"/>
          </w:tcPr>
          <w:p>
            <w:pPr>
              <w:pStyle w:val="Compact"/>
              <w:spacing w:after="40"/>
              <w:jc w:val="left"/>
            </w:pPr>
            <w:r>
              <w:rPr>
                <w:sz w:val="18"/>
              </w:rPr>
              <w:t xml:space="preserve">Any bank or co-operative-bank RE (</w:t>
            </w:r>
            <w:r>
              <w:rPr>
                <w:rStyle w:val="VerbatimChar"/>
                <w:sz w:val="18"/>
              </w:rPr>
              <w:t xml:space="preserve">DUE_DILIGENCE</w:t>
            </w:r>
            <w:r>
              <w:rPr>
                <w:sz w:val="18"/>
              </w:rPr>
              <w:t xml:space="preserve"> </w:t>
            </w:r>
            <w:r>
              <w:rPr>
                <w:sz w:val="18"/>
              </w:rPr>
              <w:t xml:space="preserve">blocked)</w:t>
            </w:r>
          </w:p>
        </w:tc>
        <w:tc>
          <w:tcPr>
            <w:tcW w:w="953" w:type="dxa"/>
          </w:tcPr>
          <w:p>
            <w:pPr>
              <w:pStyle w:val="Compact"/>
              <w:spacing w:after="40"/>
              <w:jc w:val="left"/>
            </w:pPr>
            <w:r>
              <w:rPr>
                <w:sz w:val="18"/>
              </w:rPr>
              <w:t xml:space="preserve">3c</w:t>
            </w:r>
          </w:p>
        </w:tc>
      </w:tr>
      <w:tr>
        <w:tc>
          <w:tcPr>
            <w:tcW w:w="933" w:type="dxa"/>
          </w:tcPr>
          <w:p>
            <w:pPr>
              <w:pStyle w:val="Compact"/>
              <w:spacing w:after="40"/>
              <w:jc w:val="left"/>
            </w:pPr>
            <w:r>
              <w:rPr>
                <w:sz w:val="18"/>
              </w:rPr>
              <w:t xml:space="preserve">7</w:t>
            </w:r>
          </w:p>
        </w:tc>
        <w:tc>
          <w:tcPr>
            <w:tcW w:w="1026" w:type="dxa"/>
          </w:tcPr>
          <w:p>
            <w:pPr>
              <w:pStyle w:val="Compact"/>
              <w:spacing w:after="40"/>
              <w:jc w:val="left"/>
            </w:pPr>
            <w:r>
              <w:rPr>
                <w:sz w:val="18"/>
              </w:rPr>
              <w:t xml:space="preserve">7B</w:t>
            </w:r>
          </w:p>
        </w:tc>
        <w:tc>
          <w:tcPr>
            <w:tcW w:w="4287" w:type="dxa"/>
          </w:tcPr>
          <w:p>
            <w:pPr>
              <w:pStyle w:val="Compact"/>
              <w:spacing w:after="40"/>
              <w:jc w:val="left"/>
            </w:pPr>
            <w:r>
              <w:rPr>
                <w:sz w:val="18"/>
              </w:rPr>
              <w:t xml:space="preserve">Google Play India personal-loan policy (partner listing) and App Store rules for lenders that are not RBI-regulated</w:t>
            </w:r>
          </w:p>
        </w:tc>
        <w:tc>
          <w:tcPr>
            <w:tcW w:w="2439" w:type="dxa"/>
          </w:tcPr>
          <w:p>
            <w:pPr>
              <w:pStyle w:val="Compact"/>
              <w:spacing w:after="40"/>
              <w:jc w:val="left"/>
            </w:pPr>
            <w:r>
              <w:rPr>
                <w:sz w:val="18"/>
              </w:rPr>
              <w:t xml:space="preserve">Society loans in the store apps (web and assisted only until resolved)</w:t>
            </w:r>
          </w:p>
        </w:tc>
        <w:tc>
          <w:tcPr>
            <w:tcW w:w="953" w:type="dxa"/>
          </w:tcPr>
          <w:p>
            <w:pPr>
              <w:pStyle w:val="Compact"/>
              <w:spacing w:after="40"/>
              <w:jc w:val="left"/>
            </w:pPr>
            <w:r>
              <w:rPr>
                <w:sz w:val="18"/>
              </w:rPr>
              <w:t xml:space="preserve">3c, 18c</w:t>
            </w:r>
          </w:p>
        </w:tc>
      </w:tr>
      <w:tr>
        <w:tc>
          <w:tcPr>
            <w:tcW w:w="933" w:type="dxa"/>
          </w:tcPr>
          <w:p>
            <w:pPr>
              <w:pStyle w:val="Compact"/>
              <w:spacing w:after="40"/>
              <w:jc w:val="left"/>
            </w:pPr>
            <w:r>
              <w:rPr>
                <w:sz w:val="18"/>
              </w:rPr>
              <w:t xml:space="preserve">8</w:t>
            </w:r>
          </w:p>
        </w:tc>
        <w:tc>
          <w:tcPr>
            <w:tcW w:w="1026" w:type="dxa"/>
          </w:tcPr>
          <w:p>
            <w:pPr>
              <w:pStyle w:val="Compact"/>
              <w:spacing w:after="40"/>
              <w:jc w:val="left"/>
            </w:pPr>
            <w:r>
              <w:rPr>
                <w:sz w:val="18"/>
              </w:rPr>
              <w:t xml:space="preserve">7B</w:t>
            </w:r>
          </w:p>
        </w:tc>
        <w:tc>
          <w:tcPr>
            <w:tcW w:w="4287" w:type="dxa"/>
          </w:tcPr>
          <w:p>
            <w:pPr>
              <w:pStyle w:val="Compact"/>
              <w:spacing w:after="40"/>
              <w:jc w:val="left"/>
            </w:pPr>
            <w:r>
              <w:rPr>
                <w:sz w:val="18"/>
              </w:rPr>
              <w:t xml:space="preserve">MSCS ss.84, 85A, 94 and 120; CRCS order of 22 Jan 2024; Maharashtra SLR 25%, audit-class bands, s.91 and s.101 notifications</w:t>
            </w:r>
          </w:p>
        </w:tc>
        <w:tc>
          <w:tcPr>
            <w:tcW w:w="2439" w:type="dxa"/>
          </w:tcPr>
          <w:p>
            <w:pPr>
              <w:pStyle w:val="Compact"/>
              <w:spacing w:after="40"/>
              <w:jc w:val="left"/>
            </w:pPr>
            <w:r>
              <w:rPr>
                <w:sz w:val="18"/>
              </w:rPr>
              <w:t xml:space="preserve">UP4 eligibility gate</w:t>
            </w:r>
          </w:p>
        </w:tc>
        <w:tc>
          <w:tcPr>
            <w:tcW w:w="953" w:type="dxa"/>
          </w:tcPr>
          <w:p>
            <w:pPr>
              <w:pStyle w:val="Compact"/>
              <w:spacing w:after="40"/>
              <w:jc w:val="left"/>
            </w:pPr>
            <w:r>
              <w:rPr>
                <w:sz w:val="18"/>
              </w:rPr>
              <w:t xml:space="preserve">18c</w:t>
            </w:r>
          </w:p>
        </w:tc>
      </w:tr>
      <w:tr>
        <w:tc>
          <w:tcPr>
            <w:tcW w:w="933" w:type="dxa"/>
          </w:tcPr>
          <w:p>
            <w:pPr>
              <w:pStyle w:val="Compact"/>
              <w:spacing w:after="40"/>
              <w:jc w:val="left"/>
            </w:pPr>
            <w:r>
              <w:rPr>
                <w:sz w:val="18"/>
              </w:rPr>
              <w:t xml:space="preserve">9</w:t>
            </w:r>
          </w:p>
        </w:tc>
        <w:tc>
          <w:tcPr>
            <w:tcW w:w="1026" w:type="dxa"/>
          </w:tcPr>
          <w:p>
            <w:pPr>
              <w:pStyle w:val="Compact"/>
              <w:spacing w:after="40"/>
              <w:jc w:val="left"/>
            </w:pPr>
            <w:r>
              <w:rPr>
                <w:sz w:val="18"/>
              </w:rPr>
              <w:t xml:space="preserve">7B</w:t>
            </w:r>
          </w:p>
        </w:tc>
        <w:tc>
          <w:tcPr>
            <w:tcW w:w="4287" w:type="dxa"/>
          </w:tcPr>
          <w:p>
            <w:pPr>
              <w:pStyle w:val="Compact"/>
              <w:spacing w:after="40"/>
              <w:jc w:val="left"/>
            </w:pPr>
            <w:r>
              <w:rPr>
                <w:sz w:val="18"/>
              </w:rPr>
              <w:t xml:space="preserve">Whether a credit co-operative society may be a CIC member under CICRA</w:t>
            </w:r>
          </w:p>
        </w:tc>
        <w:tc>
          <w:tcPr>
            <w:tcW w:w="2439" w:type="dxa"/>
          </w:tcPr>
          <w:p>
            <w:pPr>
              <w:pStyle w:val="Compact"/>
              <w:spacing w:after="40"/>
              <w:jc w:val="left"/>
            </w:pPr>
            <w:r>
              <w:rPr>
                <w:sz w:val="18"/>
              </w:rPr>
              <w:t xml:space="preserve">Society bureau pulls</w:t>
            </w:r>
          </w:p>
        </w:tc>
        <w:tc>
          <w:tcPr>
            <w:tcW w:w="953" w:type="dxa"/>
          </w:tcPr>
          <w:p>
            <w:pPr>
              <w:pStyle w:val="Compact"/>
              <w:spacing w:after="40"/>
              <w:jc w:val="left"/>
            </w:pPr>
            <w:r>
              <w:rPr>
                <w:sz w:val="18"/>
              </w:rPr>
              <w:t xml:space="preserve">18c</w:t>
            </w:r>
          </w:p>
        </w:tc>
      </w:tr>
      <w:tr>
        <w:tc>
          <w:tcPr>
            <w:tcW w:w="933" w:type="dxa"/>
          </w:tcPr>
          <w:p>
            <w:pPr>
              <w:pStyle w:val="Compact"/>
              <w:spacing w:after="40"/>
              <w:jc w:val="left"/>
            </w:pPr>
            <w:r>
              <w:rPr>
                <w:sz w:val="18"/>
              </w:rPr>
              <w:t xml:space="preserve">10</w:t>
            </w:r>
          </w:p>
        </w:tc>
        <w:tc>
          <w:tcPr>
            <w:tcW w:w="1026" w:type="dxa"/>
          </w:tcPr>
          <w:p>
            <w:pPr>
              <w:pStyle w:val="Compact"/>
              <w:spacing w:after="40"/>
              <w:jc w:val="left"/>
            </w:pPr>
            <w:r>
              <w:rPr>
                <w:sz w:val="18"/>
              </w:rPr>
              <w:t xml:space="preserve">7B, 7E</w:t>
            </w:r>
          </w:p>
        </w:tc>
        <w:tc>
          <w:tcPr>
            <w:tcW w:w="4287" w:type="dxa"/>
          </w:tcPr>
          <w:p>
            <w:pPr>
              <w:pStyle w:val="Compact"/>
              <w:spacing w:after="40"/>
              <w:jc w:val="left"/>
            </w:pPr>
            <w:r>
              <w:rPr>
                <w:sz w:val="18"/>
              </w:rPr>
              <w:t xml:space="preserve">TN Act 40/2025 commencement; KA Act 15/2025 platform-registration limb and its reach to an MSCS in Karnataka</w:t>
            </w:r>
          </w:p>
        </w:tc>
        <w:tc>
          <w:tcPr>
            <w:tcW w:w="2439" w:type="dxa"/>
          </w:tcPr>
          <w:p>
            <w:pPr>
              <w:pStyle w:val="Compact"/>
              <w:spacing w:after="40"/>
              <w:jc w:val="left"/>
            </w:pPr>
            <w:r>
              <w:rPr>
                <w:sz w:val="18"/>
              </w:rPr>
              <w:t xml:space="preserve">UP4 counsel opinion; MG1.8 rule packs</w:t>
            </w:r>
          </w:p>
        </w:tc>
        <w:tc>
          <w:tcPr>
            <w:tcW w:w="953" w:type="dxa"/>
          </w:tcPr>
          <w:p>
            <w:pPr>
              <w:pStyle w:val="Compact"/>
              <w:spacing w:after="40"/>
              <w:jc w:val="left"/>
            </w:pPr>
            <w:r>
              <w:rPr>
                <w:sz w:val="18"/>
              </w:rPr>
              <w:t xml:space="preserve">18c</w:t>
            </w:r>
          </w:p>
        </w:tc>
      </w:tr>
      <w:tr>
        <w:tc>
          <w:tcPr>
            <w:tcW w:w="933" w:type="dxa"/>
          </w:tcPr>
          <w:p>
            <w:pPr>
              <w:pStyle w:val="Compact"/>
              <w:spacing w:after="40"/>
              <w:jc w:val="left"/>
            </w:pPr>
            <w:r>
              <w:rPr>
                <w:sz w:val="18"/>
              </w:rPr>
              <w:t xml:space="preserve">11</w:t>
            </w:r>
          </w:p>
        </w:tc>
        <w:tc>
          <w:tcPr>
            <w:tcW w:w="1026" w:type="dxa"/>
          </w:tcPr>
          <w:p>
            <w:pPr>
              <w:pStyle w:val="Compact"/>
              <w:spacing w:after="40"/>
              <w:jc w:val="left"/>
            </w:pPr>
            <w:r>
              <w:rPr>
                <w:sz w:val="18"/>
              </w:rPr>
              <w:t xml:space="preserve">7B, 7E</w:t>
            </w:r>
          </w:p>
        </w:tc>
        <w:tc>
          <w:tcPr>
            <w:tcW w:w="4287" w:type="dxa"/>
          </w:tcPr>
          <w:p>
            <w:pPr>
              <w:pStyle w:val="Compact"/>
              <w:spacing w:after="40"/>
              <w:jc w:val="left"/>
            </w:pPr>
            <w:r>
              <w:rPr>
                <w:sz w:val="18"/>
              </w:rPr>
              <w:t xml:space="preserve">That societies are not notified under PML Act s.11A (offline Aadhaar and DigiLocker only)</w:t>
            </w:r>
          </w:p>
        </w:tc>
        <w:tc>
          <w:tcPr>
            <w:tcW w:w="2439" w:type="dxa"/>
          </w:tcPr>
          <w:p>
            <w:pPr>
              <w:pStyle w:val="Compact"/>
              <w:spacing w:after="40"/>
              <w:jc w:val="left"/>
            </w:pPr>
            <w:r>
              <w:rPr>
                <w:sz w:val="18"/>
              </w:rPr>
              <w:t xml:space="preserve">Society KYC routes</w:t>
            </w:r>
          </w:p>
        </w:tc>
        <w:tc>
          <w:tcPr>
            <w:tcW w:w="953" w:type="dxa"/>
          </w:tcPr>
          <w:p>
            <w:pPr>
              <w:pStyle w:val="Compact"/>
              <w:spacing w:after="40"/>
              <w:jc w:val="left"/>
            </w:pPr>
            <w:r>
              <w:rPr>
                <w:sz w:val="18"/>
              </w:rPr>
              <w:t xml:space="preserve">18c</w:t>
            </w:r>
          </w:p>
        </w:tc>
      </w:tr>
      <w:tr>
        <w:tc>
          <w:tcPr>
            <w:tcW w:w="933" w:type="dxa"/>
          </w:tcPr>
          <w:p>
            <w:pPr>
              <w:pStyle w:val="Compact"/>
              <w:spacing w:after="40"/>
              <w:jc w:val="left"/>
            </w:pPr>
            <w:r>
              <w:rPr>
                <w:sz w:val="18"/>
              </w:rPr>
              <w:t xml:space="preserve">12</w:t>
            </w:r>
          </w:p>
        </w:tc>
        <w:tc>
          <w:tcPr>
            <w:tcW w:w="1026" w:type="dxa"/>
          </w:tcPr>
          <w:p>
            <w:pPr>
              <w:pStyle w:val="Compact"/>
              <w:spacing w:after="40"/>
              <w:jc w:val="left"/>
            </w:pPr>
            <w:r>
              <w:rPr>
                <w:sz w:val="18"/>
              </w:rPr>
              <w:t xml:space="preserve">7B, 7C, 7G</w:t>
            </w:r>
          </w:p>
        </w:tc>
        <w:tc>
          <w:tcPr>
            <w:tcW w:w="4287" w:type="dxa"/>
          </w:tcPr>
          <w:p>
            <w:pPr>
              <w:pStyle w:val="Compact"/>
              <w:spacing w:after="40"/>
              <w:jc w:val="left"/>
            </w:pPr>
            <w:r>
              <w:rPr>
                <w:sz w:val="18"/>
              </w:rPr>
              <w:t xml:space="preserve">Official text of the RBC Third Amendment paras 100M–100N, 100P, 100Q and 100AA</w:t>
            </w:r>
          </w:p>
        </w:tc>
        <w:tc>
          <w:tcPr>
            <w:tcW w:w="2439" w:type="dxa"/>
          </w:tcPr>
          <w:p>
            <w:pPr>
              <w:pStyle w:val="Compact"/>
              <w:spacing w:after="40"/>
              <w:jc w:val="left"/>
            </w:pPr>
            <w:r>
              <w:rPr>
                <w:sz w:val="18"/>
              </w:rPr>
              <w:t xml:space="preserve">UP5 recovery hand-back; RV1 S04; UB3 recovery-grievance block</w:t>
            </w:r>
          </w:p>
        </w:tc>
        <w:tc>
          <w:tcPr>
            <w:tcW w:w="953" w:type="dxa"/>
          </w:tcPr>
          <w:p>
            <w:pPr>
              <w:pStyle w:val="Compact"/>
              <w:spacing w:after="40"/>
              <w:jc w:val="left"/>
            </w:pPr>
            <w:r>
              <w:rPr>
                <w:sz w:val="18"/>
              </w:rPr>
              <w:t xml:space="preserve">3c</w:t>
            </w:r>
          </w:p>
        </w:tc>
      </w:tr>
      <w:tr>
        <w:tc>
          <w:tcPr>
            <w:tcW w:w="933" w:type="dxa"/>
          </w:tcPr>
          <w:p>
            <w:pPr>
              <w:pStyle w:val="Compact"/>
              <w:spacing w:after="40"/>
              <w:jc w:val="left"/>
            </w:pPr>
            <w:r>
              <w:rPr>
                <w:sz w:val="18"/>
              </w:rPr>
              <w:t xml:space="preserve">13</w:t>
            </w:r>
          </w:p>
        </w:tc>
        <w:tc>
          <w:tcPr>
            <w:tcW w:w="1026" w:type="dxa"/>
          </w:tcPr>
          <w:p>
            <w:pPr>
              <w:pStyle w:val="Compact"/>
              <w:spacing w:after="40"/>
              <w:jc w:val="left"/>
            </w:pPr>
            <w:r>
              <w:rPr>
                <w:sz w:val="18"/>
              </w:rPr>
              <w:t xml:space="preserve">7C</w:t>
            </w:r>
          </w:p>
        </w:tc>
        <w:tc>
          <w:tcPr>
            <w:tcW w:w="4287" w:type="dxa"/>
          </w:tcPr>
          <w:p>
            <w:pPr>
              <w:pStyle w:val="Compact"/>
              <w:spacing w:after="40"/>
              <w:jc w:val="left"/>
            </w:pPr>
            <w:r>
              <w:rPr>
                <w:sz w:val="18"/>
              </w:rPr>
              <w:t xml:space="preserve">RB-IOS 2026 clause numbering; day-count convention for the 90-day window; CMS upload limits; representative rule (cl.10(1)(b))</w:t>
            </w:r>
          </w:p>
        </w:tc>
        <w:tc>
          <w:tcPr>
            <w:tcW w:w="2439" w:type="dxa"/>
          </w:tcPr>
          <w:p>
            <w:pPr>
              <w:pStyle w:val="Compact"/>
              <w:spacing w:after="40"/>
              <w:jc w:val="left"/>
            </w:pPr>
            <w:r>
              <w:rPr>
                <w:sz w:val="18"/>
              </w:rPr>
              <w:t xml:space="preserve">UB3 countdown; UB4 case pack</w:t>
            </w:r>
          </w:p>
        </w:tc>
        <w:tc>
          <w:tcPr>
            <w:tcW w:w="953" w:type="dxa"/>
          </w:tcPr>
          <w:p>
            <w:pPr>
              <w:pStyle w:val="Compact"/>
              <w:spacing w:after="40"/>
              <w:jc w:val="left"/>
            </w:pPr>
            <w:r>
              <w:rPr>
                <w:sz w:val="18"/>
              </w:rPr>
              <w:t xml:space="preserve">14b</w:t>
            </w:r>
          </w:p>
        </w:tc>
      </w:tr>
      <w:tr>
        <w:tc>
          <w:tcPr>
            <w:tcW w:w="933" w:type="dxa"/>
          </w:tcPr>
          <w:p>
            <w:pPr>
              <w:pStyle w:val="Compact"/>
              <w:spacing w:after="40"/>
              <w:jc w:val="left"/>
            </w:pPr>
            <w:r>
              <w:rPr>
                <w:sz w:val="18"/>
              </w:rPr>
              <w:t xml:space="preserve">14</w:t>
            </w:r>
          </w:p>
        </w:tc>
        <w:tc>
          <w:tcPr>
            <w:tcW w:w="1026" w:type="dxa"/>
          </w:tcPr>
          <w:p>
            <w:pPr>
              <w:pStyle w:val="Compact"/>
              <w:spacing w:after="40"/>
              <w:jc w:val="left"/>
            </w:pPr>
            <w:r>
              <w:rPr>
                <w:sz w:val="18"/>
              </w:rPr>
              <w:t xml:space="preserve">7C</w:t>
            </w:r>
          </w:p>
        </w:tc>
        <w:tc>
          <w:tcPr>
            <w:tcW w:w="4287" w:type="dxa"/>
          </w:tcPr>
          <w:p>
            <w:pPr>
              <w:pStyle w:val="Compact"/>
              <w:spacing w:after="40"/>
              <w:jc w:val="left"/>
            </w:pPr>
            <w:r>
              <w:rPr>
                <w:sz w:val="18"/>
              </w:rPr>
              <w:t xml:space="preserve">IO 2026 paragraph numbers</w:t>
            </w:r>
          </w:p>
        </w:tc>
        <w:tc>
          <w:tcPr>
            <w:tcW w:w="2439" w:type="dxa"/>
          </w:tcPr>
          <w:p>
            <w:pPr>
              <w:pStyle w:val="Compact"/>
              <w:spacing w:after="40"/>
              <w:jc w:val="left"/>
            </w:pPr>
            <w:r>
              <w:rPr>
                <w:sz w:val="18"/>
              </w:rPr>
              <w:t xml:space="preserve">UB3 tier T3 citations</w:t>
            </w:r>
          </w:p>
        </w:tc>
        <w:tc>
          <w:tcPr>
            <w:tcW w:w="953" w:type="dxa"/>
          </w:tcPr>
          <w:p>
            <w:pPr>
              <w:pStyle w:val="Compact"/>
              <w:spacing w:after="40"/>
              <w:jc w:val="left"/>
            </w:pPr>
            <w:r>
              <w:rPr>
                <w:sz w:val="18"/>
              </w:rPr>
              <w:t xml:space="preserve">14b</w:t>
            </w:r>
          </w:p>
        </w:tc>
      </w:tr>
      <w:tr>
        <w:tc>
          <w:tcPr>
            <w:tcW w:w="933" w:type="dxa"/>
          </w:tcPr>
          <w:p>
            <w:pPr>
              <w:pStyle w:val="Compact"/>
              <w:spacing w:after="40"/>
              <w:jc w:val="left"/>
            </w:pPr>
            <w:r>
              <w:rPr>
                <w:sz w:val="18"/>
              </w:rPr>
              <w:t xml:space="preserve">15</w:t>
            </w:r>
          </w:p>
        </w:tc>
        <w:tc>
          <w:tcPr>
            <w:tcW w:w="1026" w:type="dxa"/>
          </w:tcPr>
          <w:p>
            <w:pPr>
              <w:pStyle w:val="Compact"/>
              <w:spacing w:after="40"/>
              <w:jc w:val="left"/>
            </w:pPr>
            <w:r>
              <w:rPr>
                <w:sz w:val="18"/>
              </w:rPr>
              <w:t xml:space="preserve">7C</w:t>
            </w:r>
          </w:p>
        </w:tc>
        <w:tc>
          <w:tcPr>
            <w:tcW w:w="4287" w:type="dxa"/>
          </w:tcPr>
          <w:p>
            <w:pPr>
              <w:pStyle w:val="Compact"/>
              <w:spacing w:after="40"/>
              <w:jc w:val="left"/>
            </w:pPr>
            <w:r>
              <w:rPr>
                <w:sz w:val="18"/>
              </w:rPr>
              <w:t xml:space="preserve">Current NHB grievance route for HFCs; CEPC route after RB-IOS 2026 for NBFCs outside the Scheme</w:t>
            </w:r>
          </w:p>
        </w:tc>
        <w:tc>
          <w:tcPr>
            <w:tcW w:w="2439" w:type="dxa"/>
          </w:tcPr>
          <w:p>
            <w:pPr>
              <w:pStyle w:val="Compact"/>
              <w:spacing w:after="40"/>
              <w:jc w:val="left"/>
            </w:pPr>
            <w:r>
              <w:rPr>
                <w:sz w:val="18"/>
              </w:rPr>
              <w:t xml:space="preserve">UB3</w:t>
            </w:r>
            <w:r>
              <w:rPr>
                <w:sz w:val="18"/>
              </w:rPr>
              <w:t xml:space="preserve"> </w:t>
            </w:r>
            <w:r>
              <w:rPr>
                <w:rStyle w:val="VerbatimChar"/>
                <w:sz w:val="18"/>
              </w:rPr>
              <w:t xml:space="preserve">top_tier</w:t>
            </w:r>
            <w:r>
              <w:rPr>
                <w:sz w:val="18"/>
              </w:rPr>
              <w:t xml:space="preserve"> </w:t>
            </w:r>
            <w:r>
              <w:rPr>
                <w:sz w:val="18"/>
              </w:rPr>
              <w:t xml:space="preserve">for HFCs and small NBFCs</w:t>
            </w:r>
          </w:p>
        </w:tc>
        <w:tc>
          <w:tcPr>
            <w:tcW w:w="953" w:type="dxa"/>
          </w:tcPr>
          <w:p>
            <w:pPr>
              <w:pStyle w:val="Compact"/>
              <w:spacing w:after="40"/>
              <w:jc w:val="left"/>
            </w:pPr>
            <w:r>
              <w:rPr>
                <w:sz w:val="18"/>
              </w:rPr>
              <w:t xml:space="preserve">14b</w:t>
            </w:r>
          </w:p>
        </w:tc>
      </w:tr>
      <w:tr>
        <w:tc>
          <w:tcPr>
            <w:tcW w:w="933" w:type="dxa"/>
          </w:tcPr>
          <w:p>
            <w:pPr>
              <w:pStyle w:val="Compact"/>
              <w:spacing w:after="40"/>
              <w:jc w:val="left"/>
            </w:pPr>
            <w:r>
              <w:rPr>
                <w:sz w:val="18"/>
              </w:rPr>
              <w:t xml:space="preserve">16</w:t>
            </w:r>
          </w:p>
        </w:tc>
        <w:tc>
          <w:tcPr>
            <w:tcW w:w="1026" w:type="dxa"/>
          </w:tcPr>
          <w:p>
            <w:pPr>
              <w:pStyle w:val="Compact"/>
              <w:spacing w:after="40"/>
              <w:jc w:val="left"/>
            </w:pPr>
            <w:r>
              <w:rPr>
                <w:sz w:val="18"/>
              </w:rPr>
              <w:t xml:space="preserve">7C</w:t>
            </w:r>
          </w:p>
        </w:tc>
        <w:tc>
          <w:tcPr>
            <w:tcW w:w="4287" w:type="dxa"/>
          </w:tcPr>
          <w:p>
            <w:pPr>
              <w:pStyle w:val="Compact"/>
              <w:spacing w:after="40"/>
              <w:jc w:val="left"/>
            </w:pPr>
            <w:r>
              <w:rPr>
                <w:sz w:val="18"/>
              </w:rPr>
              <w:t xml:space="preserve">ITA25 concordance: s.21(6) scope; s.131 as successor of 80EEA (sources conflict); s.129 notification requirement for NBFC lenders; CBDT transition guidance</w:t>
            </w:r>
          </w:p>
        </w:tc>
        <w:tc>
          <w:tcPr>
            <w:tcW w:w="2439" w:type="dxa"/>
          </w:tcPr>
          <w:p>
            <w:pPr>
              <w:pStyle w:val="Compact"/>
              <w:spacing w:after="40"/>
              <w:jc w:val="left"/>
            </w:pPr>
            <w:r>
              <w:rPr>
                <w:sz w:val="18"/>
              </w:rPr>
              <w:t xml:space="preserve">UB2 certificate types (s.131 disabled until confirmed)</w:t>
            </w:r>
          </w:p>
        </w:tc>
        <w:tc>
          <w:tcPr>
            <w:tcW w:w="953" w:type="dxa"/>
          </w:tcPr>
          <w:p>
            <w:pPr>
              <w:pStyle w:val="Compact"/>
              <w:spacing w:after="40"/>
              <w:jc w:val="left"/>
            </w:pPr>
            <w:r>
              <w:rPr>
                <w:sz w:val="18"/>
              </w:rPr>
              <w:t xml:space="preserve">11b</w:t>
            </w:r>
          </w:p>
        </w:tc>
      </w:tr>
      <w:tr>
        <w:tc>
          <w:tcPr>
            <w:tcW w:w="933" w:type="dxa"/>
          </w:tcPr>
          <w:p>
            <w:pPr>
              <w:pStyle w:val="Compact"/>
              <w:spacing w:after="40"/>
              <w:jc w:val="left"/>
            </w:pPr>
            <w:r>
              <w:rPr>
                <w:sz w:val="18"/>
              </w:rPr>
              <w:t xml:space="preserve">17</w:t>
            </w:r>
          </w:p>
        </w:tc>
        <w:tc>
          <w:tcPr>
            <w:tcW w:w="1026" w:type="dxa"/>
          </w:tcPr>
          <w:p>
            <w:pPr>
              <w:pStyle w:val="Compact"/>
              <w:spacing w:after="40"/>
              <w:jc w:val="left"/>
            </w:pPr>
            <w:r>
              <w:rPr>
                <w:sz w:val="18"/>
              </w:rPr>
              <w:t xml:space="preserve">7C, 7G</w:t>
            </w:r>
          </w:p>
        </w:tc>
        <w:tc>
          <w:tcPr>
            <w:tcW w:w="4287" w:type="dxa"/>
          </w:tcPr>
          <w:p>
            <w:pPr>
              <w:pStyle w:val="Compact"/>
              <w:spacing w:after="40"/>
              <w:jc w:val="left"/>
            </w:pPr>
            <w:r>
              <w:rPr>
                <w:sz w:val="18"/>
              </w:rPr>
              <w:t xml:space="preserve">GST: SAC 9971 and rate per RE fee type; Notification 12/2017-CT(Rate) entry 27(a) wording; GSP public-search API terms; Udofin’s SAC, rate and e-invoicing threshold; CGST r.46 series</w:t>
            </w:r>
          </w:p>
        </w:tc>
        <w:tc>
          <w:tcPr>
            <w:tcW w:w="2439" w:type="dxa"/>
          </w:tcPr>
          <w:p>
            <w:pPr>
              <w:pStyle w:val="Compact"/>
              <w:spacing w:after="40"/>
              <w:jc w:val="left"/>
            </w:pPr>
            <w:r>
              <w:rPr>
                <w:sz w:val="18"/>
              </w:rPr>
              <w:t xml:space="preserve">UB2 business-borrower details; RV3.6 invoices</w:t>
            </w:r>
          </w:p>
        </w:tc>
        <w:tc>
          <w:tcPr>
            <w:tcW w:w="953" w:type="dxa"/>
          </w:tcPr>
          <w:p>
            <w:pPr>
              <w:pStyle w:val="Compact"/>
              <w:spacing w:after="40"/>
              <w:jc w:val="left"/>
            </w:pPr>
            <w:r>
              <w:rPr>
                <w:sz w:val="18"/>
              </w:rPr>
              <w:t xml:space="preserve">11b, 20b</w:t>
            </w:r>
          </w:p>
        </w:tc>
      </w:tr>
      <w:tr>
        <w:tc>
          <w:tcPr>
            <w:tcW w:w="933" w:type="dxa"/>
          </w:tcPr>
          <w:p>
            <w:pPr>
              <w:pStyle w:val="Compact"/>
              <w:spacing w:after="40"/>
              <w:jc w:val="left"/>
            </w:pPr>
            <w:r>
              <w:rPr>
                <w:sz w:val="18"/>
              </w:rPr>
              <w:t xml:space="preserve">18</w:t>
            </w:r>
          </w:p>
        </w:tc>
        <w:tc>
          <w:tcPr>
            <w:tcW w:w="1026" w:type="dxa"/>
          </w:tcPr>
          <w:p>
            <w:pPr>
              <w:pStyle w:val="Compact"/>
              <w:spacing w:after="40"/>
              <w:jc w:val="left"/>
            </w:pPr>
            <w:r>
              <w:rPr>
                <w:sz w:val="18"/>
              </w:rPr>
              <w:t xml:space="preserve">7C</w:t>
            </w:r>
          </w:p>
        </w:tc>
        <w:tc>
          <w:tcPr>
            <w:tcW w:w="4287" w:type="dxa"/>
          </w:tcPr>
          <w:p>
            <w:pPr>
              <w:pStyle w:val="Compact"/>
              <w:spacing w:after="40"/>
              <w:jc w:val="left"/>
            </w:pPr>
            <w:r>
              <w:rPr>
                <w:sz w:val="18"/>
              </w:rPr>
              <w:t xml:space="preserve">DPDP s.14 nominee and Data Protection Board route from 13 May 2027; IT Act and SPDI Rules grievance officer before then</w:t>
            </w:r>
          </w:p>
        </w:tc>
        <w:tc>
          <w:tcPr>
            <w:tcW w:w="2439" w:type="dxa"/>
          </w:tcPr>
          <w:p>
            <w:pPr>
              <w:pStyle w:val="Compact"/>
              <w:spacing w:after="40"/>
              <w:jc w:val="left"/>
            </w:pPr>
            <w:r>
              <w:rPr>
                <w:sz w:val="18"/>
              </w:rPr>
              <w:t xml:space="preserve">UB1 heirs; UB3 personal-data route</w:t>
            </w:r>
          </w:p>
        </w:tc>
        <w:tc>
          <w:tcPr>
            <w:tcW w:w="953" w:type="dxa"/>
          </w:tcPr>
          <w:p>
            <w:pPr>
              <w:pStyle w:val="Compact"/>
              <w:spacing w:after="40"/>
              <w:jc w:val="left"/>
            </w:pPr>
            <w:r>
              <w:rPr>
                <w:sz w:val="18"/>
              </w:rPr>
              <w:t xml:space="preserve">11b, 14b</w:t>
            </w:r>
          </w:p>
        </w:tc>
      </w:tr>
      <w:tr>
        <w:tc>
          <w:tcPr>
            <w:tcW w:w="933" w:type="dxa"/>
          </w:tcPr>
          <w:p>
            <w:pPr>
              <w:pStyle w:val="Compact"/>
              <w:spacing w:after="40"/>
              <w:jc w:val="left"/>
            </w:pPr>
            <w:r>
              <w:rPr>
                <w:sz w:val="18"/>
              </w:rPr>
              <w:t xml:space="preserve">19</w:t>
            </w:r>
          </w:p>
        </w:tc>
        <w:tc>
          <w:tcPr>
            <w:tcW w:w="1026" w:type="dxa"/>
          </w:tcPr>
          <w:p>
            <w:pPr>
              <w:pStyle w:val="Compact"/>
              <w:spacing w:after="40"/>
              <w:jc w:val="left"/>
            </w:pPr>
            <w:r>
              <w:rPr>
                <w:sz w:val="18"/>
              </w:rPr>
              <w:t xml:space="preserve">7C, 7F</w:t>
            </w:r>
          </w:p>
        </w:tc>
        <w:tc>
          <w:tcPr>
            <w:tcW w:w="4287" w:type="dxa"/>
          </w:tcPr>
          <w:p>
            <w:pPr>
              <w:pStyle w:val="Compact"/>
              <w:spacing w:after="40"/>
              <w:jc w:val="left"/>
            </w:pPr>
            <w:r>
              <w:rPr>
                <w:sz w:val="18"/>
              </w:rPr>
              <w:t xml:space="preserve">Insurance Ombudsman Rules 2017 rule numbers, 1-year window and ₹50 lakh limit; insurer GRO response period</w:t>
            </w:r>
          </w:p>
        </w:tc>
        <w:tc>
          <w:tcPr>
            <w:tcW w:w="2439" w:type="dxa"/>
          </w:tcPr>
          <w:p>
            <w:pPr>
              <w:pStyle w:val="Compact"/>
              <w:spacing w:after="40"/>
              <w:jc w:val="left"/>
            </w:pPr>
            <w:r>
              <w:rPr>
                <w:sz w:val="18"/>
              </w:rPr>
              <w:t xml:space="preserve">UB3 and XP2.6 insurance routes</w:t>
            </w:r>
          </w:p>
        </w:tc>
        <w:tc>
          <w:tcPr>
            <w:tcW w:w="953" w:type="dxa"/>
          </w:tcPr>
          <w:p>
            <w:pPr>
              <w:pStyle w:val="Compact"/>
              <w:spacing w:after="40"/>
              <w:jc w:val="left"/>
            </w:pPr>
            <w:r>
              <w:rPr>
                <w:sz w:val="18"/>
              </w:rPr>
              <w:t xml:space="preserve">14b, 20c</w:t>
            </w:r>
          </w:p>
        </w:tc>
      </w:tr>
      <w:tr>
        <w:tc>
          <w:tcPr>
            <w:tcW w:w="933" w:type="dxa"/>
          </w:tcPr>
          <w:p>
            <w:pPr>
              <w:pStyle w:val="Compact"/>
              <w:spacing w:after="40"/>
              <w:jc w:val="left"/>
            </w:pPr>
            <w:r>
              <w:rPr>
                <w:sz w:val="18"/>
              </w:rPr>
              <w:t xml:space="preserve">20</w:t>
            </w:r>
          </w:p>
        </w:tc>
        <w:tc>
          <w:tcPr>
            <w:tcW w:w="1026" w:type="dxa"/>
          </w:tcPr>
          <w:p>
            <w:pPr>
              <w:pStyle w:val="Compact"/>
              <w:spacing w:after="40"/>
              <w:jc w:val="left"/>
            </w:pPr>
            <w:r>
              <w:rPr>
                <w:sz w:val="18"/>
              </w:rPr>
              <w:t xml:space="preserve">7D</w:t>
            </w:r>
          </w:p>
        </w:tc>
        <w:tc>
          <w:tcPr>
            <w:tcW w:w="4287" w:type="dxa"/>
          </w:tcPr>
          <w:p>
            <w:pPr>
              <w:pStyle w:val="Compact"/>
              <w:spacing w:after="40"/>
              <w:jc w:val="left"/>
            </w:pPr>
            <w:r>
              <w:rPr>
                <w:sz w:val="18"/>
              </w:rPr>
              <w:t xml:space="preserve">CIC Regulations reg 9 text; consolidated CIC Directions 2025 limits on consumer-partner channels; each CIC’s partner eligibility, audit and price terms; reference of the 2019 RBI instruction</w:t>
            </w:r>
          </w:p>
        </w:tc>
        <w:tc>
          <w:tcPr>
            <w:tcW w:w="2439" w:type="dxa"/>
          </w:tcPr>
          <w:p>
            <w:pPr>
              <w:pStyle w:val="Compact"/>
              <w:spacing w:after="40"/>
              <w:jc w:val="left"/>
            </w:pPr>
            <w:r>
              <w:rPr>
                <w:sz w:val="18"/>
              </w:rPr>
              <w:t xml:space="preserve">FW1 launch (gate G3)</w:t>
            </w:r>
          </w:p>
        </w:tc>
        <w:tc>
          <w:tcPr>
            <w:tcW w:w="953" w:type="dxa"/>
          </w:tcPr>
          <w:p>
            <w:pPr>
              <w:pStyle w:val="Compact"/>
              <w:spacing w:after="40"/>
              <w:jc w:val="left"/>
            </w:pPr>
            <w:r>
              <w:rPr>
                <w:sz w:val="18"/>
              </w:rPr>
              <w:t xml:space="preserve">20b</w:t>
            </w:r>
          </w:p>
        </w:tc>
      </w:tr>
      <w:tr>
        <w:tc>
          <w:tcPr>
            <w:tcW w:w="933" w:type="dxa"/>
          </w:tcPr>
          <w:p>
            <w:pPr>
              <w:pStyle w:val="Compact"/>
              <w:spacing w:after="40"/>
              <w:jc w:val="left"/>
            </w:pPr>
            <w:r>
              <w:rPr>
                <w:sz w:val="18"/>
              </w:rPr>
              <w:t xml:space="preserve">21</w:t>
            </w:r>
          </w:p>
        </w:tc>
        <w:tc>
          <w:tcPr>
            <w:tcW w:w="1026" w:type="dxa"/>
          </w:tcPr>
          <w:p>
            <w:pPr>
              <w:pStyle w:val="Compact"/>
              <w:spacing w:after="40"/>
              <w:jc w:val="left"/>
            </w:pPr>
            <w:r>
              <w:rPr>
                <w:sz w:val="18"/>
              </w:rPr>
              <w:t xml:space="preserve">7D</w:t>
            </w:r>
          </w:p>
        </w:tc>
        <w:tc>
          <w:tcPr>
            <w:tcW w:w="4287" w:type="dxa"/>
          </w:tcPr>
          <w:p>
            <w:pPr>
              <w:pStyle w:val="Compact"/>
              <w:spacing w:after="40"/>
              <w:jc w:val="left"/>
            </w:pPr>
            <w:r>
              <w:rPr>
                <w:sz w:val="18"/>
              </w:rPr>
              <w:t xml:space="preserve">Current CCPA Annexure 1 list; applicability of the Consumer Protection (E-Commerce) Rules 2020</w:t>
            </w:r>
          </w:p>
        </w:tc>
        <w:tc>
          <w:tcPr>
            <w:tcW w:w="2439" w:type="dxa"/>
          </w:tcPr>
          <w:p>
            <w:pPr>
              <w:pStyle w:val="Compact"/>
              <w:spacing w:after="40"/>
              <w:jc w:val="left"/>
            </w:pPr>
            <w:r>
              <w:rPr>
                <w:sz w:val="18"/>
              </w:rPr>
              <w:t xml:space="preserve">FW4 G2 opinion; UI audit</w:t>
            </w:r>
          </w:p>
        </w:tc>
        <w:tc>
          <w:tcPr>
            <w:tcW w:w="953" w:type="dxa"/>
          </w:tcPr>
          <w:p>
            <w:pPr>
              <w:pStyle w:val="Compact"/>
              <w:spacing w:after="40"/>
              <w:jc w:val="left"/>
            </w:pPr>
            <w:r>
              <w:rPr>
                <w:sz w:val="18"/>
              </w:rPr>
              <w:t xml:space="preserve">20b</w:t>
            </w:r>
          </w:p>
        </w:tc>
      </w:tr>
      <w:tr>
        <w:tc>
          <w:tcPr>
            <w:tcW w:w="933" w:type="dxa"/>
          </w:tcPr>
          <w:p>
            <w:pPr>
              <w:pStyle w:val="Compact"/>
              <w:spacing w:after="40"/>
              <w:jc w:val="left"/>
            </w:pPr>
            <w:r>
              <w:rPr>
                <w:sz w:val="18"/>
              </w:rPr>
              <w:t xml:space="preserve">22</w:t>
            </w:r>
          </w:p>
        </w:tc>
        <w:tc>
          <w:tcPr>
            <w:tcW w:w="1026" w:type="dxa"/>
          </w:tcPr>
          <w:p>
            <w:pPr>
              <w:pStyle w:val="Compact"/>
              <w:spacing w:after="40"/>
              <w:jc w:val="left"/>
            </w:pPr>
            <w:r>
              <w:rPr>
                <w:sz w:val="18"/>
              </w:rPr>
              <w:t xml:space="preserve">7D</w:t>
            </w:r>
          </w:p>
        </w:tc>
        <w:tc>
          <w:tcPr>
            <w:tcW w:w="4287" w:type="dxa"/>
          </w:tcPr>
          <w:p>
            <w:pPr>
              <w:pStyle w:val="Compact"/>
              <w:spacing w:after="40"/>
              <w:jc w:val="left"/>
            </w:pPr>
            <w:r>
              <w:rPr>
                <w:sz w:val="18"/>
              </w:rPr>
              <w:t xml:space="preserve">Availability of a licensed CIC simulator interface</w:t>
            </w:r>
          </w:p>
        </w:tc>
        <w:tc>
          <w:tcPr>
            <w:tcW w:w="2439" w:type="dxa"/>
          </w:tcPr>
          <w:p>
            <w:pPr>
              <w:pStyle w:val="Compact"/>
              <w:spacing w:after="40"/>
              <w:jc w:val="left"/>
            </w:pPr>
            <w:r>
              <w:rPr>
                <w:sz w:val="18"/>
              </w:rPr>
              <w:t xml:space="preserve">FW2 engine choice</w:t>
            </w:r>
          </w:p>
        </w:tc>
        <w:tc>
          <w:tcPr>
            <w:tcW w:w="953" w:type="dxa"/>
          </w:tcPr>
          <w:p>
            <w:pPr>
              <w:pStyle w:val="Compact"/>
              <w:spacing w:after="40"/>
              <w:jc w:val="left"/>
            </w:pPr>
            <w:r>
              <w:rPr>
                <w:sz w:val="18"/>
              </w:rPr>
              <w:t xml:space="preserve">20b</w:t>
            </w:r>
          </w:p>
        </w:tc>
      </w:tr>
      <w:tr>
        <w:tc>
          <w:tcPr>
            <w:tcW w:w="933" w:type="dxa"/>
          </w:tcPr>
          <w:p>
            <w:pPr>
              <w:pStyle w:val="Compact"/>
              <w:spacing w:after="40"/>
              <w:jc w:val="left"/>
            </w:pPr>
            <w:r>
              <w:rPr>
                <w:sz w:val="18"/>
              </w:rPr>
              <w:t xml:space="preserve">23</w:t>
            </w:r>
          </w:p>
        </w:tc>
        <w:tc>
          <w:tcPr>
            <w:tcW w:w="1026" w:type="dxa"/>
          </w:tcPr>
          <w:p>
            <w:pPr>
              <w:pStyle w:val="Compact"/>
              <w:spacing w:after="40"/>
              <w:jc w:val="left"/>
            </w:pPr>
            <w:r>
              <w:rPr>
                <w:sz w:val="18"/>
              </w:rPr>
              <w:t xml:space="preserve">7D</w:t>
            </w:r>
          </w:p>
        </w:tc>
        <w:tc>
          <w:tcPr>
            <w:tcW w:w="4287" w:type="dxa"/>
          </w:tcPr>
          <w:p>
            <w:pPr>
              <w:pStyle w:val="Compact"/>
              <w:spacing w:after="40"/>
              <w:jc w:val="left"/>
            </w:pPr>
            <w:r>
              <w:rPr>
                <w:sz w:val="18"/>
              </w:rPr>
              <w:t xml:space="preserve">ReBIT purpose codes and RBI’s view on AA-based personal finance through a regulated partner FIU</w:t>
            </w:r>
          </w:p>
        </w:tc>
        <w:tc>
          <w:tcPr>
            <w:tcW w:w="2439" w:type="dxa"/>
          </w:tcPr>
          <w:p>
            <w:pPr>
              <w:pStyle w:val="Compact"/>
              <w:spacing w:after="40"/>
              <w:jc w:val="left"/>
            </w:pPr>
            <w:r>
              <w:rPr>
                <w:sz w:val="18"/>
              </w:rPr>
              <w:t xml:space="preserve">FW3 AA source (not in v1.2)</w:t>
            </w:r>
          </w:p>
        </w:tc>
        <w:tc>
          <w:tcPr>
            <w:tcW w:w="953" w:type="dxa"/>
          </w:tcPr>
          <w:p>
            <w:pPr>
              <w:pStyle w:val="Compact"/>
              <w:spacing w:after="40"/>
              <w:jc w:val="left"/>
            </w:pPr>
            <w:r>
              <w:rPr>
                <w:sz w:val="18"/>
              </w:rPr>
              <w:t xml:space="preserve">after 20b</w:t>
            </w:r>
          </w:p>
        </w:tc>
      </w:tr>
      <w:tr>
        <w:tc>
          <w:tcPr>
            <w:tcW w:w="933" w:type="dxa"/>
          </w:tcPr>
          <w:p>
            <w:pPr>
              <w:pStyle w:val="Compact"/>
              <w:spacing w:after="40"/>
              <w:jc w:val="left"/>
            </w:pPr>
            <w:r>
              <w:rPr>
                <w:sz w:val="18"/>
              </w:rPr>
              <w:t xml:space="preserve">24</w:t>
            </w:r>
          </w:p>
        </w:tc>
        <w:tc>
          <w:tcPr>
            <w:tcW w:w="1026" w:type="dxa"/>
          </w:tcPr>
          <w:p>
            <w:pPr>
              <w:pStyle w:val="Compact"/>
              <w:spacing w:after="40"/>
              <w:jc w:val="left"/>
            </w:pPr>
            <w:r>
              <w:rPr>
                <w:sz w:val="18"/>
              </w:rPr>
              <w:t xml:space="preserve">7D, 7G</w:t>
            </w:r>
          </w:p>
        </w:tc>
        <w:tc>
          <w:tcPr>
            <w:tcW w:w="4287" w:type="dxa"/>
          </w:tcPr>
          <w:p>
            <w:pPr>
              <w:pStyle w:val="Compact"/>
              <w:spacing w:after="40"/>
              <w:jc w:val="left"/>
            </w:pPr>
            <w:r>
              <w:rPr>
                <w:sz w:val="18"/>
              </w:rPr>
              <w:t xml:space="preserve">Current e-mandate and UPI AutoPay limits for subscriptions (EMD)</w:t>
            </w:r>
          </w:p>
        </w:tc>
        <w:tc>
          <w:tcPr>
            <w:tcW w:w="2439" w:type="dxa"/>
          </w:tcPr>
          <w:p>
            <w:pPr>
              <w:pStyle w:val="Compact"/>
              <w:spacing w:after="40"/>
              <w:jc w:val="left"/>
            </w:pPr>
            <w:r>
              <w:rPr>
                <w:sz w:val="18"/>
              </w:rPr>
              <w:t xml:space="preserve">FW4 renewals; RV3.3</w:t>
            </w:r>
          </w:p>
        </w:tc>
        <w:tc>
          <w:tcPr>
            <w:tcW w:w="953" w:type="dxa"/>
          </w:tcPr>
          <w:p>
            <w:pPr>
              <w:pStyle w:val="Compact"/>
              <w:spacing w:after="40"/>
              <w:jc w:val="left"/>
            </w:pPr>
            <w:r>
              <w:rPr>
                <w:sz w:val="18"/>
              </w:rPr>
              <w:t xml:space="preserve">20b</w:t>
            </w:r>
          </w:p>
        </w:tc>
      </w:tr>
      <w:tr>
        <w:tc>
          <w:tcPr>
            <w:tcW w:w="933" w:type="dxa"/>
          </w:tcPr>
          <w:p>
            <w:pPr>
              <w:pStyle w:val="Compact"/>
              <w:spacing w:after="40"/>
              <w:jc w:val="left"/>
            </w:pPr>
            <w:r>
              <w:rPr>
                <w:sz w:val="18"/>
              </w:rPr>
              <w:t xml:space="preserve">25</w:t>
            </w:r>
          </w:p>
        </w:tc>
        <w:tc>
          <w:tcPr>
            <w:tcW w:w="1026" w:type="dxa"/>
          </w:tcPr>
          <w:p>
            <w:pPr>
              <w:pStyle w:val="Compact"/>
              <w:spacing w:after="40"/>
              <w:jc w:val="left"/>
            </w:pPr>
            <w:r>
              <w:rPr>
                <w:sz w:val="18"/>
              </w:rPr>
              <w:t xml:space="preserve">7D</w:t>
            </w:r>
          </w:p>
        </w:tc>
        <w:tc>
          <w:tcPr>
            <w:tcW w:w="4287" w:type="dxa"/>
          </w:tcPr>
          <w:p>
            <w:pPr>
              <w:pStyle w:val="Compact"/>
              <w:spacing w:after="40"/>
              <w:jc w:val="left"/>
            </w:pPr>
            <w:r>
              <w:rPr>
                <w:sz w:val="18"/>
              </w:rPr>
              <w:t xml:space="preserve">IRDAI and SEBI rules on solicitation through unregistered persons</w:t>
            </w:r>
          </w:p>
        </w:tc>
        <w:tc>
          <w:tcPr>
            <w:tcW w:w="2439" w:type="dxa"/>
          </w:tcPr>
          <w:p>
            <w:pPr>
              <w:pStyle w:val="Compact"/>
              <w:spacing w:after="40"/>
              <w:jc w:val="left"/>
            </w:pPr>
            <w:r>
              <w:rPr>
                <w:sz w:val="18"/>
              </w:rPr>
              <w:t xml:space="preserve">FW3 content rules</w:t>
            </w:r>
          </w:p>
        </w:tc>
        <w:tc>
          <w:tcPr>
            <w:tcW w:w="953" w:type="dxa"/>
          </w:tcPr>
          <w:p>
            <w:pPr>
              <w:pStyle w:val="Compact"/>
              <w:spacing w:after="40"/>
              <w:jc w:val="left"/>
            </w:pPr>
            <w:r>
              <w:rPr>
                <w:sz w:val="18"/>
              </w:rPr>
              <w:t xml:space="preserve">20b</w:t>
            </w:r>
          </w:p>
        </w:tc>
      </w:tr>
      <w:tr>
        <w:tc>
          <w:tcPr>
            <w:tcW w:w="933" w:type="dxa"/>
          </w:tcPr>
          <w:p>
            <w:pPr>
              <w:pStyle w:val="Compact"/>
              <w:spacing w:after="40"/>
              <w:jc w:val="left"/>
            </w:pPr>
            <w:r>
              <w:rPr>
                <w:sz w:val="18"/>
              </w:rPr>
              <w:t xml:space="preserve">26</w:t>
            </w:r>
          </w:p>
        </w:tc>
        <w:tc>
          <w:tcPr>
            <w:tcW w:w="1026" w:type="dxa"/>
          </w:tcPr>
          <w:p>
            <w:pPr>
              <w:pStyle w:val="Compact"/>
              <w:spacing w:after="40"/>
              <w:jc w:val="left"/>
            </w:pPr>
            <w:r>
              <w:rPr>
                <w:sz w:val="18"/>
              </w:rPr>
              <w:t xml:space="preserve">7E</w:t>
            </w:r>
          </w:p>
        </w:tc>
        <w:tc>
          <w:tcPr>
            <w:tcW w:w="4287" w:type="dxa"/>
          </w:tcPr>
          <w:p>
            <w:pPr>
              <w:pStyle w:val="Compact"/>
              <w:spacing w:after="40"/>
              <w:jc w:val="left"/>
            </w:pPr>
            <w:r>
              <w:rPr>
                <w:sz w:val="18"/>
              </w:rPr>
              <w:t xml:space="preserve">Whether State-Act and MSCS bye-laws permit group lending; co-operative-bank microfinance rules</w:t>
            </w:r>
          </w:p>
        </w:tc>
        <w:tc>
          <w:tcPr>
            <w:tcW w:w="2439" w:type="dxa"/>
          </w:tcPr>
          <w:p>
            <w:pPr>
              <w:pStyle w:val="Compact"/>
              <w:spacing w:after="40"/>
              <w:jc w:val="left"/>
            </w:pPr>
            <w:r>
              <w:rPr>
                <w:sz w:val="18"/>
              </w:rPr>
              <w:t xml:space="preserve">MG2 and MG3 for societies and co-operative banks</w:t>
            </w:r>
          </w:p>
        </w:tc>
        <w:tc>
          <w:tcPr>
            <w:tcW w:w="953" w:type="dxa"/>
          </w:tcPr>
          <w:p>
            <w:pPr>
              <w:pStyle w:val="Compact"/>
              <w:spacing w:after="40"/>
              <w:jc w:val="left"/>
            </w:pPr>
            <w:r>
              <w:rPr>
                <w:sz w:val="18"/>
              </w:rPr>
              <w:t xml:space="preserve">18c</w:t>
            </w:r>
          </w:p>
        </w:tc>
      </w:tr>
      <w:tr>
        <w:tc>
          <w:tcPr>
            <w:tcW w:w="933" w:type="dxa"/>
          </w:tcPr>
          <w:p>
            <w:pPr>
              <w:pStyle w:val="Compact"/>
              <w:spacing w:after="40"/>
              <w:jc w:val="left"/>
            </w:pPr>
            <w:r>
              <w:rPr>
                <w:sz w:val="18"/>
              </w:rPr>
              <w:t xml:space="preserve">27</w:t>
            </w:r>
          </w:p>
        </w:tc>
        <w:tc>
          <w:tcPr>
            <w:tcW w:w="1026" w:type="dxa"/>
          </w:tcPr>
          <w:p>
            <w:pPr>
              <w:pStyle w:val="Compact"/>
              <w:spacing w:after="40"/>
              <w:jc w:val="left"/>
            </w:pPr>
            <w:r>
              <w:rPr>
                <w:sz w:val="18"/>
              </w:rPr>
              <w:t xml:space="preserve">7E</w:t>
            </w:r>
          </w:p>
        </w:tc>
        <w:tc>
          <w:tcPr>
            <w:tcW w:w="4287" w:type="dxa"/>
          </w:tcPr>
          <w:p>
            <w:pPr>
              <w:pStyle w:val="Compact"/>
              <w:spacing w:after="40"/>
              <w:jc w:val="left"/>
            </w:pPr>
            <w:r>
              <w:rPr>
                <w:sz w:val="18"/>
              </w:rPr>
              <w:t xml:space="preserve">MSCS s.67 and MH MCS Act s.144-5A, s.48 and s.49 texts</w:t>
            </w:r>
          </w:p>
        </w:tc>
        <w:tc>
          <w:tcPr>
            <w:tcW w:w="2439" w:type="dxa"/>
          </w:tcPr>
          <w:p>
            <w:pPr>
              <w:pStyle w:val="Compact"/>
              <w:spacing w:after="40"/>
              <w:jc w:val="left"/>
            </w:pPr>
            <w:r>
              <w:rPr>
                <w:sz w:val="18"/>
              </w:rPr>
              <w:t xml:space="preserve">MG1 deposit ban wording; physical execution; salary deduction</w:t>
            </w:r>
          </w:p>
        </w:tc>
        <w:tc>
          <w:tcPr>
            <w:tcW w:w="953" w:type="dxa"/>
          </w:tcPr>
          <w:p>
            <w:pPr>
              <w:pStyle w:val="Compact"/>
              <w:spacing w:after="40"/>
              <w:jc w:val="left"/>
            </w:pPr>
            <w:r>
              <w:rPr>
                <w:sz w:val="18"/>
              </w:rPr>
              <w:t xml:space="preserve">18c</w:t>
            </w:r>
          </w:p>
        </w:tc>
      </w:tr>
      <w:tr>
        <w:tc>
          <w:tcPr>
            <w:tcW w:w="933" w:type="dxa"/>
          </w:tcPr>
          <w:p>
            <w:pPr>
              <w:pStyle w:val="Compact"/>
              <w:spacing w:after="40"/>
              <w:jc w:val="left"/>
            </w:pPr>
            <w:r>
              <w:rPr>
                <w:sz w:val="18"/>
              </w:rPr>
              <w:t xml:space="preserve">28</w:t>
            </w:r>
          </w:p>
        </w:tc>
        <w:tc>
          <w:tcPr>
            <w:tcW w:w="1026" w:type="dxa"/>
          </w:tcPr>
          <w:p>
            <w:pPr>
              <w:pStyle w:val="Compact"/>
              <w:spacing w:after="40"/>
              <w:jc w:val="left"/>
            </w:pPr>
            <w:r>
              <w:rPr>
                <w:sz w:val="18"/>
              </w:rPr>
              <w:t xml:space="preserve">7E, 7H</w:t>
            </w:r>
          </w:p>
        </w:tc>
        <w:tc>
          <w:tcPr>
            <w:tcW w:w="4287" w:type="dxa"/>
          </w:tcPr>
          <w:p>
            <w:pPr>
              <w:pStyle w:val="Compact"/>
              <w:spacing w:after="40"/>
              <w:jc w:val="left"/>
            </w:pPr>
            <w:r>
              <w:rPr>
                <w:sz w:val="18"/>
              </w:rPr>
              <w:t xml:space="preserve">The microfinance and recovery contact windows in the RBC Third Amendment pack after paras 89–100 are replaced on 1 Jan 2027</w:t>
            </w:r>
          </w:p>
        </w:tc>
        <w:tc>
          <w:tcPr>
            <w:tcW w:w="2439" w:type="dxa"/>
          </w:tcPr>
          <w:p>
            <w:pPr>
              <w:pStyle w:val="Compact"/>
              <w:spacing w:after="40"/>
              <w:jc w:val="left"/>
            </w:pPr>
            <w:r>
              <w:rPr>
                <w:sz w:val="18"/>
              </w:rPr>
              <w:t xml:space="preserve">MG2.8 and RA5.3 windows from 1 Jan 2027 (09:00–18:00 applies until 31 Dec 2026)</w:t>
            </w:r>
          </w:p>
        </w:tc>
        <w:tc>
          <w:tcPr>
            <w:tcW w:w="953" w:type="dxa"/>
          </w:tcPr>
          <w:p>
            <w:pPr>
              <w:pStyle w:val="Compact"/>
              <w:spacing w:after="40"/>
              <w:jc w:val="left"/>
            </w:pPr>
            <w:r>
              <w:rPr>
                <w:sz w:val="18"/>
              </w:rPr>
              <w:t xml:space="preserve">18c, 20d</w:t>
            </w:r>
          </w:p>
        </w:tc>
      </w:tr>
      <w:tr>
        <w:tc>
          <w:tcPr>
            <w:tcW w:w="933" w:type="dxa"/>
          </w:tcPr>
          <w:p>
            <w:pPr>
              <w:pStyle w:val="Compact"/>
              <w:spacing w:after="40"/>
              <w:jc w:val="left"/>
            </w:pPr>
            <w:r>
              <w:rPr>
                <w:sz w:val="18"/>
              </w:rPr>
              <w:t xml:space="preserve">29</w:t>
            </w:r>
          </w:p>
        </w:tc>
        <w:tc>
          <w:tcPr>
            <w:tcW w:w="1026" w:type="dxa"/>
          </w:tcPr>
          <w:p>
            <w:pPr>
              <w:pStyle w:val="Compact"/>
              <w:spacing w:after="40"/>
              <w:jc w:val="left"/>
            </w:pPr>
            <w:r>
              <w:rPr>
                <w:sz w:val="18"/>
              </w:rPr>
              <w:t xml:space="preserve">7E</w:t>
            </w:r>
          </w:p>
        </w:tc>
        <w:tc>
          <w:tcPr>
            <w:tcW w:w="4287" w:type="dxa"/>
          </w:tcPr>
          <w:p>
            <w:pPr>
              <w:pStyle w:val="Compact"/>
              <w:spacing w:after="40"/>
              <w:jc w:val="left"/>
            </w:pPr>
            <w:r>
              <w:rPr>
                <w:sz w:val="18"/>
              </w:rPr>
              <w:t xml:space="preserve">NABARD and RE group-size and CGT norms; DAY-NRLM SHG size, grading (Panchasutra) and profile norms; DPDP role for an unincorporated SHG’s book-keeping</w:t>
            </w:r>
          </w:p>
        </w:tc>
        <w:tc>
          <w:tcPr>
            <w:tcW w:w="2439" w:type="dxa"/>
          </w:tcPr>
          <w:p>
            <w:pPr>
              <w:pStyle w:val="Compact"/>
              <w:spacing w:after="40"/>
              <w:jc w:val="left"/>
            </w:pPr>
            <w:r>
              <w:rPr>
                <w:sz w:val="18"/>
              </w:rPr>
              <w:t xml:space="preserve">MG2.2, MG2.5, MG3</w:t>
            </w:r>
          </w:p>
        </w:tc>
        <w:tc>
          <w:tcPr>
            <w:tcW w:w="953" w:type="dxa"/>
          </w:tcPr>
          <w:p>
            <w:pPr>
              <w:pStyle w:val="Compact"/>
              <w:spacing w:after="40"/>
              <w:jc w:val="left"/>
            </w:pPr>
            <w:r>
              <w:rPr>
                <w:sz w:val="18"/>
              </w:rPr>
              <w:t xml:space="preserve">18c</w:t>
            </w:r>
          </w:p>
        </w:tc>
      </w:tr>
      <w:tr>
        <w:tc>
          <w:tcPr>
            <w:tcW w:w="933" w:type="dxa"/>
          </w:tcPr>
          <w:p>
            <w:pPr>
              <w:pStyle w:val="Compact"/>
              <w:spacing w:after="40"/>
              <w:jc w:val="left"/>
            </w:pPr>
            <w:r>
              <w:rPr>
                <w:sz w:val="18"/>
              </w:rPr>
              <w:t xml:space="preserve">30</w:t>
            </w:r>
          </w:p>
        </w:tc>
        <w:tc>
          <w:tcPr>
            <w:tcW w:w="1026" w:type="dxa"/>
          </w:tcPr>
          <w:p>
            <w:pPr>
              <w:pStyle w:val="Compact"/>
              <w:spacing w:after="40"/>
              <w:jc w:val="left"/>
            </w:pPr>
            <w:r>
              <w:rPr>
                <w:sz w:val="18"/>
              </w:rPr>
              <w:t xml:space="preserve">7E</w:t>
            </w:r>
          </w:p>
        </w:tc>
        <w:tc>
          <w:tcPr>
            <w:tcW w:w="4287" w:type="dxa"/>
          </w:tcPr>
          <w:p>
            <w:pPr>
              <w:pStyle w:val="Compact"/>
              <w:spacing w:after="40"/>
              <w:jc w:val="left"/>
            </w:pPr>
            <w:r>
              <w:rPr>
                <w:sz w:val="18"/>
              </w:rPr>
              <w:t xml:space="preserve">Each RE’s legal opinion on own-staff cash collection at centre meetings on loans sourced through the DLA (CF para 10(2), 10(5))</w:t>
            </w:r>
          </w:p>
        </w:tc>
        <w:tc>
          <w:tcPr>
            <w:tcW w:w="2439" w:type="dxa"/>
          </w:tcPr>
          <w:p>
            <w:pPr>
              <w:pStyle w:val="Compact"/>
              <w:spacing w:after="40"/>
              <w:jc w:val="left"/>
            </w:pPr>
            <w:r>
              <w:rPr>
                <w:sz w:val="18"/>
              </w:rPr>
              <w:t xml:space="preserve">MG4.5 cash records (UPI QR default)</w:t>
            </w:r>
          </w:p>
        </w:tc>
        <w:tc>
          <w:tcPr>
            <w:tcW w:w="953" w:type="dxa"/>
          </w:tcPr>
          <w:p>
            <w:pPr>
              <w:pStyle w:val="Compact"/>
              <w:spacing w:after="40"/>
              <w:jc w:val="left"/>
            </w:pPr>
            <w:r>
              <w:rPr>
                <w:sz w:val="18"/>
              </w:rPr>
              <w:t xml:space="preserve">18c</w:t>
            </w:r>
          </w:p>
        </w:tc>
      </w:tr>
      <w:tr>
        <w:tc>
          <w:tcPr>
            <w:tcW w:w="933" w:type="dxa"/>
          </w:tcPr>
          <w:p>
            <w:pPr>
              <w:pStyle w:val="Compact"/>
              <w:spacing w:after="40"/>
              <w:jc w:val="left"/>
            </w:pPr>
            <w:r>
              <w:rPr>
                <w:sz w:val="18"/>
              </w:rPr>
              <w:t xml:space="preserve">31</w:t>
            </w:r>
          </w:p>
        </w:tc>
        <w:tc>
          <w:tcPr>
            <w:tcW w:w="1026" w:type="dxa"/>
          </w:tcPr>
          <w:p>
            <w:pPr>
              <w:pStyle w:val="Compact"/>
              <w:spacing w:after="40"/>
              <w:jc w:val="left"/>
            </w:pPr>
            <w:r>
              <w:rPr>
                <w:sz w:val="18"/>
              </w:rPr>
              <w:t xml:space="preserve">7E</w:t>
            </w:r>
          </w:p>
        </w:tc>
        <w:tc>
          <w:tcPr>
            <w:tcW w:w="4287" w:type="dxa"/>
          </w:tcPr>
          <w:p>
            <w:pPr>
              <w:pStyle w:val="Compact"/>
              <w:spacing w:after="40"/>
              <w:jc w:val="left"/>
            </w:pPr>
            <w:r>
              <w:rPr>
                <w:sz w:val="18"/>
              </w:rPr>
              <w:t xml:space="preserve">Business-correspondent rules for bank REs using assisted mode; ITA25 cash-receipt limits; PMJJBY and PMSBY terms</w:t>
            </w:r>
          </w:p>
        </w:tc>
        <w:tc>
          <w:tcPr>
            <w:tcW w:w="2439" w:type="dxa"/>
          </w:tcPr>
          <w:p>
            <w:pPr>
              <w:pStyle w:val="Compact"/>
              <w:spacing w:after="40"/>
              <w:jc w:val="left"/>
            </w:pPr>
            <w:r>
              <w:rPr>
                <w:sz w:val="18"/>
              </w:rPr>
              <w:t xml:space="preserve">MG4.2, MG4.5, MG2.9</w:t>
            </w:r>
          </w:p>
        </w:tc>
        <w:tc>
          <w:tcPr>
            <w:tcW w:w="953" w:type="dxa"/>
          </w:tcPr>
          <w:p>
            <w:pPr>
              <w:pStyle w:val="Compact"/>
              <w:spacing w:after="40"/>
              <w:jc w:val="left"/>
            </w:pPr>
            <w:r>
              <w:rPr>
                <w:sz w:val="18"/>
              </w:rPr>
              <w:t xml:space="preserve">18c</w:t>
            </w:r>
          </w:p>
        </w:tc>
      </w:tr>
      <w:tr>
        <w:tc>
          <w:tcPr>
            <w:tcW w:w="933" w:type="dxa"/>
          </w:tcPr>
          <w:p>
            <w:pPr>
              <w:pStyle w:val="Compact"/>
              <w:spacing w:after="40"/>
              <w:jc w:val="left"/>
            </w:pPr>
            <w:r>
              <w:rPr>
                <w:sz w:val="18"/>
              </w:rPr>
              <w:t xml:space="preserve">32</w:t>
            </w:r>
          </w:p>
        </w:tc>
        <w:tc>
          <w:tcPr>
            <w:tcW w:w="1026" w:type="dxa"/>
          </w:tcPr>
          <w:p>
            <w:pPr>
              <w:pStyle w:val="Compact"/>
              <w:spacing w:after="40"/>
              <w:jc w:val="left"/>
            </w:pPr>
            <w:r>
              <w:rPr>
                <w:sz w:val="18"/>
              </w:rPr>
              <w:t xml:space="preserve">7E</w:t>
            </w:r>
          </w:p>
        </w:tc>
        <w:tc>
          <w:tcPr>
            <w:tcW w:w="4287" w:type="dxa"/>
          </w:tcPr>
          <w:p>
            <w:pPr>
              <w:pStyle w:val="Compact"/>
              <w:spacing w:after="40"/>
              <w:jc w:val="left"/>
            </w:pPr>
            <w:r>
              <w:rPr>
                <w:sz w:val="18"/>
              </w:rPr>
              <w:t xml:space="preserve">Integration Specification v1.1 field name and values for the lender class on</w:t>
            </w:r>
            <w:r>
              <w:rPr>
                <w:sz w:val="18"/>
              </w:rPr>
              <w:t xml:space="preserve"> </w:t>
            </w:r>
            <w:r>
              <w:rPr>
                <w:rStyle w:val="VerbatimChar"/>
                <w:sz w:val="18"/>
              </w:rPr>
              <w:t xml:space="preserve">ApplicationSubmitted</w:t>
            </w:r>
            <w:r>
              <w:rPr>
                <w:sz w:val="18"/>
              </w:rPr>
              <w:t xml:space="preserve">, and the society member APIs</w:t>
            </w:r>
          </w:p>
        </w:tc>
        <w:tc>
          <w:tcPr>
            <w:tcW w:w="2439" w:type="dxa"/>
          </w:tcPr>
          <w:p>
            <w:pPr>
              <w:pStyle w:val="Compact"/>
              <w:spacing w:after="40"/>
              <w:jc w:val="left"/>
            </w:pPr>
            <w:r>
              <w:rPr>
                <w:sz w:val="18"/>
              </w:rPr>
              <w:t xml:space="preserve">MG1.10 events and APIs</w:t>
            </w:r>
          </w:p>
        </w:tc>
        <w:tc>
          <w:tcPr>
            <w:tcW w:w="953" w:type="dxa"/>
          </w:tcPr>
          <w:p>
            <w:pPr>
              <w:pStyle w:val="Compact"/>
              <w:spacing w:after="40"/>
              <w:jc w:val="left"/>
            </w:pPr>
            <w:r>
              <w:rPr>
                <w:sz w:val="18"/>
              </w:rPr>
              <w:t xml:space="preserve">18c</w:t>
            </w:r>
          </w:p>
        </w:tc>
      </w:tr>
      <w:tr>
        <w:tc>
          <w:tcPr>
            <w:tcW w:w="933" w:type="dxa"/>
          </w:tcPr>
          <w:p>
            <w:pPr>
              <w:pStyle w:val="Compact"/>
              <w:spacing w:after="40"/>
              <w:jc w:val="left"/>
            </w:pPr>
            <w:r>
              <w:rPr>
                <w:sz w:val="18"/>
              </w:rPr>
              <w:t xml:space="preserve">33</w:t>
            </w:r>
          </w:p>
        </w:tc>
        <w:tc>
          <w:tcPr>
            <w:tcW w:w="1026" w:type="dxa"/>
          </w:tcPr>
          <w:p>
            <w:pPr>
              <w:pStyle w:val="Compact"/>
              <w:spacing w:after="40"/>
              <w:jc w:val="left"/>
            </w:pPr>
            <w:r>
              <w:rPr>
                <w:sz w:val="18"/>
              </w:rPr>
              <w:t xml:space="preserve">7F</w:t>
            </w:r>
          </w:p>
        </w:tc>
        <w:tc>
          <w:tcPr>
            <w:tcW w:w="4287" w:type="dxa"/>
          </w:tcPr>
          <w:p>
            <w:pPr>
              <w:pStyle w:val="Compact"/>
              <w:spacing w:after="40"/>
              <w:jc w:val="left"/>
            </w:pPr>
            <w:r>
              <w:rPr>
                <w:sz w:val="18"/>
              </w:rPr>
              <w:t xml:space="preserve">IRDAI amendment of 30 Jul 2026 (notification text); Payment of Commission Regulations 2023; web-aggregator regulation numbering; free-look periods; premium-debit consent (Master Circular 5 Sep 2024); insurer refund mechanics; Bima Sugam go-live</w:t>
            </w:r>
          </w:p>
        </w:tc>
        <w:tc>
          <w:tcPr>
            <w:tcW w:w="2439" w:type="dxa"/>
          </w:tcPr>
          <w:p>
            <w:pPr>
              <w:pStyle w:val="Compact"/>
              <w:spacing w:after="40"/>
              <w:jc w:val="left"/>
            </w:pPr>
            <w:r>
              <w:rPr>
                <w:sz w:val="18"/>
              </w:rPr>
              <w:t xml:space="preserve">XP2 models A–D and journeys</w:t>
            </w:r>
          </w:p>
        </w:tc>
        <w:tc>
          <w:tcPr>
            <w:tcW w:w="953" w:type="dxa"/>
          </w:tcPr>
          <w:p>
            <w:pPr>
              <w:pStyle w:val="Compact"/>
              <w:spacing w:after="40"/>
              <w:jc w:val="left"/>
            </w:pPr>
            <w:r>
              <w:rPr>
                <w:sz w:val="18"/>
              </w:rPr>
              <w:t xml:space="preserve">20c</w:t>
            </w:r>
          </w:p>
        </w:tc>
      </w:tr>
      <w:tr>
        <w:tc>
          <w:tcPr>
            <w:tcW w:w="933" w:type="dxa"/>
          </w:tcPr>
          <w:p>
            <w:pPr>
              <w:pStyle w:val="Compact"/>
              <w:spacing w:after="40"/>
              <w:jc w:val="left"/>
            </w:pPr>
            <w:r>
              <w:rPr>
                <w:sz w:val="18"/>
              </w:rPr>
              <w:t xml:space="preserve">34</w:t>
            </w:r>
          </w:p>
        </w:tc>
        <w:tc>
          <w:tcPr>
            <w:tcW w:w="1026" w:type="dxa"/>
          </w:tcPr>
          <w:p>
            <w:pPr>
              <w:pStyle w:val="Compact"/>
              <w:spacing w:after="40"/>
              <w:jc w:val="left"/>
            </w:pPr>
            <w:r>
              <w:rPr>
                <w:sz w:val="18"/>
              </w:rPr>
              <w:t xml:space="preserve">7F</w:t>
            </w:r>
          </w:p>
        </w:tc>
        <w:tc>
          <w:tcPr>
            <w:tcW w:w="4287" w:type="dxa"/>
          </w:tcPr>
          <w:p>
            <w:pPr>
              <w:pStyle w:val="Compact"/>
              <w:spacing w:after="40"/>
              <w:jc w:val="left"/>
            </w:pPr>
            <w:r>
              <w:rPr>
                <w:sz w:val="18"/>
              </w:rPr>
              <w:t xml:space="preserve">AMFI ARN and NISM V-A route or SEBI execution-only platform status; NBFC public-deposit agent conditions; DICGC limit; credit lines on UPI still bank-only</w:t>
            </w:r>
          </w:p>
        </w:tc>
        <w:tc>
          <w:tcPr>
            <w:tcW w:w="2439" w:type="dxa"/>
          </w:tcPr>
          <w:p>
            <w:pPr>
              <w:pStyle w:val="Compact"/>
              <w:spacing w:after="40"/>
              <w:jc w:val="left"/>
            </w:pPr>
            <w:r>
              <w:rPr>
                <w:sz w:val="18"/>
              </w:rPr>
              <w:t xml:space="preserve">XP3 candidates (feasibility only)</w:t>
            </w:r>
          </w:p>
        </w:tc>
        <w:tc>
          <w:tcPr>
            <w:tcW w:w="953" w:type="dxa"/>
          </w:tcPr>
          <w:p>
            <w:pPr>
              <w:pStyle w:val="Compact"/>
              <w:spacing w:after="40"/>
              <w:jc w:val="left"/>
            </w:pPr>
            <w:r>
              <w:rPr>
                <w:sz w:val="18"/>
              </w:rPr>
              <w:t xml:space="preserve">after 20c</w:t>
            </w:r>
          </w:p>
        </w:tc>
      </w:tr>
      <w:tr>
        <w:tc>
          <w:tcPr>
            <w:tcW w:w="933" w:type="dxa"/>
          </w:tcPr>
          <w:p>
            <w:pPr>
              <w:pStyle w:val="Compact"/>
              <w:spacing w:after="40"/>
              <w:jc w:val="left"/>
            </w:pPr>
            <w:r>
              <w:rPr>
                <w:sz w:val="18"/>
              </w:rPr>
              <w:t xml:space="preserve">35</w:t>
            </w:r>
          </w:p>
        </w:tc>
        <w:tc>
          <w:tcPr>
            <w:tcW w:w="1026" w:type="dxa"/>
          </w:tcPr>
          <w:p>
            <w:pPr>
              <w:pStyle w:val="Compact"/>
              <w:spacing w:after="40"/>
              <w:jc w:val="left"/>
            </w:pPr>
            <w:r>
              <w:rPr>
                <w:sz w:val="18"/>
              </w:rPr>
              <w:t xml:space="preserve">7F</w:t>
            </w:r>
          </w:p>
        </w:tc>
        <w:tc>
          <w:tcPr>
            <w:tcW w:w="4287" w:type="dxa"/>
          </w:tcPr>
          <w:p>
            <w:pPr>
              <w:pStyle w:val="Compact"/>
              <w:spacing w:after="40"/>
              <w:jc w:val="left"/>
            </w:pPr>
            <w:r>
              <w:rPr>
                <w:sz w:val="18"/>
              </w:rPr>
              <w:t xml:space="preserve">India processing and storage of each insurer and distribution partner</w:t>
            </w:r>
          </w:p>
        </w:tc>
        <w:tc>
          <w:tcPr>
            <w:tcW w:w="2439" w:type="dxa"/>
          </w:tcPr>
          <w:p>
            <w:pPr>
              <w:pStyle w:val="Compact"/>
              <w:spacing w:after="40"/>
              <w:jc w:val="left"/>
            </w:pPr>
            <w:r>
              <w:rPr>
                <w:sz w:val="18"/>
              </w:rPr>
              <w:t xml:space="preserve">XP1.5 certification</w:t>
            </w:r>
          </w:p>
        </w:tc>
        <w:tc>
          <w:tcPr>
            <w:tcW w:w="953" w:type="dxa"/>
          </w:tcPr>
          <w:p>
            <w:pPr>
              <w:pStyle w:val="Compact"/>
              <w:spacing w:after="40"/>
              <w:jc w:val="left"/>
            </w:pPr>
            <w:r>
              <w:rPr>
                <w:sz w:val="18"/>
              </w:rPr>
              <w:t xml:space="preserve">20c</w:t>
            </w:r>
          </w:p>
        </w:tc>
      </w:tr>
      <w:tr>
        <w:tc>
          <w:tcPr>
            <w:tcW w:w="933" w:type="dxa"/>
          </w:tcPr>
          <w:p>
            <w:pPr>
              <w:pStyle w:val="Compact"/>
              <w:spacing w:after="40"/>
              <w:jc w:val="left"/>
            </w:pPr>
            <w:r>
              <w:rPr>
                <w:sz w:val="18"/>
              </w:rPr>
              <w:t xml:space="preserve">36</w:t>
            </w:r>
          </w:p>
        </w:tc>
        <w:tc>
          <w:tcPr>
            <w:tcW w:w="1026" w:type="dxa"/>
          </w:tcPr>
          <w:p>
            <w:pPr>
              <w:pStyle w:val="Compact"/>
              <w:spacing w:after="40"/>
              <w:jc w:val="left"/>
            </w:pPr>
            <w:r>
              <w:rPr>
                <w:sz w:val="18"/>
              </w:rPr>
              <w:t xml:space="preserve">7G</w:t>
            </w:r>
          </w:p>
        </w:tc>
        <w:tc>
          <w:tcPr>
            <w:tcW w:w="4287" w:type="dxa"/>
          </w:tcPr>
          <w:p>
            <w:pPr>
              <w:pStyle w:val="Compact"/>
              <w:spacing w:after="40"/>
              <w:jc w:val="left"/>
            </w:pPr>
            <w:r>
              <w:rPr>
                <w:sz w:val="18"/>
              </w:rPr>
              <w:t xml:space="preserve">BCI Rules 36–37 numbering for the referral-fee ban</w:t>
            </w:r>
          </w:p>
        </w:tc>
        <w:tc>
          <w:tcPr>
            <w:tcW w:w="2439" w:type="dxa"/>
          </w:tcPr>
          <w:p>
            <w:pPr>
              <w:pStyle w:val="Compact"/>
              <w:spacing w:after="40"/>
              <w:jc w:val="left"/>
            </w:pPr>
            <w:r>
              <w:rPr>
                <w:sz w:val="18"/>
              </w:rPr>
              <w:t xml:space="preserve">RV1.1 prohibited list</w:t>
            </w:r>
          </w:p>
        </w:tc>
        <w:tc>
          <w:tcPr>
            <w:tcW w:w="953" w:type="dxa"/>
          </w:tcPr>
          <w:p>
            <w:pPr>
              <w:pStyle w:val="Compact"/>
              <w:spacing w:after="40"/>
              <w:jc w:val="left"/>
            </w:pPr>
            <w:r>
              <w:rPr>
                <w:sz w:val="18"/>
              </w:rPr>
              <w:t xml:space="preserve">20b</w:t>
            </w:r>
          </w:p>
        </w:tc>
      </w:tr>
      <w:tr>
        <w:tc>
          <w:tcPr>
            <w:tcW w:w="933" w:type="dxa"/>
          </w:tcPr>
          <w:p>
            <w:pPr>
              <w:pStyle w:val="Compact"/>
              <w:spacing w:after="40"/>
              <w:jc w:val="left"/>
            </w:pPr>
            <w:r>
              <w:rPr>
                <w:sz w:val="18"/>
              </w:rPr>
              <w:t xml:space="preserve">37</w:t>
            </w:r>
          </w:p>
        </w:tc>
        <w:tc>
          <w:tcPr>
            <w:tcW w:w="1026" w:type="dxa"/>
          </w:tcPr>
          <w:p>
            <w:pPr>
              <w:pStyle w:val="Compact"/>
              <w:spacing w:after="40"/>
              <w:jc w:val="left"/>
            </w:pPr>
            <w:r>
              <w:rPr>
                <w:sz w:val="18"/>
              </w:rPr>
              <w:t xml:space="preserve">7G</w:t>
            </w:r>
          </w:p>
        </w:tc>
        <w:tc>
          <w:tcPr>
            <w:tcW w:w="4287" w:type="dxa"/>
          </w:tcPr>
          <w:p>
            <w:pPr>
              <w:pStyle w:val="Compact"/>
              <w:spacing w:after="40"/>
              <w:jc w:val="left"/>
            </w:pPr>
            <w:r>
              <w:rPr>
                <w:sz w:val="18"/>
              </w:rPr>
              <w:t xml:space="preserve">PCI DSS v4.0.1 SAQ A current wording; Razorpay event names and Attestation of Compliance</w:t>
            </w:r>
          </w:p>
        </w:tc>
        <w:tc>
          <w:tcPr>
            <w:tcW w:w="2439" w:type="dxa"/>
          </w:tcPr>
          <w:p>
            <w:pPr>
              <w:pStyle w:val="Compact"/>
              <w:spacing w:after="40"/>
              <w:jc w:val="left"/>
            </w:pPr>
            <w:r>
              <w:rPr>
                <w:sz w:val="18"/>
              </w:rPr>
              <w:t xml:space="preserve">RV3.2, RV3.4</w:t>
            </w:r>
          </w:p>
        </w:tc>
        <w:tc>
          <w:tcPr>
            <w:tcW w:w="953" w:type="dxa"/>
          </w:tcPr>
          <w:p>
            <w:pPr>
              <w:pStyle w:val="Compact"/>
              <w:spacing w:after="40"/>
              <w:jc w:val="left"/>
            </w:pPr>
            <w:r>
              <w:rPr>
                <w:sz w:val="18"/>
              </w:rPr>
              <w:t xml:space="preserve">20b</w:t>
            </w:r>
          </w:p>
        </w:tc>
      </w:tr>
      <w:tr>
        <w:tc>
          <w:tcPr>
            <w:tcW w:w="933" w:type="dxa"/>
          </w:tcPr>
          <w:p>
            <w:pPr>
              <w:pStyle w:val="Compact"/>
              <w:spacing w:after="40"/>
              <w:jc w:val="left"/>
            </w:pPr>
            <w:r>
              <w:rPr>
                <w:sz w:val="18"/>
              </w:rPr>
              <w:t xml:space="preserve">38</w:t>
            </w:r>
          </w:p>
        </w:tc>
        <w:tc>
          <w:tcPr>
            <w:tcW w:w="1026" w:type="dxa"/>
          </w:tcPr>
          <w:p>
            <w:pPr>
              <w:pStyle w:val="Compact"/>
              <w:spacing w:after="40"/>
              <w:jc w:val="left"/>
            </w:pPr>
            <w:r>
              <w:rPr>
                <w:sz w:val="18"/>
              </w:rPr>
              <w:t xml:space="preserve">7G</w:t>
            </w:r>
          </w:p>
        </w:tc>
        <w:tc>
          <w:tcPr>
            <w:tcW w:w="4287" w:type="dxa"/>
          </w:tcPr>
          <w:p>
            <w:pPr>
              <w:pStyle w:val="Compact"/>
              <w:spacing w:after="40"/>
              <w:jc w:val="left"/>
            </w:pPr>
            <w:r>
              <w:rPr>
                <w:sz w:val="18"/>
              </w:rPr>
              <w:t xml:space="preserve">Current IRDAI, SEBI and AMFI advertisement codes; ASCI financial and influencer guidelines</w:t>
            </w:r>
          </w:p>
        </w:tc>
        <w:tc>
          <w:tcPr>
            <w:tcW w:w="2439" w:type="dxa"/>
          </w:tcPr>
          <w:p>
            <w:pPr>
              <w:pStyle w:val="Compact"/>
              <w:spacing w:after="40"/>
              <w:jc w:val="left"/>
            </w:pPr>
            <w:r>
              <w:rPr>
                <w:sz w:val="18"/>
              </w:rPr>
              <w:t xml:space="preserve">RV4.4 creative review</w:t>
            </w:r>
          </w:p>
        </w:tc>
        <w:tc>
          <w:tcPr>
            <w:tcW w:w="953" w:type="dxa"/>
          </w:tcPr>
          <w:p>
            <w:pPr>
              <w:pStyle w:val="Compact"/>
              <w:spacing w:after="40"/>
              <w:jc w:val="left"/>
            </w:pPr>
            <w:r>
              <w:rPr>
                <w:sz w:val="18"/>
              </w:rPr>
              <w:t xml:space="preserve">20b</w:t>
            </w:r>
          </w:p>
        </w:tc>
      </w:tr>
      <w:tr>
        <w:tc>
          <w:tcPr>
            <w:tcW w:w="933" w:type="dxa"/>
          </w:tcPr>
          <w:p>
            <w:pPr>
              <w:pStyle w:val="Compact"/>
              <w:spacing w:after="40"/>
              <w:jc w:val="left"/>
            </w:pPr>
            <w:r>
              <w:rPr>
                <w:sz w:val="18"/>
              </w:rPr>
              <w:t xml:space="preserve">39</w:t>
            </w:r>
          </w:p>
        </w:tc>
        <w:tc>
          <w:tcPr>
            <w:tcW w:w="1026" w:type="dxa"/>
          </w:tcPr>
          <w:p>
            <w:pPr>
              <w:pStyle w:val="Compact"/>
              <w:spacing w:after="40"/>
              <w:jc w:val="left"/>
            </w:pPr>
            <w:r>
              <w:rPr>
                <w:sz w:val="18"/>
              </w:rPr>
              <w:t xml:space="preserve">7H</w:t>
            </w:r>
          </w:p>
        </w:tc>
        <w:tc>
          <w:tcPr>
            <w:tcW w:w="4287" w:type="dxa"/>
          </w:tcPr>
          <w:p>
            <w:pPr>
              <w:pStyle w:val="Compact"/>
              <w:spacing w:after="40"/>
              <w:jc w:val="left"/>
            </w:pPr>
            <w:r>
              <w:rPr>
                <w:sz w:val="18"/>
              </w:rPr>
              <w:t xml:space="preserve">Society auditor and Registrar inspection rights under each State Act and the MSCS Act</w:t>
            </w:r>
          </w:p>
        </w:tc>
        <w:tc>
          <w:tcPr>
            <w:tcW w:w="2439" w:type="dxa"/>
          </w:tcPr>
          <w:p>
            <w:pPr>
              <w:pStyle w:val="Compact"/>
              <w:spacing w:after="40"/>
              <w:jc w:val="left"/>
            </w:pPr>
            <w:r>
              <w:rPr>
                <w:sz w:val="18"/>
              </w:rPr>
              <w:t xml:space="preserve">RA2 grantee types</w:t>
            </w:r>
            <w:r>
              <w:rPr>
                <w:sz w:val="18"/>
              </w:rPr>
              <w:t xml:space="preserve"> </w:t>
            </w:r>
            <w:r>
              <w:rPr>
                <w:rStyle w:val="VerbatimChar"/>
                <w:sz w:val="18"/>
              </w:rPr>
              <w:t xml:space="preserve">COOP_AUDITOR</w:t>
            </w:r>
            <w:r>
              <w:rPr>
                <w:sz w:val="18"/>
              </w:rPr>
              <w:t xml:space="preserve">,</w:t>
            </w:r>
            <w:r>
              <w:rPr>
                <w:sz w:val="18"/>
              </w:rPr>
              <w:t xml:space="preserve"> </w:t>
            </w:r>
            <w:r>
              <w:rPr>
                <w:rStyle w:val="VerbatimChar"/>
                <w:sz w:val="18"/>
              </w:rPr>
              <w:t xml:space="preserve">REGISTRAR_INSPECTOR</w:t>
            </w:r>
          </w:p>
        </w:tc>
        <w:tc>
          <w:tcPr>
            <w:tcW w:w="953" w:type="dxa"/>
          </w:tcPr>
          <w:p>
            <w:pPr>
              <w:pStyle w:val="Compact"/>
              <w:spacing w:after="40"/>
              <w:jc w:val="left"/>
            </w:pPr>
            <w:r>
              <w:rPr>
                <w:sz w:val="18"/>
              </w:rPr>
              <w:t xml:space="preserve">16c, 18c</w:t>
            </w:r>
          </w:p>
        </w:tc>
      </w:tr>
      <w:tr>
        <w:tc>
          <w:tcPr>
            <w:tcW w:w="933" w:type="dxa"/>
          </w:tcPr>
          <w:p>
            <w:pPr>
              <w:pStyle w:val="Compact"/>
              <w:spacing w:after="40"/>
              <w:jc w:val="left"/>
            </w:pPr>
            <w:r>
              <w:rPr>
                <w:sz w:val="18"/>
              </w:rPr>
              <w:t xml:space="preserve">40</w:t>
            </w:r>
          </w:p>
        </w:tc>
        <w:tc>
          <w:tcPr>
            <w:tcW w:w="1026" w:type="dxa"/>
          </w:tcPr>
          <w:p>
            <w:pPr>
              <w:pStyle w:val="Compact"/>
              <w:spacing w:after="40"/>
              <w:jc w:val="left"/>
            </w:pPr>
            <w:r>
              <w:rPr>
                <w:sz w:val="18"/>
              </w:rPr>
              <w:t xml:space="preserve">7H</w:t>
            </w:r>
          </w:p>
        </w:tc>
        <w:tc>
          <w:tcPr>
            <w:tcW w:w="4287" w:type="dxa"/>
          </w:tcPr>
          <w:p>
            <w:pPr>
              <w:pStyle w:val="Compact"/>
              <w:spacing w:after="40"/>
              <w:jc w:val="left"/>
            </w:pPr>
            <w:r>
              <w:rPr>
                <w:sz w:val="18"/>
              </w:rPr>
              <w:t xml:space="preserve">RBI Act s.45NAA if an RE becomes a group company of Udofin; counsel’s opinion on notifying the RE of a direct RBI request; DPDP s.7 clause for legal-duty disclosures</w:t>
            </w:r>
          </w:p>
        </w:tc>
        <w:tc>
          <w:tcPr>
            <w:tcW w:w="2439" w:type="dxa"/>
          </w:tcPr>
          <w:p>
            <w:pPr>
              <w:pStyle w:val="Compact"/>
              <w:spacing w:after="40"/>
              <w:jc w:val="left"/>
            </w:pPr>
            <w:r>
              <w:rPr>
                <w:sz w:val="18"/>
              </w:rPr>
              <w:t xml:space="preserve">RA2.1, RA2.3, RA2.4</w:t>
            </w:r>
          </w:p>
        </w:tc>
        <w:tc>
          <w:tcPr>
            <w:tcW w:w="953" w:type="dxa"/>
          </w:tcPr>
          <w:p>
            <w:pPr>
              <w:pStyle w:val="Compact"/>
              <w:spacing w:after="40"/>
              <w:jc w:val="left"/>
            </w:pPr>
            <w:r>
              <w:rPr>
                <w:sz w:val="18"/>
              </w:rPr>
              <w:t xml:space="preserve">16c</w:t>
            </w:r>
          </w:p>
        </w:tc>
      </w:tr>
      <w:tr>
        <w:tc>
          <w:tcPr>
            <w:tcW w:w="933" w:type="dxa"/>
          </w:tcPr>
          <w:p>
            <w:pPr>
              <w:pStyle w:val="Compact"/>
              <w:spacing w:after="40"/>
              <w:jc w:val="left"/>
            </w:pPr>
            <w:r>
              <w:rPr>
                <w:sz w:val="18"/>
              </w:rPr>
              <w:t xml:space="preserve">41</w:t>
            </w:r>
          </w:p>
        </w:tc>
        <w:tc>
          <w:tcPr>
            <w:tcW w:w="1026" w:type="dxa"/>
          </w:tcPr>
          <w:p>
            <w:pPr>
              <w:pStyle w:val="Compact"/>
              <w:spacing w:after="40"/>
              <w:jc w:val="left"/>
            </w:pPr>
            <w:r>
              <w:rPr>
                <w:sz w:val="18"/>
              </w:rPr>
              <w:t xml:space="preserve">7H</w:t>
            </w:r>
          </w:p>
        </w:tc>
        <w:tc>
          <w:tcPr>
            <w:tcW w:w="4287" w:type="dxa"/>
          </w:tcPr>
          <w:p>
            <w:pPr>
              <w:pStyle w:val="Compact"/>
              <w:spacing w:after="40"/>
              <w:jc w:val="left"/>
            </w:pPr>
            <w:r>
              <w:rPr>
                <w:sz w:val="18"/>
              </w:rPr>
              <w:t xml:space="preserve">Companies (Accounts) Rules r.3(5) daily India backup of electronic books</w:t>
            </w:r>
          </w:p>
        </w:tc>
        <w:tc>
          <w:tcPr>
            <w:tcW w:w="2439" w:type="dxa"/>
          </w:tcPr>
          <w:p>
            <w:pPr>
              <w:pStyle w:val="Compact"/>
              <w:spacing w:after="40"/>
              <w:jc w:val="left"/>
            </w:pPr>
            <w:r>
              <w:rPr>
                <w:sz w:val="18"/>
              </w:rPr>
              <w:t xml:space="preserve">RA3.1 Udofin records</w:t>
            </w:r>
          </w:p>
        </w:tc>
        <w:tc>
          <w:tcPr>
            <w:tcW w:w="953" w:type="dxa"/>
          </w:tcPr>
          <w:p>
            <w:pPr>
              <w:pStyle w:val="Compact"/>
              <w:spacing w:after="40"/>
              <w:jc w:val="left"/>
            </w:pPr>
            <w:r>
              <w:rPr>
                <w:sz w:val="18"/>
              </w:rPr>
              <w:t xml:space="preserve">16c</w:t>
            </w:r>
          </w:p>
        </w:tc>
      </w:tr>
      <w:tr>
        <w:tc>
          <w:tcPr>
            <w:tcW w:w="933" w:type="dxa"/>
          </w:tcPr>
          <w:p>
            <w:pPr>
              <w:pStyle w:val="Compact"/>
              <w:spacing w:after="40"/>
              <w:jc w:val="left"/>
            </w:pPr>
            <w:r>
              <w:rPr>
                <w:sz w:val="18"/>
              </w:rPr>
              <w:t xml:space="preserve">42</w:t>
            </w:r>
          </w:p>
        </w:tc>
        <w:tc>
          <w:tcPr>
            <w:tcW w:w="1026" w:type="dxa"/>
          </w:tcPr>
          <w:p>
            <w:pPr>
              <w:pStyle w:val="Compact"/>
              <w:spacing w:after="40"/>
              <w:jc w:val="left"/>
            </w:pPr>
            <w:r>
              <w:rPr>
                <w:sz w:val="18"/>
              </w:rPr>
              <w:t xml:space="preserve">7H</w:t>
            </w:r>
          </w:p>
        </w:tc>
        <w:tc>
          <w:tcPr>
            <w:tcW w:w="4287" w:type="dxa"/>
          </w:tcPr>
          <w:p>
            <w:pPr>
              <w:pStyle w:val="Compact"/>
              <w:spacing w:after="40"/>
              <w:jc w:val="left"/>
            </w:pPr>
            <w:r>
              <w:rPr>
                <w:sz w:val="18"/>
              </w:rPr>
              <w:t xml:space="preserve">Each RE’s Microsoft 365 data location before SharePoint or OneDrive is accepted as a storage target</w:t>
            </w:r>
          </w:p>
        </w:tc>
        <w:tc>
          <w:tcPr>
            <w:tcW w:w="2439" w:type="dxa"/>
          </w:tcPr>
          <w:p>
            <w:pPr>
              <w:pStyle w:val="Compact"/>
              <w:spacing w:after="40"/>
              <w:jc w:val="left"/>
            </w:pPr>
            <w:r>
              <w:rPr>
                <w:sz w:val="18"/>
              </w:rPr>
              <w:t xml:space="preserve">RA3.4</w:t>
            </w:r>
          </w:p>
        </w:tc>
        <w:tc>
          <w:tcPr>
            <w:tcW w:w="953" w:type="dxa"/>
          </w:tcPr>
          <w:p>
            <w:pPr>
              <w:pStyle w:val="Compact"/>
              <w:spacing w:after="40"/>
              <w:jc w:val="left"/>
            </w:pPr>
            <w:r>
              <w:rPr>
                <w:sz w:val="18"/>
              </w:rPr>
              <w:t xml:space="preserve">16c</w:t>
            </w:r>
          </w:p>
        </w:tc>
      </w:tr>
      <w:tr>
        <w:tc>
          <w:tcPr>
            <w:tcW w:w="933" w:type="dxa"/>
          </w:tcPr>
          <w:p>
            <w:pPr>
              <w:pStyle w:val="Compact"/>
              <w:spacing w:after="40"/>
              <w:jc w:val="left"/>
            </w:pPr>
            <w:r>
              <w:rPr>
                <w:sz w:val="18"/>
              </w:rPr>
              <w:t xml:space="preserve">43</w:t>
            </w:r>
          </w:p>
        </w:tc>
        <w:tc>
          <w:tcPr>
            <w:tcW w:w="1026" w:type="dxa"/>
          </w:tcPr>
          <w:p>
            <w:pPr>
              <w:pStyle w:val="Compact"/>
              <w:spacing w:after="40"/>
              <w:jc w:val="left"/>
            </w:pPr>
            <w:r>
              <w:rPr>
                <w:sz w:val="18"/>
              </w:rPr>
              <w:t xml:space="preserve">7H</w:t>
            </w:r>
          </w:p>
        </w:tc>
        <w:tc>
          <w:tcPr>
            <w:tcW w:w="4287" w:type="dxa"/>
          </w:tcPr>
          <w:p>
            <w:pPr>
              <w:pStyle w:val="Compact"/>
              <w:spacing w:after="40"/>
              <w:jc w:val="left"/>
            </w:pPr>
            <w:r>
              <w:rPr>
                <w:sz w:val="18"/>
              </w:rPr>
              <w:t xml:space="preserve">JioCX and Jio Business API documentation, DPA, residency, DLT and 1600/140 support, AI voice roadmap and rates; the uncorroborated</w:t>
            </w:r>
            <w:r>
              <w:rPr>
                <w:sz w:val="18"/>
              </w:rPr>
              <w:t xml:space="preserve"> </w:t>
            </w:r>
            <w:r>
              <w:rPr>
                <w:sz w:val="18"/>
              </w:rPr>
              <w:t xml:space="preserve">“</w:t>
            </w:r>
            <w:r>
              <w:rPr>
                <w:sz w:val="18"/>
              </w:rPr>
              <w:t xml:space="preserve">JioBrain Indic LLM</w:t>
            </w:r>
            <w:r>
              <w:rPr>
                <w:sz w:val="18"/>
              </w:rPr>
              <w:t xml:space="preserve">”</w:t>
            </w:r>
            <w:r>
              <w:rPr>
                <w:sz w:val="18"/>
              </w:rPr>
              <w:t xml:space="preserve"> </w:t>
            </w:r>
            <w:r>
              <w:rPr>
                <w:sz w:val="18"/>
              </w:rPr>
              <w:t xml:space="preserve">price; terms and residency of Exotel, Ozonetel, Knowlarity, Gupshup, Bhashini and Sarvam AI</w:t>
            </w:r>
          </w:p>
        </w:tc>
        <w:tc>
          <w:tcPr>
            <w:tcW w:w="2439" w:type="dxa"/>
          </w:tcPr>
          <w:p>
            <w:pPr>
              <w:pStyle w:val="Compact"/>
              <w:spacing w:after="40"/>
              <w:jc w:val="left"/>
            </w:pPr>
            <w:r>
              <w:rPr>
                <w:sz w:val="18"/>
              </w:rPr>
              <w:t xml:space="preserve">RA5.2 vendor choice</w:t>
            </w:r>
          </w:p>
        </w:tc>
        <w:tc>
          <w:tcPr>
            <w:tcW w:w="953" w:type="dxa"/>
          </w:tcPr>
          <w:p>
            <w:pPr>
              <w:pStyle w:val="Compact"/>
              <w:spacing w:after="40"/>
              <w:jc w:val="left"/>
            </w:pPr>
            <w:r>
              <w:rPr>
                <w:sz w:val="18"/>
              </w:rPr>
              <w:t xml:space="preserve">20d</w:t>
            </w:r>
          </w:p>
        </w:tc>
      </w:tr>
      <w:tr>
        <w:tc>
          <w:tcPr>
            <w:tcW w:w="933" w:type="dxa"/>
          </w:tcPr>
          <w:p>
            <w:pPr>
              <w:pStyle w:val="Compact"/>
              <w:spacing w:after="40"/>
              <w:jc w:val="left"/>
            </w:pPr>
            <w:r>
              <w:rPr>
                <w:sz w:val="18"/>
              </w:rPr>
              <w:t xml:space="preserve">44</w:t>
            </w:r>
          </w:p>
        </w:tc>
        <w:tc>
          <w:tcPr>
            <w:tcW w:w="1026" w:type="dxa"/>
          </w:tcPr>
          <w:p>
            <w:pPr>
              <w:pStyle w:val="Compact"/>
              <w:spacing w:after="40"/>
              <w:jc w:val="left"/>
            </w:pPr>
            <w:r>
              <w:rPr>
                <w:sz w:val="18"/>
              </w:rPr>
              <w:t xml:space="preserve">7H</w:t>
            </w:r>
          </w:p>
        </w:tc>
        <w:tc>
          <w:tcPr>
            <w:tcW w:w="4287" w:type="dxa"/>
          </w:tcPr>
          <w:p>
            <w:pPr>
              <w:pStyle w:val="Compact"/>
              <w:spacing w:after="40"/>
              <w:jc w:val="left"/>
            </w:pPr>
            <w:r>
              <w:rPr>
                <w:sz w:val="18"/>
              </w:rPr>
              <w:t xml:space="preserve">RBC Third Amendment para 100P (recording retention) and para 100Y(4)</w:t>
            </w:r>
          </w:p>
        </w:tc>
        <w:tc>
          <w:tcPr>
            <w:tcW w:w="2439" w:type="dxa"/>
          </w:tcPr>
          <w:p>
            <w:pPr>
              <w:pStyle w:val="Compact"/>
              <w:spacing w:after="40"/>
              <w:jc w:val="left"/>
            </w:pPr>
            <w:r>
              <w:rPr>
                <w:sz w:val="18"/>
              </w:rPr>
              <w:t xml:space="preserve">RA5.5 recording rules</w:t>
            </w:r>
          </w:p>
        </w:tc>
        <w:tc>
          <w:tcPr>
            <w:tcW w:w="953" w:type="dxa"/>
          </w:tcPr>
          <w:p>
            <w:pPr>
              <w:pStyle w:val="Compact"/>
              <w:spacing w:after="40"/>
              <w:jc w:val="left"/>
            </w:pPr>
            <w:r>
              <w:rPr>
                <w:sz w:val="18"/>
              </w:rPr>
              <w:t xml:space="preserve">20d</w:t>
            </w:r>
          </w:p>
        </w:tc>
      </w:tr>
    </w:tbl>
    <w:p>
      <w:r>
        <w:pict>
          <v:rect style="width:0;height:1.5pt" o:hralign="center" o:hrstd="t" o:hr="t"/>
        </w:pict>
      </w:r>
    </w:p>
    <w:bookmarkEnd w:id="471"/>
    <w:bookmarkEnd w:id="472"/>
    <w:bookmarkEnd w:id="473"/>
    <w:bookmarkStart w:id="476" w:name="part-9-integrations-provider-adapters"/>
    <w:p>
      <w:pPr>
        <w:pStyle w:val="Heading1"/>
      </w:pPr>
      <w:r>
        <w:t xml:space="preserve">PART 9 — INTEGRATIONS (PROVIDER ADAPTERS)</w:t>
      </w:r>
    </w:p>
    <w:bookmarkStart w:id="474" w:name="design-rules"/>
    <w:p>
      <w:pPr>
        <w:pStyle w:val="Heading2"/>
      </w:pPr>
      <w:r>
        <w:t xml:space="preserve">9.1 Design rules</w:t>
      </w:r>
    </w:p>
    <w:p>
      <w:pPr>
        <w:numPr>
          <w:ilvl w:val="0"/>
          <w:numId w:val="1444"/>
        </w:numPr>
        <w:pStyle w:val="Compact"/>
      </w:pPr>
      <w:r>
        <w:t xml:space="preserve">Keep provider-specific operations behind domain interfaces (U21), for example:</w:t>
      </w:r>
    </w:p>
    <w:p>
      <w:pPr>
        <w:numPr>
          <w:ilvl w:val="1"/>
          <w:numId w:val="1445"/>
        </w:numPr>
        <w:pStyle w:val="Compact"/>
      </w:pPr>
      <w:r>
        <w:rPr>
          <w:rStyle w:val="VerbatimChar"/>
        </w:rPr>
        <w:t xml:space="preserve">KycProvider</w:t>
      </w:r>
      <w:r>
        <w:t xml:space="preserve">,</w:t>
      </w:r>
      <w:r>
        <w:t xml:space="preserve"> </w:t>
      </w:r>
      <w:r>
        <w:rPr>
          <w:rStyle w:val="VerbatimChar"/>
        </w:rPr>
        <w:t xml:space="preserve">DigiLockerRequester</w:t>
      </w:r>
      <w:r>
        <w:t xml:space="preserve">,</w:t>
      </w:r>
      <w:r>
        <w:t xml:space="preserve"> </w:t>
      </w:r>
      <w:r>
        <w:rPr>
          <w:rStyle w:val="VerbatimChar"/>
        </w:rPr>
        <w:t xml:space="preserve">CkycGateway</w:t>
      </w:r>
      <w:r>
        <w:t xml:space="preserve">,</w:t>
      </w:r>
      <w:r>
        <w:t xml:space="preserve"> </w:t>
      </w:r>
      <w:r>
        <w:rPr>
          <w:rStyle w:val="VerbatimChar"/>
        </w:rPr>
        <w:t xml:space="preserve">VcipLauncher</w:t>
      </w:r>
      <w:r>
        <w:t xml:space="preserve">,</w:t>
      </w:r>
      <w:r>
        <w:t xml:space="preserve"> </w:t>
      </w:r>
      <w:r>
        <w:rPr>
          <w:rStyle w:val="VerbatimChar"/>
        </w:rPr>
        <w:t xml:space="preserve">FaceMatchProvider</w:t>
      </w:r>
      <w:r>
        <w:t xml:space="preserve">;</w:t>
      </w:r>
    </w:p>
    <w:p>
      <w:pPr>
        <w:numPr>
          <w:ilvl w:val="1"/>
          <w:numId w:val="1445"/>
        </w:numPr>
        <w:pStyle w:val="Compact"/>
      </w:pPr>
      <w:r>
        <w:rPr>
          <w:rStyle w:val="VerbatimChar"/>
        </w:rPr>
        <w:t xml:space="preserve">BureauGateway</w:t>
      </w:r>
      <w:r>
        <w:t xml:space="preserve"> </w:t>
      </w:r>
      <w:r>
        <w:t xml:space="preserve">(RE-membership pulls) and</w:t>
      </w:r>
      <w:r>
        <w:t xml:space="preserve"> </w:t>
      </w:r>
      <w:r>
        <w:rPr>
          <w:rStyle w:val="VerbatimChar"/>
        </w:rPr>
        <w:t xml:space="preserve">OwnReportProvider</w:t>
      </w:r>
      <w:r>
        <w:t xml:space="preserve"> </w:t>
      </w:r>
      <w:r>
        <w:t xml:space="preserve">(borrower-initiated);</w:t>
      </w:r>
    </w:p>
    <w:p>
      <w:pPr>
        <w:numPr>
          <w:ilvl w:val="1"/>
          <w:numId w:val="1445"/>
        </w:numPr>
        <w:pStyle w:val="Compact"/>
      </w:pPr>
      <w:r>
        <w:rPr>
          <w:rStyle w:val="VerbatimChar"/>
        </w:rPr>
        <w:t xml:space="preserve">AccountAggregatorTsp</w:t>
      </w:r>
      <w:r>
        <w:t xml:space="preserve">,</w:t>
      </w:r>
      <w:r>
        <w:t xml:space="preserve"> </w:t>
      </w:r>
      <w:r>
        <w:rPr>
          <w:rStyle w:val="VerbatimChar"/>
        </w:rPr>
        <w:t xml:space="preserve">BankStatementAnalyser</w:t>
      </w:r>
      <w:r>
        <w:t xml:space="preserve">,</w:t>
      </w:r>
      <w:r>
        <w:t xml:space="preserve"> </w:t>
      </w:r>
      <w:r>
        <w:rPr>
          <w:rStyle w:val="VerbatimChar"/>
        </w:rPr>
        <w:t xml:space="preserve">BankAccountVerifier</w:t>
      </w:r>
      <w:r>
        <w:t xml:space="preserve">;</w:t>
      </w:r>
    </w:p>
    <w:p>
      <w:pPr>
        <w:numPr>
          <w:ilvl w:val="1"/>
          <w:numId w:val="1445"/>
        </w:numPr>
        <w:pStyle w:val="Compact"/>
      </w:pPr>
      <w:r>
        <w:rPr>
          <w:rStyle w:val="VerbatimChar"/>
        </w:rPr>
        <w:t xml:space="preserve">ESignProvider</w:t>
      </w:r>
      <w:r>
        <w:t xml:space="preserve">,</w:t>
      </w:r>
      <w:r>
        <w:t xml:space="preserve"> </w:t>
      </w:r>
      <w:r>
        <w:rPr>
          <w:rStyle w:val="VerbatimChar"/>
        </w:rPr>
        <w:t xml:space="preserve">EStampProvider</w:t>
      </w:r>
      <w:r>
        <w:t xml:space="preserve">,</w:t>
      </w:r>
      <w:r>
        <w:t xml:space="preserve"> </w:t>
      </w:r>
      <w:r>
        <w:rPr>
          <w:rStyle w:val="VerbatimChar"/>
        </w:rPr>
        <w:t xml:space="preserve">DepositoryPledgeProvider</w:t>
      </w:r>
      <w:r>
        <w:t xml:space="preserve">,</w:t>
      </w:r>
      <w:r>
        <w:t xml:space="preserve"> </w:t>
      </w:r>
      <w:r>
        <w:rPr>
          <w:rStyle w:val="VerbatimChar"/>
        </w:rPr>
        <w:t xml:space="preserve">MfLienProvider</w:t>
      </w:r>
      <w:r>
        <w:t xml:space="preserve">;</w:t>
      </w:r>
    </w:p>
    <w:p>
      <w:pPr>
        <w:numPr>
          <w:ilvl w:val="1"/>
          <w:numId w:val="1445"/>
        </w:numPr>
        <w:pStyle w:val="Compact"/>
      </w:pPr>
      <w:r>
        <w:rPr>
          <w:rStyle w:val="VerbatimChar"/>
        </w:rPr>
        <w:t xml:space="preserve">MandateProvider</w:t>
      </w:r>
      <w:r>
        <w:t xml:space="preserve">,</w:t>
      </w:r>
      <w:r>
        <w:t xml:space="preserve"> </w:t>
      </w:r>
      <w:r>
        <w:rPr>
          <w:rStyle w:val="VerbatimChar"/>
        </w:rPr>
        <w:t xml:space="preserve">PaymentCollectionGateway</w:t>
      </w:r>
      <w:r>
        <w:t xml:space="preserve"> </w:t>
      </w:r>
      <w:r>
        <w:t xml:space="preserve">(always on the RE’s merchant account);</w:t>
      </w:r>
    </w:p>
    <w:p>
      <w:pPr>
        <w:numPr>
          <w:ilvl w:val="1"/>
          <w:numId w:val="1445"/>
        </w:numPr>
        <w:pStyle w:val="Compact"/>
      </w:pPr>
      <w:r>
        <w:rPr>
          <w:rStyle w:val="VerbatimChar"/>
        </w:rPr>
        <w:t xml:space="preserve">LenderConnector</w:t>
      </w:r>
      <w:r>
        <w:t xml:space="preserve"> </w:t>
      </w:r>
      <w:r>
        <w:t xml:space="preserve">(Finbyx and generic LOS/LMS),</w:t>
      </w:r>
      <w:r>
        <w:t xml:space="preserve"> </w:t>
      </w:r>
      <w:r>
        <w:rPr>
          <w:rStyle w:val="VerbatimChar"/>
        </w:rPr>
        <w:t xml:space="preserve">AccountingSink</w:t>
      </w:r>
      <w:r>
        <w:t xml:space="preserve">;</w:t>
      </w:r>
    </w:p>
    <w:p>
      <w:pPr>
        <w:numPr>
          <w:ilvl w:val="1"/>
          <w:numId w:val="1445"/>
        </w:numPr>
        <w:pStyle w:val="Compact"/>
      </w:pPr>
      <w:r>
        <w:rPr>
          <w:rStyle w:val="VerbatimChar"/>
        </w:rPr>
        <w:t xml:space="preserve">NotificationProvider</w:t>
      </w:r>
      <w:r>
        <w:t xml:space="preserve"> </w:t>
      </w:r>
      <w:r>
        <w:t xml:space="preserve">(SMS, WhatsApp, email, push, voice);</w:t>
      </w:r>
    </w:p>
    <w:p>
      <w:pPr>
        <w:numPr>
          <w:ilvl w:val="1"/>
          <w:numId w:val="1445"/>
        </w:numPr>
        <w:pStyle w:val="Compact"/>
      </w:pPr>
      <w:r>
        <w:rPr>
          <w:rStyle w:val="VerbatimChar"/>
        </w:rPr>
        <w:t xml:space="preserve">OdrProvider</w:t>
      </w:r>
      <w:r>
        <w:t xml:space="preserve"> </w:t>
      </w:r>
      <w:r>
        <w:t xml:space="preserve">(Equator first; other ODR providers through the same contract),</w:t>
      </w:r>
      <w:r>
        <w:t xml:space="preserve"> </w:t>
      </w:r>
      <w:r>
        <w:rPr>
          <w:rStyle w:val="VerbatimChar"/>
        </w:rPr>
        <w:t xml:space="preserve">GrcConnector</w:t>
      </w:r>
      <w:r>
        <w:t xml:space="preserve"> </w:t>
      </w:r>
      <w:r>
        <w:t xml:space="preserve">(LawDocsComply first; MetricStream, IBM OpenPages, ServiceNow IRM and Archer by field map);</w:t>
      </w:r>
    </w:p>
    <w:p>
      <w:pPr>
        <w:numPr>
          <w:ilvl w:val="1"/>
          <w:numId w:val="1445"/>
        </w:numPr>
        <w:pStyle w:val="Compact"/>
      </w:pPr>
      <w:r>
        <w:rPr>
          <w:rStyle w:val="VerbatimChar"/>
        </w:rPr>
        <w:t xml:space="preserve">NoticeDispatchProvider</w:t>
      </w:r>
      <w:r>
        <w:t xml:space="preserve"> </w:t>
      </w:r>
      <w:r>
        <w:t xml:space="preserve">(delivery of RE-issued notices on add-on channels only),</w:t>
      </w:r>
      <w:r>
        <w:t xml:space="preserve"> </w:t>
      </w:r>
      <w:r>
        <w:rPr>
          <w:rStyle w:val="VerbatimChar"/>
        </w:rPr>
        <w:t xml:space="preserve">CourtDataView</w:t>
      </w:r>
      <w:r>
        <w:t xml:space="preserve"> </w:t>
      </w:r>
      <w:r>
        <w:t xml:space="preserve">(read-only projection of RE-permitted case status; no direct court-data calls);</w:t>
      </w:r>
    </w:p>
    <w:p>
      <w:pPr>
        <w:numPr>
          <w:ilvl w:val="1"/>
          <w:numId w:val="1445"/>
        </w:numPr>
        <w:pStyle w:val="Compact"/>
      </w:pPr>
      <w:r>
        <w:rPr>
          <w:rStyle w:val="VerbatimChar"/>
        </w:rPr>
        <w:t xml:space="preserve">GeoProvider</w:t>
      </w:r>
      <w:r>
        <w:t xml:space="preserve">,</w:t>
      </w:r>
      <w:r>
        <w:t xml:space="preserve"> </w:t>
      </w:r>
      <w:r>
        <w:rPr>
          <w:rStyle w:val="VerbatimChar"/>
        </w:rPr>
        <w:t xml:space="preserve">OcrProvider</w:t>
      </w:r>
      <w:r>
        <w:t xml:space="preserve">,</w:t>
      </w:r>
      <w:r>
        <w:t xml:space="preserve"> </w:t>
      </w:r>
      <w:r>
        <w:rPr>
          <w:rStyle w:val="VerbatimChar"/>
        </w:rPr>
        <w:t xml:space="preserve">StorageProvider</w:t>
      </w:r>
      <w:r>
        <w:t xml:space="preserve">,</w:t>
      </w:r>
      <w:r>
        <w:t xml:space="preserve"> </w:t>
      </w:r>
      <w:r>
        <w:rPr>
          <w:rStyle w:val="VerbatimChar"/>
        </w:rPr>
        <w:t xml:space="preserve">LlmProvider</w:t>
      </w:r>
      <w:r>
        <w:t xml:space="preserve">,</w:t>
      </w:r>
      <w:r>
        <w:t xml:space="preserve"> </w:t>
      </w:r>
      <w:r>
        <w:rPr>
          <w:rStyle w:val="VerbatimChar"/>
        </w:rPr>
        <w:t xml:space="preserve">IntegrityVerifier</w:t>
      </w:r>
      <w:r>
        <w:t xml:space="preserve"> </w:t>
      </w:r>
      <w:r>
        <w:t xml:space="preserve">(Play Integrity / App Attest);</w:t>
      </w:r>
    </w:p>
    <w:p>
      <w:pPr>
        <w:numPr>
          <w:ilvl w:val="1"/>
          <w:numId w:val="1445"/>
        </w:numPr>
        <w:pStyle w:val="Compact"/>
      </w:pPr>
      <w:r>
        <w:t xml:space="preserve">v1.2:</w:t>
      </w:r>
      <w:r>
        <w:t xml:space="preserve"> </w:t>
      </w:r>
      <w:r>
        <w:rPr>
          <w:rStyle w:val="VerbatimChar"/>
        </w:rPr>
        <w:t xml:space="preserve">UdofinBillingGateway</w:t>
      </w:r>
      <w:r>
        <w:t xml:space="preserve">,</w:t>
      </w:r>
      <w:r>
        <w:t xml:space="preserve"> </w:t>
      </w:r>
      <w:r>
        <w:rPr>
          <w:rStyle w:val="VerbatimChar"/>
        </w:rPr>
        <w:t xml:space="preserve">CicConsumerChannel</w:t>
      </w:r>
      <w:r>
        <w:t xml:space="preserve">,</w:t>
      </w:r>
      <w:r>
        <w:t xml:space="preserve"> </w:t>
      </w:r>
      <w:r>
        <w:rPr>
          <w:rStyle w:val="VerbatimChar"/>
        </w:rPr>
        <w:t xml:space="preserve">InsurerAdapter</w:t>
      </w:r>
      <w:r>
        <w:t xml:space="preserve">,</w:t>
      </w:r>
      <w:r>
        <w:t xml:space="preserve"> </w:t>
      </w:r>
      <w:r>
        <w:rPr>
          <w:rStyle w:val="VerbatimChar"/>
        </w:rPr>
        <w:t xml:space="preserve">WebAggregatorAdapter</w:t>
      </w:r>
      <w:r>
        <w:t xml:space="preserve">,</w:t>
      </w:r>
      <w:r>
        <w:t xml:space="preserve"> </w:t>
      </w:r>
      <w:r>
        <w:rPr>
          <w:rStyle w:val="VerbatimChar"/>
        </w:rPr>
        <w:t xml:space="preserve">MfDistributionAdapter</w:t>
      </w:r>
      <w:r>
        <w:t xml:space="preserve">,</w:t>
      </w:r>
      <w:r>
        <w:t xml:space="preserve"> </w:t>
      </w:r>
      <w:r>
        <w:rPr>
          <w:rStyle w:val="VerbatimChar"/>
        </w:rPr>
        <w:t xml:space="preserve">BbpsAgentAdapter</w:t>
      </w:r>
      <w:r>
        <w:t xml:space="preserve">,</w:t>
      </w:r>
      <w:r>
        <w:t xml:space="preserve"> </w:t>
      </w:r>
      <w:r>
        <w:rPr>
          <w:rStyle w:val="VerbatimChar"/>
        </w:rPr>
        <w:t xml:space="preserve">DepositDistributionAdapter</w:t>
      </w:r>
      <w:r>
        <w:t xml:space="preserve">,</w:t>
      </w:r>
      <w:r>
        <w:t xml:space="preserve"> </w:t>
      </w:r>
      <w:r>
        <w:rPr>
          <w:rStyle w:val="VerbatimChar"/>
        </w:rPr>
        <w:t xml:space="preserve">VoiceProvider</w:t>
      </w:r>
      <w:r>
        <w:t xml:space="preserve">,</w:t>
      </w:r>
      <w:r>
        <w:t xml:space="preserve"> </w:t>
      </w:r>
      <w:r>
        <w:rPr>
          <w:rStyle w:val="VerbatimChar"/>
        </w:rPr>
        <w:t xml:space="preserve">SpeechProvider</w:t>
      </w:r>
      <w:r>
        <w:t xml:space="preserve">,</w:t>
      </w:r>
      <w:r>
        <w:t xml:space="preserve"> </w:t>
      </w:r>
      <w:r>
        <w:rPr>
          <w:rStyle w:val="VerbatimChar"/>
        </w:rPr>
        <w:t xml:space="preserve">ConversationAgent</w:t>
      </w:r>
      <w:r>
        <w:t xml:space="preserve">,</w:t>
      </w:r>
      <w:r>
        <w:t xml:space="preserve"> </w:t>
      </w:r>
      <w:r>
        <w:rPr>
          <w:rStyle w:val="VerbatimChar"/>
        </w:rPr>
        <w:t xml:space="preserve">StorageTarget</w:t>
      </w:r>
      <w:r>
        <w:t xml:space="preserve"> </w:t>
      </w:r>
      <w:r>
        <w:t xml:space="preserve">(U21). Billing, wellness and Udofin’s own insurance calls are Udofin’s own services and carry no RE context; they can never use an RE’s credentials or merchant account.</w:t>
      </w:r>
    </w:p>
    <w:p>
      <w:pPr>
        <w:numPr>
          <w:ilvl w:val="0"/>
          <w:numId w:val="1444"/>
        </w:numPr>
        <w:pStyle w:val="Compact"/>
      </w:pPr>
      <w:r>
        <w:rPr>
          <w:bCs/>
          <w:b/>
        </w:rPr>
        <w:t xml:space="preserve">Every adapter call carries an RE context.</w:t>
      </w:r>
      <w:r>
        <w:t xml:space="preserve"> </w:t>
      </w:r>
      <w:r>
        <w:t xml:space="preserve">The adapter resolves the credentials, contract and data scope of that RE. A call without an RE context fails, except for Udofin’s own services (messaging for Udofin’s own account, accounting, monitoring).</w:t>
      </w:r>
    </w:p>
    <w:p>
      <w:pPr>
        <w:numPr>
          <w:ilvl w:val="0"/>
          <w:numId w:val="1444"/>
        </w:numPr>
        <w:pStyle w:val="Compact"/>
      </w:pPr>
      <w:r>
        <w:rPr>
          <w:bCs/>
          <w:b/>
        </w:rPr>
        <w:t xml:space="preserve">Contracting party decides the design.</w:t>
      </w:r>
      <w:r>
        <w:t xml:space="preserve"> </w:t>
      </w:r>
      <w:r>
        <w:t xml:space="preserve">Record for each integration whether the RE or Udofin is the contracting party (9.2). Where the law or the provider requires the RE to be the user (CIC membership, CKYCR, AA FIU, Aadhaar e-KYC, eNACH sponsor bank, payment-gateway merchant), Udofin builds the adapter and runs it as the RE’s technology service provider, using credentials the RE owns and can revoke. Udofin never pools several REs’ traffic under its own credentials.</w:t>
      </w:r>
    </w:p>
    <w:p>
      <w:pPr>
        <w:numPr>
          <w:ilvl w:val="0"/>
          <w:numId w:val="1444"/>
        </w:numPr>
        <w:pStyle w:val="Compact"/>
      </w:pPr>
      <w:r>
        <w:t xml:space="preserve">Do not try to make every infrastructure component interchangeable from day one.</w:t>
      </w:r>
    </w:p>
    <w:p>
      <w:pPr>
        <w:numPr>
          <w:ilvl w:val="0"/>
          <w:numId w:val="1444"/>
        </w:numPr>
        <w:pStyle w:val="Compact"/>
      </w:pPr>
      <w:r>
        <w:t xml:space="preserve">Build mock and sandbox adapters first. Label mock, sandbox and production in the UI, in logs, in config and in every evidence record. A mock result can never reach a production RE.</w:t>
      </w:r>
    </w:p>
    <w:p>
      <w:pPr>
        <w:numPr>
          <w:ilvl w:val="0"/>
          <w:numId w:val="1444"/>
        </w:numPr>
        <w:pStyle w:val="Compact"/>
      </w:pPr>
      <w:r>
        <w:t xml:space="preserve">For each adapter, document:</w:t>
      </w:r>
    </w:p>
    <w:p>
      <w:pPr>
        <w:numPr>
          <w:ilvl w:val="1"/>
          <w:numId w:val="1446"/>
        </w:numPr>
        <w:pStyle w:val="Compact"/>
      </w:pPr>
      <w:r>
        <w:t xml:space="preserve">authentication and credential owner;</w:t>
      </w:r>
    </w:p>
    <w:p>
      <w:pPr>
        <w:numPr>
          <w:ilvl w:val="1"/>
          <w:numId w:val="1446"/>
        </w:numPr>
        <w:pStyle w:val="Compact"/>
      </w:pPr>
      <w:r>
        <w:t xml:space="preserve">request validation;</w:t>
      </w:r>
    </w:p>
    <w:p>
      <w:pPr>
        <w:numPr>
          <w:ilvl w:val="1"/>
          <w:numId w:val="1446"/>
        </w:numPr>
        <w:pStyle w:val="Compact"/>
      </w:pPr>
      <w:r>
        <w:t xml:space="preserve">response mapping and the evidence stored (provider transaction ID, timestamp, signed response or hash);</w:t>
      </w:r>
    </w:p>
    <w:p>
      <w:pPr>
        <w:numPr>
          <w:ilvl w:val="1"/>
          <w:numId w:val="1446"/>
        </w:numPr>
        <w:pStyle w:val="Compact"/>
      </w:pPr>
      <w:r>
        <w:t xml:space="preserve">timeouts;</w:t>
      </w:r>
    </w:p>
    <w:p>
      <w:pPr>
        <w:numPr>
          <w:ilvl w:val="1"/>
          <w:numId w:val="1446"/>
        </w:numPr>
        <w:pStyle w:val="Compact"/>
      </w:pPr>
      <w:r>
        <w:t xml:space="preserve">retries with idempotency;</w:t>
      </w:r>
    </w:p>
    <w:p>
      <w:pPr>
        <w:numPr>
          <w:ilvl w:val="1"/>
          <w:numId w:val="1446"/>
        </w:numPr>
        <w:pStyle w:val="Compact"/>
      </w:pPr>
      <w:r>
        <w:t xml:space="preserve">duplicate handling;</w:t>
      </w:r>
    </w:p>
    <w:p>
      <w:pPr>
        <w:numPr>
          <w:ilvl w:val="1"/>
          <w:numId w:val="1446"/>
        </w:numPr>
        <w:pStyle w:val="Compact"/>
      </w:pPr>
      <w:r>
        <w:t xml:space="preserve">error taxonomy and borrower-facing message;</w:t>
      </w:r>
    </w:p>
    <w:p>
      <w:pPr>
        <w:numPr>
          <w:ilvl w:val="1"/>
          <w:numId w:val="1446"/>
        </w:numPr>
        <w:pStyle w:val="Compact"/>
      </w:pPr>
      <w:r>
        <w:t xml:space="preserve">reconciliation;</w:t>
      </w:r>
    </w:p>
    <w:p>
      <w:pPr>
        <w:numPr>
          <w:ilvl w:val="1"/>
          <w:numId w:val="1446"/>
        </w:numPr>
        <w:pStyle w:val="Compact"/>
      </w:pPr>
      <w:r>
        <w:t xml:space="preserve">credential rotation;</w:t>
      </w:r>
    </w:p>
    <w:p>
      <w:pPr>
        <w:numPr>
          <w:ilvl w:val="1"/>
          <w:numId w:val="1446"/>
        </w:numPr>
        <w:pStyle w:val="Compact"/>
      </w:pPr>
      <w:r>
        <w:t xml:space="preserve">data residency of the provider and its sub-processors;</w:t>
      </w:r>
    </w:p>
    <w:p>
      <w:pPr>
        <w:numPr>
          <w:ilvl w:val="1"/>
          <w:numId w:val="1446"/>
        </w:numPr>
        <w:pStyle w:val="Compact"/>
      </w:pPr>
      <w:r>
        <w:t xml:space="preserve">what Udofin may retain after hand-off to the RE (CF para 14(1));</w:t>
      </w:r>
    </w:p>
    <w:p>
      <w:pPr>
        <w:numPr>
          <w:ilvl w:val="1"/>
          <w:numId w:val="1446"/>
        </w:numPr>
        <w:pStyle w:val="Compact"/>
      </w:pPr>
      <w:r>
        <w:t xml:space="preserve">cost per call (feeds U17 unit economics).</w:t>
      </w:r>
    </w:p>
    <w:p>
      <w:pPr>
        <w:numPr>
          <w:ilvl w:val="0"/>
          <w:numId w:val="1444"/>
        </w:numPr>
        <w:pStyle w:val="Compact"/>
      </w:pPr>
      <w:r>
        <w:t xml:space="preserve">Do not assume every named provider offers an API or that access is automatically available. Verify current documentation, eligibility, commercial terms and authorisation requirements, and record them in</w:t>
      </w:r>
      <w:r>
        <w:t xml:space="preserve"> </w:t>
      </w:r>
      <w:r>
        <w:rPr>
          <w:rStyle w:val="VerbatimChar"/>
        </w:rPr>
        <w:t xml:space="preserve">docs/integrations/register.md</w:t>
      </w:r>
      <w:r>
        <w:t xml:space="preserve">.</w:t>
      </w:r>
    </w:p>
    <w:p>
      <w:pPr>
        <w:numPr>
          <w:ilvl w:val="0"/>
          <w:numId w:val="1444"/>
        </w:numPr>
        <w:pStyle w:val="Compact"/>
      </w:pPr>
      <w:r>
        <w:rPr>
          <w:bCs/>
          <w:b/>
        </w:rPr>
        <w:t xml:space="preserve">I (the project owner) will procure and connect live credentials.</w:t>
      </w:r>
      <w:r>
        <w:t xml:space="preserve"> </w:t>
      </w:r>
      <w:r>
        <w:t xml:space="preserve">These include Surepass (already contacted), the eSign/eStamp providers, payment gateways, messaging vendors, Tally/SAP and the Apple and Google developer accounts. Where the RE must be the contracting party, I will arrange it with the RE. You build the adapters, contract tests and sandbox mocks.</w:t>
      </w:r>
    </w:p>
    <w:p>
      <w:pPr>
        <w:pStyle w:val="FirstParagraph"/>
      </w:pPr>
      <w:r>
        <w:rPr>
          <w:bCs/>
          <w:b/>
        </w:rPr>
        <w:t xml:space="preserve">Correction to the original prompt.</w:t>
      </w:r>
      <w:r>
        <w:t xml:space="preserve"> </w:t>
      </w:r>
      <w:r>
        <w:t xml:space="preserve">The original prompt assumed that Udofin</w:t>
      </w:r>
      <w:r>
        <w:t xml:space="preserve"> </w:t>
      </w:r>
      <w:r>
        <w:t xml:space="preserve">“</w:t>
      </w:r>
      <w:r>
        <w:t xml:space="preserve">soft-pulls CIBIL via Surepass</w:t>
      </w:r>
      <w:r>
        <w:t xml:space="preserve">”</w:t>
      </w:r>
      <w:r>
        <w:t xml:space="preserve">. Udofin is not a member of any CIC and is not today a specified user under CICRA (it could apply later under CIC Regulations reg. 3 and RBI’s January 2022 criteria; Part 8.2) [VERIFY], and the CIR Directions place membership on the credit institution (CIR para 6). A bureau pull for a lending decision must therefore run under the RE’s CIC membership, with the borrower’s consent naming the RE and the purpose; or the borrower obtains their own report through a CIC consumer channel and shares it. Surepass (or any aggregator) may act as a conduit only if the CIC contract permits it for that RE [VERIFY with each CIC]. The same applies to CKYCR and Aadhaar e-KYC.</w:t>
      </w:r>
    </w:p>
    <w:bookmarkEnd w:id="474"/>
    <w:bookmarkStart w:id="475" w:name="integration-catalogue"/>
    <w:p>
      <w:pPr>
        <w:pStyle w:val="Heading2"/>
      </w:pPr>
      <w:r>
        <w:t xml:space="preserve">9.2 Integration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23"/>
        <w:gridCol w:w="3263"/>
        <w:gridCol w:w="1983"/>
        <w:gridCol w:w="2869"/>
      </w:tblGrid>
      <w:tr>
        <w:trPr>
          <w:tblHeader w:val="true"/>
          <w:tblHeader w:val="true"/>
        </w:trPr>
        <w:tc>
          <w:tcPr>
            <w:tcW w:w="1523" w:type="dxa"/>
            <w:shd w:val="clear" w:color="auto" w:fill="1F3A5F"/>
          </w:tcPr>
          <w:p>
            <w:pPr>
              <w:pStyle w:val="Compact"/>
              <w:spacing w:after="40"/>
              <w:jc w:val="left"/>
            </w:pPr>
            <w:r>
              <w:rPr>
                <w:b/>
                <w:color w:val="FFFFFF"/>
                <w:sz w:val="18"/>
              </w:rPr>
              <w:t xml:space="preserve">Capability</w:t>
            </w:r>
          </w:p>
        </w:tc>
        <w:tc>
          <w:tcPr>
            <w:tcW w:w="3263" w:type="dxa"/>
            <w:shd w:val="clear" w:color="auto" w:fill="1F3A5F"/>
          </w:tcPr>
          <w:p>
            <w:pPr>
              <w:pStyle w:val="Compact"/>
              <w:spacing w:after="40"/>
              <w:jc w:val="left"/>
            </w:pPr>
            <w:r>
              <w:rPr>
                <w:b/>
                <w:color w:val="FFFFFF"/>
                <w:sz w:val="18"/>
              </w:rPr>
              <w:t xml:space="preserve">Candidate providers</w:t>
            </w:r>
          </w:p>
        </w:tc>
        <w:tc>
          <w:tcPr>
            <w:tcW w:w="1983" w:type="dxa"/>
            <w:shd w:val="clear" w:color="auto" w:fill="1F3A5F"/>
          </w:tcPr>
          <w:p>
            <w:pPr>
              <w:pStyle w:val="Compact"/>
              <w:spacing w:after="40"/>
              <w:jc w:val="left"/>
            </w:pPr>
            <w:r>
              <w:rPr>
                <w:b/>
                <w:color w:val="FFFFFF"/>
                <w:sz w:val="18"/>
              </w:rPr>
              <w:t xml:space="preserve">Contracting party (RE or Udofin)</w:t>
            </w:r>
          </w:p>
        </w:tc>
        <w:tc>
          <w:tcPr>
            <w:tcW w:w="2869" w:type="dxa"/>
            <w:shd w:val="clear" w:color="auto" w:fill="1F3A5F"/>
          </w:tcPr>
          <w:p>
            <w:pPr>
              <w:pStyle w:val="Compact"/>
              <w:spacing w:after="40"/>
              <w:jc w:val="left"/>
            </w:pPr>
            <w:r>
              <w:rPr>
                <w:b/>
                <w:color w:val="FFFFFF"/>
                <w:sz w:val="18"/>
              </w:rPr>
              <w:t xml:space="preserve">Notes</w:t>
            </w:r>
          </w:p>
        </w:tc>
      </w:tr>
      <w:tr>
        <w:tc>
          <w:tcPr>
            <w:tcW w:w="1523" w:type="dxa"/>
          </w:tcPr>
          <w:p>
            <w:pPr>
              <w:pStyle w:val="Compact"/>
              <w:spacing w:after="40"/>
              <w:jc w:val="left"/>
            </w:pPr>
            <w:r>
              <w:rPr>
                <w:sz w:val="18"/>
              </w:rPr>
              <w:t xml:space="preserve">PAN verification</w:t>
            </w:r>
          </w:p>
        </w:tc>
        <w:tc>
          <w:tcPr>
            <w:tcW w:w="3263" w:type="dxa"/>
          </w:tcPr>
          <w:p>
            <w:pPr>
              <w:pStyle w:val="Compact"/>
              <w:spacing w:after="40"/>
              <w:jc w:val="left"/>
            </w:pPr>
            <w:r>
              <w:rPr>
                <w:sz w:val="18"/>
              </w:rPr>
              <w:t xml:space="preserve">Surepass, Protean (formerly NSDL e-Gov), UTIITSL, Signzy, IDfy, HyperVerge, Decentro</w:t>
            </w:r>
          </w:p>
        </w:tc>
        <w:tc>
          <w:tcPr>
            <w:tcW w:w="1983" w:type="dxa"/>
          </w:tcPr>
          <w:p>
            <w:pPr>
              <w:pStyle w:val="Compact"/>
              <w:spacing w:after="40"/>
              <w:jc w:val="left"/>
            </w:pPr>
            <w:r>
              <w:rPr>
                <w:sz w:val="18"/>
              </w:rPr>
              <w:t xml:space="preserve">Udofin for identity pre-checks; RE for the KYC record [interpretation]</w:t>
            </w:r>
          </w:p>
        </w:tc>
        <w:tc>
          <w:tcPr>
            <w:tcW w:w="2869" w:type="dxa"/>
          </w:tcPr>
          <w:p>
            <w:pPr>
              <w:pStyle w:val="Compact"/>
              <w:spacing w:after="40"/>
              <w:jc w:val="left"/>
            </w:pPr>
            <w:r>
              <w:rPr>
                <w:sz w:val="18"/>
              </w:rPr>
              <w:t xml:space="preserve">PAN–name match and PAN–Aadhaar link status; store result and masked PAN only (CF para 14(1))</w:t>
            </w:r>
          </w:p>
        </w:tc>
      </w:tr>
      <w:tr>
        <w:tc>
          <w:tcPr>
            <w:tcW w:w="1523" w:type="dxa"/>
          </w:tcPr>
          <w:p>
            <w:pPr>
              <w:pStyle w:val="Compact"/>
              <w:spacing w:after="40"/>
              <w:jc w:val="left"/>
            </w:pPr>
            <w:r>
              <w:rPr>
                <w:sz w:val="18"/>
              </w:rPr>
              <w:t xml:space="preserve">Aadhaar OTP e-KYC</w:t>
            </w:r>
          </w:p>
        </w:tc>
        <w:tc>
          <w:tcPr>
            <w:tcW w:w="3263" w:type="dxa"/>
          </w:tcPr>
          <w:p>
            <w:pPr>
              <w:pStyle w:val="Compact"/>
              <w:spacing w:after="40"/>
              <w:jc w:val="left"/>
            </w:pPr>
            <w:r>
              <w:rPr>
                <w:sz w:val="18"/>
              </w:rPr>
              <w:t xml:space="preserve">Through a KUA (or the RE as sub-KUA)</w:t>
            </w:r>
          </w:p>
        </w:tc>
        <w:tc>
          <w:tcPr>
            <w:tcW w:w="1983" w:type="dxa"/>
          </w:tcPr>
          <w:p>
            <w:pPr>
              <w:pStyle w:val="Compact"/>
              <w:spacing w:after="40"/>
              <w:jc w:val="left"/>
            </w:pPr>
            <w:r>
              <w:rPr>
                <w:sz w:val="18"/>
              </w:rPr>
              <w:t xml:space="preserve">RE, only if notified under PML Act s.11A</w:t>
            </w:r>
          </w:p>
        </w:tc>
        <w:tc>
          <w:tcPr>
            <w:tcW w:w="2869" w:type="dxa"/>
          </w:tcPr>
          <w:p>
            <w:pPr>
              <w:pStyle w:val="Compact"/>
              <w:spacing w:after="40"/>
              <w:jc w:val="left"/>
            </w:pPr>
            <w:r>
              <w:rPr>
                <w:sz w:val="18"/>
              </w:rPr>
              <w:t xml:space="preserve">KYC para 23 proviso (i); NFTF term-loan cap ₹60,000 a year (KYC para 25(5)); Udofin never stores the Aadhaar number (UIDAI Circular 14 of 2025)</w:t>
            </w:r>
          </w:p>
        </w:tc>
      </w:tr>
      <w:tr>
        <w:tc>
          <w:tcPr>
            <w:tcW w:w="1523" w:type="dxa"/>
          </w:tcPr>
          <w:p>
            <w:pPr>
              <w:pStyle w:val="Compact"/>
              <w:spacing w:after="40"/>
              <w:jc w:val="left"/>
            </w:pPr>
            <w:r>
              <w:rPr>
                <w:sz w:val="18"/>
              </w:rPr>
              <w:t xml:space="preserve">Aadhaar offline verification (OKYC XML, secure QR)</w:t>
            </w:r>
          </w:p>
        </w:tc>
        <w:tc>
          <w:tcPr>
            <w:tcW w:w="3263" w:type="dxa"/>
          </w:tcPr>
          <w:p>
            <w:pPr>
              <w:pStyle w:val="Compact"/>
              <w:spacing w:after="40"/>
              <w:jc w:val="left"/>
            </w:pPr>
            <w:r>
              <w:rPr>
                <w:sz w:val="18"/>
              </w:rPr>
              <w:t xml:space="preserve">Surepass, Digio, Decentro, IDfy</w:t>
            </w:r>
          </w:p>
        </w:tc>
        <w:tc>
          <w:tcPr>
            <w:tcW w:w="1983" w:type="dxa"/>
          </w:tcPr>
          <w:p>
            <w:pPr>
              <w:pStyle w:val="Compact"/>
              <w:spacing w:after="40"/>
              <w:jc w:val="left"/>
            </w:pPr>
            <w:r>
              <w:rPr>
                <w:sz w:val="18"/>
              </w:rPr>
              <w:t xml:space="preserve">RE as OVSE; Udofin as technology provider</w:t>
            </w:r>
          </w:p>
        </w:tc>
        <w:tc>
          <w:tcPr>
            <w:tcW w:w="2869" w:type="dxa"/>
          </w:tcPr>
          <w:p>
            <w:pPr>
              <w:pStyle w:val="Compact"/>
              <w:spacing w:after="40"/>
              <w:jc w:val="left"/>
            </w:pPr>
            <w:r>
              <w:rPr>
                <w:sz w:val="18"/>
              </w:rPr>
              <w:t xml:space="preserve">KYC para 23(2) and proviso (ii); redact Aadhaar number (Explanation 1)</w:t>
            </w:r>
          </w:p>
        </w:tc>
      </w:tr>
      <w:tr>
        <w:tc>
          <w:tcPr>
            <w:tcW w:w="1523" w:type="dxa"/>
          </w:tcPr>
          <w:p>
            <w:pPr>
              <w:pStyle w:val="Compact"/>
              <w:spacing w:after="40"/>
              <w:jc w:val="left"/>
            </w:pPr>
            <w:r>
              <w:rPr>
                <w:sz w:val="18"/>
              </w:rPr>
              <w:t xml:space="preserve">DigiLocker</w:t>
            </w:r>
          </w:p>
        </w:tc>
        <w:tc>
          <w:tcPr>
            <w:tcW w:w="3263" w:type="dxa"/>
          </w:tcPr>
          <w:p>
            <w:pPr>
              <w:pStyle w:val="Compact"/>
              <w:spacing w:after="40"/>
              <w:jc w:val="left"/>
            </w:pPr>
            <w:r>
              <w:rPr>
                <w:sz w:val="18"/>
              </w:rPr>
              <w:t xml:space="preserve">DigiLocker Requester APIs (direct or via Setu, Surepass, Decentro, Digio)</w:t>
            </w:r>
          </w:p>
        </w:tc>
        <w:tc>
          <w:tcPr>
            <w:tcW w:w="1983" w:type="dxa"/>
          </w:tcPr>
          <w:p>
            <w:pPr>
              <w:pStyle w:val="Compact"/>
              <w:spacing w:after="40"/>
              <w:jc w:val="left"/>
            </w:pPr>
            <w:r>
              <w:rPr>
                <w:sz w:val="18"/>
              </w:rPr>
              <w:t xml:space="preserve">RE requester ID preferred; Udofin requester ID only if DigiLocker terms permit acting for the RE [VERIFY]</w:t>
            </w:r>
          </w:p>
        </w:tc>
        <w:tc>
          <w:tcPr>
            <w:tcW w:w="2869" w:type="dxa"/>
          </w:tcPr>
          <w:p>
            <w:pPr>
              <w:pStyle w:val="Compact"/>
              <w:spacing w:after="40"/>
              <w:jc w:val="left"/>
            </w:pPr>
            <w:r>
              <w:rPr>
                <w:sz w:val="18"/>
              </w:rPr>
              <w:t xml:space="preserve">Issued documents as equivalent e-documents; verify digital signature (KYC para 23 proviso (iii)); consent per document</w:t>
            </w:r>
          </w:p>
        </w:tc>
      </w:tr>
      <w:tr>
        <w:tc>
          <w:tcPr>
            <w:tcW w:w="1523" w:type="dxa"/>
          </w:tcPr>
          <w:p>
            <w:pPr>
              <w:pStyle w:val="Compact"/>
              <w:spacing w:after="40"/>
              <w:jc w:val="left"/>
            </w:pPr>
            <w:r>
              <w:rPr>
                <w:sz w:val="18"/>
              </w:rPr>
              <w:t xml:space="preserve">CKYC</w:t>
            </w:r>
          </w:p>
        </w:tc>
        <w:tc>
          <w:tcPr>
            <w:tcW w:w="3263" w:type="dxa"/>
          </w:tcPr>
          <w:p>
            <w:pPr>
              <w:pStyle w:val="Compact"/>
              <w:spacing w:after="40"/>
              <w:jc w:val="left"/>
            </w:pPr>
            <w:r>
              <w:rPr>
                <w:sz w:val="18"/>
              </w:rPr>
              <w:t xml:space="preserve">CERSAI CKYCRR through the RE’s reporting-entity credentials (direct or via Surepass, Decentro)</w:t>
            </w:r>
          </w:p>
        </w:tc>
        <w:tc>
          <w:tcPr>
            <w:tcW w:w="1983" w:type="dxa"/>
          </w:tcPr>
          <w:p>
            <w:pPr>
              <w:pStyle w:val="Compact"/>
              <w:spacing w:after="40"/>
              <w:jc w:val="left"/>
            </w:pPr>
            <w:r>
              <w:rPr>
                <w:sz w:val="18"/>
              </w:rPr>
              <w:t xml:space="preserve">RE</w:t>
            </w:r>
          </w:p>
        </w:tc>
        <w:tc>
          <w:tcPr>
            <w:tcW w:w="2869" w:type="dxa"/>
          </w:tcPr>
          <w:p>
            <w:pPr>
              <w:pStyle w:val="Compact"/>
              <w:spacing w:after="40"/>
              <w:jc w:val="left"/>
            </w:pPr>
            <w:r>
              <w:rPr>
                <w:sz w:val="18"/>
              </w:rPr>
              <w:t xml:space="preserve">Search and download only with explicit consent and KYC Identifier (KYC para 23(4)); upload is the RE’s duty (KYC para 63)</w:t>
            </w:r>
          </w:p>
        </w:tc>
      </w:tr>
      <w:tr>
        <w:tc>
          <w:tcPr>
            <w:tcW w:w="1523" w:type="dxa"/>
          </w:tcPr>
          <w:p>
            <w:pPr>
              <w:pStyle w:val="Compact"/>
              <w:spacing w:after="40"/>
              <w:jc w:val="left"/>
            </w:pPr>
            <w:r>
              <w:rPr>
                <w:sz w:val="18"/>
              </w:rPr>
              <w:t xml:space="preserve">V-CIP</w:t>
            </w:r>
          </w:p>
        </w:tc>
        <w:tc>
          <w:tcPr>
            <w:tcW w:w="3263" w:type="dxa"/>
          </w:tcPr>
          <w:p>
            <w:pPr>
              <w:pStyle w:val="Compact"/>
              <w:spacing w:after="40"/>
              <w:jc w:val="left"/>
            </w:pPr>
            <w:r>
              <w:rPr>
                <w:sz w:val="18"/>
              </w:rPr>
              <w:t xml:space="preserve">Vendor platforms used by the RE (for example IDfy, HyperVerge, Signzy, Digio)</w:t>
            </w:r>
          </w:p>
        </w:tc>
        <w:tc>
          <w:tcPr>
            <w:tcW w:w="1983" w:type="dxa"/>
          </w:tcPr>
          <w:p>
            <w:pPr>
              <w:pStyle w:val="Compact"/>
              <w:spacing w:after="40"/>
              <w:jc w:val="left"/>
            </w:pPr>
            <w:r>
              <w:rPr>
                <w:sz w:val="18"/>
              </w:rPr>
              <w:t xml:space="preserve">RE</w:t>
            </w:r>
          </w:p>
        </w:tc>
        <w:tc>
          <w:tcPr>
            <w:tcW w:w="2869" w:type="dxa"/>
          </w:tcPr>
          <w:p>
            <w:pPr>
              <w:pStyle w:val="Compact"/>
              <w:spacing w:after="40"/>
              <w:jc w:val="left"/>
            </w:pPr>
            <w:r>
              <w:rPr>
                <w:sz w:val="18"/>
              </w:rPr>
              <w:t xml:space="preserve">Hosted on RE premises or RE-owned cloud; vendor retains no data; operated by RE officials; live GPS geo-tag; India-only IPs (KYC para 27)</w:t>
            </w:r>
          </w:p>
        </w:tc>
      </w:tr>
      <w:tr>
        <w:tc>
          <w:tcPr>
            <w:tcW w:w="1523" w:type="dxa"/>
          </w:tcPr>
          <w:p>
            <w:pPr>
              <w:pStyle w:val="Compact"/>
              <w:spacing w:after="40"/>
              <w:jc w:val="left"/>
            </w:pPr>
            <w:r>
              <w:rPr>
                <w:sz w:val="18"/>
              </w:rPr>
              <w:t xml:space="preserve">Face match and liveness</w:t>
            </w:r>
          </w:p>
        </w:tc>
        <w:tc>
          <w:tcPr>
            <w:tcW w:w="3263" w:type="dxa"/>
          </w:tcPr>
          <w:p>
            <w:pPr>
              <w:pStyle w:val="Compact"/>
              <w:spacing w:after="40"/>
              <w:jc w:val="left"/>
            </w:pPr>
            <w:r>
              <w:rPr>
                <w:sz w:val="18"/>
              </w:rPr>
              <w:t xml:space="preserve">HyperVerge, IDfy, Surepass</w:t>
            </w:r>
          </w:p>
        </w:tc>
        <w:tc>
          <w:tcPr>
            <w:tcW w:w="1983" w:type="dxa"/>
          </w:tcPr>
          <w:p>
            <w:pPr>
              <w:pStyle w:val="Compact"/>
              <w:spacing w:after="40"/>
              <w:jc w:val="left"/>
            </w:pPr>
            <w:r>
              <w:rPr>
                <w:sz w:val="18"/>
              </w:rPr>
              <w:t xml:space="preserve">RE (8A.1, REQ-CF-14(3)); Udofin only as the RE’s technology provider</w:t>
            </w:r>
          </w:p>
        </w:tc>
        <w:tc>
          <w:tcPr>
            <w:tcW w:w="2869" w:type="dxa"/>
          </w:tcPr>
          <w:p>
            <w:pPr>
              <w:pStyle w:val="Compact"/>
              <w:spacing w:after="40"/>
              <w:jc w:val="left"/>
            </w:pPr>
            <w:r>
              <w:rPr>
                <w:sz w:val="18"/>
              </w:rPr>
              <w:t xml:space="preserve">No biometric storage (CF para 14(3)); keep score and decision only; accessible alternatives (RBC para 105)</w:t>
            </w:r>
          </w:p>
        </w:tc>
      </w:tr>
      <w:tr>
        <w:tc>
          <w:tcPr>
            <w:tcW w:w="1523" w:type="dxa"/>
          </w:tcPr>
          <w:p>
            <w:pPr>
              <w:pStyle w:val="Compact"/>
              <w:spacing w:after="40"/>
              <w:jc w:val="left"/>
            </w:pPr>
            <w:r>
              <w:rPr>
                <w:sz w:val="18"/>
              </w:rPr>
              <w:t xml:space="preserve">Credit bureau</w:t>
            </w:r>
          </w:p>
        </w:tc>
        <w:tc>
          <w:tcPr>
            <w:tcW w:w="3263" w:type="dxa"/>
          </w:tcPr>
          <w:p>
            <w:pPr>
              <w:pStyle w:val="Compact"/>
              <w:spacing w:after="40"/>
              <w:jc w:val="left"/>
            </w:pPr>
            <w:r>
              <w:rPr>
                <w:sz w:val="18"/>
              </w:rPr>
              <w:t xml:space="preserve">TransUnion CIBIL, Experian, Equifax, CRIF High Mark; Surepass as conduit if permitted</w:t>
            </w:r>
          </w:p>
        </w:tc>
        <w:tc>
          <w:tcPr>
            <w:tcW w:w="1983" w:type="dxa"/>
          </w:tcPr>
          <w:p>
            <w:pPr>
              <w:pStyle w:val="Compact"/>
              <w:spacing w:after="40"/>
              <w:jc w:val="left"/>
            </w:pPr>
            <w:r>
              <w:rPr>
                <w:sz w:val="18"/>
              </w:rPr>
              <w:t xml:space="preserve">RE (membership, CIR para 6)</w:t>
            </w:r>
          </w:p>
        </w:tc>
        <w:tc>
          <w:tcPr>
            <w:tcW w:w="2869" w:type="dxa"/>
          </w:tcPr>
          <w:p>
            <w:pPr>
              <w:pStyle w:val="Compact"/>
              <w:spacing w:after="40"/>
              <w:jc w:val="left"/>
            </w:pPr>
            <w:r>
              <w:rPr>
                <w:sz w:val="18"/>
              </w:rPr>
              <w:t xml:space="preserve">Pull under the RE’s membership and purpose; store the report in the RE-scoped vault only for the agreed period; borrower own-report as alternative [VERIFY]</w:t>
            </w:r>
          </w:p>
        </w:tc>
      </w:tr>
      <w:tr>
        <w:tc>
          <w:tcPr>
            <w:tcW w:w="1523" w:type="dxa"/>
          </w:tcPr>
          <w:p>
            <w:pPr>
              <w:pStyle w:val="Compact"/>
              <w:spacing w:after="40"/>
              <w:jc w:val="left"/>
            </w:pPr>
            <w:r>
              <w:rPr>
                <w:sz w:val="18"/>
              </w:rPr>
              <w:t xml:space="preserve">Account Aggregator</w:t>
            </w:r>
          </w:p>
        </w:tc>
        <w:tc>
          <w:tcPr>
            <w:tcW w:w="3263" w:type="dxa"/>
          </w:tcPr>
          <w:p>
            <w:pPr>
              <w:pStyle w:val="Compact"/>
              <w:spacing w:after="40"/>
              <w:jc w:val="left"/>
            </w:pPr>
            <w:r>
              <w:rPr>
                <w:sz w:val="18"/>
              </w:rPr>
              <w:t xml:space="preserve">Licensed NBFC-AAs (for example Finvu, OneMoney, Anumati) via FIU gateways (Setu, FinBox, Perfios)</w:t>
            </w:r>
          </w:p>
        </w:tc>
        <w:tc>
          <w:tcPr>
            <w:tcW w:w="1983" w:type="dxa"/>
          </w:tcPr>
          <w:p>
            <w:pPr>
              <w:pStyle w:val="Compact"/>
              <w:spacing w:after="40"/>
              <w:jc w:val="left"/>
            </w:pPr>
            <w:r>
              <w:rPr>
                <w:sz w:val="18"/>
              </w:rPr>
              <w:t xml:space="preserve">RE as FIU; Udofin as technology service provider</w:t>
            </w:r>
          </w:p>
        </w:tc>
        <w:tc>
          <w:tcPr>
            <w:tcW w:w="2869" w:type="dxa"/>
          </w:tcPr>
          <w:p>
            <w:pPr>
              <w:pStyle w:val="Compact"/>
              <w:spacing w:after="40"/>
              <w:jc w:val="left"/>
            </w:pPr>
            <w:r>
              <w:rPr>
                <w:sz w:val="18"/>
              </w:rPr>
              <w:t xml:space="preserve">Consent artefact names the RE; use only as the artefact allows (AA para 28)</w:t>
            </w:r>
          </w:p>
        </w:tc>
      </w:tr>
      <w:tr>
        <w:tc>
          <w:tcPr>
            <w:tcW w:w="1523" w:type="dxa"/>
          </w:tcPr>
          <w:p>
            <w:pPr>
              <w:pStyle w:val="Compact"/>
              <w:spacing w:after="40"/>
              <w:jc w:val="left"/>
            </w:pPr>
            <w:r>
              <w:rPr>
                <w:sz w:val="18"/>
              </w:rPr>
              <w:t xml:space="preserve">Bank statement and income analysis</w:t>
            </w:r>
          </w:p>
        </w:tc>
        <w:tc>
          <w:tcPr>
            <w:tcW w:w="3263" w:type="dxa"/>
          </w:tcPr>
          <w:p>
            <w:pPr>
              <w:pStyle w:val="Compact"/>
              <w:spacing w:after="40"/>
              <w:jc w:val="left"/>
            </w:pPr>
            <w:r>
              <w:rPr>
                <w:sz w:val="18"/>
              </w:rPr>
              <w:t xml:space="preserve">Perfios, FinBox, ScoreMe, Karza</w:t>
            </w:r>
          </w:p>
        </w:tc>
        <w:tc>
          <w:tcPr>
            <w:tcW w:w="1983" w:type="dxa"/>
          </w:tcPr>
          <w:p>
            <w:pPr>
              <w:pStyle w:val="Compact"/>
              <w:spacing w:after="40"/>
              <w:jc w:val="left"/>
            </w:pPr>
            <w:r>
              <w:rPr>
                <w:sz w:val="18"/>
              </w:rPr>
              <w:t xml:space="preserve">RE or Udofin per the LSP agreement</w:t>
            </w:r>
          </w:p>
        </w:tc>
        <w:tc>
          <w:tcPr>
            <w:tcW w:w="2869" w:type="dxa"/>
          </w:tcPr>
          <w:p>
            <w:pPr>
              <w:pStyle w:val="Compact"/>
              <w:spacing w:after="40"/>
              <w:jc w:val="left"/>
            </w:pPr>
            <w:r>
              <w:rPr>
                <w:sz w:val="18"/>
              </w:rPr>
              <w:t xml:space="preserve">PDF upload uses the photo picker or document picker, never storage permission</w:t>
            </w:r>
          </w:p>
        </w:tc>
      </w:tr>
      <w:tr>
        <w:tc>
          <w:tcPr>
            <w:tcW w:w="1523" w:type="dxa"/>
          </w:tcPr>
          <w:p>
            <w:pPr>
              <w:pStyle w:val="Compact"/>
              <w:spacing w:after="40"/>
              <w:jc w:val="left"/>
            </w:pPr>
            <w:r>
              <w:rPr>
                <w:sz w:val="18"/>
              </w:rPr>
              <w:t xml:space="preserve">Bank account verification</w:t>
            </w:r>
          </w:p>
        </w:tc>
        <w:tc>
          <w:tcPr>
            <w:tcW w:w="3263" w:type="dxa"/>
          </w:tcPr>
          <w:p>
            <w:pPr>
              <w:pStyle w:val="Compact"/>
              <w:spacing w:after="40"/>
              <w:jc w:val="left"/>
            </w:pPr>
            <w:r>
              <w:rPr>
                <w:sz w:val="18"/>
              </w:rPr>
              <w:t xml:space="preserve">Penny-drop and pennyless (Surepass, Razorpay, Cashfree, Decentro)</w:t>
            </w:r>
          </w:p>
        </w:tc>
        <w:tc>
          <w:tcPr>
            <w:tcW w:w="1983" w:type="dxa"/>
          </w:tcPr>
          <w:p>
            <w:pPr>
              <w:pStyle w:val="Compact"/>
              <w:spacing w:after="40"/>
              <w:jc w:val="left"/>
            </w:pPr>
            <w:r>
              <w:rPr>
                <w:sz w:val="18"/>
              </w:rPr>
              <w:t xml:space="preserve">Udofin or RE</w:t>
            </w:r>
          </w:p>
        </w:tc>
        <w:tc>
          <w:tcPr>
            <w:tcW w:w="2869" w:type="dxa"/>
          </w:tcPr>
          <w:p>
            <w:pPr>
              <w:pStyle w:val="Compact"/>
              <w:spacing w:after="40"/>
              <w:jc w:val="left"/>
            </w:pPr>
            <w:r>
              <w:rPr>
                <w:sz w:val="18"/>
              </w:rPr>
              <w:t xml:space="preserve">Name match against KYC name; account must be the borrower’s (CF para 10(1))</w:t>
            </w:r>
          </w:p>
        </w:tc>
      </w:tr>
      <w:tr>
        <w:tc>
          <w:tcPr>
            <w:tcW w:w="1523" w:type="dxa"/>
          </w:tcPr>
          <w:p>
            <w:pPr>
              <w:pStyle w:val="Compact"/>
              <w:spacing w:after="40"/>
              <w:jc w:val="left"/>
            </w:pPr>
            <w:r>
              <w:rPr>
                <w:sz w:val="18"/>
              </w:rPr>
              <w:t xml:space="preserve">GST, ITR, EPFO, Udyam, MCA</w:t>
            </w:r>
          </w:p>
        </w:tc>
        <w:tc>
          <w:tcPr>
            <w:tcW w:w="3263" w:type="dxa"/>
          </w:tcPr>
          <w:p>
            <w:pPr>
              <w:pStyle w:val="Compact"/>
              <w:spacing w:after="40"/>
              <w:jc w:val="left"/>
            </w:pPr>
            <w:r>
              <w:rPr>
                <w:sz w:val="18"/>
              </w:rPr>
              <w:t xml:space="preserve">Surepass, Karza, Signzy</w:t>
            </w:r>
          </w:p>
        </w:tc>
        <w:tc>
          <w:tcPr>
            <w:tcW w:w="1983" w:type="dxa"/>
          </w:tcPr>
          <w:p>
            <w:pPr>
              <w:pStyle w:val="Compact"/>
              <w:spacing w:after="40"/>
              <w:jc w:val="left"/>
            </w:pPr>
            <w:r>
              <w:rPr>
                <w:sz w:val="18"/>
              </w:rPr>
              <w:t xml:space="preserve">Udofin or RE</w:t>
            </w:r>
          </w:p>
        </w:tc>
        <w:tc>
          <w:tcPr>
            <w:tcW w:w="2869" w:type="dxa"/>
          </w:tcPr>
          <w:p>
            <w:pPr>
              <w:pStyle w:val="Compact"/>
              <w:spacing w:after="40"/>
              <w:jc w:val="left"/>
            </w:pPr>
            <w:r>
              <w:rPr>
                <w:sz w:val="18"/>
              </w:rPr>
              <w:t xml:space="preserve">Income and employment verification with consent</w:t>
            </w:r>
          </w:p>
        </w:tc>
      </w:tr>
      <w:tr>
        <w:tc>
          <w:tcPr>
            <w:tcW w:w="1523" w:type="dxa"/>
          </w:tcPr>
          <w:p>
            <w:pPr>
              <w:pStyle w:val="Compact"/>
              <w:spacing w:after="40"/>
              <w:jc w:val="left"/>
            </w:pPr>
            <w:r>
              <w:rPr>
                <w:sz w:val="18"/>
              </w:rPr>
              <w:t xml:space="preserve">eSign</w:t>
            </w:r>
          </w:p>
        </w:tc>
        <w:tc>
          <w:tcPr>
            <w:tcW w:w="3263" w:type="dxa"/>
          </w:tcPr>
          <w:p>
            <w:pPr>
              <w:pStyle w:val="Compact"/>
              <w:spacing w:after="40"/>
              <w:jc w:val="left"/>
            </w:pPr>
            <w:r>
              <w:rPr>
                <w:sz w:val="18"/>
              </w:rPr>
              <w:t xml:space="preserve">Leegality, Digio, eMudhra, Protean eSign, Surepass</w:t>
            </w:r>
          </w:p>
        </w:tc>
        <w:tc>
          <w:tcPr>
            <w:tcW w:w="1983" w:type="dxa"/>
          </w:tcPr>
          <w:p>
            <w:pPr>
              <w:pStyle w:val="Compact"/>
              <w:spacing w:after="40"/>
              <w:jc w:val="left"/>
            </w:pPr>
            <w:r>
              <w:rPr>
                <w:sz w:val="18"/>
              </w:rPr>
              <w:t xml:space="preserve">RE (signer is the borrower; document on the RE’s letterhead)</w:t>
            </w:r>
          </w:p>
        </w:tc>
        <w:tc>
          <w:tcPr>
            <w:tcW w:w="2869" w:type="dxa"/>
          </w:tcPr>
          <w:p>
            <w:pPr>
              <w:pStyle w:val="Compact"/>
              <w:spacing w:after="40"/>
              <w:jc w:val="left"/>
            </w:pPr>
            <w:r>
              <w:rPr>
                <w:sz w:val="18"/>
              </w:rPr>
              <w:t xml:space="preserve">Store provider transaction ID, certificate and document hash; never a bare</w:t>
            </w:r>
            <w:r>
              <w:rPr>
                <w:sz w:val="18"/>
              </w:rPr>
              <w:t xml:space="preserve"> </w:t>
            </w:r>
            <w:r>
              <w:rPr>
                <w:sz w:val="18"/>
              </w:rPr>
              <w:t xml:space="preserve">“</w:t>
            </w:r>
            <w:r>
              <w:rPr>
                <w:sz w:val="18"/>
              </w:rPr>
              <w:t xml:space="preserve">signed=true</w:t>
            </w:r>
            <w:r>
              <w:rPr>
                <w:sz w:val="18"/>
              </w:rPr>
              <w:t xml:space="preserve">”</w:t>
            </w:r>
            <w:r>
              <w:rPr>
                <w:sz w:val="18"/>
              </w:rPr>
              <w:t xml:space="preserve"> </w:t>
            </w:r>
            <w:r>
              <w:rPr>
                <w:sz w:val="18"/>
              </w:rPr>
              <w:t xml:space="preserve">(Finbyx Part 5.2)</w:t>
            </w:r>
          </w:p>
        </w:tc>
      </w:tr>
      <w:tr>
        <w:tc>
          <w:tcPr>
            <w:tcW w:w="1523" w:type="dxa"/>
          </w:tcPr>
          <w:p>
            <w:pPr>
              <w:pStyle w:val="Compact"/>
              <w:spacing w:after="40"/>
              <w:jc w:val="left"/>
            </w:pPr>
            <w:r>
              <w:rPr>
                <w:sz w:val="18"/>
              </w:rPr>
              <w:t xml:space="preserve">eStamp</w:t>
            </w:r>
          </w:p>
        </w:tc>
        <w:tc>
          <w:tcPr>
            <w:tcW w:w="3263" w:type="dxa"/>
          </w:tcPr>
          <w:p>
            <w:pPr>
              <w:pStyle w:val="Compact"/>
              <w:spacing w:after="40"/>
              <w:jc w:val="left"/>
            </w:pPr>
            <w:r>
              <w:rPr>
                <w:sz w:val="18"/>
              </w:rPr>
              <w:t xml:space="preserve">SHCIL e-stamping (via Leegality, Digio); state portals; NeSL DDE</w:t>
            </w:r>
          </w:p>
        </w:tc>
        <w:tc>
          <w:tcPr>
            <w:tcW w:w="1983" w:type="dxa"/>
          </w:tcPr>
          <w:p>
            <w:pPr>
              <w:pStyle w:val="Compact"/>
              <w:spacing w:after="40"/>
              <w:jc w:val="left"/>
            </w:pPr>
            <w:r>
              <w:rPr>
                <w:sz w:val="18"/>
              </w:rPr>
              <w:t xml:space="preserve">RE</w:t>
            </w:r>
          </w:p>
        </w:tc>
        <w:tc>
          <w:tcPr>
            <w:tcW w:w="2869" w:type="dxa"/>
          </w:tcPr>
          <w:p>
            <w:pPr>
              <w:pStyle w:val="Compact"/>
              <w:spacing w:after="40"/>
              <w:jc w:val="left"/>
            </w:pPr>
            <w:r>
              <w:rPr>
                <w:sz w:val="18"/>
              </w:rPr>
              <w:t xml:space="preserve">State-wise duty; stamp certificate stored with the agreement</w:t>
            </w:r>
          </w:p>
        </w:tc>
      </w:tr>
      <w:tr>
        <w:tc>
          <w:tcPr>
            <w:tcW w:w="1523" w:type="dxa"/>
          </w:tcPr>
          <w:p>
            <w:pPr>
              <w:pStyle w:val="Compact"/>
              <w:spacing w:after="40"/>
              <w:jc w:val="left"/>
            </w:pPr>
            <w:r>
              <w:rPr>
                <w:sz w:val="18"/>
              </w:rPr>
              <w:t xml:space="preserve">Securities pledge (LAS)</w:t>
            </w:r>
          </w:p>
        </w:tc>
        <w:tc>
          <w:tcPr>
            <w:tcW w:w="3263" w:type="dxa"/>
          </w:tcPr>
          <w:p>
            <w:pPr>
              <w:pStyle w:val="Compact"/>
              <w:spacing w:after="40"/>
              <w:jc w:val="left"/>
            </w:pPr>
            <w:r>
              <w:rPr>
                <w:sz w:val="18"/>
              </w:rPr>
              <w:t xml:space="preserve">NSDL and CDSL pledge APIs; CAMS, KFintech, MF Central lien</w:t>
            </w:r>
          </w:p>
        </w:tc>
        <w:tc>
          <w:tcPr>
            <w:tcW w:w="1983" w:type="dxa"/>
          </w:tcPr>
          <w:p>
            <w:pPr>
              <w:pStyle w:val="Compact"/>
              <w:spacing w:after="40"/>
              <w:jc w:val="left"/>
            </w:pPr>
            <w:r>
              <w:rPr>
                <w:sz w:val="18"/>
              </w:rPr>
              <w:t xml:space="preserve">RE (pledgee)</w:t>
            </w:r>
          </w:p>
        </w:tc>
        <w:tc>
          <w:tcPr>
            <w:tcW w:w="2869" w:type="dxa"/>
          </w:tcPr>
          <w:p>
            <w:pPr>
              <w:pStyle w:val="Compact"/>
              <w:spacing w:after="40"/>
              <w:jc w:val="left"/>
            </w:pPr>
            <w:r>
              <w:rPr>
                <w:sz w:val="18"/>
              </w:rPr>
              <w:t xml:space="preserve">Phase 18; pledge always in favour of the RE</w:t>
            </w:r>
          </w:p>
        </w:tc>
      </w:tr>
      <w:tr>
        <w:tc>
          <w:tcPr>
            <w:tcW w:w="1523" w:type="dxa"/>
          </w:tcPr>
          <w:p>
            <w:pPr>
              <w:pStyle w:val="Compact"/>
              <w:spacing w:after="40"/>
              <w:jc w:val="left"/>
            </w:pPr>
            <w:r>
              <w:rPr>
                <w:sz w:val="18"/>
              </w:rPr>
              <w:t xml:space="preserve">Vehicle, property and collateral data</w:t>
            </w:r>
          </w:p>
        </w:tc>
        <w:tc>
          <w:tcPr>
            <w:tcW w:w="3263" w:type="dxa"/>
          </w:tcPr>
          <w:p>
            <w:pPr>
              <w:pStyle w:val="Compact"/>
              <w:spacing w:after="40"/>
              <w:jc w:val="left"/>
            </w:pPr>
            <w:r>
              <w:rPr>
                <w:sz w:val="18"/>
              </w:rPr>
              <w:t xml:space="preserve">Vahan, CERSAI search, valuer and legal vendors, ULI where the RE is onboarded</w:t>
            </w:r>
          </w:p>
        </w:tc>
        <w:tc>
          <w:tcPr>
            <w:tcW w:w="1983" w:type="dxa"/>
          </w:tcPr>
          <w:p>
            <w:pPr>
              <w:pStyle w:val="Compact"/>
              <w:spacing w:after="40"/>
              <w:jc w:val="left"/>
            </w:pPr>
            <w:r>
              <w:rPr>
                <w:sz w:val="18"/>
              </w:rPr>
              <w:t xml:space="preserve">RE</w:t>
            </w:r>
          </w:p>
        </w:tc>
        <w:tc>
          <w:tcPr>
            <w:tcW w:w="2869" w:type="dxa"/>
          </w:tcPr>
          <w:p>
            <w:pPr>
              <w:pStyle w:val="Compact"/>
              <w:spacing w:after="40"/>
              <w:jc w:val="left"/>
            </w:pPr>
            <w:r>
              <w:rPr>
                <w:sz w:val="18"/>
              </w:rPr>
              <w:t xml:space="preserve">Phase 18</w:t>
            </w:r>
          </w:p>
        </w:tc>
      </w:tr>
      <w:tr>
        <w:tc>
          <w:tcPr>
            <w:tcW w:w="1523" w:type="dxa"/>
          </w:tcPr>
          <w:p>
            <w:pPr>
              <w:pStyle w:val="Compact"/>
              <w:spacing w:after="40"/>
              <w:jc w:val="left"/>
            </w:pPr>
            <w:r>
              <w:rPr>
                <w:sz w:val="18"/>
              </w:rPr>
              <w:t xml:space="preserve">Payment collection (UPI intent, cards, net banking, payment links)</w:t>
            </w:r>
          </w:p>
        </w:tc>
        <w:tc>
          <w:tcPr>
            <w:tcW w:w="3263" w:type="dxa"/>
          </w:tcPr>
          <w:p>
            <w:pPr>
              <w:pStyle w:val="Compact"/>
              <w:spacing w:after="40"/>
              <w:jc w:val="left"/>
            </w:pPr>
            <w:r>
              <w:rPr>
                <w:sz w:val="18"/>
              </w:rPr>
              <w:t xml:space="preserve">Razorpay, Cashfree, PayU, Juspay, bank gateways</w:t>
            </w:r>
          </w:p>
        </w:tc>
        <w:tc>
          <w:tcPr>
            <w:tcW w:w="1983" w:type="dxa"/>
          </w:tcPr>
          <w:p>
            <w:pPr>
              <w:pStyle w:val="Compact"/>
              <w:spacing w:after="40"/>
              <w:jc w:val="left"/>
            </w:pPr>
            <w:r>
              <w:rPr>
                <w:sz w:val="18"/>
              </w:rPr>
              <w:t xml:space="preserve">RE (merchant of record)</w:t>
            </w:r>
          </w:p>
        </w:tc>
        <w:tc>
          <w:tcPr>
            <w:tcW w:w="2869" w:type="dxa"/>
          </w:tcPr>
          <w:p>
            <w:pPr>
              <w:pStyle w:val="Compact"/>
              <w:spacing w:after="40"/>
              <w:jc w:val="left"/>
            </w:pPr>
            <w:r>
              <w:rPr>
                <w:sz w:val="18"/>
              </w:rPr>
              <w:t xml:space="preserve">Funds settle to the RE’s account; Udofin holds no merchant account for repayments (CF para 10(2)–(3))</w:t>
            </w:r>
          </w:p>
        </w:tc>
      </w:tr>
      <w:tr>
        <w:tc>
          <w:tcPr>
            <w:tcW w:w="1523" w:type="dxa"/>
          </w:tcPr>
          <w:p>
            <w:pPr>
              <w:pStyle w:val="Compact"/>
              <w:spacing w:after="40"/>
              <w:jc w:val="left"/>
            </w:pPr>
            <w:r>
              <w:rPr>
                <w:sz w:val="18"/>
              </w:rPr>
              <w:t xml:space="preserve">Mandates (eNACH, UPI AutoPay)</w:t>
            </w:r>
          </w:p>
        </w:tc>
        <w:tc>
          <w:tcPr>
            <w:tcW w:w="3263" w:type="dxa"/>
          </w:tcPr>
          <w:p>
            <w:pPr>
              <w:pStyle w:val="Compact"/>
              <w:spacing w:after="40"/>
              <w:jc w:val="left"/>
            </w:pPr>
            <w:r>
              <w:rPr>
                <w:sz w:val="18"/>
              </w:rPr>
              <w:t xml:space="preserve">NPCI eNACH via the RE’s sponsor bank or aggregators (Razorpay, Cashfree, Digio, Decentro); UPI AutoPay</w:t>
            </w:r>
          </w:p>
        </w:tc>
        <w:tc>
          <w:tcPr>
            <w:tcW w:w="1983" w:type="dxa"/>
          </w:tcPr>
          <w:p>
            <w:pPr>
              <w:pStyle w:val="Compact"/>
              <w:spacing w:after="40"/>
              <w:jc w:val="left"/>
            </w:pPr>
            <w:r>
              <w:rPr>
                <w:sz w:val="18"/>
              </w:rPr>
              <w:t xml:space="preserve">RE (corporate utility code or merchant)</w:t>
            </w:r>
          </w:p>
        </w:tc>
        <w:tc>
          <w:tcPr>
            <w:tcW w:w="2869" w:type="dxa"/>
          </w:tcPr>
          <w:p>
            <w:pPr>
              <w:pStyle w:val="Compact"/>
              <w:spacing w:after="40"/>
              <w:jc w:val="left"/>
            </w:pPr>
            <w:r>
              <w:rPr>
                <w:sz w:val="18"/>
              </w:rPr>
              <w:t xml:space="preserve">UMRN and limits sent to the LMS (</w:t>
            </w:r>
            <w:r>
              <w:rPr>
                <w:rStyle w:val="VerbatimChar"/>
                <w:sz w:val="18"/>
              </w:rPr>
              <w:t xml:space="preserve">MandateRegistered</w:t>
            </w:r>
            <w:r>
              <w:rPr>
                <w:sz w:val="18"/>
              </w:rPr>
              <w:t xml:space="preserve">); UPI AutoPay lending categories up to ₹1 lakh without additional factor [VERIFY: NPCI circular]</w:t>
            </w:r>
          </w:p>
        </w:tc>
      </w:tr>
      <w:tr>
        <w:tc>
          <w:tcPr>
            <w:tcW w:w="1523" w:type="dxa"/>
          </w:tcPr>
          <w:p>
            <w:pPr>
              <w:pStyle w:val="Compact"/>
              <w:spacing w:after="40"/>
              <w:jc w:val="left"/>
            </w:pPr>
            <w:r>
              <w:rPr>
                <w:sz w:val="18"/>
              </w:rPr>
              <w:t xml:space="preserve">Stripe and PayPal</w:t>
            </w:r>
          </w:p>
        </w:tc>
        <w:tc>
          <w:tcPr>
            <w:tcW w:w="3263" w:type="dxa"/>
          </w:tcPr>
          <w:p>
            <w:pPr>
              <w:pStyle w:val="Compact"/>
              <w:spacing w:after="40"/>
              <w:jc w:val="left"/>
            </w:pPr>
            <w:r>
              <w:rPr>
                <w:sz w:val="18"/>
              </w:rPr>
              <w:t xml:space="preserve">Stripe (India accounts invite-only since 2024; primarily cross-border); PayPal (domestic India payments discontinued in 2021)</w:t>
            </w:r>
          </w:p>
        </w:tc>
        <w:tc>
          <w:tcPr>
            <w:tcW w:w="1983" w:type="dxa"/>
          </w:tcPr>
          <w:p>
            <w:pPr>
              <w:pStyle w:val="Compact"/>
              <w:spacing w:after="40"/>
              <w:jc w:val="left"/>
            </w:pPr>
            <w:r>
              <w:rPr>
                <w:sz w:val="18"/>
              </w:rPr>
              <w:t xml:space="preserve">Udofin only</w:t>
            </w:r>
          </w:p>
        </w:tc>
        <w:tc>
          <w:tcPr>
            <w:tcW w:w="2869" w:type="dxa"/>
          </w:tcPr>
          <w:p>
            <w:pPr>
              <w:pStyle w:val="Compact"/>
              <w:spacing w:after="40"/>
              <w:jc w:val="left"/>
            </w:pPr>
            <w:r>
              <w:rPr>
                <w:sz w:val="18"/>
              </w:rPr>
              <w:t xml:space="preserve">Not suitable for domestic repayment collection; use only for Udofin’s cross-border SaaS billing if ever needed [VERIFY]</w:t>
            </w:r>
          </w:p>
        </w:tc>
      </w:tr>
      <w:tr>
        <w:tc>
          <w:tcPr>
            <w:tcW w:w="1523" w:type="dxa"/>
          </w:tcPr>
          <w:p>
            <w:pPr>
              <w:pStyle w:val="Compact"/>
              <w:spacing w:after="40"/>
              <w:jc w:val="left"/>
            </w:pPr>
            <w:r>
              <w:rPr>
                <w:sz w:val="18"/>
              </w:rPr>
              <w:t xml:space="preserve">Finbyx</w:t>
            </w:r>
          </w:p>
        </w:tc>
        <w:tc>
          <w:tcPr>
            <w:tcW w:w="3263" w:type="dxa"/>
          </w:tcPr>
          <w:p>
            <w:pPr>
              <w:pStyle w:val="Compact"/>
              <w:spacing w:after="40"/>
              <w:jc w:val="left"/>
            </w:pPr>
            <w:r>
              <w:rPr>
                <w:sz w:val="18"/>
              </w:rPr>
              <w:t xml:space="preserve">Finbyx LSP connector (Finbyx Part 5)</w:t>
            </w:r>
          </w:p>
        </w:tc>
        <w:tc>
          <w:tcPr>
            <w:tcW w:w="1983" w:type="dxa"/>
          </w:tcPr>
          <w:p>
            <w:pPr>
              <w:pStyle w:val="Compact"/>
              <w:spacing w:after="40"/>
              <w:jc w:val="left"/>
            </w:pPr>
            <w:r>
              <w:rPr>
                <w:sz w:val="18"/>
              </w:rPr>
              <w:t xml:space="preserve">RE (Finbyx tenant) with Udofin</w:t>
            </w:r>
          </w:p>
        </w:tc>
        <w:tc>
          <w:tcPr>
            <w:tcW w:w="2869" w:type="dxa"/>
          </w:tcPr>
          <w:p>
            <w:pPr>
              <w:pStyle w:val="Compact"/>
              <w:spacing w:after="40"/>
              <w:jc w:val="left"/>
            </w:pPr>
            <w:r>
              <w:rPr>
                <w:sz w:val="18"/>
              </w:rPr>
              <w:t xml:space="preserve">First certified connector; same event names as Finbyx Part 5.2</w:t>
            </w:r>
          </w:p>
        </w:tc>
      </w:tr>
      <w:tr>
        <w:tc>
          <w:tcPr>
            <w:tcW w:w="1523" w:type="dxa"/>
          </w:tcPr>
          <w:p>
            <w:pPr>
              <w:pStyle w:val="Compact"/>
              <w:spacing w:after="40"/>
              <w:jc w:val="left"/>
            </w:pPr>
            <w:r>
              <w:rPr>
                <w:sz w:val="18"/>
              </w:rPr>
              <w:t xml:space="preserve">Other LOS/LMS</w:t>
            </w:r>
          </w:p>
        </w:tc>
        <w:tc>
          <w:tcPr>
            <w:tcW w:w="3263" w:type="dxa"/>
          </w:tcPr>
          <w:p>
            <w:pPr>
              <w:pStyle w:val="Compact"/>
              <w:spacing w:after="40"/>
              <w:jc w:val="left"/>
            </w:pPr>
            <w:r>
              <w:rPr>
                <w:sz w:val="18"/>
              </w:rPr>
              <w:t xml:space="preserve">Generic REST/webhook connector; file-based (SFTP) adapter; vendor-specific adapters as certified</w:t>
            </w:r>
          </w:p>
        </w:tc>
        <w:tc>
          <w:tcPr>
            <w:tcW w:w="1983" w:type="dxa"/>
          </w:tcPr>
          <w:p>
            <w:pPr>
              <w:pStyle w:val="Compact"/>
              <w:spacing w:after="40"/>
              <w:jc w:val="left"/>
            </w:pPr>
            <w:r>
              <w:rPr>
                <w:sz w:val="18"/>
              </w:rPr>
              <w:t xml:space="preserve">RE</w:t>
            </w:r>
          </w:p>
        </w:tc>
        <w:tc>
          <w:tcPr>
            <w:tcW w:w="2869" w:type="dxa"/>
          </w:tcPr>
          <w:p>
            <w:pPr>
              <w:pStyle w:val="Compact"/>
              <w:spacing w:after="40"/>
              <w:jc w:val="left"/>
            </w:pPr>
            <w:r>
              <w:rPr>
                <w:sz w:val="18"/>
              </w:rPr>
              <w:t xml:space="preserve">Connector certification suite in U21</w:t>
            </w:r>
          </w:p>
        </w:tc>
      </w:tr>
      <w:tr>
        <w:tc>
          <w:tcPr>
            <w:tcW w:w="1523" w:type="dxa"/>
          </w:tcPr>
          <w:p>
            <w:pPr>
              <w:pStyle w:val="Compact"/>
              <w:spacing w:after="40"/>
              <w:jc w:val="left"/>
            </w:pPr>
            <w:r>
              <w:rPr>
                <w:sz w:val="18"/>
              </w:rPr>
              <w:t xml:space="preserve">Accounting</w:t>
            </w:r>
          </w:p>
        </w:tc>
        <w:tc>
          <w:tcPr>
            <w:tcW w:w="3263" w:type="dxa"/>
          </w:tcPr>
          <w:p>
            <w:pPr>
              <w:pStyle w:val="Compact"/>
              <w:spacing w:after="40"/>
              <w:jc w:val="left"/>
            </w:pPr>
            <w:r>
              <w:rPr>
                <w:sz w:val="18"/>
              </w:rPr>
              <w:t xml:space="preserve">TallyPrime (JSON/XML via local connector), SAP S/4HANA and Business One, Zoho Books, CSV</w:t>
            </w:r>
          </w:p>
        </w:tc>
        <w:tc>
          <w:tcPr>
            <w:tcW w:w="1983" w:type="dxa"/>
          </w:tcPr>
          <w:p>
            <w:pPr>
              <w:pStyle w:val="Compact"/>
              <w:spacing w:after="40"/>
              <w:jc w:val="left"/>
            </w:pPr>
            <w:r>
              <w:rPr>
                <w:sz w:val="18"/>
              </w:rPr>
              <w:t xml:space="preserve">Udofin (its own books)</w:t>
            </w:r>
          </w:p>
        </w:tc>
        <w:tc>
          <w:tcPr>
            <w:tcW w:w="2869" w:type="dxa"/>
          </w:tcPr>
          <w:p>
            <w:pPr>
              <w:pStyle w:val="Compact"/>
              <w:spacing w:after="40"/>
              <w:jc w:val="left"/>
            </w:pPr>
            <w:r>
              <w:rPr>
                <w:sz w:val="18"/>
              </w:rPr>
              <w:t xml:space="preserve">U17 exports Udofin’s own ledger only; the loan book is the RE’s</w:t>
            </w:r>
          </w:p>
        </w:tc>
      </w:tr>
      <w:tr>
        <w:tc>
          <w:tcPr>
            <w:tcW w:w="1523" w:type="dxa"/>
          </w:tcPr>
          <w:p>
            <w:pPr>
              <w:pStyle w:val="Compact"/>
              <w:spacing w:after="40"/>
              <w:jc w:val="left"/>
            </w:pPr>
            <w:r>
              <w:rPr>
                <w:sz w:val="18"/>
              </w:rPr>
              <w:t xml:space="preserve">SMS</w:t>
            </w:r>
          </w:p>
        </w:tc>
        <w:tc>
          <w:tcPr>
            <w:tcW w:w="3263" w:type="dxa"/>
          </w:tcPr>
          <w:p>
            <w:pPr>
              <w:pStyle w:val="Compact"/>
              <w:spacing w:after="40"/>
              <w:jc w:val="left"/>
            </w:pPr>
            <w:r>
              <w:rPr>
                <w:sz w:val="18"/>
              </w:rPr>
              <w:t xml:space="preserve">DLT-registered gateways (Gupshup, Kaleyra, Route Mobile, MSG91, Tanla)</w:t>
            </w:r>
          </w:p>
        </w:tc>
        <w:tc>
          <w:tcPr>
            <w:tcW w:w="1983" w:type="dxa"/>
          </w:tcPr>
          <w:p>
            <w:pPr>
              <w:pStyle w:val="Compact"/>
              <w:spacing w:after="40"/>
              <w:jc w:val="left"/>
            </w:pPr>
            <w:r>
              <w:rPr>
                <w:sz w:val="18"/>
              </w:rPr>
              <w:t xml:space="preserve">RE header for lending messages sent on the RE’s behalf; Udofin header for Udofin’s own messages [interpretation]</w:t>
            </w:r>
          </w:p>
        </w:tc>
        <w:tc>
          <w:tcPr>
            <w:tcW w:w="2869" w:type="dxa"/>
          </w:tcPr>
          <w:p>
            <w:pPr>
              <w:pStyle w:val="Compact"/>
              <w:spacing w:after="40"/>
              <w:jc w:val="left"/>
            </w:pPr>
            <w:r>
              <w:rPr>
                <w:sz w:val="18"/>
              </w:rPr>
              <w:t xml:space="preserve">DLT template IDs; TCCCPR consent categories</w:t>
            </w:r>
          </w:p>
        </w:tc>
      </w:tr>
      <w:tr>
        <w:tc>
          <w:tcPr>
            <w:tcW w:w="1523" w:type="dxa"/>
          </w:tcPr>
          <w:p>
            <w:pPr>
              <w:pStyle w:val="Compact"/>
              <w:spacing w:after="40"/>
              <w:jc w:val="left"/>
            </w:pPr>
            <w:r>
              <w:rPr>
                <w:sz w:val="18"/>
              </w:rPr>
              <w:t xml:space="preserve">WhatsApp</w:t>
            </w:r>
          </w:p>
        </w:tc>
        <w:tc>
          <w:tcPr>
            <w:tcW w:w="3263" w:type="dxa"/>
          </w:tcPr>
          <w:p>
            <w:pPr>
              <w:pStyle w:val="Compact"/>
              <w:spacing w:after="40"/>
              <w:jc w:val="left"/>
            </w:pPr>
            <w:r>
              <w:rPr>
                <w:sz w:val="18"/>
              </w:rPr>
              <w:t xml:space="preserve">WhatsApp Business Platform through a BSP</w:t>
            </w:r>
          </w:p>
        </w:tc>
        <w:tc>
          <w:tcPr>
            <w:tcW w:w="1983" w:type="dxa"/>
          </w:tcPr>
          <w:p>
            <w:pPr>
              <w:pStyle w:val="Compact"/>
              <w:spacing w:after="40"/>
              <w:jc w:val="left"/>
            </w:pPr>
            <w:r>
              <w:rPr>
                <w:sz w:val="18"/>
              </w:rPr>
              <w:t xml:space="preserve">RE or Udofin</w:t>
            </w:r>
          </w:p>
        </w:tc>
        <w:tc>
          <w:tcPr>
            <w:tcW w:w="2869" w:type="dxa"/>
          </w:tcPr>
          <w:p>
            <w:pPr>
              <w:pStyle w:val="Compact"/>
              <w:spacing w:after="40"/>
              <w:jc w:val="left"/>
            </w:pPr>
            <w:r>
              <w:rPr>
                <w:sz w:val="18"/>
              </w:rPr>
              <w:t xml:space="preserve">WhatsApp policy prohibits payday loans and debt collection on the platform; never use it for collections or short-tenor products</w:t>
            </w:r>
          </w:p>
        </w:tc>
      </w:tr>
      <w:tr>
        <w:tc>
          <w:tcPr>
            <w:tcW w:w="1523" w:type="dxa"/>
          </w:tcPr>
          <w:p>
            <w:pPr>
              <w:pStyle w:val="Compact"/>
              <w:spacing w:after="40"/>
              <w:jc w:val="left"/>
            </w:pPr>
            <w:r>
              <w:rPr>
                <w:sz w:val="18"/>
              </w:rPr>
              <w:t xml:space="preserve">Email</w:t>
            </w:r>
          </w:p>
        </w:tc>
        <w:tc>
          <w:tcPr>
            <w:tcW w:w="3263" w:type="dxa"/>
          </w:tcPr>
          <w:p>
            <w:pPr>
              <w:pStyle w:val="Compact"/>
              <w:spacing w:after="40"/>
              <w:jc w:val="left"/>
            </w:pPr>
            <w:r>
              <w:rPr>
                <w:sz w:val="18"/>
              </w:rPr>
              <w:t xml:space="preserve">Amazon SES (ap-south-1), Resend, SendGrid</w:t>
            </w:r>
          </w:p>
        </w:tc>
        <w:tc>
          <w:tcPr>
            <w:tcW w:w="1983" w:type="dxa"/>
          </w:tcPr>
          <w:p>
            <w:pPr>
              <w:pStyle w:val="Compact"/>
              <w:spacing w:after="40"/>
              <w:jc w:val="left"/>
            </w:pPr>
            <w:r>
              <w:rPr>
                <w:sz w:val="18"/>
              </w:rPr>
              <w:t xml:space="preserve">Udofin</w:t>
            </w:r>
          </w:p>
        </w:tc>
        <w:tc>
          <w:tcPr>
            <w:tcW w:w="2869" w:type="dxa"/>
          </w:tcPr>
          <w:p>
            <w:pPr>
              <w:pStyle w:val="Compact"/>
              <w:spacing w:after="40"/>
              <w:jc w:val="left"/>
            </w:pPr>
            <w:r>
              <w:rPr>
                <w:sz w:val="18"/>
              </w:rPr>
              <w:t xml:space="preserve">India-resident sending where personal data is in content [VERIFY residency]</w:t>
            </w:r>
          </w:p>
        </w:tc>
      </w:tr>
      <w:tr>
        <w:tc>
          <w:tcPr>
            <w:tcW w:w="1523" w:type="dxa"/>
          </w:tcPr>
          <w:p>
            <w:pPr>
              <w:pStyle w:val="Compact"/>
              <w:spacing w:after="40"/>
              <w:jc w:val="left"/>
            </w:pPr>
            <w:r>
              <w:rPr>
                <w:sz w:val="18"/>
              </w:rPr>
              <w:t xml:space="preserve">Push</w:t>
            </w:r>
          </w:p>
        </w:tc>
        <w:tc>
          <w:tcPr>
            <w:tcW w:w="3263" w:type="dxa"/>
          </w:tcPr>
          <w:p>
            <w:pPr>
              <w:pStyle w:val="Compact"/>
              <w:spacing w:after="40"/>
              <w:jc w:val="left"/>
            </w:pPr>
            <w:r>
              <w:rPr>
                <w:sz w:val="18"/>
              </w:rPr>
              <w:t xml:space="preserve">FCM, APNs (via Expo Push or direct)</w:t>
            </w:r>
          </w:p>
        </w:tc>
        <w:tc>
          <w:tcPr>
            <w:tcW w:w="1983" w:type="dxa"/>
          </w:tcPr>
          <w:p>
            <w:pPr>
              <w:pStyle w:val="Compact"/>
              <w:spacing w:after="40"/>
              <w:jc w:val="left"/>
            </w:pPr>
            <w:r>
              <w:rPr>
                <w:sz w:val="18"/>
              </w:rPr>
              <w:t xml:space="preserve">Udofin</w:t>
            </w:r>
          </w:p>
        </w:tc>
        <w:tc>
          <w:tcPr>
            <w:tcW w:w="2869" w:type="dxa"/>
          </w:tcPr>
          <w:p>
            <w:pPr>
              <w:pStyle w:val="Compact"/>
              <w:spacing w:after="40"/>
              <w:jc w:val="left"/>
            </w:pPr>
            <w:r>
              <w:rPr>
                <w:sz w:val="18"/>
              </w:rPr>
              <w:t xml:space="preserve">No personal or loan data in payloads; deep link to an authenticated screen</w:t>
            </w:r>
          </w:p>
        </w:tc>
      </w:tr>
      <w:tr>
        <w:tc>
          <w:tcPr>
            <w:tcW w:w="1523" w:type="dxa"/>
          </w:tcPr>
          <w:p>
            <w:pPr>
              <w:pStyle w:val="Compact"/>
              <w:spacing w:after="40"/>
              <w:jc w:val="left"/>
            </w:pPr>
            <w:r>
              <w:rPr>
                <w:sz w:val="18"/>
              </w:rPr>
              <w:t xml:space="preserve">Voice, IVR and AI contact centre</w:t>
            </w:r>
          </w:p>
        </w:tc>
        <w:tc>
          <w:tcPr>
            <w:tcW w:w="3263" w:type="dxa"/>
          </w:tcPr>
          <w:p>
            <w:pPr>
              <w:pStyle w:val="Compact"/>
              <w:spacing w:after="40"/>
              <w:jc w:val="left"/>
            </w:pPr>
            <w:r>
              <w:rPr>
                <w:sz w:val="18"/>
              </w:rPr>
              <w:t xml:space="preserve">Exotel, Knowlarity, Ozonetel, Gupshup; JioCX and Jio Business (sales-led; no published API, rates or residency statement) [VERIFY]</w:t>
            </w:r>
          </w:p>
        </w:tc>
        <w:tc>
          <w:tcPr>
            <w:tcW w:w="1983" w:type="dxa"/>
          </w:tcPr>
          <w:p>
            <w:pPr>
              <w:pStyle w:val="Compact"/>
              <w:spacing w:after="40"/>
              <w:jc w:val="left"/>
            </w:pPr>
            <w:r>
              <w:rPr>
                <w:sz w:val="18"/>
              </w:rPr>
              <w:t xml:space="preserve">RE number series (1600) for RE service calls; 140 series for promotional calls</w:t>
            </w:r>
          </w:p>
        </w:tc>
        <w:tc>
          <w:tcPr>
            <w:tcW w:w="2869" w:type="dxa"/>
          </w:tcPr>
          <w:p>
            <w:pPr>
              <w:pStyle w:val="Compact"/>
              <w:spacing w:after="40"/>
              <w:jc w:val="left"/>
            </w:pPr>
            <w:r>
              <w:rPr>
                <w:sz w:val="18"/>
              </w:rPr>
              <w:t xml:space="preserve">Part 7H RA5 routing rules; Udofin’s own outbound service calls disabled until 1600 eligibility is confirmed [VERIFY]; recording with disclosure; recordings and transcripts in India</w:t>
            </w:r>
          </w:p>
        </w:tc>
      </w:tr>
      <w:tr>
        <w:tc>
          <w:tcPr>
            <w:tcW w:w="1523" w:type="dxa"/>
          </w:tcPr>
          <w:p>
            <w:pPr>
              <w:pStyle w:val="Compact"/>
              <w:spacing w:after="40"/>
              <w:jc w:val="left"/>
            </w:pPr>
            <w:r>
              <w:rPr>
                <w:sz w:val="18"/>
              </w:rPr>
              <w:t xml:space="preserve">Equator</w:t>
            </w:r>
          </w:p>
        </w:tc>
        <w:tc>
          <w:tcPr>
            <w:tcW w:w="3263" w:type="dxa"/>
          </w:tcPr>
          <w:p>
            <w:pPr>
              <w:pStyle w:val="Compact"/>
              <w:spacing w:after="40"/>
              <w:jc w:val="left"/>
            </w:pPr>
            <w:r>
              <w:rPr>
                <w:sz w:val="18"/>
              </w:rPr>
              <w:t xml:space="preserve">Equator Resolution ODR API and web flow (ADR domain of the Ecosystem Integration Specification)</w:t>
            </w:r>
          </w:p>
        </w:tc>
        <w:tc>
          <w:tcPr>
            <w:tcW w:w="1983" w:type="dxa"/>
          </w:tcPr>
          <w:p>
            <w:pPr>
              <w:pStyle w:val="Compact"/>
              <w:spacing w:after="40"/>
              <w:jc w:val="left"/>
            </w:pPr>
            <w:r>
              <w:rPr>
                <w:sz w:val="18"/>
              </w:rPr>
              <w:t xml:space="preserve">RE for referral and mandate; Udofin only for the borrower link and status</w:t>
            </w:r>
          </w:p>
        </w:tc>
        <w:tc>
          <w:tcPr>
            <w:tcW w:w="2869" w:type="dxa"/>
          </w:tcPr>
          <w:p>
            <w:pPr>
              <w:pStyle w:val="Compact"/>
              <w:spacing w:after="40"/>
              <w:jc w:val="left"/>
            </w:pPr>
            <w:r>
              <w:rPr>
                <w:sz w:val="18"/>
              </w:rPr>
              <w:t xml:space="preserve">The RE refers (RE-only scope) only under a pre-named institution clause or written post-dispute consent; Udofin never refers or appoints and sees no neutral selection; signed link into Equator’s web flow, no separate app (Part 7A UR2)</w:t>
            </w:r>
          </w:p>
        </w:tc>
      </w:tr>
      <w:tr>
        <w:tc>
          <w:tcPr>
            <w:tcW w:w="1523" w:type="dxa"/>
          </w:tcPr>
          <w:p>
            <w:pPr>
              <w:pStyle w:val="Compact"/>
              <w:spacing w:after="40"/>
              <w:jc w:val="left"/>
            </w:pPr>
            <w:r>
              <w:rPr>
                <w:sz w:val="18"/>
              </w:rPr>
              <w:t xml:space="preserve">Other ODR and ADR providers</w:t>
            </w:r>
          </w:p>
        </w:tc>
        <w:tc>
          <w:tcPr>
            <w:tcW w:w="3263" w:type="dxa"/>
          </w:tcPr>
          <w:p>
            <w:pPr>
              <w:pStyle w:val="Compact"/>
              <w:spacing w:after="40"/>
              <w:jc w:val="left"/>
            </w:pPr>
            <w:r>
              <w:rPr>
                <w:sz w:val="18"/>
              </w:rPr>
              <w:t xml:space="preserve">Presolv360, Sama, Jupitice, Webnyay, CADRE; none publishes a lender API, so CSV or SFTP bulk exchange where needed [VERIFY under NDA]</w:t>
            </w:r>
          </w:p>
        </w:tc>
        <w:tc>
          <w:tcPr>
            <w:tcW w:w="1983" w:type="dxa"/>
          </w:tcPr>
          <w:p>
            <w:pPr>
              <w:pStyle w:val="Compact"/>
              <w:spacing w:after="40"/>
              <w:jc w:val="left"/>
            </w:pPr>
            <w:r>
              <w:rPr>
                <w:sz w:val="18"/>
              </w:rPr>
              <w:t xml:space="preserve">RE</w:t>
            </w:r>
          </w:p>
        </w:tc>
        <w:tc>
          <w:tcPr>
            <w:tcW w:w="2869" w:type="dxa"/>
          </w:tcPr>
          <w:p>
            <w:pPr>
              <w:pStyle w:val="Compact"/>
              <w:spacing w:after="40"/>
              <w:jc w:val="left"/>
            </w:pPr>
            <w:r>
              <w:rPr>
                <w:sz w:val="18"/>
              </w:rPr>
              <w:t xml:space="preserve">Same</w:t>
            </w:r>
            <w:r>
              <w:rPr>
                <w:sz w:val="18"/>
              </w:rPr>
              <w:t xml:space="preserve"> </w:t>
            </w:r>
            <w:r>
              <w:rPr>
                <w:rStyle w:val="VerbatimChar"/>
                <w:sz w:val="18"/>
              </w:rPr>
              <w:t xml:space="preserve">OdrProvider</w:t>
            </w:r>
            <w:r>
              <w:rPr>
                <w:sz w:val="18"/>
              </w:rPr>
              <w:t xml:space="preserve"> </w:t>
            </w:r>
            <w:r>
              <w:rPr>
                <w:sz w:val="18"/>
              </w:rPr>
              <w:t xml:space="preserve">contract and ADR events; Udofin displays only status the RE forwards</w:t>
            </w:r>
          </w:p>
        </w:tc>
      </w:tr>
      <w:tr>
        <w:tc>
          <w:tcPr>
            <w:tcW w:w="1523" w:type="dxa"/>
          </w:tcPr>
          <w:p>
            <w:pPr>
              <w:pStyle w:val="Compact"/>
              <w:spacing w:after="40"/>
              <w:jc w:val="left"/>
            </w:pPr>
            <w:r>
              <w:rPr>
                <w:sz w:val="18"/>
              </w:rPr>
              <w:t xml:space="preserve">Notice dispatch</w:t>
            </w:r>
          </w:p>
        </w:tc>
        <w:tc>
          <w:tcPr>
            <w:tcW w:w="3263" w:type="dxa"/>
          </w:tcPr>
          <w:p>
            <w:pPr>
              <w:pStyle w:val="Compact"/>
              <w:spacing w:after="40"/>
              <w:jc w:val="left"/>
            </w:pPr>
            <w:r>
              <w:rPr>
                <w:sz w:val="18"/>
              </w:rPr>
              <w:t xml:space="preserve">DLT SMS gateways, email (SPF and DKIM), in-app inbox; print-to-post and the India Post bulk API (DoP contract and CEPT onboarding) only through the RE</w:t>
            </w:r>
          </w:p>
        </w:tc>
        <w:tc>
          <w:tcPr>
            <w:tcW w:w="1983" w:type="dxa"/>
          </w:tcPr>
          <w:p>
            <w:pPr>
              <w:pStyle w:val="Compact"/>
              <w:spacing w:after="40"/>
              <w:jc w:val="left"/>
            </w:pPr>
            <w:r>
              <w:rPr>
                <w:sz w:val="18"/>
              </w:rPr>
              <w:t xml:space="preserve">RE for statutory notices; Udofin for add-on delivery of RE-issued notices</w:t>
            </w:r>
          </w:p>
        </w:tc>
        <w:tc>
          <w:tcPr>
            <w:tcW w:w="2869" w:type="dxa"/>
          </w:tcPr>
          <w:p>
            <w:pPr>
              <w:pStyle w:val="Compact"/>
              <w:spacing w:after="40"/>
              <w:jc w:val="left"/>
            </w:pPr>
            <w:r>
              <w:rPr>
                <w:sz w:val="18"/>
              </w:rPr>
              <w:t xml:space="preserve">Udofin never issues a notice in its own name or marks one served; no WhatsApp for any recovery communication (Part 7A UR3)</w:t>
            </w:r>
          </w:p>
        </w:tc>
      </w:tr>
      <w:tr>
        <w:tc>
          <w:tcPr>
            <w:tcW w:w="1523" w:type="dxa"/>
          </w:tcPr>
          <w:p>
            <w:pPr>
              <w:pStyle w:val="Compact"/>
              <w:spacing w:after="40"/>
              <w:jc w:val="left"/>
            </w:pPr>
            <w:r>
              <w:rPr>
                <w:sz w:val="18"/>
              </w:rPr>
              <w:t xml:space="preserve">Court-data and legal-tech</w:t>
            </w:r>
          </w:p>
        </w:tc>
        <w:tc>
          <w:tcPr>
            <w:tcW w:w="3263" w:type="dxa"/>
          </w:tcPr>
          <w:p>
            <w:pPr>
              <w:pStyle w:val="Compact"/>
              <w:spacing w:after="40"/>
              <w:jc w:val="left"/>
            </w:pPr>
            <w:r>
              <w:rPr>
                <w:sz w:val="18"/>
              </w:rPr>
              <w:t xml:space="preserve">eCourts services (CNR), licensed aggregators (for example eCourtsIndia, Surepass CNR), Legitquest</w:t>
            </w:r>
          </w:p>
        </w:tc>
        <w:tc>
          <w:tcPr>
            <w:tcW w:w="1983" w:type="dxa"/>
          </w:tcPr>
          <w:p>
            <w:pPr>
              <w:pStyle w:val="Compact"/>
              <w:spacing w:after="40"/>
              <w:jc w:val="left"/>
            </w:pPr>
            <w:r>
              <w:rPr>
                <w:sz w:val="18"/>
              </w:rPr>
              <w:t xml:space="preserve">RE</w:t>
            </w:r>
          </w:p>
        </w:tc>
        <w:tc>
          <w:tcPr>
            <w:tcW w:w="2869" w:type="dxa"/>
          </w:tcPr>
          <w:p>
            <w:pPr>
              <w:pStyle w:val="Compact"/>
              <w:spacing w:after="40"/>
              <w:jc w:val="left"/>
            </w:pPr>
            <w:r>
              <w:rPr>
                <w:sz w:val="18"/>
              </w:rPr>
              <w:t xml:space="preserve">Udofin shows only RE-permitted, RE-worded status from</w:t>
            </w:r>
            <w:r>
              <w:rPr>
                <w:sz w:val="18"/>
              </w:rPr>
              <w:t xml:space="preserve"> </w:t>
            </w:r>
            <w:r>
              <w:rPr>
                <w:rStyle w:val="VerbatimChar"/>
                <w:sz w:val="18"/>
              </w:rPr>
              <w:t xml:space="preserve">LitigationCaseUpdated</w:t>
            </w:r>
            <w:r>
              <w:rPr>
                <w:sz w:val="18"/>
              </w:rPr>
              <w:t xml:space="preserve">; it calls no court-data API and holds no litigation record (Part 7A UR3)</w:t>
            </w:r>
          </w:p>
        </w:tc>
      </w:tr>
      <w:tr>
        <w:tc>
          <w:tcPr>
            <w:tcW w:w="1523" w:type="dxa"/>
          </w:tcPr>
          <w:p>
            <w:pPr>
              <w:pStyle w:val="Compact"/>
              <w:spacing w:after="40"/>
              <w:jc w:val="left"/>
            </w:pPr>
            <w:r>
              <w:rPr>
                <w:sz w:val="18"/>
              </w:rPr>
              <w:t xml:space="preserve">Third-party GRC tools</w:t>
            </w:r>
          </w:p>
        </w:tc>
        <w:tc>
          <w:tcPr>
            <w:tcW w:w="3263" w:type="dxa"/>
          </w:tcPr>
          <w:p>
            <w:pPr>
              <w:pStyle w:val="Compact"/>
              <w:spacing w:after="40"/>
              <w:jc w:val="left"/>
            </w:pPr>
            <w:r>
              <w:rPr>
                <w:sz w:val="18"/>
              </w:rPr>
              <w:t xml:space="preserve">MetricStream (REST), IBM OpenPages (GRC REST), ServiceNow IRM (staging tables), Archer (REST, Content API); Indian tools such as Komrisk, Compfie, TeamLease RegTech [VERIFY APIs]</w:t>
            </w:r>
          </w:p>
        </w:tc>
        <w:tc>
          <w:tcPr>
            <w:tcW w:w="1983" w:type="dxa"/>
          </w:tcPr>
          <w:p>
            <w:pPr>
              <w:pStyle w:val="Compact"/>
              <w:spacing w:after="40"/>
              <w:jc w:val="left"/>
            </w:pPr>
            <w:r>
              <w:rPr>
                <w:sz w:val="18"/>
              </w:rPr>
              <w:t xml:space="preserve">RE or Udofin</w:t>
            </w:r>
          </w:p>
        </w:tc>
        <w:tc>
          <w:tcPr>
            <w:tcW w:w="2869" w:type="dxa"/>
          </w:tcPr>
          <w:p>
            <w:pPr>
              <w:pStyle w:val="Compact"/>
              <w:spacing w:after="40"/>
              <w:jc w:val="left"/>
            </w:pPr>
            <w:r>
              <w:rPr>
                <w:sz w:val="18"/>
              </w:rPr>
              <w:t xml:space="preserve">Generic GRC contract with OSCAL export (U18)</w:t>
            </w:r>
          </w:p>
        </w:tc>
      </w:tr>
      <w:tr>
        <w:tc>
          <w:tcPr>
            <w:tcW w:w="1523" w:type="dxa"/>
          </w:tcPr>
          <w:p>
            <w:pPr>
              <w:pStyle w:val="Compact"/>
              <w:spacing w:after="40"/>
              <w:jc w:val="left"/>
            </w:pPr>
            <w:r>
              <w:rPr>
                <w:sz w:val="18"/>
              </w:rPr>
              <w:t xml:space="preserve">LawDocsComply</w:t>
            </w:r>
          </w:p>
        </w:tc>
        <w:tc>
          <w:tcPr>
            <w:tcW w:w="3263" w:type="dxa"/>
          </w:tcPr>
          <w:p>
            <w:pPr>
              <w:pStyle w:val="Compact"/>
              <w:spacing w:after="40"/>
              <w:jc w:val="left"/>
            </w:pPr>
            <w:r>
              <w:rPr>
                <w:sz w:val="18"/>
              </w:rPr>
              <w:t xml:space="preserve">LawDocsComply GRC API</w:t>
            </w:r>
          </w:p>
        </w:tc>
        <w:tc>
          <w:tcPr>
            <w:tcW w:w="1983" w:type="dxa"/>
          </w:tcPr>
          <w:p>
            <w:pPr>
              <w:pStyle w:val="Compact"/>
              <w:spacing w:after="40"/>
              <w:jc w:val="left"/>
            </w:pPr>
            <w:r>
              <w:rPr>
                <w:sz w:val="18"/>
              </w:rPr>
              <w:t xml:space="preserve">Udofin and each RE</w:t>
            </w:r>
          </w:p>
        </w:tc>
        <w:tc>
          <w:tcPr>
            <w:tcW w:w="2869" w:type="dxa"/>
          </w:tcPr>
          <w:p>
            <w:pPr>
              <w:pStyle w:val="Compact"/>
              <w:spacing w:after="40"/>
              <w:jc w:val="left"/>
            </w:pPr>
            <w:r>
              <w:rPr>
                <w:sz w:val="18"/>
              </w:rPr>
              <w:t xml:space="preserve">Regulatory register, evidence and DLA register feed through the generic GRC contract; first certified GRC adapter [VERIFY: public API]</w:t>
            </w:r>
          </w:p>
        </w:tc>
      </w:tr>
      <w:tr>
        <w:tc>
          <w:tcPr>
            <w:tcW w:w="1523" w:type="dxa"/>
          </w:tcPr>
          <w:p>
            <w:pPr>
              <w:pStyle w:val="Compact"/>
              <w:spacing w:after="40"/>
              <w:jc w:val="left"/>
            </w:pPr>
            <w:r>
              <w:rPr>
                <w:sz w:val="18"/>
              </w:rPr>
              <w:t xml:space="preserve">Maps and geolocation</w:t>
            </w:r>
          </w:p>
        </w:tc>
        <w:tc>
          <w:tcPr>
            <w:tcW w:w="3263" w:type="dxa"/>
          </w:tcPr>
          <w:p>
            <w:pPr>
              <w:pStyle w:val="Compact"/>
              <w:spacing w:after="40"/>
              <w:jc w:val="left"/>
            </w:pPr>
            <w:r>
              <w:rPr>
                <w:sz w:val="18"/>
              </w:rPr>
              <w:t xml:space="preserve">Google Maps Platform, MapmyIndia (Mappls), OLA Maps</w:t>
            </w:r>
          </w:p>
        </w:tc>
        <w:tc>
          <w:tcPr>
            <w:tcW w:w="1983" w:type="dxa"/>
          </w:tcPr>
          <w:p>
            <w:pPr>
              <w:pStyle w:val="Compact"/>
              <w:spacing w:after="40"/>
              <w:jc w:val="left"/>
            </w:pPr>
            <w:r>
              <w:rPr>
                <w:sz w:val="18"/>
              </w:rPr>
              <w:t xml:space="preserve">Udofin</w:t>
            </w:r>
          </w:p>
        </w:tc>
        <w:tc>
          <w:tcPr>
            <w:tcW w:w="2869" w:type="dxa"/>
          </w:tcPr>
          <w:p>
            <w:pPr>
              <w:pStyle w:val="Compact"/>
              <w:spacing w:after="40"/>
              <w:jc w:val="left"/>
            </w:pPr>
            <w:r>
              <w:rPr>
                <w:sz w:val="18"/>
              </w:rPr>
              <w:t xml:space="preserve">Coarse location only in the store app; reverse geocoding for address pre-fill with consent</w:t>
            </w:r>
          </w:p>
        </w:tc>
      </w:tr>
      <w:tr>
        <w:tc>
          <w:tcPr>
            <w:tcW w:w="1523" w:type="dxa"/>
          </w:tcPr>
          <w:p>
            <w:pPr>
              <w:pStyle w:val="Compact"/>
              <w:spacing w:after="40"/>
              <w:jc w:val="left"/>
            </w:pPr>
            <w:r>
              <w:rPr>
                <w:sz w:val="18"/>
              </w:rPr>
              <w:t xml:space="preserve">OCR and document AI</w:t>
            </w:r>
          </w:p>
        </w:tc>
        <w:tc>
          <w:tcPr>
            <w:tcW w:w="3263" w:type="dxa"/>
          </w:tcPr>
          <w:p>
            <w:pPr>
              <w:pStyle w:val="Compact"/>
              <w:spacing w:after="40"/>
              <w:jc w:val="left"/>
            </w:pPr>
            <w:r>
              <w:rPr>
                <w:sz w:val="18"/>
              </w:rPr>
              <w:t xml:space="preserve">Self-hosted OCR in India, Surepass/IDfy OCR, LLM extraction via India-region endpoints</w:t>
            </w:r>
          </w:p>
        </w:tc>
        <w:tc>
          <w:tcPr>
            <w:tcW w:w="1983" w:type="dxa"/>
          </w:tcPr>
          <w:p>
            <w:pPr>
              <w:pStyle w:val="Compact"/>
              <w:spacing w:after="40"/>
              <w:jc w:val="left"/>
            </w:pPr>
            <w:r>
              <w:rPr>
                <w:sz w:val="18"/>
              </w:rPr>
              <w:t xml:space="preserve">Udofin</w:t>
            </w:r>
          </w:p>
        </w:tc>
        <w:tc>
          <w:tcPr>
            <w:tcW w:w="2869" w:type="dxa"/>
          </w:tcPr>
          <w:p>
            <w:pPr>
              <w:pStyle w:val="Compact"/>
              <w:spacing w:after="40"/>
              <w:jc w:val="left"/>
            </w:pPr>
            <w:r>
              <w:rPr>
                <w:sz w:val="18"/>
              </w:rPr>
              <w:t xml:space="preserve">Extraction is verified against source data; no autonomous decision (U20)</w:t>
            </w:r>
          </w:p>
        </w:tc>
      </w:tr>
      <w:tr>
        <w:tc>
          <w:tcPr>
            <w:tcW w:w="1523" w:type="dxa"/>
          </w:tcPr>
          <w:p>
            <w:pPr>
              <w:pStyle w:val="Compact"/>
              <w:spacing w:after="40"/>
              <w:jc w:val="left"/>
            </w:pPr>
            <w:r>
              <w:rPr>
                <w:sz w:val="18"/>
              </w:rPr>
              <w:t xml:space="preserve">App integrity</w:t>
            </w:r>
          </w:p>
        </w:tc>
        <w:tc>
          <w:tcPr>
            <w:tcW w:w="3263" w:type="dxa"/>
          </w:tcPr>
          <w:p>
            <w:pPr>
              <w:pStyle w:val="Compact"/>
              <w:spacing w:after="40"/>
              <w:jc w:val="left"/>
            </w:pPr>
            <w:r>
              <w:rPr>
                <w:sz w:val="18"/>
              </w:rPr>
              <w:t xml:space="preserve">Google Play Integrity API (standard requests), Apple App Attest and DeviceCheck</w:t>
            </w:r>
          </w:p>
        </w:tc>
        <w:tc>
          <w:tcPr>
            <w:tcW w:w="1983" w:type="dxa"/>
          </w:tcPr>
          <w:p>
            <w:pPr>
              <w:pStyle w:val="Compact"/>
              <w:spacing w:after="40"/>
              <w:jc w:val="left"/>
            </w:pPr>
            <w:r>
              <w:rPr>
                <w:sz w:val="18"/>
              </w:rPr>
              <w:t xml:space="preserve">Udofin</w:t>
            </w:r>
          </w:p>
        </w:tc>
        <w:tc>
          <w:tcPr>
            <w:tcW w:w="2869" w:type="dxa"/>
          </w:tcPr>
          <w:p>
            <w:pPr>
              <w:pStyle w:val="Compact"/>
              <w:spacing w:after="40"/>
              <w:jc w:val="left"/>
            </w:pPr>
            <w:r>
              <w:rPr>
                <w:sz w:val="18"/>
              </w:rPr>
              <w:t xml:space="preserve">Server-side verdict verification; failure triggers step-up, not silent block</w:t>
            </w:r>
          </w:p>
        </w:tc>
      </w:tr>
      <w:tr>
        <w:tc>
          <w:tcPr>
            <w:tcW w:w="1523" w:type="dxa"/>
          </w:tcPr>
          <w:p>
            <w:pPr>
              <w:pStyle w:val="Compact"/>
              <w:spacing w:after="40"/>
              <w:jc w:val="left"/>
            </w:pPr>
            <w:r>
              <w:rPr>
                <w:sz w:val="18"/>
              </w:rPr>
              <w:t xml:space="preserve">Error tracking and analytics</w:t>
            </w:r>
          </w:p>
        </w:tc>
        <w:tc>
          <w:tcPr>
            <w:tcW w:w="3263" w:type="dxa"/>
          </w:tcPr>
          <w:p>
            <w:pPr>
              <w:pStyle w:val="Compact"/>
              <w:spacing w:after="40"/>
              <w:jc w:val="left"/>
            </w:pPr>
            <w:r>
              <w:rPr>
                <w:sz w:val="18"/>
              </w:rPr>
              <w:t xml:space="preserve">Sentry (self-hosted in India), PostHog (self-hosted in India); Firebase Crashlytics only if the Phase 0 residency ADR accepts it (crash data and installation IDs are processed outside India)</w:t>
            </w:r>
          </w:p>
        </w:tc>
        <w:tc>
          <w:tcPr>
            <w:tcW w:w="1983" w:type="dxa"/>
          </w:tcPr>
          <w:p>
            <w:pPr>
              <w:pStyle w:val="Compact"/>
              <w:spacing w:after="40"/>
              <w:jc w:val="left"/>
            </w:pPr>
            <w:r>
              <w:rPr>
                <w:sz w:val="18"/>
              </w:rPr>
              <w:t xml:space="preserve">Udofin</w:t>
            </w:r>
          </w:p>
        </w:tc>
        <w:tc>
          <w:tcPr>
            <w:tcW w:w="2869" w:type="dxa"/>
          </w:tcPr>
          <w:p>
            <w:pPr>
              <w:pStyle w:val="Compact"/>
              <w:spacing w:after="40"/>
              <w:jc w:val="left"/>
            </w:pPr>
            <w:r>
              <w:rPr>
                <w:sz w:val="18"/>
              </w:rPr>
              <w:t xml:space="preserve">No PII; India residency ADR (CF para 14(4))</w:t>
            </w:r>
          </w:p>
        </w:tc>
      </w:tr>
      <w:tr>
        <w:tc>
          <w:tcPr>
            <w:tcW w:w="1523" w:type="dxa"/>
          </w:tcPr>
          <w:p>
            <w:pPr>
              <w:pStyle w:val="Compact"/>
              <w:spacing w:after="40"/>
              <w:jc w:val="left"/>
            </w:pPr>
            <w:r>
              <w:rPr>
                <w:sz w:val="18"/>
              </w:rPr>
              <w:t xml:space="preserve">Udofin billing (own revenue)</w:t>
            </w:r>
          </w:p>
        </w:tc>
        <w:tc>
          <w:tcPr>
            <w:tcW w:w="3263" w:type="dxa"/>
          </w:tcPr>
          <w:p>
            <w:pPr>
              <w:pStyle w:val="Compact"/>
              <w:spacing w:after="40"/>
              <w:jc w:val="left"/>
            </w:pPr>
            <w:r>
              <w:rPr>
                <w:sz w:val="18"/>
              </w:rPr>
              <w:t xml:space="preserve">Razorpay on Udofin’s own merchant account (hosted checkout, subscriptions, UPI AutoPay or e-mandate)</w:t>
            </w:r>
          </w:p>
        </w:tc>
        <w:tc>
          <w:tcPr>
            <w:tcW w:w="1983" w:type="dxa"/>
          </w:tcPr>
          <w:p>
            <w:pPr>
              <w:pStyle w:val="Compact"/>
              <w:spacing w:after="40"/>
              <w:jc w:val="left"/>
            </w:pPr>
            <w:r>
              <w:rPr>
                <w:sz w:val="18"/>
              </w:rPr>
              <w:t xml:space="preserve">Udofin</w:t>
            </w:r>
          </w:p>
        </w:tc>
        <w:tc>
          <w:tcPr>
            <w:tcW w:w="2869" w:type="dxa"/>
          </w:tcPr>
          <w:p>
            <w:pPr>
              <w:pStyle w:val="Compact"/>
              <w:spacing w:after="40"/>
              <w:jc w:val="left"/>
            </w:pPr>
            <w:r>
              <w:rPr>
                <w:sz w:val="18"/>
              </w:rPr>
              <w:t xml:space="preserve">Udofin revenue only (borrower plans if launched, small one-time items); never loan money (CF para 10(1)–(3)); hosted checkout for PCI DSS SAQ A scope; webhook HMAC verification; GST invoices (Part 7G RV3)</w:t>
            </w:r>
          </w:p>
        </w:tc>
      </w:tr>
      <w:tr>
        <w:tc>
          <w:tcPr>
            <w:tcW w:w="1523" w:type="dxa"/>
          </w:tcPr>
          <w:p>
            <w:pPr>
              <w:pStyle w:val="Compact"/>
              <w:spacing w:after="40"/>
              <w:jc w:val="left"/>
            </w:pPr>
            <w:r>
              <w:rPr>
                <w:sz w:val="18"/>
              </w:rPr>
              <w:t xml:space="preserve">Consumer credit report (wellness)</w:t>
            </w:r>
          </w:p>
        </w:tc>
        <w:tc>
          <w:tcPr>
            <w:tcW w:w="3263" w:type="dxa"/>
          </w:tcPr>
          <w:p>
            <w:pPr>
              <w:pStyle w:val="Compact"/>
              <w:spacing w:after="40"/>
              <w:jc w:val="left"/>
            </w:pPr>
            <w:r>
              <w:rPr>
                <w:sz w:val="18"/>
              </w:rPr>
              <w:t xml:space="preserve">CIC consumer-partner channels (for example TransUnion CIBIL DTC Consumer Connect; Experian, Equifax and CRIF High Mark equivalents) [VERIFY partner terms]</w:t>
            </w:r>
          </w:p>
        </w:tc>
        <w:tc>
          <w:tcPr>
            <w:tcW w:w="1983" w:type="dxa"/>
          </w:tcPr>
          <w:p>
            <w:pPr>
              <w:pStyle w:val="Compact"/>
              <w:spacing w:after="40"/>
              <w:jc w:val="left"/>
            </w:pPr>
            <w:r>
              <w:rPr>
                <w:sz w:val="18"/>
              </w:rPr>
              <w:t xml:space="preserve">Udofin as the consumer’s agent</w:t>
            </w:r>
          </w:p>
        </w:tc>
        <w:tc>
          <w:tcPr>
            <w:tcW w:w="2869" w:type="dxa"/>
          </w:tcPr>
          <w:p>
            <w:pPr>
              <w:pStyle w:val="Compact"/>
              <w:spacing w:after="40"/>
              <w:jc w:val="left"/>
            </w:pPr>
            <w:r>
              <w:rPr>
                <w:sz w:val="18"/>
              </w:rPr>
              <w:t xml:space="preserve">Consumer’s own report only (CIC Regulations reg 9 [VERIFY]); separate wellness store; never used for lending or shared with an RE (Part 7D FW1)</w:t>
            </w:r>
          </w:p>
        </w:tc>
      </w:tr>
      <w:tr>
        <w:tc>
          <w:tcPr>
            <w:tcW w:w="1523" w:type="dxa"/>
          </w:tcPr>
          <w:p>
            <w:pPr>
              <w:pStyle w:val="Compact"/>
              <w:spacing w:after="40"/>
              <w:jc w:val="left"/>
            </w:pPr>
            <w:r>
              <w:rPr>
                <w:sz w:val="18"/>
              </w:rPr>
              <w:t xml:space="preserve">Insurance</w:t>
            </w:r>
          </w:p>
        </w:tc>
        <w:tc>
          <w:tcPr>
            <w:tcW w:w="3263" w:type="dxa"/>
          </w:tcPr>
          <w:p>
            <w:pPr>
              <w:pStyle w:val="Compact"/>
              <w:spacing w:after="40"/>
              <w:jc w:val="left"/>
            </w:pPr>
            <w:r>
              <w:rPr>
                <w:sz w:val="18"/>
              </w:rPr>
              <w:t xml:space="preserve">Insurers (life, general, health) and IRDAI-registered partners; Bima Sugam where available [VERIFY]</w:t>
            </w:r>
          </w:p>
        </w:tc>
        <w:tc>
          <w:tcPr>
            <w:tcW w:w="1983" w:type="dxa"/>
          </w:tcPr>
          <w:p>
            <w:pPr>
              <w:pStyle w:val="Compact"/>
              <w:spacing w:after="40"/>
              <w:jc w:val="left"/>
            </w:pPr>
            <w:r>
              <w:rPr>
                <w:sz w:val="18"/>
              </w:rPr>
              <w:t xml:space="preserve">Udofin only under its own IRDAI registration (XP2.1 models A–B); the RE in models C–D</w:t>
            </w:r>
          </w:p>
        </w:tc>
        <w:tc>
          <w:tcPr>
            <w:tcW w:w="2869" w:type="dxa"/>
          </w:tcPr>
          <w:p>
            <w:pPr>
              <w:pStyle w:val="Compact"/>
              <w:spacing w:after="40"/>
              <w:jc w:val="left"/>
            </w:pPr>
            <w:r>
              <w:rPr>
                <w:rStyle w:val="VerbatimChar"/>
                <w:sz w:val="18"/>
              </w:rPr>
              <w:t xml:space="preserve">LICENCE_PENDING</w:t>
            </w:r>
            <w:r>
              <w:rPr>
                <w:sz w:val="18"/>
              </w:rPr>
              <w:t xml:space="preserve"> </w:t>
            </w:r>
            <w:r>
              <w:rPr>
                <w:sz w:val="18"/>
              </w:rPr>
              <w:t xml:space="preserve">until approved; premiums paid to the insurer; claim support only; separate</w:t>
            </w:r>
            <w:r>
              <w:rPr>
                <w:sz w:val="18"/>
              </w:rPr>
              <w:t xml:space="preserve"> </w:t>
            </w:r>
            <w:r>
              <w:rPr>
                <w:rStyle w:val="VerbatimChar"/>
                <w:sz w:val="18"/>
              </w:rPr>
              <w:t xml:space="preserve">product_vault</w:t>
            </w:r>
            <w:r>
              <w:rPr>
                <w:sz w:val="18"/>
              </w:rPr>
              <w:t xml:space="preserve"> </w:t>
            </w:r>
            <w:r>
              <w:rPr>
                <w:sz w:val="18"/>
              </w:rPr>
              <w:t xml:space="preserve">(Part 7F XP2)</w:t>
            </w:r>
          </w:p>
        </w:tc>
      </w:tr>
      <w:tr>
        <w:tc>
          <w:tcPr>
            <w:tcW w:w="1523" w:type="dxa"/>
          </w:tcPr>
          <w:p>
            <w:pPr>
              <w:pStyle w:val="Compact"/>
              <w:spacing w:after="40"/>
              <w:jc w:val="left"/>
            </w:pPr>
            <w:r>
              <w:rPr>
                <w:sz w:val="18"/>
              </w:rPr>
              <w:t xml:space="preserve">Other regulated distribution</w:t>
            </w:r>
          </w:p>
        </w:tc>
        <w:tc>
          <w:tcPr>
            <w:tcW w:w="3263" w:type="dxa"/>
          </w:tcPr>
          <w:p>
            <w:pPr>
              <w:pStyle w:val="Compact"/>
              <w:spacing w:after="40"/>
              <w:jc w:val="left"/>
            </w:pPr>
            <w:r>
              <w:rPr>
                <w:sz w:val="18"/>
              </w:rPr>
              <w:t xml:space="preserve">MF transaction platforms (MF Central, BSE StAR MF, NSE), BBPS through an operating unit, bank and NBFC deposit distribution</w:t>
            </w:r>
          </w:p>
        </w:tc>
        <w:tc>
          <w:tcPr>
            <w:tcW w:w="1983" w:type="dxa"/>
          </w:tcPr>
          <w:p>
            <w:pPr>
              <w:pStyle w:val="Compact"/>
              <w:spacing w:after="40"/>
              <w:jc w:val="left"/>
            </w:pPr>
            <w:r>
              <w:rPr>
                <w:sz w:val="18"/>
              </w:rPr>
              <w:t xml:space="preserve">Udofin only with the required registration</w:t>
            </w:r>
          </w:p>
        </w:tc>
        <w:tc>
          <w:tcPr>
            <w:tcW w:w="2869" w:type="dxa"/>
          </w:tcPr>
          <w:p>
            <w:pPr>
              <w:pStyle w:val="Compact"/>
              <w:spacing w:after="40"/>
              <w:jc w:val="left"/>
            </w:pPr>
            <w:r>
              <w:rPr>
                <w:sz w:val="18"/>
              </w:rPr>
              <w:t xml:space="preserve">Feasibility-gated (Part 7F XP3); never deposits of co-operative societies (Part 7E)</w:t>
            </w:r>
          </w:p>
        </w:tc>
      </w:tr>
      <w:tr>
        <w:tc>
          <w:tcPr>
            <w:tcW w:w="1523" w:type="dxa"/>
          </w:tcPr>
          <w:p>
            <w:pPr>
              <w:pStyle w:val="Compact"/>
              <w:spacing w:after="40"/>
              <w:jc w:val="left"/>
            </w:pPr>
            <w:r>
              <w:rPr>
                <w:sz w:val="18"/>
              </w:rPr>
              <w:t xml:space="preserve">Indian-language speech and voice AI</w:t>
            </w:r>
          </w:p>
        </w:tc>
        <w:tc>
          <w:tcPr>
            <w:tcW w:w="3263" w:type="dxa"/>
          </w:tcPr>
          <w:p>
            <w:pPr>
              <w:pStyle w:val="Compact"/>
              <w:spacing w:after="40"/>
              <w:jc w:val="left"/>
            </w:pPr>
            <w:r>
              <w:rPr>
                <w:sz w:val="18"/>
              </w:rPr>
              <w:t xml:space="preserve">Bhashini, Sarvam AI, India-hosted LLMs [VERIFY terms and residency]</w:t>
            </w:r>
          </w:p>
        </w:tc>
        <w:tc>
          <w:tcPr>
            <w:tcW w:w="1983" w:type="dxa"/>
          </w:tcPr>
          <w:p>
            <w:pPr>
              <w:pStyle w:val="Compact"/>
              <w:spacing w:after="40"/>
              <w:jc w:val="left"/>
            </w:pPr>
            <w:r>
              <w:rPr>
                <w:sz w:val="18"/>
              </w:rPr>
              <w:t xml:space="preserve">Udofin</w:t>
            </w:r>
          </w:p>
        </w:tc>
        <w:tc>
          <w:tcPr>
            <w:tcW w:w="2869" w:type="dxa"/>
          </w:tcPr>
          <w:p>
            <w:pPr>
              <w:pStyle w:val="Compact"/>
              <w:spacing w:after="40"/>
              <w:jc w:val="left"/>
            </w:pPr>
            <w:r>
              <w:rPr>
                <w:sz w:val="18"/>
              </w:rPr>
              <w:t xml:space="preserve">India residency for audio, transcripts and inference; AI disclosure; no training on Udofin data (Part 7H RA5)</w:t>
            </w:r>
          </w:p>
        </w:tc>
      </w:tr>
      <w:tr>
        <w:tc>
          <w:tcPr>
            <w:tcW w:w="1523" w:type="dxa"/>
          </w:tcPr>
          <w:p>
            <w:pPr>
              <w:pStyle w:val="Compact"/>
              <w:spacing w:after="40"/>
              <w:jc w:val="left"/>
            </w:pPr>
            <w:r>
              <w:rPr>
                <w:sz w:val="18"/>
              </w:rPr>
              <w:t xml:space="preserve">RE-controlled storage</w:t>
            </w:r>
          </w:p>
        </w:tc>
        <w:tc>
          <w:tcPr>
            <w:tcW w:w="3263" w:type="dxa"/>
          </w:tcPr>
          <w:p>
            <w:pPr>
              <w:pStyle w:val="Compact"/>
              <w:spacing w:after="40"/>
              <w:jc w:val="left"/>
            </w:pPr>
            <w:r>
              <w:rPr>
                <w:sz w:val="18"/>
              </w:rPr>
              <w:t xml:space="preserve">AWS S3 (ap-south-1 or ap-south-2), Azure Blob (India regions), SharePoint or OneDrive through Microsoft Graph</w:t>
            </w:r>
            <w:r>
              <w:rPr>
                <w:sz w:val="18"/>
              </w:rPr>
              <w:t xml:space="preserve"> </w:t>
            </w:r>
            <w:r>
              <w:rPr>
                <w:rStyle w:val="VerbatimChar"/>
                <w:sz w:val="18"/>
              </w:rPr>
              <w:t xml:space="preserve">Sites.Selected</w:t>
            </w:r>
            <w:r>
              <w:rPr>
                <w:sz w:val="18"/>
              </w:rPr>
              <w:t xml:space="preserve"> </w:t>
            </w:r>
            <w:r>
              <w:rPr>
                <w:sz w:val="18"/>
              </w:rPr>
              <w:t xml:space="preserve">(India data location only), Google Cloud Storage (asia-south1 or asia-south2), RE data centre by SFTP or pull agent; Google Drive for non-regulated data only, never borrower data</w:t>
            </w:r>
          </w:p>
        </w:tc>
        <w:tc>
          <w:tcPr>
            <w:tcW w:w="1983" w:type="dxa"/>
          </w:tcPr>
          <w:p>
            <w:pPr>
              <w:pStyle w:val="Compact"/>
              <w:spacing w:after="40"/>
              <w:jc w:val="left"/>
            </w:pPr>
            <w:r>
              <w:rPr>
                <w:sz w:val="18"/>
              </w:rPr>
              <w:t xml:space="preserve">RE</w:t>
            </w:r>
          </w:p>
        </w:tc>
        <w:tc>
          <w:tcPr>
            <w:tcW w:w="2869" w:type="dxa"/>
          </w:tcPr>
          <w:p>
            <w:pPr>
              <w:pStyle w:val="Compact"/>
              <w:spacing w:after="40"/>
              <w:jc w:val="left"/>
            </w:pPr>
            <w:r>
              <w:rPr>
                <w:sz w:val="18"/>
              </w:rPr>
              <w:t xml:space="preserve">Region validated at registration, weekly and before every full or exit export; archives encrypted under the RE’s key (Part 7H RA3.4)</w:t>
            </w:r>
          </w:p>
        </w:tc>
      </w:tr>
      <w:tr>
        <w:tc>
          <w:tcPr>
            <w:tcW w:w="1523" w:type="dxa"/>
          </w:tcPr>
          <w:p>
            <w:pPr>
              <w:pStyle w:val="Compact"/>
              <w:spacing w:after="40"/>
              <w:jc w:val="left"/>
            </w:pPr>
            <w:r>
              <w:rPr>
                <w:sz w:val="18"/>
              </w:rPr>
              <w:t xml:space="preserve">Co-operative society systems</w:t>
            </w:r>
          </w:p>
        </w:tc>
        <w:tc>
          <w:tcPr>
            <w:tcW w:w="3263" w:type="dxa"/>
          </w:tcPr>
          <w:p>
            <w:pPr>
              <w:pStyle w:val="Compact"/>
              <w:spacing w:after="40"/>
              <w:jc w:val="left"/>
            </w:pPr>
            <w:r>
              <w:rPr>
                <w:sz w:val="18"/>
              </w:rPr>
              <w:t xml:space="preserve">Finbyx (Part 7G IP2) or the society’s own system through the member-verification and membership-application APIs or signed files</w:t>
            </w:r>
          </w:p>
        </w:tc>
        <w:tc>
          <w:tcPr>
            <w:tcW w:w="1983" w:type="dxa"/>
          </w:tcPr>
          <w:p>
            <w:pPr>
              <w:pStyle w:val="Compact"/>
              <w:spacing w:after="40"/>
              <w:jc w:val="left"/>
            </w:pPr>
            <w:r>
              <w:rPr>
                <w:sz w:val="18"/>
              </w:rPr>
              <w:t xml:space="preserve">Society</w:t>
            </w:r>
          </w:p>
        </w:tc>
        <w:tc>
          <w:tcPr>
            <w:tcW w:w="2869" w:type="dxa"/>
          </w:tcPr>
          <w:p>
            <w:pPr>
              <w:pStyle w:val="Compact"/>
              <w:spacing w:after="40"/>
              <w:jc w:val="left"/>
            </w:pPr>
            <w:r>
              <w:rPr>
                <w:sz w:val="18"/>
              </w:rPr>
              <w:t xml:space="preserve">Member-only lending; no deposit data; separate tenant class (Part 7B UP4; Part 7E MG1)</w:t>
            </w:r>
          </w:p>
        </w:tc>
      </w:tr>
      <w:tr>
        <w:tc>
          <w:tcPr>
            <w:tcW w:w="1523" w:type="dxa"/>
          </w:tcPr>
          <w:p>
            <w:pPr>
              <w:pStyle w:val="Compact"/>
              <w:spacing w:after="40"/>
              <w:jc w:val="left"/>
            </w:pPr>
            <w:r>
              <w:rPr>
                <w:sz w:val="18"/>
              </w:rPr>
              <w:t xml:space="preserve">Infrabyx Operations Hub</w:t>
            </w:r>
          </w:p>
        </w:tc>
        <w:tc>
          <w:tcPr>
            <w:tcW w:w="3263" w:type="dxa"/>
          </w:tcPr>
          <w:p>
            <w:pPr>
              <w:pStyle w:val="Compact"/>
              <w:spacing w:after="40"/>
              <w:jc w:val="left"/>
            </w:pPr>
            <w:r>
              <w:rPr>
                <w:sz w:val="18"/>
              </w:rPr>
              <w:t xml:space="preserve">OH8 catalogue and RE invoicing; OH13–OH14 engineering and control evidence</w:t>
            </w:r>
          </w:p>
        </w:tc>
        <w:tc>
          <w:tcPr>
            <w:tcW w:w="1983" w:type="dxa"/>
          </w:tcPr>
          <w:p>
            <w:pPr>
              <w:pStyle w:val="Compact"/>
              <w:spacing w:after="40"/>
              <w:jc w:val="left"/>
            </w:pPr>
            <w:r>
              <w:rPr>
                <w:sz w:val="18"/>
              </w:rPr>
              <w:t xml:space="preserve">Udofin</w:t>
            </w:r>
          </w:p>
        </w:tc>
        <w:tc>
          <w:tcPr>
            <w:tcW w:w="2869" w:type="dxa"/>
          </w:tcPr>
          <w:p>
            <w:pPr>
              <w:pStyle w:val="Compact"/>
              <w:spacing w:after="40"/>
              <w:jc w:val="left"/>
            </w:pPr>
            <w:r>
              <w:rPr>
                <w:sz w:val="18"/>
              </w:rPr>
              <w:t xml:space="preserve">Monthly</w:t>
            </w:r>
            <w:r>
              <w:rPr>
                <w:sz w:val="18"/>
              </w:rPr>
              <w:t xml:space="preserve"> </w:t>
            </w:r>
            <w:r>
              <w:rPr>
                <w:rStyle w:val="VerbatimChar"/>
                <w:sz w:val="18"/>
              </w:rPr>
              <w:t xml:space="preserve">UsageRecorded</w:t>
            </w:r>
            <w:r>
              <w:rPr>
                <w:sz w:val="18"/>
              </w:rPr>
              <w:t xml:space="preserve"> </w:t>
            </w:r>
            <w:r>
              <w:rPr>
                <w:sz w:val="18"/>
              </w:rPr>
              <w:t xml:space="preserve">statements only (</w:t>
            </w:r>
            <w:r>
              <w:rPr>
                <w:rStyle w:val="VerbatimChar"/>
                <w:sz w:val="18"/>
              </w:rPr>
              <w:t xml:space="preserve">meter_kind</w:t>
            </w:r>
            <w:r>
              <w:rPr>
                <w:sz w:val="18"/>
              </w:rPr>
              <w:t xml:space="preserve"> </w:t>
            </w:r>
            <w:r>
              <w:rPr>
                <w:sz w:val="18"/>
              </w:rPr>
              <w:t xml:space="preserve">USAGE or REVENUE_AGGREGATE, no subscriber key); no borrower data (Part 2)</w:t>
            </w:r>
          </w:p>
        </w:tc>
      </w:tr>
    </w:tbl>
    <w:p>
      <w:r>
        <w:pict>
          <v:rect style="width:0;height:1.5pt" o:hralign="center" o:hrstd="t" o:hr="t"/>
        </w:pict>
      </w:r>
    </w:p>
    <w:bookmarkEnd w:id="475"/>
    <w:bookmarkEnd w:id="476"/>
    <w:bookmarkStart w:id="485" w:name="X652be82d7dbef231e759e69f10bf1d873403a8b"/>
    <w:p>
      <w:pPr>
        <w:pStyle w:val="Heading1"/>
      </w:pPr>
      <w:r>
        <w:t xml:space="preserve">PART 10 — TECHNOLOGY, ARCHITECTURE AND NON-FUNCTIONAL REQUIREMENTS</w:t>
      </w:r>
    </w:p>
    <w:bookmarkStart w:id="477" w:name="recommended-stack"/>
    <w:p>
      <w:pPr>
        <w:pStyle w:val="Heading2"/>
      </w:pPr>
      <w:r>
        <w:t xml:space="preserve">10.1 Recommended stack</w:t>
      </w:r>
    </w:p>
    <w:p>
      <w:pPr>
        <w:pStyle w:val="FirstParagraph"/>
      </w:pPr>
      <w:r>
        <w:t xml:space="preserve">Validate current versions in Phase 0 and propose changes through an ADR. Versions below were checked in October 2026.</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70"/>
        <w:gridCol w:w="5308"/>
        <w:gridCol w:w="2760"/>
      </w:tblGrid>
      <w:tr>
        <w:trPr>
          <w:tblHeader w:val="true"/>
          <w:tblHeader w:val="true"/>
        </w:trPr>
        <w:tc>
          <w:tcPr>
            <w:tcW w:w="1570" w:type="dxa"/>
            <w:shd w:val="clear" w:color="auto" w:fill="1F3A5F"/>
          </w:tcPr>
          <w:p>
            <w:pPr>
              <w:pStyle w:val="Compact"/>
              <w:spacing w:after="40"/>
              <w:jc w:val="left"/>
            </w:pPr>
            <w:r>
              <w:rPr>
                <w:b/>
                <w:color w:val="FFFFFF"/>
                <w:sz w:val="18"/>
              </w:rPr>
              <w:t xml:space="preserve">Layer</w:t>
            </w:r>
          </w:p>
        </w:tc>
        <w:tc>
          <w:tcPr>
            <w:tcW w:w="5308" w:type="dxa"/>
            <w:shd w:val="clear" w:color="auto" w:fill="1F3A5F"/>
          </w:tcPr>
          <w:p>
            <w:pPr>
              <w:pStyle w:val="Compact"/>
              <w:spacing w:after="40"/>
              <w:jc w:val="left"/>
            </w:pPr>
            <w:r>
              <w:rPr>
                <w:b/>
                <w:color w:val="FFFFFF"/>
                <w:sz w:val="18"/>
              </w:rPr>
              <w:t xml:space="preserve">Recommendation</w:t>
            </w:r>
          </w:p>
        </w:tc>
        <w:tc>
          <w:tcPr>
            <w:tcW w:w="2760" w:type="dxa"/>
            <w:shd w:val="clear" w:color="auto" w:fill="1F3A5F"/>
          </w:tcPr>
          <w:p>
            <w:pPr>
              <w:pStyle w:val="Compact"/>
              <w:spacing w:after="40"/>
              <w:jc w:val="left"/>
            </w:pPr>
            <w:r>
              <w:rPr>
                <w:b/>
                <w:color w:val="FFFFFF"/>
                <w:sz w:val="18"/>
              </w:rPr>
              <w:t xml:space="preserve">Reason</w:t>
            </w:r>
          </w:p>
        </w:tc>
      </w:tr>
      <w:tr>
        <w:tc>
          <w:tcPr>
            <w:tcW w:w="1570" w:type="dxa"/>
          </w:tcPr>
          <w:p>
            <w:pPr>
              <w:pStyle w:val="Compact"/>
              <w:spacing w:after="40"/>
              <w:jc w:val="left"/>
            </w:pPr>
            <w:r>
              <w:rPr>
                <w:sz w:val="18"/>
              </w:rPr>
              <w:t xml:space="preserve">Monorepo</w:t>
            </w:r>
          </w:p>
        </w:tc>
        <w:tc>
          <w:tcPr>
            <w:tcW w:w="5308" w:type="dxa"/>
          </w:tcPr>
          <w:p>
            <w:pPr>
              <w:pStyle w:val="Compact"/>
              <w:spacing w:after="40"/>
              <w:jc w:val="left"/>
            </w:pPr>
            <w:r>
              <w:rPr>
                <w:sz w:val="18"/>
              </w:rPr>
              <w:t xml:space="preserve">pnpm workspaces + Turborepo; TypeScript strict</w:t>
            </w:r>
          </w:p>
        </w:tc>
        <w:tc>
          <w:tcPr>
            <w:tcW w:w="2760" w:type="dxa"/>
          </w:tcPr>
          <w:p>
            <w:pPr>
              <w:pStyle w:val="Compact"/>
              <w:spacing w:after="40"/>
              <w:jc w:val="left"/>
            </w:pPr>
            <w:r>
              <w:rPr>
                <w:sz w:val="18"/>
              </w:rPr>
              <w:t xml:space="preserve">Shared contracts, domain kernel and design tokens across app, web, portals and API</w:t>
            </w:r>
          </w:p>
        </w:tc>
      </w:tr>
      <w:tr>
        <w:tc>
          <w:tcPr>
            <w:tcW w:w="1570" w:type="dxa"/>
          </w:tcPr>
          <w:p>
            <w:pPr>
              <w:pStyle w:val="Compact"/>
              <w:spacing w:after="40"/>
              <w:jc w:val="left"/>
            </w:pPr>
            <w:r>
              <w:rPr>
                <w:sz w:val="18"/>
              </w:rPr>
              <w:t xml:space="preserve">Borrower mobile app</w:t>
            </w:r>
          </w:p>
        </w:tc>
        <w:tc>
          <w:tcPr>
            <w:tcW w:w="5308" w:type="dxa"/>
          </w:tcPr>
          <w:p>
            <w:pPr>
              <w:pStyle w:val="Compact"/>
              <w:spacing w:after="40"/>
              <w:jc w:val="left"/>
            </w:pPr>
            <w:r>
              <w:rPr>
                <w:bCs/>
                <w:b/>
                <w:sz w:val="18"/>
              </w:rPr>
              <w:t xml:space="preserve">Expo SDK 57</w:t>
            </w:r>
            <w:r>
              <w:rPr>
                <w:sz w:val="18"/>
              </w:rPr>
              <w:t xml:space="preserve"> </w:t>
            </w:r>
            <w:r>
              <w:rPr>
                <w:sz w:val="18"/>
              </w:rPr>
              <w:t xml:space="preserve">(React Native 0.86, React 19.2; stable since 30 Jun 2026). SDK 58 (React Native 0.88) entered beta on 15 Sep 2026: adopt it after it is stable and Phase 0 has tested it. New Architecture (Fabric, TurboModules) only: it is mandatory from SDK 55. Hermes; Expo Router; EAS Build, Submit and Update</w:t>
            </w:r>
          </w:p>
        </w:tc>
        <w:tc>
          <w:tcPr>
            <w:tcW w:w="2760" w:type="dxa"/>
          </w:tcPr>
          <w:p>
            <w:pPr>
              <w:pStyle w:val="Compact"/>
              <w:spacing w:after="40"/>
              <w:jc w:val="left"/>
            </w:pPr>
            <w:r>
              <w:rPr>
                <w:sz w:val="18"/>
              </w:rPr>
              <w:t xml:space="preserve">One TypeScript codebase for Android and iOS; managed native builds; controlled OTA for JavaScript-only fixes</w:t>
            </w:r>
          </w:p>
        </w:tc>
      </w:tr>
      <w:tr>
        <w:tc>
          <w:tcPr>
            <w:tcW w:w="1570" w:type="dxa"/>
          </w:tcPr>
          <w:p>
            <w:pPr>
              <w:pStyle w:val="Compact"/>
              <w:spacing w:after="40"/>
              <w:jc w:val="left"/>
            </w:pPr>
            <w:r>
              <w:rPr>
                <w:sz w:val="18"/>
              </w:rPr>
              <w:t xml:space="preserve">Mobile libraries</w:t>
            </w:r>
          </w:p>
        </w:tc>
        <w:tc>
          <w:tcPr>
            <w:tcW w:w="5308" w:type="dxa"/>
          </w:tcPr>
          <w:p>
            <w:pPr>
              <w:pStyle w:val="Compact"/>
              <w:spacing w:after="40"/>
              <w:jc w:val="left"/>
            </w:pPr>
            <w:r>
              <w:rPr>
                <w:sz w:val="18"/>
              </w:rPr>
              <w:t xml:space="preserve">expo-secure-store (Keystore/Keychain), expo-local-authentication (app unlock), expo-camera, the system photo and document pickers (no storage permission),</w:t>
            </w:r>
            <w:r>
              <w:rPr>
                <w:sz w:val="18"/>
              </w:rPr>
              <w:t xml:space="preserve"> </w:t>
            </w:r>
            <w:r>
              <w:rPr>
                <w:sz w:val="18"/>
              </w:rPr>
              <w:t xml:space="preserve">@expo/app-integrity</w:t>
            </w:r>
            <w:r>
              <w:rPr>
                <w:sz w:val="18"/>
              </w:rPr>
              <w:t xml:space="preserve"> </w:t>
            </w:r>
            <w:r>
              <w:rPr>
                <w:sz w:val="18"/>
              </w:rPr>
              <w:t xml:space="preserve">(alpha) or native Play Integrity / App Attest modules, react-native-mmkv with encryption for non-sensitive cache, TanStack Query, Zustand, Zod</w:t>
            </w:r>
          </w:p>
        </w:tc>
        <w:tc>
          <w:tcPr>
            <w:tcW w:w="2760" w:type="dxa"/>
          </w:tcPr>
          <w:p>
            <w:pPr>
              <w:pStyle w:val="Compact"/>
              <w:spacing w:after="40"/>
              <w:jc w:val="left"/>
            </w:pPr>
            <w:r>
              <w:rPr>
                <w:sz w:val="18"/>
              </w:rPr>
              <w:t xml:space="preserve">Minimal permissions; secure storage; offline resume</w:t>
            </w:r>
          </w:p>
        </w:tc>
      </w:tr>
      <w:tr>
        <w:tc>
          <w:tcPr>
            <w:tcW w:w="1570" w:type="dxa"/>
          </w:tcPr>
          <w:p>
            <w:pPr>
              <w:pStyle w:val="Compact"/>
              <w:spacing w:after="40"/>
              <w:jc w:val="left"/>
            </w:pPr>
            <w:r>
              <w:rPr>
                <w:sz w:val="18"/>
              </w:rPr>
              <w:t xml:space="preserve">Borrower web app</w:t>
            </w:r>
          </w:p>
        </w:tc>
        <w:tc>
          <w:tcPr>
            <w:tcW w:w="5308" w:type="dxa"/>
          </w:tcPr>
          <w:p>
            <w:pPr>
              <w:pStyle w:val="Compact"/>
              <w:spacing w:after="40"/>
              <w:jc w:val="left"/>
            </w:pPr>
            <w:r>
              <w:rPr>
                <w:sz w:val="18"/>
              </w:rPr>
              <w:t xml:space="preserve">Next.js 16 (16.4 current, 6 Oct 2026) App Router + React 19; installable PWA (service worker for shell and static assets only)</w:t>
            </w:r>
          </w:p>
        </w:tc>
        <w:tc>
          <w:tcPr>
            <w:tcW w:w="2760" w:type="dxa"/>
          </w:tcPr>
          <w:p>
            <w:pPr>
              <w:pStyle w:val="Compact"/>
              <w:spacing w:after="40"/>
              <w:jc w:val="left"/>
            </w:pPr>
            <w:r>
              <w:rPr>
                <w:sz w:val="18"/>
              </w:rPr>
              <w:t xml:space="preserve">Same journey on web; SEO for public pages; handoff to app where a native control is needed</w:t>
            </w:r>
          </w:p>
        </w:tc>
      </w:tr>
      <w:tr>
        <w:tc>
          <w:tcPr>
            <w:tcW w:w="1570" w:type="dxa"/>
          </w:tcPr>
          <w:p>
            <w:pPr>
              <w:pStyle w:val="Compact"/>
              <w:spacing w:after="40"/>
              <w:jc w:val="left"/>
            </w:pPr>
            <w:r>
              <w:rPr>
                <w:sz w:val="18"/>
              </w:rPr>
              <w:t xml:space="preserve">Portals (operations, lender, admin)</w:t>
            </w:r>
          </w:p>
        </w:tc>
        <w:tc>
          <w:tcPr>
            <w:tcW w:w="5308" w:type="dxa"/>
          </w:tcPr>
          <w:p>
            <w:pPr>
              <w:pStyle w:val="Compact"/>
              <w:spacing w:after="40"/>
              <w:jc w:val="left"/>
            </w:pPr>
            <w:r>
              <w:rPr>
                <w:sz w:val="18"/>
              </w:rPr>
              <w:t xml:space="preserve">Next.js 16 single portal app with role-based workspaces (recommended; see Appendix C); shadcn/ui + Tailwind with design tokens; TanStack Table v9 or AG Grid Community</w:t>
            </w:r>
          </w:p>
        </w:tc>
        <w:tc>
          <w:tcPr>
            <w:tcW w:w="2760" w:type="dxa"/>
          </w:tcPr>
          <w:p>
            <w:pPr>
              <w:pStyle w:val="Compact"/>
              <w:spacing w:after="40"/>
              <w:jc w:val="left"/>
            </w:pPr>
            <w:r>
              <w:rPr>
                <w:sz w:val="18"/>
              </w:rPr>
              <w:t xml:space="preserve">Data-dense queues and configuration; one deployment, strict workspace isolation</w:t>
            </w:r>
          </w:p>
        </w:tc>
      </w:tr>
      <w:tr>
        <w:tc>
          <w:tcPr>
            <w:tcW w:w="1570" w:type="dxa"/>
          </w:tcPr>
          <w:p>
            <w:pPr>
              <w:pStyle w:val="Compact"/>
              <w:spacing w:after="40"/>
              <w:jc w:val="left"/>
            </w:pPr>
            <w:r>
              <w:rPr>
                <w:sz w:val="18"/>
              </w:rPr>
              <w:t xml:space="preserve">Backend</w:t>
            </w:r>
          </w:p>
        </w:tc>
        <w:tc>
          <w:tcPr>
            <w:tcW w:w="5308" w:type="dxa"/>
          </w:tcPr>
          <w:p>
            <w:pPr>
              <w:pStyle w:val="Compact"/>
              <w:spacing w:after="40"/>
              <w:jc w:val="left"/>
            </w:pPr>
            <w:r>
              <w:rPr>
                <w:sz w:val="18"/>
              </w:rPr>
              <w:t xml:space="preserve">Node.js 24 LTS (Maintenance LTS from 20 Oct 2026, end of life 30 Apr 2028; Node 26 becomes Active LTS on 28 Oct 2026 and is supported by Expo SDK 58, so decide 24 or 26 in the Phase 0 ADR; Node 20 reached end of life on 30 Apr 2026) + TypeScript;</w:t>
            </w:r>
            <w:r>
              <w:rPr>
                <w:sz w:val="18"/>
              </w:rPr>
              <w:t xml:space="preserve"> </w:t>
            </w:r>
            <w:r>
              <w:rPr>
                <w:bCs/>
                <w:b/>
                <w:sz w:val="18"/>
              </w:rPr>
              <w:t xml:space="preserve">NestJS (11 or 12, per the shared ecosystem ADR with Finbyx) modular monolith</w:t>
            </w:r>
            <w:r>
              <w:rPr>
                <w:sz w:val="18"/>
              </w:rPr>
              <w:t xml:space="preserve">. NestJS 12.0.0 was released in 2026 (ESM packages, Standard Schema validation; requires Node 20.19+ or 22.12+). Keep Finbyx and Udofin on the same NestJS major: decide 11 or 12 in one ecosystem ADR. OpenAPI 3.1 via Zod schemas; AsyncAPI for events</w:t>
            </w:r>
          </w:p>
        </w:tc>
        <w:tc>
          <w:tcPr>
            <w:tcW w:w="2760" w:type="dxa"/>
          </w:tcPr>
          <w:p>
            <w:pPr>
              <w:pStyle w:val="Compact"/>
              <w:spacing w:after="40"/>
              <w:jc w:val="left"/>
            </w:pPr>
            <w:r>
              <w:rPr>
                <w:sz w:val="18"/>
              </w:rPr>
              <w:t xml:space="preserve">Business rules, integrations and controlled access on trusted servers</w:t>
            </w:r>
          </w:p>
        </w:tc>
      </w:tr>
      <w:tr>
        <w:tc>
          <w:tcPr>
            <w:tcW w:w="1570" w:type="dxa"/>
          </w:tcPr>
          <w:p>
            <w:pPr>
              <w:pStyle w:val="Compact"/>
              <w:spacing w:after="40"/>
              <w:jc w:val="left"/>
            </w:pPr>
            <w:r>
              <w:rPr>
                <w:sz w:val="18"/>
              </w:rPr>
              <w:t xml:space="preserve">Database</w:t>
            </w:r>
          </w:p>
        </w:tc>
        <w:tc>
          <w:tcPr>
            <w:tcW w:w="5308" w:type="dxa"/>
          </w:tcPr>
          <w:p>
            <w:pPr>
              <w:pStyle w:val="Compact"/>
              <w:spacing w:after="40"/>
              <w:jc w:val="left"/>
            </w:pPr>
            <w:r>
              <w:rPr>
                <w:sz w:val="18"/>
              </w:rPr>
              <w:t xml:space="preserve">PostgreSQL 16+ (Supabase ap-south-1 now; Amazon RDS/Aurora PostgreSQL ap-south-1 later); Drizzle ORM or Kysely; versioned SQL migrations;</w:t>
            </w:r>
            <w:r>
              <w:rPr>
                <w:sz w:val="18"/>
              </w:rPr>
              <w:t xml:space="preserve"> </w:t>
            </w:r>
            <w:r>
              <w:rPr>
                <w:bCs/>
                <w:b/>
                <w:sz w:val="18"/>
              </w:rPr>
              <w:t xml:space="preserve">enforced RLS</w:t>
            </w:r>
          </w:p>
        </w:tc>
        <w:tc>
          <w:tcPr>
            <w:tcW w:w="2760" w:type="dxa"/>
          </w:tcPr>
          <w:p>
            <w:pPr>
              <w:pStyle w:val="Compact"/>
              <w:spacing w:after="40"/>
              <w:jc w:val="left"/>
            </w:pPr>
            <w:r>
              <w:rPr>
                <w:sz w:val="18"/>
              </w:rPr>
              <w:t xml:space="preserve">Relational, transactional, portable</w:t>
            </w:r>
          </w:p>
        </w:tc>
      </w:tr>
      <w:tr>
        <w:tc>
          <w:tcPr>
            <w:tcW w:w="1570" w:type="dxa"/>
          </w:tcPr>
          <w:p>
            <w:pPr>
              <w:pStyle w:val="Compact"/>
              <w:spacing w:after="40"/>
              <w:jc w:val="left"/>
            </w:pPr>
            <w:r>
              <w:rPr>
                <w:sz w:val="18"/>
              </w:rPr>
              <w:t xml:space="preserve">Money and maths</w:t>
            </w:r>
          </w:p>
        </w:tc>
        <w:tc>
          <w:tcPr>
            <w:tcW w:w="5308" w:type="dxa"/>
          </w:tcPr>
          <w:p>
            <w:pPr>
              <w:pStyle w:val="Compact"/>
              <w:spacing w:after="40"/>
              <w:jc w:val="left"/>
            </w:pPr>
            <w:r>
              <w:rPr>
                <w:rStyle w:val="VerbatimChar"/>
                <w:sz w:val="18"/>
              </w:rPr>
              <w:t xml:space="preserve">NUMERIC</w:t>
            </w:r>
            <w:r>
              <w:rPr>
                <w:sz w:val="18"/>
              </w:rPr>
              <w:t xml:space="preserve"> </w:t>
            </w:r>
            <w:r>
              <w:rPr>
                <w:sz w:val="18"/>
              </w:rPr>
              <w:t xml:space="preserve">columns; decimal.js (precision ≥ 40); money as strings in APIs; property-based tests (fast-check)</w:t>
            </w:r>
          </w:p>
        </w:tc>
        <w:tc>
          <w:tcPr>
            <w:tcW w:w="2760" w:type="dxa"/>
          </w:tcPr>
          <w:p>
            <w:pPr>
              <w:pStyle w:val="Compact"/>
              <w:spacing w:after="40"/>
              <w:jc w:val="left"/>
            </w:pPr>
            <w:r>
              <w:rPr>
                <w:sz w:val="18"/>
              </w:rPr>
              <w:t xml:space="preserve">Paisa-exact display of APR, EMI and DLG caps</w:t>
            </w:r>
          </w:p>
        </w:tc>
      </w:tr>
      <w:tr>
        <w:tc>
          <w:tcPr>
            <w:tcW w:w="1570" w:type="dxa"/>
          </w:tcPr>
          <w:p>
            <w:pPr>
              <w:pStyle w:val="Compact"/>
              <w:spacing w:after="40"/>
              <w:jc w:val="left"/>
            </w:pPr>
            <w:r>
              <w:rPr>
                <w:sz w:val="18"/>
              </w:rPr>
              <w:t xml:space="preserve">Workflow orchestration</w:t>
            </w:r>
          </w:p>
        </w:tc>
        <w:tc>
          <w:tcPr>
            <w:tcW w:w="5308" w:type="dxa"/>
          </w:tcPr>
          <w:p>
            <w:pPr>
              <w:pStyle w:val="Compact"/>
              <w:spacing w:after="40"/>
              <w:jc w:val="left"/>
            </w:pPr>
            <w:r>
              <w:rPr>
                <w:sz w:val="18"/>
              </w:rPr>
              <w:t xml:space="preserve">Temporal (TypeScript SDK; Temporal Cloud India regions or self-hosted) for application, KYC, signing, disbursement-status, mandate and grievance sagas; payload codec encryption so no PII sits in workflow history; pg-boss or Graphile Worker for simple jobs</w:t>
            </w:r>
          </w:p>
        </w:tc>
        <w:tc>
          <w:tcPr>
            <w:tcW w:w="2760" w:type="dxa"/>
          </w:tcPr>
          <w:p>
            <w:pPr>
              <w:pStyle w:val="Compact"/>
              <w:spacing w:after="40"/>
              <w:jc w:val="left"/>
            </w:pPr>
            <w:r>
              <w:rPr>
                <w:sz w:val="18"/>
              </w:rPr>
              <w:t xml:space="preserve">Durable, resumable borrower journeys across app restarts and provider outages</w:t>
            </w:r>
          </w:p>
        </w:tc>
      </w:tr>
      <w:tr>
        <w:tc>
          <w:tcPr>
            <w:tcW w:w="1570" w:type="dxa"/>
          </w:tcPr>
          <w:p>
            <w:pPr>
              <w:pStyle w:val="Compact"/>
              <w:spacing w:after="40"/>
              <w:jc w:val="left"/>
            </w:pPr>
            <w:r>
              <w:rPr>
                <w:sz w:val="18"/>
              </w:rPr>
              <w:t xml:space="preserve">Rules</w:t>
            </w:r>
          </w:p>
        </w:tc>
        <w:tc>
          <w:tcPr>
            <w:tcW w:w="5308" w:type="dxa"/>
          </w:tcPr>
          <w:p>
            <w:pPr>
              <w:pStyle w:val="Compact"/>
              <w:spacing w:after="40"/>
              <w:jc w:val="left"/>
            </w:pPr>
            <w:r>
              <w:rPr>
                <w:sz w:val="18"/>
              </w:rPr>
              <w:t xml:space="preserve">GoRules ZEN engine (JDM decision tables) for RE eligibility pre-filters, routing and display rules; versioned per RE and effective-dated</w:t>
            </w:r>
          </w:p>
        </w:tc>
        <w:tc>
          <w:tcPr>
            <w:tcW w:w="2760" w:type="dxa"/>
          </w:tcPr>
          <w:p>
            <w:pPr>
              <w:pStyle w:val="Compact"/>
              <w:spacing w:after="40"/>
              <w:jc w:val="left"/>
            </w:pPr>
            <w:r>
              <w:rPr>
                <w:sz w:val="18"/>
              </w:rPr>
              <w:t xml:space="preserve">Lender-specific configuration without code changes; replayable decisions</w:t>
            </w:r>
          </w:p>
        </w:tc>
      </w:tr>
      <w:tr>
        <w:tc>
          <w:tcPr>
            <w:tcW w:w="1570" w:type="dxa"/>
          </w:tcPr>
          <w:p>
            <w:pPr>
              <w:pStyle w:val="Compact"/>
              <w:spacing w:after="40"/>
              <w:jc w:val="left"/>
            </w:pPr>
            <w:r>
              <w:rPr>
                <w:sz w:val="18"/>
              </w:rPr>
              <w:t xml:space="preserve">Events</w:t>
            </w:r>
          </w:p>
        </w:tc>
        <w:tc>
          <w:tcPr>
            <w:tcW w:w="5308" w:type="dxa"/>
          </w:tcPr>
          <w:p>
            <w:pPr>
              <w:pStyle w:val="Compact"/>
              <w:spacing w:after="40"/>
              <w:jc w:val="left"/>
            </w:pPr>
            <w:r>
              <w:rPr>
                <w:sz w:val="18"/>
              </w:rPr>
              <w:t xml:space="preserve">Transactional outbox → Postgres queue or Redis Streams; Amazon MSK or Redpanda later</w:t>
            </w:r>
          </w:p>
        </w:tc>
        <w:tc>
          <w:tcPr>
            <w:tcW w:w="2760" w:type="dxa"/>
          </w:tcPr>
          <w:p>
            <w:pPr>
              <w:pStyle w:val="Compact"/>
              <w:spacing w:after="40"/>
              <w:jc w:val="left"/>
            </w:pPr>
            <w:r>
              <w:rPr>
                <w:sz w:val="18"/>
              </w:rPr>
              <w:t xml:space="preserve">Reliable lender-connector events</w:t>
            </w:r>
          </w:p>
        </w:tc>
      </w:tr>
      <w:tr>
        <w:tc>
          <w:tcPr>
            <w:tcW w:w="1570" w:type="dxa"/>
          </w:tcPr>
          <w:p>
            <w:pPr>
              <w:pStyle w:val="Compact"/>
              <w:spacing w:after="40"/>
              <w:jc w:val="left"/>
            </w:pPr>
            <w:r>
              <w:rPr>
                <w:sz w:val="18"/>
              </w:rPr>
              <w:t xml:space="preserve">Authentication</w:t>
            </w:r>
          </w:p>
        </w:tc>
        <w:tc>
          <w:tcPr>
            <w:tcW w:w="5308" w:type="dxa"/>
          </w:tcPr>
          <w:p>
            <w:pPr>
              <w:pStyle w:val="Compact"/>
              <w:spacing w:after="40"/>
              <w:jc w:val="left"/>
            </w:pPr>
            <w:r>
              <w:rPr>
                <w:sz w:val="18"/>
              </w:rPr>
              <w:t xml:space="preserve">Borrowers: mobile OTP + device binding + app PIN/biometric unlock; Supabase Auth now, behind an OIDC abstraction (Keycloak or Cognito later). Staff and RE users: SSO/SAML/OIDC with mandatory MFA</w:t>
            </w:r>
          </w:p>
        </w:tc>
        <w:tc>
          <w:tcPr>
            <w:tcW w:w="2760" w:type="dxa"/>
          </w:tcPr>
          <w:p>
            <w:pPr>
              <w:pStyle w:val="Compact"/>
              <w:spacing w:after="40"/>
              <w:jc w:val="left"/>
            </w:pPr>
            <w:r>
              <w:rPr>
                <w:sz w:val="18"/>
              </w:rPr>
              <w:t xml:space="preserve">Portability; strong staff authentication</w:t>
            </w:r>
          </w:p>
        </w:tc>
      </w:tr>
      <w:tr>
        <w:tc>
          <w:tcPr>
            <w:tcW w:w="1570" w:type="dxa"/>
          </w:tcPr>
          <w:p>
            <w:pPr>
              <w:pStyle w:val="Compact"/>
              <w:spacing w:after="40"/>
              <w:jc w:val="left"/>
            </w:pPr>
            <w:r>
              <w:rPr>
                <w:sz w:val="18"/>
              </w:rPr>
              <w:t xml:space="preserve">Authorisation</w:t>
            </w:r>
          </w:p>
        </w:tc>
        <w:tc>
          <w:tcPr>
            <w:tcW w:w="5308" w:type="dxa"/>
          </w:tcPr>
          <w:p>
            <w:pPr>
              <w:pStyle w:val="Compact"/>
              <w:spacing w:after="40"/>
              <w:jc w:val="left"/>
            </w:pPr>
            <w:r>
              <w:rPr>
                <w:sz w:val="18"/>
              </w:rPr>
              <w:t xml:space="preserve">Server-side policy layer (RBAC + ABAC; Cedar or OpenFGA) plus Postgres RLS by RE tenant, product and role</w:t>
            </w:r>
          </w:p>
        </w:tc>
        <w:tc>
          <w:tcPr>
            <w:tcW w:w="2760" w:type="dxa"/>
          </w:tcPr>
          <w:p>
            <w:pPr>
              <w:pStyle w:val="Compact"/>
              <w:spacing w:after="40"/>
              <w:jc w:val="left"/>
            </w:pPr>
            <w:r>
              <w:rPr>
                <w:sz w:val="18"/>
              </w:rPr>
              <w:t xml:space="preserve">Supabase is never the only security boundary</w:t>
            </w:r>
          </w:p>
        </w:tc>
      </w:tr>
      <w:tr>
        <w:tc>
          <w:tcPr>
            <w:tcW w:w="1570" w:type="dxa"/>
          </w:tcPr>
          <w:p>
            <w:pPr>
              <w:pStyle w:val="Compact"/>
              <w:spacing w:after="40"/>
              <w:jc w:val="left"/>
            </w:pPr>
            <w:r>
              <w:rPr>
                <w:sz w:val="18"/>
              </w:rPr>
              <w:t xml:space="preserve">Documents</w:t>
            </w:r>
          </w:p>
        </w:tc>
        <w:tc>
          <w:tcPr>
            <w:tcW w:w="5308" w:type="dxa"/>
          </w:tcPr>
          <w:p>
            <w:pPr>
              <w:pStyle w:val="Compact"/>
              <w:spacing w:after="40"/>
              <w:jc w:val="left"/>
            </w:pPr>
            <w:r>
              <w:rPr>
                <w:sz w:val="18"/>
              </w:rPr>
              <w:t xml:space="preserve">S3-compatible private storage in India (Supabase Storage ap-south-1 → Amazon S3); per-RE keys by application-level envelope encryption under AWS KMS ap-south-1 (Supabase Storage offers no per-tenant customer-managed keys), then SSE-KMS per RE on S3; signed short-lived URLs; Gotenberg for PDF</w:t>
            </w:r>
          </w:p>
        </w:tc>
        <w:tc>
          <w:tcPr>
            <w:tcW w:w="2760" w:type="dxa"/>
          </w:tcPr>
          <w:p>
            <w:pPr>
              <w:pStyle w:val="Compact"/>
              <w:spacing w:after="40"/>
              <w:jc w:val="left"/>
            </w:pPr>
            <w:r>
              <w:rPr>
                <w:sz w:val="18"/>
              </w:rPr>
              <w:t xml:space="preserve">KFS, agreements, signed documents</w:t>
            </w:r>
          </w:p>
        </w:tc>
      </w:tr>
      <w:tr>
        <w:tc>
          <w:tcPr>
            <w:tcW w:w="1570" w:type="dxa"/>
          </w:tcPr>
          <w:p>
            <w:pPr>
              <w:pStyle w:val="Compact"/>
              <w:spacing w:after="40"/>
              <w:jc w:val="left"/>
            </w:pPr>
            <w:r>
              <w:rPr>
                <w:sz w:val="18"/>
              </w:rPr>
              <w:t xml:space="preserve">Search</w:t>
            </w:r>
          </w:p>
        </w:tc>
        <w:tc>
          <w:tcPr>
            <w:tcW w:w="5308" w:type="dxa"/>
          </w:tcPr>
          <w:p>
            <w:pPr>
              <w:pStyle w:val="Compact"/>
              <w:spacing w:after="40"/>
              <w:jc w:val="left"/>
            </w:pPr>
            <w:r>
              <w:rPr>
                <w:sz w:val="18"/>
              </w:rPr>
              <w:t xml:space="preserve">PostgreSQL FTS + pg_trgm</w:t>
            </w:r>
          </w:p>
        </w:tc>
        <w:tc>
          <w:tcPr>
            <w:tcW w:w="2760" w:type="dxa"/>
          </w:tcPr>
          <w:p>
            <w:pPr>
              <w:pStyle w:val="Compact"/>
              <w:spacing w:after="40"/>
              <w:jc w:val="left"/>
            </w:pPr>
            <w:r>
              <w:rPr>
                <w:sz w:val="18"/>
              </w:rPr>
              <w:t xml:space="preserve">Ops and lender queues</w:t>
            </w:r>
          </w:p>
        </w:tc>
      </w:tr>
      <w:tr>
        <w:tc>
          <w:tcPr>
            <w:tcW w:w="1570" w:type="dxa"/>
          </w:tcPr>
          <w:p>
            <w:pPr>
              <w:pStyle w:val="Compact"/>
              <w:spacing w:after="40"/>
              <w:jc w:val="left"/>
            </w:pPr>
            <w:r>
              <w:rPr>
                <w:sz w:val="18"/>
              </w:rPr>
              <w:t xml:space="preserve">Reporting</w:t>
            </w:r>
          </w:p>
        </w:tc>
        <w:tc>
          <w:tcPr>
            <w:tcW w:w="5308" w:type="dxa"/>
          </w:tcPr>
          <w:p>
            <w:pPr>
              <w:pStyle w:val="Compact"/>
              <w:spacing w:after="40"/>
              <w:jc w:val="left"/>
            </w:pPr>
            <w:r>
              <w:rPr>
                <w:sz w:val="18"/>
              </w:rPr>
              <w:t xml:space="preserve">Regulatory and lender reports in code; Apache Superset with row-level security for lender dashboards</w:t>
            </w:r>
          </w:p>
        </w:tc>
        <w:tc>
          <w:tcPr>
            <w:tcW w:w="2760" w:type="dxa"/>
          </w:tcPr>
          <w:p>
            <w:pPr>
              <w:pStyle w:val="Compact"/>
              <w:spacing w:after="40"/>
              <w:jc w:val="left"/>
            </w:pPr>
            <w:r>
              <w:rPr>
                <w:sz w:val="18"/>
              </w:rPr>
              <w:t xml:space="preserve">Per-RE isolation</w:t>
            </w:r>
          </w:p>
        </w:tc>
      </w:tr>
      <w:tr>
        <w:tc>
          <w:tcPr>
            <w:tcW w:w="1570" w:type="dxa"/>
          </w:tcPr>
          <w:p>
            <w:pPr>
              <w:pStyle w:val="Compact"/>
              <w:spacing w:after="40"/>
              <w:jc w:val="left"/>
            </w:pPr>
            <w:r>
              <w:rPr>
                <w:sz w:val="18"/>
              </w:rPr>
              <w:t xml:space="preserve">Observability</w:t>
            </w:r>
          </w:p>
        </w:tc>
        <w:tc>
          <w:tcPr>
            <w:tcW w:w="5308" w:type="dxa"/>
          </w:tcPr>
          <w:p>
            <w:pPr>
              <w:pStyle w:val="Compact"/>
              <w:spacing w:after="40"/>
              <w:jc w:val="left"/>
            </w:pPr>
            <w:r>
              <w:rPr>
                <w:sz w:val="18"/>
              </w:rPr>
              <w:t xml:space="preserve">OpenTelemetry → Grafana stack self-hosted in India; Sentry self-hosted (or SaaS with no PII after ADR); mobile crash reporting with PII scrubbing</w:t>
            </w:r>
          </w:p>
        </w:tc>
        <w:tc>
          <w:tcPr>
            <w:tcW w:w="2760" w:type="dxa"/>
          </w:tcPr>
          <w:p>
            <w:pPr>
              <w:pStyle w:val="Compact"/>
              <w:spacing w:after="40"/>
              <w:jc w:val="left"/>
            </w:pPr>
            <w:r>
              <w:rPr>
                <w:sz w:val="18"/>
              </w:rPr>
              <w:t xml:space="preserve">Production support; CERT-In 180-day log retention in India</w:t>
            </w:r>
          </w:p>
        </w:tc>
      </w:tr>
      <w:tr>
        <w:tc>
          <w:tcPr>
            <w:tcW w:w="1570" w:type="dxa"/>
          </w:tcPr>
          <w:p>
            <w:pPr>
              <w:pStyle w:val="Compact"/>
              <w:spacing w:after="40"/>
              <w:jc w:val="left"/>
            </w:pPr>
            <w:r>
              <w:rPr>
                <w:sz w:val="18"/>
              </w:rPr>
              <w:t xml:space="preserve">Infrastructure</w:t>
            </w:r>
          </w:p>
        </w:tc>
        <w:tc>
          <w:tcPr>
            <w:tcW w:w="5308" w:type="dxa"/>
          </w:tcPr>
          <w:p>
            <w:pPr>
              <w:pStyle w:val="Compact"/>
              <w:spacing w:after="40"/>
              <w:jc w:val="left"/>
            </w:pPr>
            <w:r>
              <w:rPr>
                <w:sz w:val="18"/>
              </w:rPr>
              <w:t xml:space="preserve">Docker.</w:t>
            </w:r>
            <w:r>
              <w:rPr>
                <w:sz w:val="18"/>
              </w:rPr>
              <w:t xml:space="preserve"> </w:t>
            </w:r>
            <w:r>
              <w:rPr>
                <w:bCs/>
                <w:b/>
                <w:sz w:val="18"/>
              </w:rPr>
              <w:t xml:space="preserve">Development and staging with synthetic data only:</w:t>
            </w:r>
            <w:r>
              <w:rPr>
                <w:sz w:val="18"/>
              </w:rPr>
              <w:t xml:space="preserve"> </w:t>
            </w:r>
            <w:r>
              <w:rPr>
                <w:sz w:val="18"/>
              </w:rPr>
              <w:t xml:space="preserve">Railway (no India region) + Supabase.</w:t>
            </w:r>
            <w:r>
              <w:rPr>
                <w:sz w:val="18"/>
              </w:rPr>
              <w:t xml:space="preserve"> </w:t>
            </w:r>
            <w:r>
              <w:rPr>
                <w:bCs/>
                <w:b/>
                <w:sz w:val="18"/>
              </w:rPr>
              <w:t xml:space="preserve">Any environment with real borrower data:</w:t>
            </w:r>
            <w:r>
              <w:rPr>
                <w:sz w:val="18"/>
              </w:rPr>
              <w:t xml:space="preserve"> </w:t>
            </w:r>
            <w:r>
              <w:rPr>
                <w:sz w:val="18"/>
              </w:rPr>
              <w:t xml:space="preserve">India-region only — Supabase ap-south-1 with India-region compute, or AWS ap-south-1 (primary) and ap-south-2 (DR) on ECS/EKS; OpenTofu/Terraform; KMS/CloudHSM; Secrets Manager; WAF and DDoS protection</w:t>
            </w:r>
          </w:p>
        </w:tc>
        <w:tc>
          <w:tcPr>
            <w:tcW w:w="2760" w:type="dxa"/>
          </w:tcPr>
          <w:p>
            <w:pPr>
              <w:pStyle w:val="Compact"/>
              <w:spacing w:after="40"/>
              <w:jc w:val="left"/>
            </w:pPr>
            <w:r>
              <w:rPr>
                <w:sz w:val="18"/>
              </w:rPr>
              <w:t xml:space="preserve">Data localisation (CF para 14(4)); portability</w:t>
            </w:r>
          </w:p>
        </w:tc>
      </w:tr>
      <w:tr>
        <w:tc>
          <w:tcPr>
            <w:tcW w:w="1570" w:type="dxa"/>
          </w:tcPr>
          <w:p>
            <w:pPr>
              <w:pStyle w:val="Compact"/>
              <w:spacing w:after="40"/>
              <w:jc w:val="left"/>
            </w:pPr>
            <w:r>
              <w:rPr>
                <w:sz w:val="18"/>
              </w:rPr>
              <w:t xml:space="preserve">Testing</w:t>
            </w:r>
          </w:p>
        </w:tc>
        <w:tc>
          <w:tcPr>
            <w:tcW w:w="5308" w:type="dxa"/>
          </w:tcPr>
          <w:p>
            <w:pPr>
              <w:pStyle w:val="Compact"/>
              <w:spacing w:after="40"/>
              <w:jc w:val="left"/>
            </w:pPr>
            <w:r>
              <w:rPr>
                <w:sz w:val="18"/>
              </w:rPr>
              <w:t xml:space="preserve">Vitest/Jest; Testcontainers; Playwright (web E2E); Maestro or Detox (mobile E2E on real low-end Android devices); Pact (contract tests with Finbyx and LMS connectors); k6 (load); OWASP ZAP, Semgrep/CodeQL, MobSF (mobile static and dynamic)</w:t>
            </w:r>
          </w:p>
        </w:tc>
        <w:tc>
          <w:tcPr>
            <w:tcW w:w="2760" w:type="dxa"/>
          </w:tcPr>
          <w:p>
            <w:pPr>
              <w:pStyle w:val="Compact"/>
              <w:spacing w:after="40"/>
              <w:jc w:val="left"/>
            </w:pPr>
            <w:r>
              <w:rPr>
                <w:sz w:val="18"/>
              </w:rPr>
              <w:t xml:space="preserve">Release gates</w:t>
            </w:r>
          </w:p>
        </w:tc>
      </w:tr>
      <w:tr>
        <w:tc>
          <w:tcPr>
            <w:tcW w:w="1570" w:type="dxa"/>
          </w:tcPr>
          <w:p>
            <w:pPr>
              <w:pStyle w:val="Compact"/>
              <w:spacing w:after="40"/>
              <w:jc w:val="left"/>
            </w:pPr>
            <w:r>
              <w:rPr>
                <w:sz w:val="18"/>
              </w:rPr>
              <w:t xml:space="preserve">Mobile security baseline</w:t>
            </w:r>
          </w:p>
        </w:tc>
        <w:tc>
          <w:tcPr>
            <w:tcW w:w="5308" w:type="dxa"/>
          </w:tcPr>
          <w:p>
            <w:pPr>
              <w:pStyle w:val="Compact"/>
              <w:spacing w:after="40"/>
              <w:jc w:val="left"/>
            </w:pPr>
            <w:r>
              <w:rPr>
                <w:sz w:val="18"/>
              </w:rPr>
              <w:t xml:space="preserve">OWASP MASVS v2.1.0 controls tested with MASTG v2.0.0 (30 Jun 2026) under the MAS-L2 and MAS-R testing profiles (MASVS v2 has no levels), with MASWE v1.0.0 weakness IDs</w:t>
            </w:r>
          </w:p>
        </w:tc>
        <w:tc>
          <w:tcPr>
            <w:tcW w:w="2760" w:type="dxa"/>
          </w:tcPr>
          <w:p>
            <w:pPr>
              <w:pStyle w:val="Compact"/>
              <w:spacing w:after="40"/>
              <w:jc w:val="left"/>
            </w:pPr>
            <w:r>
              <w:rPr>
                <w:sz w:val="18"/>
              </w:rPr>
              <w:t xml:space="preserve">Recognised, testable mobile standard</w:t>
            </w:r>
          </w:p>
        </w:tc>
      </w:tr>
      <w:tr>
        <w:tc>
          <w:tcPr>
            <w:tcW w:w="1570" w:type="dxa"/>
          </w:tcPr>
          <w:p>
            <w:pPr>
              <w:pStyle w:val="Compact"/>
              <w:spacing w:after="40"/>
              <w:jc w:val="left"/>
            </w:pPr>
            <w:r>
              <w:rPr>
                <w:sz w:val="18"/>
              </w:rPr>
              <w:t xml:space="preserve">Field app (later)</w:t>
            </w:r>
          </w:p>
        </w:tc>
        <w:tc>
          <w:tcPr>
            <w:tcW w:w="5308" w:type="dxa"/>
          </w:tcPr>
          <w:p>
            <w:pPr>
              <w:pStyle w:val="Compact"/>
              <w:spacing w:after="40"/>
              <w:jc w:val="left"/>
            </w:pPr>
            <w:r>
              <w:rPr>
                <w:sz w:val="18"/>
              </w:rPr>
              <w:t xml:space="preserve">Same Expo codebase as a separate app target with its own bundle ID and MDM distribution</w:t>
            </w:r>
          </w:p>
        </w:tc>
        <w:tc>
          <w:tcPr>
            <w:tcW w:w="2760" w:type="dxa"/>
          </w:tcPr>
          <w:p>
            <w:pPr>
              <w:pStyle w:val="Compact"/>
              <w:spacing w:after="40"/>
              <w:jc w:val="left"/>
            </w:pPr>
            <w:r>
              <w:rPr>
                <w:sz w:val="18"/>
              </w:rPr>
              <w:t xml:space="preserve">Assisted onboarding and collections, Phase 20</w:t>
            </w:r>
          </w:p>
        </w:tc>
      </w:tr>
    </w:tbl>
    <w:bookmarkEnd w:id="477"/>
    <w:bookmarkStart w:id="478" w:name="architecture-principles"/>
    <w:p>
      <w:pPr>
        <w:pStyle w:val="Heading2"/>
      </w:pPr>
      <w:r>
        <w:t xml:space="preserve">10.2 Architecture principles</w:t>
      </w:r>
    </w:p>
    <w:p>
      <w:pPr>
        <w:pStyle w:val="FirstParagraph"/>
      </w:pPr>
      <w:r>
        <w:t xml:space="preserve">These are mandatory. Principles 1–17 come from the original Udofin prompt; 18–35 are added for an LSP serving many REs.</w:t>
      </w:r>
    </w:p>
    <w:p>
      <w:pPr>
        <w:numPr>
          <w:ilvl w:val="0"/>
          <w:numId w:val="1447"/>
        </w:numPr>
        <w:pStyle w:val="Compact"/>
      </w:pPr>
      <w:r>
        <w:t xml:space="preserve">Use a modular architecture with explicit domain boundaries (U1–U25). Start with a modular monolith, not microservices.</w:t>
      </w:r>
    </w:p>
    <w:p>
      <w:pPr>
        <w:numPr>
          <w:ilvl w:val="0"/>
          <w:numId w:val="1447"/>
        </w:numPr>
        <w:pStyle w:val="Compact"/>
      </w:pPr>
      <w:r>
        <w:t xml:space="preserve">Define an owner for every important data entity, and record whether the RE or Udofin is the system of record (Finbyx Part 5.1).</w:t>
      </w:r>
    </w:p>
    <w:p>
      <w:pPr>
        <w:numPr>
          <w:ilvl w:val="0"/>
          <w:numId w:val="1447"/>
        </w:numPr>
        <w:pStyle w:val="Compact"/>
      </w:pPr>
      <w:r>
        <w:t xml:space="preserve">Enforce RE-tenant isolation in the API, the service layer and the database (RLS), and test it. Borrowers see only their own data; lender users see only their RE’s data.</w:t>
      </w:r>
    </w:p>
    <w:p>
      <w:pPr>
        <w:numPr>
          <w:ilvl w:val="0"/>
          <w:numId w:val="1447"/>
        </w:numPr>
        <w:pStyle w:val="Compact"/>
      </w:pPr>
      <w:r>
        <w:t xml:space="preserve">Apply least-privilege access control.</w:t>
      </w:r>
    </w:p>
    <w:p>
      <w:pPr>
        <w:numPr>
          <w:ilvl w:val="0"/>
          <w:numId w:val="1447"/>
        </w:numPr>
        <w:pStyle w:val="Compact"/>
      </w:pPr>
      <w:r>
        <w:t xml:space="preserve">Validate all sensitive operations on trusted backend services. The mobile app and the browser never hold privileged keys, never compute eligibility, routing, pricing or DLG, and never decide anything.</w:t>
      </w:r>
    </w:p>
    <w:p>
      <w:pPr>
        <w:numPr>
          <w:ilvl w:val="0"/>
          <w:numId w:val="1447"/>
        </w:numPr>
        <w:pStyle w:val="Compact"/>
      </w:pPr>
      <w:r>
        <w:t xml:space="preserve">Use database transactions for operations that must be atomic.</w:t>
      </w:r>
    </w:p>
    <w:p>
      <w:pPr>
        <w:numPr>
          <w:ilvl w:val="0"/>
          <w:numId w:val="1447"/>
        </w:numPr>
        <w:pStyle w:val="Compact"/>
      </w:pPr>
      <w:r>
        <w:t xml:space="preserve">Make every external side effect idempotent and safely retryable (idempotency keys stored and enforced).</w:t>
      </w:r>
    </w:p>
    <w:p>
      <w:pPr>
        <w:numPr>
          <w:ilvl w:val="0"/>
          <w:numId w:val="1447"/>
        </w:numPr>
        <w:pStyle w:val="Compact"/>
      </w:pPr>
      <w:r>
        <w:t xml:space="preserve">Keep traceable state transitions for applications, offers, KFS versions, signing, disbursement status, mandates, payments, grievances and DLG. An application must not move to</w:t>
      </w:r>
      <w:r>
        <w:t xml:space="preserve"> </w:t>
      </w:r>
      <w:r>
        <w:t xml:space="preserve">“</w:t>
      </w:r>
      <w:r>
        <w:t xml:space="preserve">disbursed</w:t>
      </w:r>
      <w:r>
        <w:t xml:space="preserve">”</w:t>
      </w:r>
      <w:r>
        <w:t xml:space="preserve"> </w:t>
      </w:r>
      <w:r>
        <w:t xml:space="preserve">because the RE sanctioned it; only the RE’s</w:t>
      </w:r>
      <w:r>
        <w:t xml:space="preserve"> </w:t>
      </w:r>
      <w:r>
        <w:rPr>
          <w:rStyle w:val="VerbatimChar"/>
        </w:rPr>
        <w:t xml:space="preserve">LoanDisbursed</w:t>
      </w:r>
      <w:r>
        <w:t xml:space="preserve"> </w:t>
      </w:r>
      <w:r>
        <w:t xml:space="preserve">event with a UTR moves it.</w:t>
      </w:r>
    </w:p>
    <w:p>
      <w:pPr>
        <w:numPr>
          <w:ilvl w:val="0"/>
          <w:numId w:val="1447"/>
        </w:numPr>
        <w:pStyle w:val="Compact"/>
      </w:pPr>
      <w:r>
        <w:t xml:space="preserve">Record critical operations as immutable, hash-chained audit events.</w:t>
      </w:r>
    </w:p>
    <w:p>
      <w:pPr>
        <w:numPr>
          <w:ilvl w:val="0"/>
          <w:numId w:val="1447"/>
        </w:numPr>
        <w:pStyle w:val="Compact"/>
      </w:pPr>
      <w:r>
        <w:t xml:space="preserve">Keep configuration separate from code.</w:t>
      </w:r>
    </w:p>
    <w:p>
      <w:pPr>
        <w:numPr>
          <w:ilvl w:val="0"/>
          <w:numId w:val="1447"/>
        </w:numPr>
        <w:pStyle w:val="Compact"/>
      </w:pPr>
      <w:r>
        <w:t xml:space="preserve">Keep secrets outside source control.</w:t>
      </w:r>
    </w:p>
    <w:p>
      <w:pPr>
        <w:numPr>
          <w:ilvl w:val="0"/>
          <w:numId w:val="1447"/>
        </w:numPr>
        <w:pStyle w:val="Compact"/>
      </w:pPr>
      <w:r>
        <w:t xml:space="preserve">Keep migrations versioned and reviewed for locking, data loss, backward compatibility and rollback or forward recovery.</w:t>
      </w:r>
    </w:p>
    <w:p>
      <w:pPr>
        <w:numPr>
          <w:ilvl w:val="0"/>
          <w:numId w:val="1447"/>
        </w:numPr>
        <w:pStyle w:val="Compact"/>
      </w:pPr>
      <w:r>
        <w:t xml:space="preserve">Use asynchronous processing for long-running tasks.</w:t>
      </w:r>
    </w:p>
    <w:p>
      <w:pPr>
        <w:numPr>
          <w:ilvl w:val="0"/>
          <w:numId w:val="1447"/>
        </w:numPr>
        <w:pStyle w:val="Compact"/>
      </w:pPr>
      <w:r>
        <w:t xml:space="preserve">Implement structured logging, monitoring, error handling and alerting with</w:t>
      </w:r>
      <w:r>
        <w:t xml:space="preserve"> </w:t>
      </w:r>
      <w:r>
        <w:rPr>
          <w:bCs/>
          <w:b/>
        </w:rPr>
        <w:t xml:space="preserve">no Aadhaar number, PAN, OTP, account number, bureau data, document image or other sensitive personal data in logs, analytics events, crash reports or push payloads.</w:t>
      </w:r>
    </w:p>
    <w:p>
      <w:pPr>
        <w:numPr>
          <w:ilvl w:val="0"/>
          <w:numId w:val="1447"/>
        </w:numPr>
        <w:pStyle w:val="Compact"/>
      </w:pPr>
      <w:r>
        <w:t xml:space="preserve">Document API contracts, data models and material decisions (ADRs).</w:t>
      </w:r>
    </w:p>
    <w:p>
      <w:pPr>
        <w:numPr>
          <w:ilvl w:val="0"/>
          <w:numId w:val="1447"/>
        </w:numPr>
        <w:pStyle w:val="Compact"/>
      </w:pPr>
      <w:r>
        <w:t xml:space="preserve">Avoid unnecessary duplication between app, web and backend: one journey definition, one validation schema, one copy deck.</w:t>
      </w:r>
    </w:p>
    <w:p>
      <w:pPr>
        <w:numPr>
          <w:ilvl w:val="0"/>
          <w:numId w:val="1447"/>
        </w:numPr>
        <w:pStyle w:val="Compact"/>
      </w:pPr>
      <w:r>
        <w:t xml:space="preserve">Build reusable components only when their behaviour is clear.</w:t>
      </w:r>
    </w:p>
    <w:p>
      <w:pPr>
        <w:numPr>
          <w:ilvl w:val="0"/>
          <w:numId w:val="1447"/>
        </w:numPr>
        <w:pStyle w:val="Compact"/>
      </w:pPr>
      <w:r>
        <w:rPr>
          <w:bCs/>
          <w:b/>
        </w:rPr>
        <w:t xml:space="preserve">Udofin never lends and never touches money.</w:t>
      </w:r>
      <w:r>
        <w:t xml:space="preserve"> </w:t>
      </w:r>
      <w:r>
        <w:t xml:space="preserve">No Udofin bank account, wallet, virtual account or merchant account sits in any disbursement or repayment flow (CF para 10). Configuration that routes funds otherwise is rejected by a platform guard-rail that no RE or admin can switch off.</w:t>
      </w:r>
    </w:p>
    <w:p>
      <w:pPr>
        <w:numPr>
          <w:ilvl w:val="0"/>
          <w:numId w:val="1447"/>
        </w:numPr>
        <w:pStyle w:val="Compact"/>
      </w:pPr>
      <w:r>
        <w:rPr>
          <w:bCs/>
          <w:b/>
        </w:rPr>
        <w:t xml:space="preserve">The RE decides.</w:t>
      </w:r>
      <w:r>
        <w:t xml:space="preserve"> </w:t>
      </w:r>
      <w:r>
        <w:t xml:space="preserve">KYC compliance, credit decision, sanction, pricing, KFS, disbursement, classification, CIC reporting and grievance closure are RE decisions (OUT para 15; KYC para 13; CF para 12(3)). Udofin may pre-filter only on the RE’s approved, versioned rules and must label every outcome with the RE rule version that produced it.</w:t>
      </w:r>
    </w:p>
    <w:p>
      <w:pPr>
        <w:numPr>
          <w:ilvl w:val="0"/>
          <w:numId w:val="1447"/>
        </w:numPr>
        <w:pStyle w:val="Compact"/>
      </w:pPr>
      <w:r>
        <w:rPr>
          <w:bCs/>
          <w:b/>
        </w:rPr>
        <w:t xml:space="preserve">Minimal LSP storage.</w:t>
      </w:r>
      <w:r>
        <w:t xml:space="preserve"> </w:t>
      </w:r>
      <w:r>
        <w:t xml:space="preserve">Udofin stores only the basic minimal data needed for its operations within the RE–LSP agreement (CF para 14(1)). Everything else (KYC documents, bureau reports, bank statements) lives in an</w:t>
      </w:r>
      <w:r>
        <w:t xml:space="preserve"> </w:t>
      </w:r>
      <w:r>
        <w:rPr>
          <w:bCs/>
          <w:b/>
        </w:rPr>
        <w:t xml:space="preserve">RE-scoped vault</w:t>
      </w:r>
      <w:r>
        <w:t xml:space="preserve">: per-RE encryption keys (RE-controlled where the RE requires it, OUT para 97(vii)(b)), retention set by the RE’s policy, purge after hand-off when the agreement says so, and every access logged and visible to the RE.</w:t>
      </w:r>
    </w:p>
    <w:p>
      <w:pPr>
        <w:numPr>
          <w:ilvl w:val="0"/>
          <w:numId w:val="1447"/>
        </w:numPr>
        <w:pStyle w:val="Compact"/>
      </w:pPr>
      <w:r>
        <w:rPr>
          <w:bCs/>
          <w:b/>
        </w:rPr>
        <w:t xml:space="preserve">Consent before data.</w:t>
      </w:r>
      <w:r>
        <w:t xml:space="preserve"> </w:t>
      </w:r>
      <w:r>
        <w:t xml:space="preserve">No data is collected or shared without a consent record naming the purpose, the RE(s) and the exact notice version (CF para 13; DPDP s.6). Purpose is disclosed at each stage (CF para 13(3)).</w:t>
      </w:r>
    </w:p>
    <w:p>
      <w:pPr>
        <w:numPr>
          <w:ilvl w:val="0"/>
          <w:numId w:val="1447"/>
        </w:numPr>
        <w:pStyle w:val="Compact"/>
      </w:pPr>
      <w:r>
        <w:rPr>
          <w:bCs/>
          <w:b/>
        </w:rPr>
        <w:t xml:space="preserve">Minimal device permissions.</w:t>
      </w:r>
      <w:r>
        <w:t xml:space="preserve"> </w:t>
      </w:r>
      <w:r>
        <w:t xml:space="preserve">Never request contacts, call logs, SMS, telephony, files or media, or installed-app lists (CF para 13(1); Play prohibited list). Camera and microphone only at the KYC step, one-time, with explicit consent. Location: coarse only, one-time, at onboarding; precise GPS only inside the RE’s V-CIP session (10.3).</w:t>
      </w:r>
    </w:p>
    <w:p>
      <w:pPr>
        <w:numPr>
          <w:ilvl w:val="0"/>
          <w:numId w:val="1447"/>
        </w:numPr>
        <w:pStyle w:val="Compact"/>
      </w:pPr>
      <w:r>
        <w:rPr>
          <w:bCs/>
          <w:b/>
        </w:rPr>
        <w:t xml:space="preserve">Data in India.</w:t>
      </w:r>
      <w:r>
        <w:t xml:space="preserve"> </w:t>
      </w:r>
      <w:r>
        <w:t xml:space="preserve">All production data, backups, logs and sub-processors in India; data processed abroad deleted there and brought back within 24 hours (CF para 14(4)). No biometric data stored (CF para 14(3)).</w:t>
      </w:r>
    </w:p>
    <w:p>
      <w:pPr>
        <w:numPr>
          <w:ilvl w:val="0"/>
          <w:numId w:val="1447"/>
        </w:numPr>
        <w:pStyle w:val="Compact"/>
      </w:pPr>
      <w:r>
        <w:rPr>
          <w:bCs/>
          <w:b/>
        </w:rPr>
        <w:t xml:space="preserve">Lender neutrality.</w:t>
      </w:r>
      <w:r>
        <w:t xml:space="preserve"> </w:t>
      </w:r>
      <w:r>
        <w:t xml:space="preserve">The multi-lender offer view is driven by documented, versioned matching rules applied consistently to similarly placed borrowers; ranking only by a publicly pre-disclosed metric; unmatched lenders disclosed; no dark patterns (CF para 7).</w:t>
      </w:r>
    </w:p>
    <w:p>
      <w:pPr>
        <w:numPr>
          <w:ilvl w:val="0"/>
          <w:numId w:val="1447"/>
        </w:numPr>
        <w:pStyle w:val="Compact"/>
      </w:pPr>
      <w:r>
        <w:rPr>
          <w:bCs/>
          <w:b/>
        </w:rPr>
        <w:t xml:space="preserve">Regulation as configuration.</w:t>
      </w:r>
      <w:r>
        <w:t xml:space="preserve"> </w:t>
      </w:r>
      <w:r>
        <w:t xml:space="preserve">Cooling-off days, KFS validity, contact windows, DLG caps, microfinance thresholds, app-store APR and tenor limits live in versioned, effective-dated rule packs with platform guard-rails that an RE configuration can tighten but never loosen.</w:t>
      </w:r>
    </w:p>
    <w:p>
      <w:pPr>
        <w:numPr>
          <w:ilvl w:val="0"/>
          <w:numId w:val="1447"/>
        </w:numPr>
        <w:pStyle w:val="Compact"/>
      </w:pPr>
      <w:r>
        <w:rPr>
          <w:bCs/>
          <w:b/>
        </w:rPr>
        <w:t xml:space="preserve">Explainability.</w:t>
      </w:r>
      <w:r>
        <w:t xml:space="preserve"> </w:t>
      </w:r>
      <w:r>
        <w:t xml:space="preserve">Every pre-filter, routing decision and offer display stores inputs, rule version and output.</w:t>
      </w:r>
    </w:p>
    <w:p>
      <w:pPr>
        <w:numPr>
          <w:ilvl w:val="0"/>
          <w:numId w:val="1447"/>
        </w:numPr>
        <w:pStyle w:val="Compact"/>
      </w:pPr>
      <w:r>
        <w:rPr>
          <w:bCs/>
          <w:b/>
        </w:rPr>
        <w:t xml:space="preserve">Maker-checker</w:t>
      </w:r>
      <w:r>
        <w:t xml:space="preserve"> </w:t>
      </w:r>
      <w:r>
        <w:t xml:space="preserve">on every configurable sensitive action (RE onboarding, product publication, routing rules, DLG arrangements, credential changes, bulk exports).</w:t>
      </w:r>
    </w:p>
    <w:p>
      <w:pPr>
        <w:numPr>
          <w:ilvl w:val="0"/>
          <w:numId w:val="1447"/>
        </w:numPr>
        <w:pStyle w:val="Compact"/>
      </w:pPr>
      <w:r>
        <w:rPr>
          <w:bCs/>
          <w:b/>
        </w:rPr>
        <w:t xml:space="preserve">Loan mirror is read-only.</w:t>
      </w:r>
      <w:r>
        <w:t xml:space="preserve"> </w:t>
      </w:r>
      <w:r>
        <w:t xml:space="preserve">The RE’s LMS is authoritative for schedules, balances, DPD and classification. The mirror is fed only by RE events and reconciled daily; it never computes a balance the borrower could rely on without showing the RE as source and the as-of time.</w:t>
      </w:r>
    </w:p>
    <w:p>
      <w:pPr>
        <w:numPr>
          <w:ilvl w:val="0"/>
          <w:numId w:val="1447"/>
        </w:numPr>
        <w:pStyle w:val="Compact"/>
      </w:pPr>
      <w:r>
        <w:rPr>
          <w:bCs/>
          <w:b/>
        </w:rPr>
        <w:t xml:space="preserve">Channel parity without weakening controls.</w:t>
      </w:r>
      <w:r>
        <w:t xml:space="preserve"> </w:t>
      </w:r>
      <w:r>
        <w:t xml:space="preserve">App and web run the same server-side journey. Where the web cannot meet a control (for example device binding or integrity attestation), the web journey applies a compensating control or hands off to the app by QR code or deep link.</w:t>
      </w:r>
    </w:p>
    <w:p>
      <w:pPr>
        <w:numPr>
          <w:ilvl w:val="0"/>
          <w:numId w:val="1447"/>
        </w:numPr>
        <w:pStyle w:val="Compact"/>
      </w:pPr>
      <w:r>
        <w:rPr>
          <w:bCs/>
          <w:b/>
        </w:rPr>
        <w:t xml:space="preserve">Store-policy gating.</w:t>
      </w:r>
      <w:r>
        <w:t xml:space="preserve"> </w:t>
      </w:r>
      <w:r>
        <w:t xml:space="preserve">Products and offers that a store policy prohibits (for example personal loans repayable in full in 60 days or less on Google Play and the App Store, or APR above 36% on the App Store) are filtered server-side by channel, with evidence of the filter in the decision record.</w:t>
      </w:r>
    </w:p>
    <w:p>
      <w:pPr>
        <w:numPr>
          <w:ilvl w:val="0"/>
          <w:numId w:val="1447"/>
        </w:numPr>
        <w:pStyle w:val="Compact"/>
      </w:pPr>
      <w:r>
        <w:rPr>
          <w:bCs/>
          <w:b/>
        </w:rPr>
        <w:t xml:space="preserve">Failure containment.</w:t>
      </w:r>
      <w:r>
        <w:t xml:space="preserve"> </w:t>
      </w:r>
      <w:r>
        <w:t xml:space="preserve">If an RE’s connector is down, Udofin queues and shows the borrower an honest status; if Udofin is down, the RE’s operations continue (Finbyx Part 5.1(5)).</w:t>
      </w:r>
    </w:p>
    <w:p>
      <w:pPr>
        <w:numPr>
          <w:ilvl w:val="0"/>
          <w:numId w:val="1447"/>
        </w:numPr>
        <w:pStyle w:val="Compact"/>
      </w:pPr>
      <w:r>
        <w:rPr>
          <w:bCs/>
          <w:b/>
        </w:rPr>
        <w:t xml:space="preserve">Straight-through data.</w:t>
      </w:r>
      <w:r>
        <w:t xml:space="preserve"> </w:t>
      </w:r>
      <w:r>
        <w:t xml:space="preserve">No manual edits to data passed to REs, LMSs, CICs or accounting systems; files are hashed and signed; exceptions use maker-checker with an audit trail (CYB paras 119–120).</w:t>
      </w:r>
    </w:p>
    <w:p>
      <w:pPr>
        <w:numPr>
          <w:ilvl w:val="0"/>
          <w:numId w:val="1447"/>
        </w:numPr>
        <w:pStyle w:val="Compact"/>
      </w:pPr>
      <w:r>
        <w:rPr>
          <w:bCs/>
          <w:b/>
        </w:rPr>
        <w:t xml:space="preserve">Regulator, RE and auditor access.</w:t>
      </w:r>
      <w:r>
        <w:t xml:space="preserve"> </w:t>
      </w:r>
      <w:r>
        <w:t xml:space="preserve">Time-boxed, read-only roles for each RE, its auditors and RBI over that RE’s data, logs and evidence (OUT paras 34(viii)–(ix), 74(ii), 81; CYB para 62(2)).</w:t>
      </w:r>
    </w:p>
    <w:p>
      <w:pPr>
        <w:numPr>
          <w:ilvl w:val="0"/>
          <w:numId w:val="1447"/>
        </w:numPr>
        <w:pStyle w:val="Compact"/>
      </w:pPr>
      <w:r>
        <w:rPr>
          <w:bCs/>
          <w:b/>
        </w:rPr>
        <w:t xml:space="preserve">Scalability.</w:t>
      </w:r>
      <w:r>
        <w:t xml:space="preserve"> </w:t>
      </w:r>
      <w:r>
        <w:t xml:space="preserve">Design for 1 million+ borrowers in year one and 10 million+ registered users later, 100+ RE tenants, with partitioned tables (by RE and date) and horizontally scalable workers.</w:t>
      </w:r>
    </w:p>
    <w:p>
      <w:pPr>
        <w:numPr>
          <w:ilvl w:val="0"/>
          <w:numId w:val="1447"/>
        </w:numPr>
        <w:pStyle w:val="Compact"/>
      </w:pPr>
      <w:r>
        <w:rPr>
          <w:bCs/>
          <w:b/>
        </w:rPr>
        <w:t xml:space="preserve">Portability.</w:t>
      </w:r>
      <w:r>
        <w:t xml:space="preserve"> </w:t>
      </w:r>
      <w:r>
        <w:t xml:space="preserve">Containerised, environment-based config, storage and auth abstractions, IaC. Do not build an elaborate cloud-neutral platform before the product is validated.</w:t>
      </w:r>
    </w:p>
    <w:bookmarkEnd w:id="478"/>
    <w:bookmarkStart w:id="479" w:name="mobile-engineering"/>
    <w:p>
      <w:pPr>
        <w:pStyle w:val="Heading2"/>
      </w:pPr>
      <w:r>
        <w:t xml:space="preserve">10.3 Mobile engineering</w:t>
      </w:r>
    </w:p>
    <w:p>
      <w:pPr>
        <w:pStyle w:val="FirstParagraph"/>
      </w:pPr>
      <w:r>
        <w:rPr>
          <w:bCs/>
          <w:b/>
        </w:rPr>
        <w:t xml:space="preserve">Framework and builds</w:t>
      </w:r>
    </w:p>
    <w:p>
      <w:pPr>
        <w:numPr>
          <w:ilvl w:val="0"/>
          <w:numId w:val="1448"/>
        </w:numPr>
        <w:pStyle w:val="Compact"/>
      </w:pPr>
      <w:r>
        <w:t xml:space="preserve">Expo managed workflow with config plugins;</w:t>
      </w:r>
      <w:r>
        <w:t xml:space="preserve"> </w:t>
      </w:r>
      <w:r>
        <w:rPr>
          <w:rStyle w:val="VerbatimChar"/>
        </w:rPr>
        <w:t xml:space="preserve">expo prebuild</w:t>
      </w:r>
      <w:r>
        <w:t xml:space="preserve"> </w:t>
      </w:r>
      <w:r>
        <w:t xml:space="preserve">only in CI (SDK 57 clears native folders by default). No hand-edited native folders in Git unless an ADR approves it.</w:t>
      </w:r>
    </w:p>
    <w:p>
      <w:pPr>
        <w:numPr>
          <w:ilvl w:val="0"/>
          <w:numId w:val="1448"/>
        </w:numPr>
        <w:pStyle w:val="Compact"/>
      </w:pPr>
      <w:r>
        <w:t xml:space="preserve">New Architecture only. Every native dependency must support it; record exceptions in the dependency register.</w:t>
      </w:r>
    </w:p>
    <w:p>
      <w:pPr>
        <w:numPr>
          <w:ilvl w:val="0"/>
          <w:numId w:val="1448"/>
        </w:numPr>
        <w:pStyle w:val="Compact"/>
      </w:pPr>
      <w:r>
        <w:t xml:space="preserve">EAS Build profiles:</w:t>
      </w:r>
      <w:r>
        <w:t xml:space="preserve"> </w:t>
      </w:r>
      <w:r>
        <w:rPr>
          <w:rStyle w:val="VerbatimChar"/>
        </w:rPr>
        <w:t xml:space="preserve">development</w:t>
      </w:r>
      <w:r>
        <w:t xml:space="preserve">,</w:t>
      </w:r>
      <w:r>
        <w:t xml:space="preserve"> </w:t>
      </w:r>
      <w:r>
        <w:rPr>
          <w:rStyle w:val="VerbatimChar"/>
        </w:rPr>
        <w:t xml:space="preserve">preview</w:t>
      </w:r>
      <w:r>
        <w:t xml:space="preserve"> </w:t>
      </w:r>
      <w:r>
        <w:t xml:space="preserve">(internal testing, synthetic backend),</w:t>
      </w:r>
      <w:r>
        <w:t xml:space="preserve"> </w:t>
      </w:r>
      <w:r>
        <w:rPr>
          <w:rStyle w:val="VerbatimChar"/>
        </w:rPr>
        <w:t xml:space="preserve">production</w:t>
      </w:r>
      <w:r>
        <w:t xml:space="preserve">. Production builds run only from protected tags in CI. Signing keys: Play App Signing (Google holds the app signing key; Udofin holds the upload key in a hardware-backed secret store) and an Apple distribution certificate managed by EAS with two-person access.</w:t>
      </w:r>
    </w:p>
    <w:p>
      <w:pPr>
        <w:numPr>
          <w:ilvl w:val="0"/>
          <w:numId w:val="1448"/>
        </w:numPr>
        <w:pStyle w:val="Compact"/>
      </w:pPr>
      <w:r>
        <w:t xml:space="preserve">EAS Submit to Play internal testing → closed testing → production staged rollout; TestFlight → App Store phased release.</w:t>
      </w:r>
    </w:p>
    <w:p>
      <w:pPr>
        <w:numPr>
          <w:ilvl w:val="0"/>
          <w:numId w:val="1448"/>
        </w:numPr>
        <w:pStyle w:val="Compact"/>
      </w:pPr>
      <w:r>
        <w:t xml:space="preserve">One bundle per brand: the default Udofin app. A white-label app for an RE is a separate store listing, separate DLA line on CIMS and separate store declaration (Appendix B decision).</w:t>
      </w:r>
    </w:p>
    <w:p>
      <w:pPr>
        <w:pStyle w:val="FirstParagraph"/>
      </w:pPr>
      <w:r>
        <w:rPr>
          <w:bCs/>
          <w:b/>
        </w:rPr>
        <w:t xml:space="preserve">Over-the-air (OTA) update policy</w:t>
      </w:r>
    </w:p>
    <w:p>
      <w:pPr>
        <w:numPr>
          <w:ilvl w:val="0"/>
          <w:numId w:val="1449"/>
        </w:numPr>
        <w:pStyle w:val="Compact"/>
      </w:pPr>
      <w:r>
        <w:t xml:space="preserve">EAS Update may ship only JavaScript and asset changes that keep the app’s reviewed purpose: bug fixes, copy, layout and content. Apple permits interpreted code that does not change the app’s primary purpose (Developer Program License Agreement 3.3; Guideline 2.5.2). Google Play forbids self-updating by any route except Play, except for code run in an interpreter or virtual machine (Device and Network Abuse policy).</w:t>
      </w:r>
    </w:p>
    <w:p>
      <w:pPr>
        <w:numPr>
          <w:ilvl w:val="0"/>
          <w:numId w:val="1449"/>
        </w:numPr>
        <w:pStyle w:val="Compact"/>
      </w:pPr>
      <w:r>
        <w:rPr>
          <w:bCs/>
          <w:b/>
        </w:rPr>
        <w:t xml:space="preserve">Never</w:t>
      </w:r>
      <w:r>
        <w:t xml:space="preserve"> </w:t>
      </w:r>
      <w:r>
        <w:t xml:space="preserve">ship by OTA: a new product, a new data collection or permission, a change to consent or disclosure screens, a change to payment flows, or any security control. Those require a store release with updated declarations.</w:t>
      </w:r>
    </w:p>
    <w:p>
      <w:pPr>
        <w:numPr>
          <w:ilvl w:val="0"/>
          <w:numId w:val="1449"/>
        </w:numPr>
        <w:pStyle w:val="Compact"/>
      </w:pPr>
      <w:r>
        <w:t xml:space="preserve">Updates are code-signed (EAS Update end-to-end code signing, available only on the EAS Production or Enterprise plan; the private key is held in KMS or the protected CI signing step, never in EAS or Git), tied to a</w:t>
      </w:r>
      <w:r>
        <w:t xml:space="preserve"> </w:t>
      </w:r>
      <w:r>
        <w:rPr>
          <w:rStyle w:val="VerbatimChar"/>
        </w:rPr>
        <w:t xml:space="preserve">runtimeVersion</w:t>
      </w:r>
      <w:r>
        <w:t xml:space="preserve">, rolled out by percentage, rolled back by the release pipeline when crash-free sessions regress, and logged in the release register.</w:t>
      </w:r>
    </w:p>
    <w:p>
      <w:pPr>
        <w:numPr>
          <w:ilvl w:val="0"/>
          <w:numId w:val="1449"/>
        </w:numPr>
        <w:pStyle w:val="Compact"/>
      </w:pPr>
      <w:r>
        <w:rPr>
          <w:bCs/>
          <w:b/>
        </w:rPr>
        <w:t xml:space="preserve">Version sunset.</w:t>
      </w:r>
      <w:r>
        <w:t xml:space="preserve"> </w:t>
      </w:r>
      <w:r>
        <w:t xml:space="preserve">Keep only one supported app version per platform after a phased overlap of at most six months, and force an upgrade below the minimum supported version (DPS para 68(2)(iii) as voluntary baseline). The API rejects requests from unsupported versions with an upgrade screen.</w:t>
      </w:r>
    </w:p>
    <w:p>
      <w:pPr>
        <w:pStyle w:val="FirstParagraph"/>
      </w:pPr>
      <w:r>
        <w:rPr>
          <w:bCs/>
          <w:b/>
        </w:rPr>
        <w:t xml:space="preserve">Permissions (just-in-time, with a purpose screen before each OS prompt)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09"/>
        <w:gridCol w:w="2159"/>
        <w:gridCol w:w="1126"/>
        <w:gridCol w:w="2243"/>
        <w:gridCol w:w="3301"/>
      </w:tblGrid>
      <w:tr>
        <w:trPr>
          <w:tblHeader w:val="true"/>
          <w:tblHeader w:val="true"/>
        </w:trPr>
        <w:tc>
          <w:tcPr>
            <w:tcW w:w="809" w:type="dxa"/>
            <w:shd w:val="clear" w:color="auto" w:fill="1F3A5F"/>
          </w:tcPr>
          <w:p>
            <w:pPr>
              <w:pStyle w:val="Compact"/>
              <w:spacing w:after="40"/>
              <w:jc w:val="left"/>
            </w:pPr>
            <w:r>
              <w:rPr>
                <w:b/>
                <w:color w:val="FFFFFF"/>
                <w:sz w:val="18"/>
              </w:rPr>
              <w:t xml:space="preserve">Capability</w:t>
            </w:r>
          </w:p>
        </w:tc>
        <w:tc>
          <w:tcPr>
            <w:tcW w:w="2159" w:type="dxa"/>
            <w:shd w:val="clear" w:color="auto" w:fill="1F3A5F"/>
          </w:tcPr>
          <w:p>
            <w:pPr>
              <w:pStyle w:val="Compact"/>
              <w:spacing w:after="40"/>
              <w:jc w:val="left"/>
            </w:pPr>
            <w:r>
              <w:rPr>
                <w:b/>
                <w:color w:val="FFFFFF"/>
                <w:sz w:val="18"/>
              </w:rPr>
              <w:t xml:space="preserve">Android</w:t>
            </w:r>
          </w:p>
        </w:tc>
        <w:tc>
          <w:tcPr>
            <w:tcW w:w="1126" w:type="dxa"/>
            <w:shd w:val="clear" w:color="auto" w:fill="1F3A5F"/>
          </w:tcPr>
          <w:p>
            <w:pPr>
              <w:pStyle w:val="Compact"/>
              <w:spacing w:after="40"/>
              <w:jc w:val="left"/>
            </w:pPr>
            <w:r>
              <w:rPr>
                <w:b/>
                <w:color w:val="FFFFFF"/>
                <w:sz w:val="18"/>
              </w:rPr>
              <w:t xml:space="preserve">iOS</w:t>
            </w:r>
          </w:p>
        </w:tc>
        <w:tc>
          <w:tcPr>
            <w:tcW w:w="2243" w:type="dxa"/>
            <w:shd w:val="clear" w:color="auto" w:fill="1F3A5F"/>
          </w:tcPr>
          <w:p>
            <w:pPr>
              <w:pStyle w:val="Compact"/>
              <w:spacing w:after="40"/>
              <w:jc w:val="left"/>
            </w:pPr>
            <w:r>
              <w:rPr>
                <w:b/>
                <w:color w:val="FFFFFF"/>
                <w:sz w:val="18"/>
              </w:rPr>
              <w:t xml:space="preserve">When</w:t>
            </w:r>
          </w:p>
        </w:tc>
        <w:tc>
          <w:tcPr>
            <w:tcW w:w="3301" w:type="dxa"/>
            <w:shd w:val="clear" w:color="auto" w:fill="1F3A5F"/>
          </w:tcPr>
          <w:p>
            <w:pPr>
              <w:pStyle w:val="Compact"/>
              <w:spacing w:after="40"/>
              <w:jc w:val="left"/>
            </w:pPr>
            <w:r>
              <w:rPr>
                <w:b/>
                <w:color w:val="FFFFFF"/>
                <w:sz w:val="18"/>
              </w:rPr>
              <w:t xml:space="preserve">Rule</w:t>
            </w:r>
          </w:p>
        </w:tc>
      </w:tr>
      <w:tr>
        <w:tc>
          <w:tcPr>
            <w:tcW w:w="809" w:type="dxa"/>
          </w:tcPr>
          <w:p>
            <w:pPr>
              <w:pStyle w:val="Compact"/>
              <w:spacing w:after="40"/>
              <w:jc w:val="left"/>
            </w:pPr>
            <w:r>
              <w:rPr>
                <w:sz w:val="18"/>
              </w:rPr>
              <w:t xml:space="preserve">Camera</w:t>
            </w:r>
          </w:p>
        </w:tc>
        <w:tc>
          <w:tcPr>
            <w:tcW w:w="2159" w:type="dxa"/>
          </w:tcPr>
          <w:p>
            <w:pPr>
              <w:pStyle w:val="Compact"/>
              <w:spacing w:after="40"/>
              <w:jc w:val="left"/>
            </w:pPr>
            <w:r>
              <w:rPr>
                <w:sz w:val="18"/>
              </w:rPr>
              <w:t xml:space="preserve">CAMERA</w:t>
            </w:r>
          </w:p>
        </w:tc>
        <w:tc>
          <w:tcPr>
            <w:tcW w:w="1126" w:type="dxa"/>
          </w:tcPr>
          <w:p>
            <w:pPr>
              <w:pStyle w:val="Compact"/>
              <w:spacing w:after="40"/>
              <w:jc w:val="left"/>
            </w:pPr>
            <w:r>
              <w:rPr>
                <w:sz w:val="18"/>
              </w:rPr>
              <w:t xml:space="preserve">NSCameraUsageDescription</w:t>
            </w:r>
          </w:p>
        </w:tc>
        <w:tc>
          <w:tcPr>
            <w:tcW w:w="2243" w:type="dxa"/>
          </w:tcPr>
          <w:p>
            <w:pPr>
              <w:pStyle w:val="Compact"/>
              <w:spacing w:after="40"/>
              <w:jc w:val="left"/>
            </w:pPr>
            <w:r>
              <w:rPr>
                <w:sz w:val="18"/>
              </w:rPr>
              <w:t xml:space="preserve">KYC selfie, document capture</w:t>
            </w:r>
          </w:p>
        </w:tc>
        <w:tc>
          <w:tcPr>
            <w:tcW w:w="3301" w:type="dxa"/>
          </w:tcPr>
          <w:p>
            <w:pPr>
              <w:pStyle w:val="Compact"/>
              <w:spacing w:after="40"/>
              <w:jc w:val="left"/>
            </w:pPr>
            <w:r>
              <w:rPr>
                <w:sz w:val="18"/>
              </w:rPr>
              <w:t xml:space="preserve">One-time at KYC step, explicit consent (CF para 13(1))</w:t>
            </w:r>
          </w:p>
        </w:tc>
      </w:tr>
      <w:tr>
        <w:tc>
          <w:tcPr>
            <w:tcW w:w="809" w:type="dxa"/>
          </w:tcPr>
          <w:p>
            <w:pPr>
              <w:pStyle w:val="Compact"/>
              <w:spacing w:after="40"/>
              <w:jc w:val="left"/>
            </w:pPr>
            <w:r>
              <w:rPr>
                <w:sz w:val="18"/>
              </w:rPr>
              <w:t xml:space="preserve">Microphone</w:t>
            </w:r>
          </w:p>
        </w:tc>
        <w:tc>
          <w:tcPr>
            <w:tcW w:w="2159" w:type="dxa"/>
          </w:tcPr>
          <w:p>
            <w:pPr>
              <w:pStyle w:val="Compact"/>
              <w:spacing w:after="40"/>
              <w:jc w:val="left"/>
            </w:pPr>
            <w:r>
              <w:rPr>
                <w:sz w:val="18"/>
              </w:rPr>
              <w:t xml:space="preserve">None by default</w:t>
            </w:r>
          </w:p>
        </w:tc>
        <w:tc>
          <w:tcPr>
            <w:tcW w:w="1126" w:type="dxa"/>
          </w:tcPr>
          <w:p>
            <w:pPr>
              <w:pStyle w:val="Compact"/>
              <w:spacing w:after="40"/>
              <w:jc w:val="left"/>
            </w:pPr>
            <w:r>
              <w:rPr>
                <w:sz w:val="18"/>
              </w:rPr>
              <w:t xml:space="preserve">None by default</w:t>
            </w:r>
          </w:p>
        </w:tc>
        <w:tc>
          <w:tcPr>
            <w:tcW w:w="2243" w:type="dxa"/>
          </w:tcPr>
          <w:p>
            <w:pPr>
              <w:pStyle w:val="Compact"/>
              <w:spacing w:after="40"/>
              <w:jc w:val="left"/>
            </w:pPr>
            <w:r>
              <w:rPr>
                <w:sz w:val="18"/>
              </w:rPr>
              <w:t xml:space="preserve">V-CIP runs in the RE’s web session in the system browser (Phase 0 ADR), so the browser asks for the microphone, not the app</w:t>
            </w:r>
          </w:p>
        </w:tc>
        <w:tc>
          <w:tcPr>
            <w:tcW w:w="3301" w:type="dxa"/>
          </w:tcPr>
          <w:p>
            <w:pPr>
              <w:pStyle w:val="Compact"/>
              <w:spacing w:after="40"/>
              <w:jc w:val="left"/>
            </w:pPr>
            <w:r>
              <w:rPr>
                <w:sz w:val="18"/>
              </w:rPr>
              <w:t xml:space="preserve">Add RECORD_AUDIO and NSMicrophoneUsageDescription only if an ADR moves V-CIP in-app; then one-time, explicit consent</w:t>
            </w:r>
          </w:p>
        </w:tc>
      </w:tr>
      <w:tr>
        <w:tc>
          <w:tcPr>
            <w:tcW w:w="809" w:type="dxa"/>
          </w:tcPr>
          <w:p>
            <w:pPr>
              <w:pStyle w:val="Compact"/>
              <w:spacing w:after="40"/>
              <w:jc w:val="left"/>
            </w:pPr>
            <w:r>
              <w:rPr>
                <w:sz w:val="18"/>
              </w:rPr>
              <w:t xml:space="preserve">Location</w:t>
            </w:r>
          </w:p>
        </w:tc>
        <w:tc>
          <w:tcPr>
            <w:tcW w:w="2159" w:type="dxa"/>
          </w:tcPr>
          <w:p>
            <w:pPr>
              <w:pStyle w:val="Compact"/>
              <w:spacing w:after="40"/>
              <w:jc w:val="left"/>
            </w:pPr>
            <w:r>
              <w:rPr>
                <w:sz w:val="18"/>
              </w:rPr>
              <w:t xml:space="preserve">ACCESS_COARSE_LOCATION only</w:t>
            </w:r>
          </w:p>
        </w:tc>
        <w:tc>
          <w:tcPr>
            <w:tcW w:w="1126" w:type="dxa"/>
          </w:tcPr>
          <w:p>
            <w:pPr>
              <w:pStyle w:val="Compact"/>
              <w:spacing w:after="40"/>
              <w:jc w:val="left"/>
            </w:pPr>
            <w:r>
              <w:rPr>
                <w:sz w:val="18"/>
              </w:rPr>
              <w:t xml:space="preserve">When-in-use, reduced accuracy</w:t>
            </w:r>
          </w:p>
        </w:tc>
        <w:tc>
          <w:tcPr>
            <w:tcW w:w="2243" w:type="dxa"/>
          </w:tcPr>
          <w:p>
            <w:pPr>
              <w:pStyle w:val="Compact"/>
              <w:spacing w:after="40"/>
              <w:jc w:val="left"/>
            </w:pPr>
            <w:r>
              <w:rPr>
                <w:sz w:val="18"/>
              </w:rPr>
              <w:t xml:space="preserve">One-time at onboarding for address pre-fill and fraud signal</w:t>
            </w:r>
          </w:p>
        </w:tc>
        <w:tc>
          <w:tcPr>
            <w:tcW w:w="3301" w:type="dxa"/>
          </w:tcPr>
          <w:p>
            <w:pPr>
              <w:pStyle w:val="Compact"/>
              <w:spacing w:after="40"/>
              <w:jc w:val="left"/>
            </w:pPr>
            <w:r>
              <w:rPr>
                <w:sz w:val="18"/>
              </w:rPr>
              <w:t xml:space="preserve">ACCESS_FINE_LOCATION is prohibited for personal loan apps on Google Play; V-CIP geo-tagging (KYC para 27(1)(iv)) runs in the RE’s V-CIP web session launched in the system browser or on the borrower web app [VERIFY: Google Play acceptance and RE V-CIP vendor support]</w:t>
            </w:r>
          </w:p>
        </w:tc>
      </w:tr>
      <w:tr>
        <w:tc>
          <w:tcPr>
            <w:tcW w:w="809" w:type="dxa"/>
          </w:tcPr>
          <w:p>
            <w:pPr>
              <w:pStyle w:val="Compact"/>
              <w:spacing w:after="40"/>
              <w:jc w:val="left"/>
            </w:pPr>
            <w:r>
              <w:rPr>
                <w:sz w:val="18"/>
              </w:rPr>
              <w:t xml:space="preserve">Photos and files</w:t>
            </w:r>
          </w:p>
        </w:tc>
        <w:tc>
          <w:tcPr>
            <w:tcW w:w="2159" w:type="dxa"/>
          </w:tcPr>
          <w:p>
            <w:pPr>
              <w:pStyle w:val="Compact"/>
              <w:spacing w:after="40"/>
              <w:jc w:val="left"/>
            </w:pPr>
            <w:r>
              <w:rPr>
                <w:sz w:val="18"/>
              </w:rPr>
              <w:t xml:space="preserve">None: use the Android Photo Picker and Storage Access Framework document picker; iOS PHPicker and UIDocumentPicker</w:t>
            </w:r>
          </w:p>
        </w:tc>
        <w:tc>
          <w:tcPr>
            <w:tcW w:w="1126" w:type="dxa"/>
          </w:tcPr>
          <w:p>
            <w:pPr>
              <w:pStyle w:val="Compact"/>
              <w:spacing w:after="40"/>
              <w:jc w:val="left"/>
            </w:pPr>
            <w:r>
              <w:rPr>
                <w:sz w:val="18"/>
              </w:rPr>
              <w:t xml:space="preserve">None</w:t>
            </w:r>
          </w:p>
        </w:tc>
        <w:tc>
          <w:tcPr>
            <w:tcW w:w="2243" w:type="dxa"/>
          </w:tcPr>
          <w:p>
            <w:pPr>
              <w:pStyle w:val="Compact"/>
              <w:spacing w:after="40"/>
              <w:jc w:val="left"/>
            </w:pPr>
            <w:r>
              <w:rPr>
                <w:sz w:val="18"/>
              </w:rPr>
              <w:t xml:space="preserve">Uploading a salary slip or statement</w:t>
            </w:r>
          </w:p>
        </w:tc>
        <w:tc>
          <w:tcPr>
            <w:tcW w:w="3301" w:type="dxa"/>
          </w:tcPr>
          <w:p>
            <w:pPr>
              <w:pStyle w:val="Compact"/>
              <w:spacing w:after="40"/>
              <w:jc w:val="left"/>
            </w:pPr>
            <w:r>
              <w:rPr>
                <w:sz w:val="18"/>
              </w:rPr>
              <w:t xml:space="preserve">READ_MEDIA_*, READ/WRITE_EXTERNAL_STORAGE are prohibited</w:t>
            </w:r>
          </w:p>
        </w:tc>
      </w:tr>
      <w:tr>
        <w:tc>
          <w:tcPr>
            <w:tcW w:w="809" w:type="dxa"/>
          </w:tcPr>
          <w:p>
            <w:pPr>
              <w:pStyle w:val="Compact"/>
              <w:spacing w:after="40"/>
              <w:jc w:val="left"/>
            </w:pPr>
            <w:r>
              <w:rPr>
                <w:sz w:val="18"/>
              </w:rPr>
              <w:t xml:space="preserve">Notifications</w:t>
            </w:r>
          </w:p>
        </w:tc>
        <w:tc>
          <w:tcPr>
            <w:tcW w:w="2159" w:type="dxa"/>
          </w:tcPr>
          <w:p>
            <w:pPr>
              <w:pStyle w:val="Compact"/>
              <w:spacing w:after="40"/>
              <w:jc w:val="left"/>
            </w:pPr>
            <w:r>
              <w:rPr>
                <w:sz w:val="18"/>
              </w:rPr>
              <w:t xml:space="preserve">POST_NOTIFICATIONS</w:t>
            </w:r>
          </w:p>
        </w:tc>
        <w:tc>
          <w:tcPr>
            <w:tcW w:w="1126" w:type="dxa"/>
          </w:tcPr>
          <w:p>
            <w:pPr>
              <w:pStyle w:val="Compact"/>
              <w:spacing w:after="40"/>
              <w:jc w:val="left"/>
            </w:pPr>
            <w:r>
              <w:rPr>
                <w:sz w:val="18"/>
              </w:rPr>
              <w:t xml:space="preserve">User notification authorisation</w:t>
            </w:r>
          </w:p>
        </w:tc>
        <w:tc>
          <w:tcPr>
            <w:tcW w:w="2243" w:type="dxa"/>
          </w:tcPr>
          <w:p>
            <w:pPr>
              <w:pStyle w:val="Compact"/>
              <w:spacing w:after="40"/>
              <w:jc w:val="left"/>
            </w:pPr>
            <w:r>
              <w:rPr>
                <w:sz w:val="18"/>
              </w:rPr>
              <w:t xml:space="preserve">After first application</w:t>
            </w:r>
          </w:p>
        </w:tc>
        <w:tc>
          <w:tcPr>
            <w:tcW w:w="3301" w:type="dxa"/>
          </w:tcPr>
          <w:p>
            <w:pPr>
              <w:pStyle w:val="Compact"/>
              <w:spacing w:after="40"/>
              <w:jc w:val="left"/>
            </w:pPr>
            <w:r>
              <w:rPr>
                <w:sz w:val="18"/>
              </w:rPr>
              <w:t xml:space="preserve">Service notifications only unless marketing consent exists</w:t>
            </w:r>
          </w:p>
        </w:tc>
      </w:tr>
      <w:tr>
        <w:tc>
          <w:tcPr>
            <w:tcW w:w="809" w:type="dxa"/>
          </w:tcPr>
          <w:p>
            <w:pPr>
              <w:pStyle w:val="Compact"/>
              <w:spacing w:after="40"/>
              <w:jc w:val="left"/>
            </w:pPr>
            <w:r>
              <w:rPr>
                <w:sz w:val="18"/>
              </w:rPr>
              <w:t xml:space="preserve">Biometrics</w:t>
            </w:r>
          </w:p>
        </w:tc>
        <w:tc>
          <w:tcPr>
            <w:tcW w:w="2159" w:type="dxa"/>
          </w:tcPr>
          <w:p>
            <w:pPr>
              <w:pStyle w:val="Compact"/>
              <w:spacing w:after="40"/>
              <w:jc w:val="left"/>
            </w:pPr>
            <w:r>
              <w:rPr>
                <w:sz w:val="18"/>
              </w:rPr>
              <w:t xml:space="preserve">USE_BIOMETRIC</w:t>
            </w:r>
          </w:p>
        </w:tc>
        <w:tc>
          <w:tcPr>
            <w:tcW w:w="1126" w:type="dxa"/>
          </w:tcPr>
          <w:p>
            <w:pPr>
              <w:pStyle w:val="Compact"/>
              <w:spacing w:after="40"/>
              <w:jc w:val="left"/>
            </w:pPr>
            <w:r>
              <w:rPr>
                <w:sz w:val="18"/>
              </w:rPr>
              <w:t xml:space="preserve">NSFaceIDUsageDescription</w:t>
            </w:r>
          </w:p>
        </w:tc>
        <w:tc>
          <w:tcPr>
            <w:tcW w:w="2243" w:type="dxa"/>
          </w:tcPr>
          <w:p>
            <w:pPr>
              <w:pStyle w:val="Compact"/>
              <w:spacing w:after="40"/>
              <w:jc w:val="left"/>
            </w:pPr>
            <w:r>
              <w:rPr>
                <w:sz w:val="18"/>
              </w:rPr>
              <w:t xml:space="preserve">App unlock opt-in</w:t>
            </w:r>
          </w:p>
        </w:tc>
        <w:tc>
          <w:tcPr>
            <w:tcW w:w="3301" w:type="dxa"/>
          </w:tcPr>
          <w:p>
            <w:pPr>
              <w:pStyle w:val="Compact"/>
              <w:spacing w:after="40"/>
              <w:jc w:val="left"/>
            </w:pPr>
            <w:r>
              <w:rPr>
                <w:sz w:val="18"/>
              </w:rPr>
              <w:t xml:space="preserve">Device-local only; no biometric data leaves the device or is stored by Udofin (CF para 14(3))</w:t>
            </w:r>
          </w:p>
        </w:tc>
      </w:tr>
      <w:tr>
        <w:tc>
          <w:tcPr>
            <w:tcW w:w="809" w:type="dxa"/>
          </w:tcPr>
          <w:p>
            <w:pPr>
              <w:pStyle w:val="Compact"/>
              <w:spacing w:after="40"/>
              <w:jc w:val="left"/>
            </w:pPr>
            <w:r>
              <w:rPr>
                <w:sz w:val="18"/>
              </w:rPr>
              <w:t xml:space="preserve">OTP autofill</w:t>
            </w:r>
          </w:p>
        </w:tc>
        <w:tc>
          <w:tcPr>
            <w:tcW w:w="2159" w:type="dxa"/>
          </w:tcPr>
          <w:p>
            <w:pPr>
              <w:pStyle w:val="Compact"/>
              <w:spacing w:after="40"/>
              <w:jc w:val="left"/>
            </w:pPr>
            <w:r>
              <w:rPr>
                <w:sz w:val="18"/>
              </w:rPr>
              <w:t xml:space="preserve">SMS Retriever / SMS User Consent API (no SMS permission)</w:t>
            </w:r>
          </w:p>
        </w:tc>
        <w:tc>
          <w:tcPr>
            <w:tcW w:w="1126" w:type="dxa"/>
          </w:tcPr>
          <w:p>
            <w:pPr>
              <w:pStyle w:val="Compact"/>
              <w:spacing w:after="40"/>
              <w:jc w:val="left"/>
            </w:pPr>
            <w:r>
              <w:rPr>
                <w:sz w:val="18"/>
              </w:rPr>
              <w:t xml:space="preserve">One-time code autofill</w:t>
            </w:r>
          </w:p>
        </w:tc>
        <w:tc>
          <w:tcPr>
            <w:tcW w:w="2243" w:type="dxa"/>
          </w:tcPr>
          <w:p>
            <w:pPr>
              <w:pStyle w:val="Compact"/>
              <w:spacing w:after="40"/>
              <w:jc w:val="left"/>
            </w:pPr>
            <w:r>
              <w:rPr>
                <w:sz w:val="18"/>
              </w:rPr>
              <w:t xml:space="preserve">Login</w:t>
            </w:r>
          </w:p>
        </w:tc>
        <w:tc>
          <w:tcPr>
            <w:tcW w:w="3301" w:type="dxa"/>
          </w:tcPr>
          <w:p>
            <w:pPr>
              <w:pStyle w:val="Compact"/>
              <w:spacing w:after="40"/>
              <w:jc w:val="left"/>
            </w:pPr>
            <w:r>
              <w:rPr>
                <w:sz w:val="18"/>
              </w:rPr>
              <w:t xml:space="preserve">Never READ_SMS or RECEIVE_SMS; the DLT OTP template carries the 11-character SMS Retriever app hash computed from the Play App Signing certificate (not the upload key) and ends with the origin-bound line @[domain] #[code] for WebOTP and Safari autofill</w:t>
            </w:r>
          </w:p>
        </w:tc>
      </w:tr>
    </w:tbl>
    <w:p>
      <w:pPr>
        <w:pStyle w:val="BodyText"/>
      </w:pPr>
      <w:r>
        <w:t xml:space="preserve">Never declare READ_CONTACTS, READ_CALL_LOG, READ_PHONE_STATE, READ_PHONE_NUMBERS, QUERY_ALL_PACKAGES or any accessibility service. CI fails if the merged AndroidManifest or Info.plist contains a permission not on the approved list (Phase 1 gate).</w:t>
      </w:r>
    </w:p>
    <w:p>
      <w:pPr>
        <w:pStyle w:val="BodyText"/>
      </w:pPr>
      <w:r>
        <w:rPr>
          <w:bCs/>
          <w:b/>
        </w:rPr>
        <w:t xml:space="preserve">Authentication, device binding and app unlock</w:t>
      </w:r>
    </w:p>
    <w:p>
      <w:pPr>
        <w:numPr>
          <w:ilvl w:val="0"/>
          <w:numId w:val="1450"/>
        </w:numPr>
        <w:pStyle w:val="Compact"/>
      </w:pPr>
      <w:r>
        <w:t xml:space="preserve">Login by mobile OTP; device binding with a hardware-backed key generated in Keystore/Secure Enclave and registered with the server; Play Integrity (standard requests) and App Attest verdicts checked on the server at binding and on sensitive actions.</w:t>
      </w:r>
    </w:p>
    <w:p>
      <w:pPr>
        <w:numPr>
          <w:ilvl w:val="0"/>
          <w:numId w:val="1450"/>
        </w:numPr>
        <w:pStyle w:val="Compact"/>
      </w:pPr>
      <w:r>
        <w:t xml:space="preserve">Show the borrower every registered device and let them revoke one; notify on each new device through SMS and email (DPS para 68(6) as baseline).</w:t>
      </w:r>
    </w:p>
    <w:p>
      <w:pPr>
        <w:numPr>
          <w:ilvl w:val="0"/>
          <w:numId w:val="1450"/>
        </w:numPr>
        <w:pStyle w:val="Compact"/>
      </w:pPr>
      <w:r>
        <w:t xml:space="preserve">App unlock by biometric or app PIN after inactivity and at each launch (DPS para 68(8) as baseline). Biometric unlock gates a locally held key; it is not an identity proof for KYC or signing.</w:t>
      </w:r>
    </w:p>
    <w:p>
      <w:pPr>
        <w:numPr>
          <w:ilvl w:val="0"/>
          <w:numId w:val="1450"/>
        </w:numPr>
        <w:pStyle w:val="Compact"/>
      </w:pPr>
      <w:r>
        <w:t xml:space="preserve">Remote-access tools: detect known screen-sharing and remote-control apps through declared package-visibility queries for a maintained list, never QUERY_ALL_PACKAGES (DPS para 68(2)(iv) as baseline).</w:t>
      </w:r>
    </w:p>
    <w:p>
      <w:pPr>
        <w:numPr>
          <w:ilvl w:val="0"/>
          <w:numId w:val="1450"/>
        </w:numPr>
        <w:pStyle w:val="Compact"/>
      </w:pPr>
      <w:r>
        <w:t xml:space="preserve">Root, jailbreak, hooking and emulator detection: risk signal to U24 with step-up or block of high-risk actions; never a silent failure.</w:t>
      </w:r>
    </w:p>
    <w:p>
      <w:pPr>
        <w:pStyle w:val="FirstParagraph"/>
      </w:pPr>
      <w:r>
        <w:rPr>
          <w:bCs/>
          <w:b/>
        </w:rPr>
        <w:t xml:space="preserve">Offline, interruption and resume</w:t>
      </w:r>
    </w:p>
    <w:p>
      <w:pPr>
        <w:numPr>
          <w:ilvl w:val="0"/>
          <w:numId w:val="1451"/>
        </w:numPr>
        <w:pStyle w:val="Compact"/>
      </w:pPr>
      <w:r>
        <w:t xml:space="preserve">The journey state lives on the server (Temporal workflow). The app caches only the current step and non-sensitive form drafts, encrypted.</w:t>
      </w:r>
    </w:p>
    <w:p>
      <w:pPr>
        <w:numPr>
          <w:ilvl w:val="0"/>
          <w:numId w:val="1451"/>
        </w:numPr>
        <w:pStyle w:val="Compact"/>
      </w:pPr>
      <w:r>
        <w:t xml:space="preserve">Resume from any device after re-authentication; the web app and the mobile app share progress.</w:t>
      </w:r>
    </w:p>
    <w:p>
      <w:pPr>
        <w:numPr>
          <w:ilvl w:val="0"/>
          <w:numId w:val="1451"/>
        </w:numPr>
        <w:pStyle w:val="Compact"/>
      </w:pPr>
      <w:r>
        <w:t xml:space="preserve">Every step is idempotent; a retried submission never creates a second application, second consent or second mandate.</w:t>
      </w:r>
    </w:p>
    <w:p>
      <w:pPr>
        <w:numPr>
          <w:ilvl w:val="0"/>
          <w:numId w:val="1451"/>
        </w:numPr>
        <w:pStyle w:val="Compact"/>
      </w:pPr>
      <w:r>
        <w:t xml:space="preserve">Offline: read-only views of non-sensitive content (support articles, last-known status labelled with time). No KYC, signing, mandate or payment step works offline.</w:t>
      </w:r>
    </w:p>
    <w:p>
      <w:pPr>
        <w:pStyle w:val="FirstParagraph"/>
      </w:pPr>
      <w:r>
        <w:rPr>
          <w:bCs/>
          <w:b/>
        </w:rPr>
        <w:t xml:space="preserve">Deep links</w:t>
      </w:r>
    </w:p>
    <w:p>
      <w:pPr>
        <w:numPr>
          <w:ilvl w:val="0"/>
          <w:numId w:val="1452"/>
        </w:numPr>
        <w:pStyle w:val="Compact"/>
      </w:pPr>
      <w:r>
        <w:t xml:space="preserve">Android App Links and iOS Universal Links on a Udofin-controlled domain with</w:t>
      </w:r>
      <w:r>
        <w:t xml:space="preserve"> </w:t>
      </w:r>
      <w:r>
        <w:rPr>
          <w:rStyle w:val="VerbatimChar"/>
        </w:rPr>
        <w:t xml:space="preserve">assetlinks.json</w:t>
      </w:r>
      <w:r>
        <w:t xml:space="preserve"> </w:t>
      </w:r>
      <w:r>
        <w:t xml:space="preserve">and</w:t>
      </w:r>
      <w:r>
        <w:t xml:space="preserve"> </w:t>
      </w:r>
      <w:r>
        <w:rPr>
          <w:rStyle w:val="VerbatimChar"/>
        </w:rPr>
        <w:t xml:space="preserve">apple-app-site-association</w:t>
      </w:r>
      <w:r>
        <w:t xml:space="preserve">. No custom URL scheme for sensitive actions.</w:t>
      </w:r>
    </w:p>
    <w:p>
      <w:pPr>
        <w:numPr>
          <w:ilvl w:val="0"/>
          <w:numId w:val="1452"/>
        </w:numPr>
        <w:pStyle w:val="Compact"/>
      </w:pPr>
      <w:r>
        <w:t xml:space="preserve">Every link lands on an authenticated screen; tokens in links are one-time, short-lived and bound to the user.</w:t>
      </w:r>
    </w:p>
    <w:p>
      <w:pPr>
        <w:numPr>
          <w:ilvl w:val="0"/>
          <w:numId w:val="1452"/>
        </w:numPr>
        <w:pStyle w:val="Compact"/>
      </w:pPr>
      <w:r>
        <w:t xml:space="preserve">Links from SMS and WhatsApp use the DLT-whitelisted domain [VERIFY: TRAI URL whitelisting rules].</w:t>
      </w:r>
    </w:p>
    <w:p>
      <w:pPr>
        <w:pStyle w:val="FirstParagraph"/>
      </w:pPr>
      <w:r>
        <w:rPr>
          <w:bCs/>
          <w:b/>
        </w:rPr>
        <w:t xml:space="preserve">Sensitive screens</w:t>
      </w:r>
    </w:p>
    <w:p>
      <w:pPr>
        <w:numPr>
          <w:ilvl w:val="0"/>
          <w:numId w:val="1453"/>
        </w:numPr>
        <w:pStyle w:val="Compact"/>
      </w:pPr>
      <w:r>
        <w:t xml:space="preserve">Prevent screenshots and screen recording on KYC, offer, KFS, signing, bank-account and payment screens (Android FLAG_SECURE; iOS secure overlay and blur in the app switcher).</w:t>
      </w:r>
    </w:p>
    <w:p>
      <w:pPr>
        <w:numPr>
          <w:ilvl w:val="0"/>
          <w:numId w:val="1453"/>
        </w:numPr>
        <w:pStyle w:val="Compact"/>
      </w:pPr>
      <w:r>
        <w:t xml:space="preserve">Mask PAN, account numbers and Aadhaar references in all UI.</w:t>
      </w:r>
    </w:p>
    <w:p>
      <w:pPr>
        <w:numPr>
          <w:ilvl w:val="0"/>
          <w:numId w:val="1453"/>
        </w:numPr>
        <w:pStyle w:val="Compact"/>
      </w:pPr>
      <w:r>
        <w:t xml:space="preserve">Clipboard: disable copy on sensitive fields; clear clipboard after OTP paste.</w:t>
      </w:r>
    </w:p>
    <w:p>
      <w:pPr>
        <w:pStyle w:val="FirstParagraph"/>
      </w:pPr>
      <w:r>
        <w:rPr>
          <w:bCs/>
          <w:b/>
        </w:rPr>
        <w:t xml:space="preserve">Low-end Android and size</w:t>
      </w:r>
    </w:p>
    <w:p>
      <w:pPr>
        <w:numPr>
          <w:ilvl w:val="0"/>
          <w:numId w:val="1454"/>
        </w:numPr>
        <w:pStyle w:val="Compact"/>
      </w:pPr>
      <w:r>
        <w:t xml:space="preserve">Reference device: 3 GB RAM, Android 10 or later on a mid-2020 chipset. Expo SDK 57 and 58 support Android 7+ (minSdk 24) and iOS 16.4+ and build with targetSdk 36; set the app’s own minimum OS versions in the Phase 0 mobile ADR. Targets in 10.5.</w:t>
      </w:r>
    </w:p>
    <w:p>
      <w:pPr>
        <w:numPr>
          <w:ilvl w:val="0"/>
          <w:numId w:val="1454"/>
        </w:numPr>
        <w:pStyle w:val="Compact"/>
      </w:pPr>
      <w:r>
        <w:t xml:space="preserve">Android App Bundle with per-ABI splits; Hermes bytecode; image assets in WebP/AVIF; lazy-load non-critical screens; no heavy analytics SDK.</w:t>
      </w:r>
    </w:p>
    <w:p>
      <w:pPr>
        <w:numPr>
          <w:ilvl w:val="0"/>
          <w:numId w:val="1454"/>
        </w:numPr>
        <w:pStyle w:val="Compact"/>
      </w:pPr>
      <w:r>
        <w:t xml:space="preserve">Network-aware behaviour: compress uploads, resumable document uploads, retry with back-off, clear</w:t>
      </w:r>
      <w:r>
        <w:t xml:space="preserve"> </w:t>
      </w:r>
      <w:r>
        <w:t xml:space="preserve">“</w:t>
      </w:r>
      <w:r>
        <w:t xml:space="preserve">slow network</w:t>
      </w:r>
      <w:r>
        <w:t xml:space="preserve">”</w:t>
      </w:r>
      <w:r>
        <w:t xml:space="preserve"> </w:t>
      </w:r>
      <w:r>
        <w:t xml:space="preserve">messages.</w:t>
      </w:r>
    </w:p>
    <w:p>
      <w:pPr>
        <w:pStyle w:val="FirstParagraph"/>
      </w:pPr>
      <w:r>
        <w:rPr>
          <w:bCs/>
          <w:b/>
        </w:rPr>
        <w:t xml:space="preserve">Accessibility and language</w:t>
      </w:r>
    </w:p>
    <w:p>
      <w:pPr>
        <w:numPr>
          <w:ilvl w:val="0"/>
          <w:numId w:val="1455"/>
        </w:numPr>
        <w:pStyle w:val="Compact"/>
      </w:pPr>
      <w:r>
        <w:t xml:space="preserve">WCAG 2.2 AA equivalent on mobile: screen-reader labels, dynamic type, 44-point touch targets, colour contrast from tokens, no information by colour alone.</w:t>
      </w:r>
    </w:p>
    <w:p>
      <w:pPr>
        <w:numPr>
          <w:ilvl w:val="0"/>
          <w:numId w:val="1455"/>
        </w:numPr>
        <w:pStyle w:val="Compact"/>
      </w:pPr>
      <w:r>
        <w:t xml:space="preserve">Liveness checks must not depend on blinking or other gestures the borrower may be unable to make (KYC para 27 Explanation; RBC para 105). Provide an assisted or V-CIP alternative.</w:t>
      </w:r>
    </w:p>
    <w:p>
      <w:pPr>
        <w:numPr>
          <w:ilvl w:val="0"/>
          <w:numId w:val="1455"/>
        </w:numPr>
        <w:pStyle w:val="Compact"/>
      </w:pPr>
      <w:r>
        <w:t xml:space="preserve">English and Hindi at launch; framework for regional languages; KFS and key communications in the borrower’s chosen language (RBC paras 10, 29(1)).</w:t>
      </w:r>
    </w:p>
    <w:bookmarkEnd w:id="479"/>
    <w:bookmarkStart w:id="480" w:name="web-and-pwa-engineering"/>
    <w:p>
      <w:pPr>
        <w:pStyle w:val="Heading2"/>
      </w:pPr>
      <w:r>
        <w:t xml:space="preserve">10.4 Web and PWA engineering</w:t>
      </w:r>
    </w:p>
    <w:p>
      <w:pPr>
        <w:numPr>
          <w:ilvl w:val="0"/>
          <w:numId w:val="1456"/>
        </w:numPr>
        <w:pStyle w:val="Compact"/>
      </w:pPr>
      <w:r>
        <w:rPr>
          <w:bCs/>
          <w:b/>
        </w:rPr>
        <w:t xml:space="preserve">Borrower web app</w:t>
      </w:r>
      <w:r>
        <w:t xml:space="preserve"> </w:t>
      </w:r>
      <w:r>
        <w:t xml:space="preserve">(</w:t>
      </w:r>
      <w:r>
        <w:rPr>
          <w:rStyle w:val="VerbatimChar"/>
        </w:rPr>
        <w:t xml:space="preserve">apps/borrower-web</w:t>
      </w:r>
      <w:r>
        <w:t xml:space="preserve">): the same journey, rules and copy as the mobile app, rendered by Next.js. It is a DLA in its own right: one CIMS line per RE (CF para 18).</w:t>
      </w:r>
    </w:p>
    <w:p>
      <w:pPr>
        <w:numPr>
          <w:ilvl w:val="0"/>
          <w:numId w:val="1456"/>
        </w:numPr>
        <w:pStyle w:val="Compact"/>
      </w:pPr>
      <w:r>
        <w:t xml:space="preserve">Browser capabilities: camera via</w:t>
      </w:r>
      <w:r>
        <w:t xml:space="preserve"> </w:t>
      </w:r>
      <w:r>
        <w:rPr>
          <w:rStyle w:val="VerbatimChar"/>
        </w:rPr>
        <w:t xml:space="preserve">getUserMedia</w:t>
      </w:r>
      <w:r>
        <w:t xml:space="preserve"> </w:t>
      </w:r>
      <w:r>
        <w:t xml:space="preserve">at the KYC step with an explicit purpose screen; location via the Geolocation API one-time; WebOTP API for OTP autofill on Chrome for Android, and</w:t>
      </w:r>
      <w:r>
        <w:t xml:space="preserve"> </w:t>
      </w:r>
      <w:r>
        <w:rPr>
          <w:rStyle w:val="VerbatimChar"/>
        </w:rPr>
        <w:t xml:space="preserve">autocomplete="one-time-code"</w:t>
      </w:r>
      <w:r>
        <w:t xml:space="preserve"> </w:t>
      </w:r>
      <w:r>
        <w:t xml:space="preserve">for Safari and other browsers (both need the origin-bound SMS line, 10.3).</w:t>
      </w:r>
    </w:p>
    <w:p>
      <w:pPr>
        <w:numPr>
          <w:ilvl w:val="0"/>
          <w:numId w:val="1456"/>
        </w:numPr>
        <w:pStyle w:val="Compact"/>
      </w:pPr>
      <w:r>
        <w:t xml:space="preserve">Compensating controls for the web: session binding to a device-bound key (WebAuthn passkey where the browser supports it), adaptive authentication and server-validated CAPTCHA under attack (DPS para 67(1) baseline), DNS and cookie hardening (67(2)), automatic logout after inactivity (67(4)).</w:t>
      </w:r>
    </w:p>
    <w:p>
      <w:pPr>
        <w:numPr>
          <w:ilvl w:val="0"/>
          <w:numId w:val="1456"/>
        </w:numPr>
        <w:pStyle w:val="Compact"/>
      </w:pPr>
      <w:r>
        <w:t xml:space="preserve">Handoff: steps the web cannot secure to the required level (for example if a partner RE requires app-attested devices for mandate registration) show a QR code or deep link to continue in the app, with progress preserved. Never weaken the control to keep the user on the web.</w:t>
      </w:r>
    </w:p>
    <w:p>
      <w:pPr>
        <w:numPr>
          <w:ilvl w:val="0"/>
          <w:numId w:val="1456"/>
        </w:numPr>
        <w:pStyle w:val="Compact"/>
      </w:pPr>
      <w:r>
        <w:rPr>
          <w:bCs/>
          <w:b/>
        </w:rPr>
        <w:t xml:space="preserve">PWA:</w:t>
      </w:r>
      <w:r>
        <w:t xml:space="preserve"> </w:t>
      </w:r>
      <w:r>
        <w:t xml:space="preserve">installable shell; the service worker caches only static assets and public content. No API response containing personal data is cached by the service worker or stored in IndexedDB or localStorage. Push on the web only after consent; on iOS and iPadOS web push works only for a Home Screen-installed web app (iOS 16.4+) after a user gesture, so it is never the only channel for a regulatory or service notice.</w:t>
      </w:r>
    </w:p>
    <w:p>
      <w:pPr>
        <w:numPr>
          <w:ilvl w:val="0"/>
          <w:numId w:val="1456"/>
        </w:numPr>
        <w:pStyle w:val="Compact"/>
      </w:pPr>
      <w:r>
        <w:t xml:space="preserve">Public pages (</w:t>
      </w:r>
      <w:r>
        <w:rPr>
          <w:rStyle w:val="VerbatimChar"/>
        </w:rPr>
        <w:t xml:space="preserve">udofin.com</w:t>
      </w:r>
      <w:r>
        <w:t xml:space="preserve">): product information, partner REs and their DLAs, each RE’s website link (CF para 9(5)), grievance contacts (CF para 12(2)), privacy policy (CF para 15), data storage policy (CF para 14(2)), DLG disclosures (CF para 28), the ranking metric for offers (CF para 7(4)) and the checksum or official store links for the app (DPS para 68(5) baseline).</w:t>
      </w:r>
    </w:p>
    <w:p>
      <w:pPr>
        <w:numPr>
          <w:ilvl w:val="0"/>
          <w:numId w:val="1456"/>
        </w:numPr>
        <w:pStyle w:val="Compact"/>
      </w:pPr>
      <w:r>
        <w:t xml:space="preserve">Security headers: strict CSP with nonces, HSTS preload, frame-ancestors none, Referrer-Policy, Permissions-Policy denying everything not used.</w:t>
      </w:r>
    </w:p>
    <w:p>
      <w:pPr>
        <w:numPr>
          <w:ilvl w:val="0"/>
          <w:numId w:val="1456"/>
        </w:numPr>
        <w:pStyle w:val="Compact"/>
      </w:pPr>
      <w:r>
        <w:t xml:space="preserve">Portal app: one deployment with operations, lender and admin workspaces on workspace-scoped routes (a sub-domain per workspace is optional); SSO with MFA; no borrower PII in URLs; export controls by permission.</w:t>
      </w:r>
    </w:p>
    <w:bookmarkEnd w:id="480"/>
    <w:bookmarkStart w:id="481" w:name="Xb0cb80b3e860e0ede99a243f78f17b7537c6add"/>
    <w:p>
      <w:pPr>
        <w:pStyle w:val="Heading2"/>
      </w:pPr>
      <w:r>
        <w:t xml:space="preserve">10.5 Non-functional targets (initial — confirm in Phase 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27"/>
        <w:gridCol w:w="7711"/>
      </w:tblGrid>
      <w:tr>
        <w:trPr>
          <w:tblHeader w:val="true"/>
          <w:tblHeader w:val="true"/>
        </w:trPr>
        <w:tc>
          <w:tcPr>
            <w:tcW w:w="1927" w:type="dxa"/>
            <w:shd w:val="clear" w:color="auto" w:fill="1F3A5F"/>
          </w:tcPr>
          <w:p>
            <w:pPr>
              <w:pStyle w:val="Compact"/>
              <w:spacing w:after="40"/>
              <w:jc w:val="left"/>
            </w:pPr>
            <w:r>
              <w:rPr>
                <w:b/>
                <w:color w:val="FFFFFF"/>
                <w:sz w:val="18"/>
              </w:rPr>
              <w:t xml:space="preserve">Area</w:t>
            </w:r>
          </w:p>
        </w:tc>
        <w:tc>
          <w:tcPr>
            <w:tcW w:w="7711" w:type="dxa"/>
            <w:shd w:val="clear" w:color="auto" w:fill="1F3A5F"/>
          </w:tcPr>
          <w:p>
            <w:pPr>
              <w:pStyle w:val="Compact"/>
              <w:spacing w:after="40"/>
              <w:jc w:val="left"/>
            </w:pPr>
            <w:r>
              <w:rPr>
                <w:b/>
                <w:color w:val="FFFFFF"/>
                <w:sz w:val="18"/>
              </w:rPr>
              <w:t xml:space="preserve">Target</w:t>
            </w:r>
          </w:p>
        </w:tc>
      </w:tr>
      <w:tr>
        <w:tc>
          <w:tcPr>
            <w:tcW w:w="1927" w:type="dxa"/>
          </w:tcPr>
          <w:p>
            <w:pPr>
              <w:pStyle w:val="Compact"/>
              <w:spacing w:after="40"/>
              <w:jc w:val="left"/>
            </w:pPr>
            <w:r>
              <w:rPr>
                <w:sz w:val="18"/>
              </w:rPr>
              <w:t xml:space="preserve">Scale</w:t>
            </w:r>
          </w:p>
        </w:tc>
        <w:tc>
          <w:tcPr>
            <w:tcW w:w="7711" w:type="dxa"/>
          </w:tcPr>
          <w:p>
            <w:pPr>
              <w:pStyle w:val="Compact"/>
              <w:spacing w:after="40"/>
              <w:jc w:val="left"/>
            </w:pPr>
            <w:r>
              <w:rPr>
                <w:sz w:val="18"/>
              </w:rPr>
              <w:t xml:space="preserve">1 million+ registered borrowers in year one; design headroom to 10 million+; 100+ RE tenants; 50,000 concurrent app and web sessions; peaks of 200 application submissions per second during campaigns (validate in Phase 0)</w:t>
            </w:r>
          </w:p>
        </w:tc>
      </w:tr>
      <w:tr>
        <w:tc>
          <w:tcPr>
            <w:tcW w:w="1927" w:type="dxa"/>
          </w:tcPr>
          <w:p>
            <w:pPr>
              <w:pStyle w:val="Compact"/>
              <w:spacing w:after="40"/>
              <w:jc w:val="left"/>
            </w:pPr>
            <w:r>
              <w:rPr>
                <w:sz w:val="18"/>
              </w:rPr>
              <w:t xml:space="preserve">Availability (production)</w:t>
            </w:r>
          </w:p>
        </w:tc>
        <w:tc>
          <w:tcPr>
            <w:tcW w:w="7711" w:type="dxa"/>
          </w:tcPr>
          <w:p>
            <w:pPr>
              <w:pStyle w:val="Compact"/>
              <w:spacing w:after="40"/>
              <w:jc w:val="left"/>
            </w:pPr>
            <w:r>
              <w:rPr>
                <w:sz w:val="18"/>
              </w:rPr>
              <w:t xml:space="preserve">99.9% monthly for borrower APIs and portals; graceful degradation when an RE connector or provider is down</w:t>
            </w:r>
          </w:p>
        </w:tc>
      </w:tr>
      <w:tr>
        <w:tc>
          <w:tcPr>
            <w:tcW w:w="1927" w:type="dxa"/>
          </w:tcPr>
          <w:p>
            <w:pPr>
              <w:pStyle w:val="Compact"/>
              <w:spacing w:after="40"/>
              <w:jc w:val="left"/>
            </w:pPr>
            <w:r>
              <w:rPr>
                <w:sz w:val="18"/>
              </w:rPr>
              <w:t xml:space="preserve">API latency</w:t>
            </w:r>
          </w:p>
        </w:tc>
        <w:tc>
          <w:tcPr>
            <w:tcW w:w="7711" w:type="dxa"/>
          </w:tcPr>
          <w:p>
            <w:pPr>
              <w:pStyle w:val="Compact"/>
              <w:spacing w:after="40"/>
              <w:jc w:val="left"/>
            </w:pPr>
            <w:r>
              <w:rPr>
                <w:sz w:val="18"/>
              </w:rPr>
              <w:t xml:space="preserve">p95 &lt; 300 ms for reads and &lt; 800 ms for standard writes, excluding third-party calls; provider calls shown with progress and time-outs</w:t>
            </w:r>
          </w:p>
        </w:tc>
      </w:tr>
      <w:tr>
        <w:tc>
          <w:tcPr>
            <w:tcW w:w="1927" w:type="dxa"/>
          </w:tcPr>
          <w:p>
            <w:pPr>
              <w:pStyle w:val="Compact"/>
              <w:spacing w:after="40"/>
              <w:jc w:val="left"/>
            </w:pPr>
            <w:r>
              <w:rPr>
                <w:sz w:val="18"/>
              </w:rPr>
              <w:t xml:space="preserve">Journey speed</w:t>
            </w:r>
          </w:p>
        </w:tc>
        <w:tc>
          <w:tcPr>
            <w:tcW w:w="7711" w:type="dxa"/>
          </w:tcPr>
          <w:p>
            <w:pPr>
              <w:pStyle w:val="Compact"/>
              <w:spacing w:after="40"/>
              <w:jc w:val="left"/>
            </w:pPr>
            <w:r>
              <w:rPr>
                <w:sz w:val="18"/>
              </w:rPr>
              <w:t xml:space="preserve">Start an application in 3–4 interactions (mobile number, OTP, consent, product choice); no step waits on a synchronous provider call longer than 10 seconds without a progress state</w:t>
            </w:r>
          </w:p>
        </w:tc>
      </w:tr>
      <w:tr>
        <w:tc>
          <w:tcPr>
            <w:tcW w:w="1927" w:type="dxa"/>
          </w:tcPr>
          <w:p>
            <w:pPr>
              <w:pStyle w:val="Compact"/>
              <w:spacing w:after="40"/>
              <w:jc w:val="left"/>
            </w:pPr>
            <w:r>
              <w:rPr>
                <w:sz w:val="18"/>
              </w:rPr>
              <w:t xml:space="preserve">Mobile app</w:t>
            </w:r>
          </w:p>
        </w:tc>
        <w:tc>
          <w:tcPr>
            <w:tcW w:w="7711" w:type="dxa"/>
          </w:tcPr>
          <w:p>
            <w:pPr>
              <w:pStyle w:val="Compact"/>
              <w:spacing w:after="40"/>
              <w:jc w:val="left"/>
            </w:pPr>
            <w:r>
              <w:rPr>
                <w:sz w:val="18"/>
              </w:rPr>
              <w:t xml:space="preserve">Cold start &lt; 3 s on the reference low-end Android device; crash-free sessions ≥ 99.5%; ANR rate below Play’s bad-behaviour threshold; download size &lt; 30 MB per ABI split</w:t>
            </w:r>
          </w:p>
        </w:tc>
      </w:tr>
      <w:tr>
        <w:tc>
          <w:tcPr>
            <w:tcW w:w="1927" w:type="dxa"/>
          </w:tcPr>
          <w:p>
            <w:pPr>
              <w:pStyle w:val="Compact"/>
              <w:spacing w:after="40"/>
              <w:jc w:val="left"/>
            </w:pPr>
            <w:r>
              <w:rPr>
                <w:sz w:val="18"/>
              </w:rPr>
              <w:t xml:space="preserve">Web</w:t>
            </w:r>
          </w:p>
        </w:tc>
        <w:tc>
          <w:tcPr>
            <w:tcW w:w="7711" w:type="dxa"/>
          </w:tcPr>
          <w:p>
            <w:pPr>
              <w:pStyle w:val="Compact"/>
              <w:spacing w:after="40"/>
              <w:jc w:val="left"/>
            </w:pPr>
            <w:r>
              <w:rPr>
                <w:sz w:val="18"/>
              </w:rPr>
              <w:t xml:space="preserve">Core Web Vitals</w:t>
            </w:r>
            <w:r>
              <w:rPr>
                <w:sz w:val="18"/>
              </w:rPr>
              <w:t xml:space="preserve"> </w:t>
            </w:r>
            <w:r>
              <w:rPr>
                <w:sz w:val="18"/>
              </w:rPr>
              <w:t xml:space="preserve">“</w:t>
            </w:r>
            <w:r>
              <w:rPr>
                <w:sz w:val="18"/>
              </w:rPr>
              <w:t xml:space="preserve">good</w:t>
            </w:r>
            <w:r>
              <w:rPr>
                <w:sz w:val="18"/>
              </w:rPr>
              <w:t xml:space="preserve">”</w:t>
            </w:r>
            <w:r>
              <w:rPr>
                <w:sz w:val="18"/>
              </w:rPr>
              <w:t xml:space="preserve"> </w:t>
            </w:r>
            <w:r>
              <w:rPr>
                <w:sz w:val="18"/>
              </w:rPr>
              <w:t xml:space="preserve">at p75 on a mid-range Android phone on 4G (LCP &lt; 2.5 s, INP &lt; 200 ms, CLS &lt; 0.1)</w:t>
            </w:r>
          </w:p>
        </w:tc>
      </w:tr>
      <w:tr>
        <w:tc>
          <w:tcPr>
            <w:tcW w:w="1927" w:type="dxa"/>
          </w:tcPr>
          <w:p>
            <w:pPr>
              <w:pStyle w:val="Compact"/>
              <w:spacing w:after="40"/>
              <w:jc w:val="left"/>
            </w:pPr>
            <w:r>
              <w:rPr>
                <w:sz w:val="18"/>
              </w:rPr>
              <w:t xml:space="preserve">RPO / RTO</w:t>
            </w:r>
          </w:p>
        </w:tc>
        <w:tc>
          <w:tcPr>
            <w:tcW w:w="7711" w:type="dxa"/>
          </w:tcPr>
          <w:p>
            <w:pPr>
              <w:pStyle w:val="Compact"/>
              <w:spacing w:after="40"/>
              <w:jc w:val="left"/>
            </w:pPr>
            <w:r>
              <w:rPr>
                <w:sz w:val="18"/>
              </w:rPr>
              <w:t xml:space="preserve">To be agreed per RE in the LSP agreement. Each ML+ RE’s ITSC approves an RTO for its critical systems and needs near-zero RPO with a reconciliation method where RPO ≠ 0 (CYB paras 134–136); Udofin’s default target is RPO ≤ 5 minutes and RTO ≤ 4 hours, with a tighter tier where an RE requires it (CYB para 138)</w:t>
            </w:r>
          </w:p>
        </w:tc>
      </w:tr>
      <w:tr>
        <w:tc>
          <w:tcPr>
            <w:tcW w:w="1927" w:type="dxa"/>
          </w:tcPr>
          <w:p>
            <w:pPr>
              <w:pStyle w:val="Compact"/>
              <w:spacing w:after="40"/>
              <w:jc w:val="left"/>
            </w:pPr>
            <w:r>
              <w:rPr>
                <w:sz w:val="18"/>
              </w:rPr>
              <w:t xml:space="preserve">DR</w:t>
            </w:r>
          </w:p>
        </w:tc>
        <w:tc>
          <w:tcPr>
            <w:tcW w:w="7711" w:type="dxa"/>
          </w:tcPr>
          <w:p>
            <w:pPr>
              <w:pStyle w:val="Compact"/>
              <w:spacing w:after="40"/>
              <w:jc w:val="left"/>
            </w:pPr>
            <w:r>
              <w:rPr>
                <w:sz w:val="18"/>
              </w:rPr>
              <w:t xml:space="preserve">Geographically separated sites (ap-south-1 / ap-south-2) for production (CYB para 102); Supabase has only one India region (ap-south-1), so while on Supabase the DR copy (PITR backups or a logical replica) runs on self-managed Postgres in AWS ap-south-2, decided in the Phase 0 hosting ADR; half-yearly DR drill for REs whose critical operations depend on Udofin (CYB para 129); quarterly restore tests</w:t>
            </w:r>
          </w:p>
        </w:tc>
      </w:tr>
      <w:tr>
        <w:tc>
          <w:tcPr>
            <w:tcW w:w="1927" w:type="dxa"/>
          </w:tcPr>
          <w:p>
            <w:pPr>
              <w:pStyle w:val="Compact"/>
              <w:spacing w:after="40"/>
              <w:jc w:val="left"/>
            </w:pPr>
            <w:r>
              <w:rPr>
                <w:sz w:val="18"/>
              </w:rPr>
              <w:t xml:space="preserve">Backup</w:t>
            </w:r>
          </w:p>
        </w:tc>
        <w:tc>
          <w:tcPr>
            <w:tcW w:w="7711" w:type="dxa"/>
          </w:tcPr>
          <w:p>
            <w:pPr>
              <w:pStyle w:val="Compact"/>
              <w:spacing w:after="40"/>
              <w:jc w:val="left"/>
            </w:pPr>
            <w:r>
              <w:rPr>
                <w:sz w:val="18"/>
              </w:rPr>
              <w:t xml:space="preserve">Encrypted, immutable backups in India; restore of database, documents and workflow state tested quarterly</w:t>
            </w:r>
          </w:p>
        </w:tc>
      </w:tr>
      <w:tr>
        <w:tc>
          <w:tcPr>
            <w:tcW w:w="1927" w:type="dxa"/>
          </w:tcPr>
          <w:p>
            <w:pPr>
              <w:pStyle w:val="Compact"/>
              <w:spacing w:after="40"/>
              <w:jc w:val="left"/>
            </w:pPr>
            <w:r>
              <w:rPr>
                <w:sz w:val="18"/>
              </w:rPr>
              <w:t xml:space="preserve">Log retention</w:t>
            </w:r>
          </w:p>
        </w:tc>
        <w:tc>
          <w:tcPr>
            <w:tcW w:w="7711" w:type="dxa"/>
          </w:tcPr>
          <w:p>
            <w:pPr>
              <w:pStyle w:val="Compact"/>
              <w:spacing w:after="40"/>
              <w:jc w:val="left"/>
            </w:pPr>
            <w:r>
              <w:rPr>
                <w:sz w:val="18"/>
              </w:rPr>
              <w:t xml:space="preserve">ICT logs 180 days in India (CERT-In Directions 2022); processing logs at least 1 year (DPDP Rule 8(3), from 13 May 2027); longer where an RE contract or law requires [VERIFY each]</w:t>
            </w:r>
          </w:p>
        </w:tc>
      </w:tr>
      <w:tr>
        <w:tc>
          <w:tcPr>
            <w:tcW w:w="1927" w:type="dxa"/>
          </w:tcPr>
          <w:p>
            <w:pPr>
              <w:pStyle w:val="Compact"/>
              <w:spacing w:after="40"/>
              <w:jc w:val="left"/>
            </w:pPr>
            <w:r>
              <w:rPr>
                <w:sz w:val="18"/>
              </w:rPr>
              <w:t xml:space="preserve">Security testing</w:t>
            </w:r>
          </w:p>
        </w:tc>
        <w:tc>
          <w:tcPr>
            <w:tcW w:w="7711" w:type="dxa"/>
          </w:tcPr>
          <w:p>
            <w:pPr>
              <w:pStyle w:val="Compact"/>
              <w:spacing w:after="40"/>
              <w:jc w:val="left"/>
            </w:pPr>
            <w:r>
              <w:rPr>
                <w:sz w:val="18"/>
              </w:rPr>
              <w:t xml:space="preserve">VA every 6 months and PT every 12 months by independent, appropriately trained experts (CYB para 122; CERT-In empanelment is Udofin policy) on production, plus pre- and post-go-live and after major change (CYB paras 121–124); MASVS L2 + R mobile assessment before each major release</w:t>
            </w:r>
          </w:p>
        </w:tc>
      </w:tr>
      <w:tr>
        <w:tc>
          <w:tcPr>
            <w:tcW w:w="1927" w:type="dxa"/>
          </w:tcPr>
          <w:p>
            <w:pPr>
              <w:pStyle w:val="Compact"/>
              <w:spacing w:after="40"/>
              <w:jc w:val="left"/>
            </w:pPr>
            <w:r>
              <w:rPr>
                <w:sz w:val="18"/>
              </w:rPr>
              <w:t xml:space="preserve">Incident notice</w:t>
            </w:r>
          </w:p>
        </w:tc>
        <w:tc>
          <w:tcPr>
            <w:tcW w:w="7711" w:type="dxa"/>
          </w:tcPr>
          <w:p>
            <w:pPr>
              <w:pStyle w:val="Compact"/>
              <w:spacing w:after="40"/>
              <w:jc w:val="left"/>
            </w:pPr>
            <w:r>
              <w:rPr>
                <w:sz w:val="18"/>
              </w:rPr>
              <w:t xml:space="preserve">Notify each affected RE within 2 hours of Udofin’s detection (internal target) so it can meet its 6-hour DAKSH filing (OUT para 61; CYB paras 28, 141); Udofin’s own CERT-In report within 6 hours</w:t>
            </w:r>
          </w:p>
        </w:tc>
      </w:tr>
      <w:tr>
        <w:tc>
          <w:tcPr>
            <w:tcW w:w="1927" w:type="dxa"/>
          </w:tcPr>
          <w:p>
            <w:pPr>
              <w:pStyle w:val="Compact"/>
              <w:spacing w:after="40"/>
              <w:jc w:val="left"/>
            </w:pPr>
            <w:r>
              <w:rPr>
                <w:sz w:val="18"/>
              </w:rPr>
              <w:t xml:space="preserve">Accessibility</w:t>
            </w:r>
          </w:p>
        </w:tc>
        <w:tc>
          <w:tcPr>
            <w:tcW w:w="7711" w:type="dxa"/>
          </w:tcPr>
          <w:p>
            <w:pPr>
              <w:pStyle w:val="Compact"/>
              <w:spacing w:after="40"/>
              <w:jc w:val="left"/>
            </w:pPr>
            <w:r>
              <w:rPr>
                <w:sz w:val="18"/>
              </w:rPr>
              <w:t xml:space="preserve">WCAG 2.2 AA for web and portals; mobile equivalent</w:t>
            </w:r>
          </w:p>
        </w:tc>
      </w:tr>
      <w:tr>
        <w:tc>
          <w:tcPr>
            <w:tcW w:w="1927" w:type="dxa"/>
          </w:tcPr>
          <w:p>
            <w:pPr>
              <w:pStyle w:val="Compact"/>
              <w:spacing w:after="40"/>
              <w:jc w:val="left"/>
            </w:pPr>
            <w:r>
              <w:rPr>
                <w:sz w:val="18"/>
              </w:rPr>
              <w:t xml:space="preserve">Localisation</w:t>
            </w:r>
          </w:p>
        </w:tc>
        <w:tc>
          <w:tcPr>
            <w:tcW w:w="7711" w:type="dxa"/>
          </w:tcPr>
          <w:p>
            <w:pPr>
              <w:pStyle w:val="Compact"/>
              <w:spacing w:after="40"/>
              <w:jc w:val="left"/>
            </w:pPr>
            <w:r>
              <w:rPr>
                <w:sz w:val="18"/>
              </w:rPr>
              <w:t xml:space="preserve">English + Hindi at launch; INR formatting (lakh/crore); DD-MM-YYYY; IST</w:t>
            </w:r>
          </w:p>
        </w:tc>
      </w:tr>
    </w:tbl>
    <w:bookmarkEnd w:id="481"/>
    <w:bookmarkStart w:id="482" w:name="security-and-cyber-controls"/>
    <w:p>
      <w:pPr>
        <w:pStyle w:val="Heading2"/>
      </w:pPr>
      <w:r>
        <w:t xml:space="preserve">10.6 Security and cyber controls</w:t>
      </w:r>
    </w:p>
    <w:p>
      <w:pPr>
        <w:pStyle w:val="FirstParagraph"/>
      </w:pPr>
      <w:r>
        <w:t xml:space="preserve">Udofin must meet the controls its REs must ensure for their LSPs and DLAs (CF para 16) and for their IT service providers (OUT Ch IV; CYB). Map each control to a CYB paragraph, a MASVS v2.1.0 control group and a test.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40"/>
        <w:gridCol w:w="5344"/>
        <w:gridCol w:w="2554"/>
      </w:tblGrid>
      <w:tr>
        <w:trPr>
          <w:tblHeader w:val="true"/>
          <w:tblHeader w:val="true"/>
        </w:trPr>
        <w:tc>
          <w:tcPr>
            <w:tcW w:w="1740" w:type="dxa"/>
            <w:shd w:val="clear" w:color="auto" w:fill="1F3A5F"/>
          </w:tcPr>
          <w:p>
            <w:pPr>
              <w:pStyle w:val="Compact"/>
              <w:spacing w:after="40"/>
              <w:jc w:val="left"/>
            </w:pPr>
            <w:r>
              <w:rPr>
                <w:b/>
                <w:color w:val="FFFFFF"/>
                <w:sz w:val="18"/>
              </w:rPr>
              <w:t xml:space="preserve">Area</w:t>
            </w:r>
          </w:p>
        </w:tc>
        <w:tc>
          <w:tcPr>
            <w:tcW w:w="5344" w:type="dxa"/>
            <w:shd w:val="clear" w:color="auto" w:fill="1F3A5F"/>
          </w:tcPr>
          <w:p>
            <w:pPr>
              <w:pStyle w:val="Compact"/>
              <w:spacing w:after="40"/>
              <w:jc w:val="left"/>
            </w:pPr>
            <w:r>
              <w:rPr>
                <w:b/>
                <w:color w:val="FFFFFF"/>
                <w:sz w:val="18"/>
              </w:rPr>
              <w:t xml:space="preserve">Control</w:t>
            </w:r>
          </w:p>
        </w:tc>
        <w:tc>
          <w:tcPr>
            <w:tcW w:w="2554" w:type="dxa"/>
            <w:shd w:val="clear" w:color="auto" w:fill="1F3A5F"/>
          </w:tcPr>
          <w:p>
            <w:pPr>
              <w:pStyle w:val="Compact"/>
              <w:spacing w:after="40"/>
              <w:jc w:val="left"/>
            </w:pPr>
            <w:r>
              <w:rPr>
                <w:b/>
                <w:color w:val="FFFFFF"/>
                <w:sz w:val="18"/>
              </w:rPr>
              <w:t xml:space="preserve">Mapping</w:t>
            </w:r>
          </w:p>
        </w:tc>
      </w:tr>
      <w:tr>
        <w:tc>
          <w:tcPr>
            <w:tcW w:w="1740" w:type="dxa"/>
          </w:tcPr>
          <w:p>
            <w:pPr>
              <w:pStyle w:val="Compact"/>
              <w:spacing w:after="40"/>
              <w:jc w:val="left"/>
            </w:pPr>
            <w:r>
              <w:rPr>
                <w:sz w:val="18"/>
              </w:rPr>
              <w:t xml:space="preserve">Governance</w:t>
            </w:r>
          </w:p>
        </w:tc>
        <w:tc>
          <w:tcPr>
            <w:tcW w:w="5344" w:type="dxa"/>
          </w:tcPr>
          <w:p>
            <w:pPr>
              <w:pStyle w:val="Compact"/>
              <w:spacing w:after="40"/>
              <w:jc w:val="left"/>
            </w:pPr>
            <w:r>
              <w:rPr>
                <w:sz w:val="18"/>
              </w:rPr>
              <w:t xml:space="preserve">Board-approved information security, cybersecurity and BCP policies for Udofin; annual IT risk assessment; ISO/IEC 27001 and SOC 2 (Type 1 then Type 2) pursued per Part 7H RA4.4 and scoped to OUT para 97(xvii) heads, never claimed before issue</w:t>
            </w:r>
          </w:p>
        </w:tc>
        <w:tc>
          <w:tcPr>
            <w:tcW w:w="2554" w:type="dxa"/>
          </w:tcPr>
          <w:p>
            <w:pPr>
              <w:pStyle w:val="Compact"/>
              <w:spacing w:after="40"/>
              <w:jc w:val="left"/>
            </w:pPr>
            <w:r>
              <w:rPr>
                <w:sz w:val="18"/>
              </w:rPr>
              <w:t xml:space="preserve">CYB paras 20–22, 32 (BL ≥ ₹500 crore) and 83–84, 95–96, 98 (ML and above); OUT para 79</w:t>
            </w:r>
          </w:p>
        </w:tc>
      </w:tr>
      <w:tr>
        <w:tc>
          <w:tcPr>
            <w:tcW w:w="1740" w:type="dxa"/>
          </w:tcPr>
          <w:p>
            <w:pPr>
              <w:pStyle w:val="Compact"/>
              <w:spacing w:after="40"/>
              <w:jc w:val="left"/>
            </w:pPr>
            <w:r>
              <w:rPr>
                <w:sz w:val="18"/>
              </w:rPr>
              <w:t xml:space="preserve">Identity and access (staff and RE users)</w:t>
            </w:r>
          </w:p>
        </w:tc>
        <w:tc>
          <w:tcPr>
            <w:tcW w:w="5344" w:type="dxa"/>
          </w:tcPr>
          <w:p>
            <w:pPr>
              <w:pStyle w:val="Compact"/>
              <w:spacing w:after="40"/>
              <w:jc w:val="left"/>
            </w:pPr>
            <w:r>
              <w:rPr>
                <w:sz w:val="18"/>
              </w:rPr>
              <w:t xml:space="preserve">SSO with MFA for all staff and RE users; MFA for privileged users and critical actions (routing-rule publication, DLG arrangement, credential change, bulk export); PAM with session recording; quarterly access reviews; SoD matrix</w:t>
            </w:r>
          </w:p>
        </w:tc>
        <w:tc>
          <w:tcPr>
            <w:tcW w:w="2554" w:type="dxa"/>
          </w:tcPr>
          <w:p>
            <w:pPr>
              <w:pStyle w:val="Compact"/>
              <w:spacing w:after="40"/>
              <w:jc w:val="left"/>
            </w:pPr>
            <w:r>
              <w:rPr>
                <w:sz w:val="18"/>
              </w:rPr>
              <w:t xml:space="preserve">CYB paras 113–115; OUT 97(viii)</w:t>
            </w:r>
          </w:p>
        </w:tc>
      </w:tr>
      <w:tr>
        <w:tc>
          <w:tcPr>
            <w:tcW w:w="1740" w:type="dxa"/>
          </w:tcPr>
          <w:p>
            <w:pPr>
              <w:pStyle w:val="Compact"/>
              <w:spacing w:after="40"/>
              <w:jc w:val="left"/>
            </w:pPr>
            <w:r>
              <w:rPr>
                <w:sz w:val="18"/>
              </w:rPr>
              <w:t xml:space="preserve">Borrower authentication</w:t>
            </w:r>
          </w:p>
        </w:tc>
        <w:tc>
          <w:tcPr>
            <w:tcW w:w="5344" w:type="dxa"/>
          </w:tcPr>
          <w:p>
            <w:pPr>
              <w:pStyle w:val="Compact"/>
              <w:spacing w:after="40"/>
              <w:jc w:val="left"/>
            </w:pPr>
            <w:r>
              <w:rPr>
                <w:sz w:val="18"/>
              </w:rPr>
              <w:t xml:space="preserve">OTP + device binding + app unlock; re-authentication on sensitive actions; device list and revocation; lockout after failed attempts with secure reactivation</w:t>
            </w:r>
          </w:p>
        </w:tc>
        <w:tc>
          <w:tcPr>
            <w:tcW w:w="2554" w:type="dxa"/>
          </w:tcPr>
          <w:p>
            <w:pPr>
              <w:pStyle w:val="Compact"/>
              <w:spacing w:after="40"/>
              <w:jc w:val="left"/>
            </w:pPr>
            <w:r>
              <w:rPr>
                <w:sz w:val="18"/>
              </w:rPr>
              <w:t xml:space="preserve">MASVS-AUTH-1 to 3; DPS paras 49–51, 68(6), 68(8) (baseline)</w:t>
            </w:r>
          </w:p>
        </w:tc>
      </w:tr>
      <w:tr>
        <w:tc>
          <w:tcPr>
            <w:tcW w:w="1740" w:type="dxa"/>
          </w:tcPr>
          <w:p>
            <w:pPr>
              <w:pStyle w:val="Compact"/>
              <w:spacing w:after="40"/>
              <w:jc w:val="left"/>
            </w:pPr>
            <w:r>
              <w:rPr>
                <w:sz w:val="18"/>
              </w:rPr>
              <w:t xml:space="preserve">Mobile data storage</w:t>
            </w:r>
          </w:p>
        </w:tc>
        <w:tc>
          <w:tcPr>
            <w:tcW w:w="5344" w:type="dxa"/>
          </w:tcPr>
          <w:p>
            <w:pPr>
              <w:pStyle w:val="Compact"/>
              <w:spacing w:after="40"/>
              <w:jc w:val="left"/>
            </w:pPr>
            <w:r>
              <w:rPr>
                <w:sz w:val="18"/>
              </w:rPr>
              <w:t xml:space="preserve">No credentials, tokens in plain storage, keys, hashes or hard-coded secrets on the device; Keystore/Keychain only; encrypted local DB; wipe sensitive data on logout; no sensitive data in temp files, logs, backups or keyboard cache</w:t>
            </w:r>
          </w:p>
        </w:tc>
        <w:tc>
          <w:tcPr>
            <w:tcW w:w="2554" w:type="dxa"/>
          </w:tcPr>
          <w:p>
            <w:pPr>
              <w:pStyle w:val="Compact"/>
              <w:spacing w:after="40"/>
              <w:jc w:val="left"/>
            </w:pPr>
            <w:r>
              <w:rPr>
                <w:sz w:val="18"/>
              </w:rPr>
              <w:t xml:space="preserve">MASVS-STORAGE-1, 2; DPS paras 68(10)–(11), 68(13)(iii) (baseline)</w:t>
            </w:r>
          </w:p>
        </w:tc>
      </w:tr>
      <w:tr>
        <w:tc>
          <w:tcPr>
            <w:tcW w:w="1740" w:type="dxa"/>
          </w:tcPr>
          <w:p>
            <w:pPr>
              <w:pStyle w:val="Compact"/>
              <w:spacing w:after="40"/>
              <w:jc w:val="left"/>
            </w:pPr>
            <w:r>
              <w:rPr>
                <w:sz w:val="18"/>
              </w:rPr>
              <w:t xml:space="preserve">Cryptography</w:t>
            </w:r>
          </w:p>
        </w:tc>
        <w:tc>
          <w:tcPr>
            <w:tcW w:w="5344" w:type="dxa"/>
          </w:tcPr>
          <w:p>
            <w:pPr>
              <w:pStyle w:val="Compact"/>
              <w:spacing w:after="40"/>
              <w:jc w:val="left"/>
            </w:pPr>
            <w:r>
              <w:rPr>
                <w:sz w:val="18"/>
              </w:rPr>
              <w:t xml:space="preserve">TLS 1.2+ (prefer 1.3); AES-256 at rest; field-level encryption for PAN, bank account, DOB; per-RE envelope keys in KMS; RE-controlled keys (BYOK/HYOK) for REs that require them; HSM for signing keys</w:t>
            </w:r>
          </w:p>
        </w:tc>
        <w:tc>
          <w:tcPr>
            <w:tcW w:w="2554" w:type="dxa"/>
          </w:tcPr>
          <w:p>
            <w:pPr>
              <w:pStyle w:val="Compact"/>
              <w:spacing w:after="40"/>
              <w:jc w:val="left"/>
            </w:pPr>
            <w:r>
              <w:rPr>
                <w:sz w:val="18"/>
              </w:rPr>
              <w:t xml:space="preserve">MASVS-CRYPTO-1, 2; CYB para 118; OUT para 97(vii)(b)</w:t>
            </w:r>
          </w:p>
        </w:tc>
      </w:tr>
      <w:tr>
        <w:tc>
          <w:tcPr>
            <w:tcW w:w="1740" w:type="dxa"/>
          </w:tcPr>
          <w:p>
            <w:pPr>
              <w:pStyle w:val="Compact"/>
              <w:spacing w:after="40"/>
              <w:jc w:val="left"/>
            </w:pPr>
            <w:r>
              <w:rPr>
                <w:sz w:val="18"/>
              </w:rPr>
              <w:t xml:space="preserve">Network</w:t>
            </w:r>
          </w:p>
        </w:tc>
        <w:tc>
          <w:tcPr>
            <w:tcW w:w="5344" w:type="dxa"/>
          </w:tcPr>
          <w:p>
            <w:pPr>
              <w:pStyle w:val="Compact"/>
              <w:spacing w:after="40"/>
              <w:jc w:val="left"/>
            </w:pPr>
            <w:r>
              <w:rPr>
                <w:sz w:val="18"/>
              </w:rPr>
              <w:t xml:space="preserve">Certificate pinning to Udofin’s own API domains with a backup pin and a remote kill switch for pin rotation (never pin third-party SDK domains); reject cleartext; stop loading content on TLS errors and show the error</w:t>
            </w:r>
          </w:p>
        </w:tc>
        <w:tc>
          <w:tcPr>
            <w:tcW w:w="2554" w:type="dxa"/>
          </w:tcPr>
          <w:p>
            <w:pPr>
              <w:pStyle w:val="Compact"/>
              <w:spacing w:after="40"/>
              <w:jc w:val="left"/>
            </w:pPr>
            <w:r>
              <w:rPr>
                <w:sz w:val="18"/>
              </w:rPr>
              <w:t xml:space="preserve">MASVS-NETWORK-1, 2; DPS para 68(13)(iv)–(v) (baseline)</w:t>
            </w:r>
          </w:p>
        </w:tc>
      </w:tr>
      <w:tr>
        <w:tc>
          <w:tcPr>
            <w:tcW w:w="1740" w:type="dxa"/>
          </w:tcPr>
          <w:p>
            <w:pPr>
              <w:pStyle w:val="Compact"/>
              <w:spacing w:after="40"/>
              <w:jc w:val="left"/>
            </w:pPr>
            <w:r>
              <w:rPr>
                <w:sz w:val="18"/>
              </w:rPr>
              <w:t xml:space="preserve">Platform interaction</w:t>
            </w:r>
          </w:p>
        </w:tc>
        <w:tc>
          <w:tcPr>
            <w:tcW w:w="5344" w:type="dxa"/>
          </w:tcPr>
          <w:p>
            <w:pPr>
              <w:pStyle w:val="Compact"/>
              <w:spacing w:after="40"/>
              <w:jc w:val="left"/>
            </w:pPr>
            <w:r>
              <w:rPr>
                <w:sz w:val="18"/>
              </w:rPr>
              <w:t xml:space="preserve">Minimal permissions (10.3); FLAG_SECURE on sensitive screens; WebViews only for Udofin-controlled content with JavaScript bridges disabled; App Links/Universal Links only</w:t>
            </w:r>
          </w:p>
        </w:tc>
        <w:tc>
          <w:tcPr>
            <w:tcW w:w="2554" w:type="dxa"/>
          </w:tcPr>
          <w:p>
            <w:pPr>
              <w:pStyle w:val="Compact"/>
              <w:spacing w:after="40"/>
              <w:jc w:val="left"/>
            </w:pPr>
            <w:r>
              <w:rPr>
                <w:sz w:val="18"/>
              </w:rPr>
              <w:t xml:space="preserve">MASVS-PLATFORM-1 to 3; DPS para 68(2)(vii) (baseline); CF para 13(1)</w:t>
            </w:r>
          </w:p>
        </w:tc>
      </w:tr>
      <w:tr>
        <w:tc>
          <w:tcPr>
            <w:tcW w:w="1740" w:type="dxa"/>
          </w:tcPr>
          <w:p>
            <w:pPr>
              <w:pStyle w:val="Compact"/>
              <w:spacing w:after="40"/>
              <w:jc w:val="left"/>
            </w:pPr>
            <w:r>
              <w:rPr>
                <w:sz w:val="18"/>
              </w:rPr>
              <w:t xml:space="preserve">Code quality and supply chain</w:t>
            </w:r>
          </w:p>
        </w:tc>
        <w:tc>
          <w:tcPr>
            <w:tcW w:w="5344" w:type="dxa"/>
          </w:tcPr>
          <w:p>
            <w:pPr>
              <w:pStyle w:val="Compact"/>
              <w:spacing w:after="40"/>
              <w:jc w:val="left"/>
            </w:pPr>
            <w:r>
              <w:rPr>
                <w:sz w:val="18"/>
              </w:rPr>
              <w:t xml:space="preserve">SAST, SCA, secret scanning, SBOM per release; signed builds; pinned dependencies; source-code escrow deposit per production release where an RE requires it; vendor certificate of no known vulnerabilities, malware or covert channels per material change</w:t>
            </w:r>
          </w:p>
        </w:tc>
        <w:tc>
          <w:tcPr>
            <w:tcW w:w="2554" w:type="dxa"/>
          </w:tcPr>
          <w:p>
            <w:pPr>
              <w:pStyle w:val="Compact"/>
              <w:spacing w:after="40"/>
              <w:jc w:val="left"/>
            </w:pPr>
            <w:r>
              <w:rPr>
                <w:sz w:val="18"/>
              </w:rPr>
              <w:t xml:space="preserve">MASVS-CODE-1 to 4; CYB paras 105–106, 125–126</w:t>
            </w:r>
          </w:p>
        </w:tc>
      </w:tr>
      <w:tr>
        <w:tc>
          <w:tcPr>
            <w:tcW w:w="1740" w:type="dxa"/>
          </w:tcPr>
          <w:p>
            <w:pPr>
              <w:pStyle w:val="Compact"/>
              <w:spacing w:after="40"/>
              <w:jc w:val="left"/>
            </w:pPr>
            <w:r>
              <w:rPr>
                <w:sz w:val="18"/>
              </w:rPr>
              <w:t xml:space="preserve">Resilience</w:t>
            </w:r>
          </w:p>
        </w:tc>
        <w:tc>
          <w:tcPr>
            <w:tcW w:w="5344" w:type="dxa"/>
          </w:tcPr>
          <w:p>
            <w:pPr>
              <w:pStyle w:val="Compact"/>
              <w:spacing w:after="40"/>
              <w:jc w:val="left"/>
            </w:pPr>
            <w:r>
              <w:rPr>
                <w:sz w:val="18"/>
              </w:rPr>
              <w:t xml:space="preserve">Play Integrity and App Attest verdicts verified server-side; root/jailbreak, hooking, emulator and repackaging detection as risk signals; code obfuscation; anti-tamper checks</w:t>
            </w:r>
          </w:p>
        </w:tc>
        <w:tc>
          <w:tcPr>
            <w:tcW w:w="2554" w:type="dxa"/>
          </w:tcPr>
          <w:p>
            <w:pPr>
              <w:pStyle w:val="Compact"/>
              <w:spacing w:after="40"/>
              <w:jc w:val="left"/>
            </w:pPr>
            <w:r>
              <w:rPr>
                <w:sz w:val="18"/>
              </w:rPr>
              <w:t xml:space="preserve">MASVS-RESILIENCE-1 to 4; DPS para 68(2)(i), 68(2)(ix), 68(4) (baseline)</w:t>
            </w:r>
          </w:p>
        </w:tc>
      </w:tr>
      <w:tr>
        <w:tc>
          <w:tcPr>
            <w:tcW w:w="1740" w:type="dxa"/>
          </w:tcPr>
          <w:p>
            <w:pPr>
              <w:pStyle w:val="Compact"/>
              <w:spacing w:after="40"/>
              <w:jc w:val="left"/>
            </w:pPr>
            <w:r>
              <w:rPr>
                <w:sz w:val="18"/>
              </w:rPr>
              <w:t xml:space="preserve">Privacy</w:t>
            </w:r>
          </w:p>
        </w:tc>
        <w:tc>
          <w:tcPr>
            <w:tcW w:w="5344" w:type="dxa"/>
          </w:tcPr>
          <w:p>
            <w:pPr>
              <w:pStyle w:val="Compact"/>
              <w:spacing w:after="40"/>
              <w:jc w:val="left"/>
            </w:pPr>
            <w:r>
              <w:rPr>
                <w:sz w:val="18"/>
              </w:rPr>
              <w:t xml:space="preserve">Consent per purpose and RE; data minimisation; no third-party trackers that receive personal data; privacy dashboard in the app</w:t>
            </w:r>
          </w:p>
        </w:tc>
        <w:tc>
          <w:tcPr>
            <w:tcW w:w="2554" w:type="dxa"/>
          </w:tcPr>
          <w:p>
            <w:pPr>
              <w:pStyle w:val="Compact"/>
              <w:spacing w:after="40"/>
              <w:jc w:val="left"/>
            </w:pPr>
            <w:r>
              <w:rPr>
                <w:sz w:val="18"/>
              </w:rPr>
              <w:t xml:space="preserve">MASVS-PRIVACY-1 to 4; CF paras 13–15; DPDP ss.5–6</w:t>
            </w:r>
          </w:p>
        </w:tc>
      </w:tr>
      <w:tr>
        <w:tc>
          <w:tcPr>
            <w:tcW w:w="1740" w:type="dxa"/>
          </w:tcPr>
          <w:p>
            <w:pPr>
              <w:pStyle w:val="Compact"/>
              <w:spacing w:after="40"/>
              <w:jc w:val="left"/>
            </w:pPr>
            <w:r>
              <w:rPr>
                <w:sz w:val="18"/>
              </w:rPr>
              <w:t xml:space="preserve">Aadhaar</w:t>
            </w:r>
          </w:p>
        </w:tc>
        <w:tc>
          <w:tcPr>
            <w:tcW w:w="5344" w:type="dxa"/>
          </w:tcPr>
          <w:p>
            <w:pPr>
              <w:pStyle w:val="Compact"/>
              <w:spacing w:after="40"/>
              <w:jc w:val="left"/>
            </w:pPr>
            <w:r>
              <w:rPr>
                <w:sz w:val="18"/>
              </w:rPr>
              <w:t xml:space="preserve">Udofin never stores the Aadhaar number or UID token. Prefer OKYC/DigiLocker flows that return masked data; any Aadhaar Data Vault sits with the requesting entity (the RE as KUA or sub-KUA) per UIDAI Circular 14 of 2025, hosted on premises, on a MeitY-empanelled GCC or as ADV-as-a-service, with HSM and reference keys. Udofin tokenises with its own non-reversible reference IDs</w:t>
            </w:r>
          </w:p>
        </w:tc>
        <w:tc>
          <w:tcPr>
            <w:tcW w:w="2554" w:type="dxa"/>
          </w:tcPr>
          <w:p>
            <w:pPr>
              <w:pStyle w:val="Compact"/>
              <w:spacing w:after="40"/>
              <w:jc w:val="left"/>
            </w:pPr>
            <w:r>
              <w:rPr>
                <w:sz w:val="18"/>
              </w:rPr>
              <w:t xml:space="preserve">Aadhaar Act s.29; UIDAI Circular 14 of 2025; KYC para 23 Explanation 3</w:t>
            </w:r>
          </w:p>
        </w:tc>
      </w:tr>
      <w:tr>
        <w:tc>
          <w:tcPr>
            <w:tcW w:w="1740" w:type="dxa"/>
          </w:tcPr>
          <w:p>
            <w:pPr>
              <w:pStyle w:val="Compact"/>
              <w:spacing w:after="40"/>
              <w:jc w:val="left"/>
            </w:pPr>
            <w:r>
              <w:rPr>
                <w:sz w:val="18"/>
              </w:rPr>
              <w:t xml:space="preserve">Biometrics</w:t>
            </w:r>
          </w:p>
        </w:tc>
        <w:tc>
          <w:tcPr>
            <w:tcW w:w="5344" w:type="dxa"/>
          </w:tcPr>
          <w:p>
            <w:pPr>
              <w:pStyle w:val="Compact"/>
              <w:spacing w:after="40"/>
              <w:jc w:val="left"/>
            </w:pPr>
            <w:r>
              <w:rPr>
                <w:sz w:val="18"/>
              </w:rPr>
              <w:t xml:space="preserve">Face images used for match and liveness only, passed to the RE-scoped vault or discarded per the RE’s instruction; no templates stored by Udofin</w:t>
            </w:r>
          </w:p>
        </w:tc>
        <w:tc>
          <w:tcPr>
            <w:tcW w:w="2554" w:type="dxa"/>
          </w:tcPr>
          <w:p>
            <w:pPr>
              <w:pStyle w:val="Compact"/>
              <w:spacing w:after="40"/>
              <w:jc w:val="left"/>
            </w:pPr>
            <w:r>
              <w:rPr>
                <w:sz w:val="18"/>
              </w:rPr>
              <w:t xml:space="preserve">CF para 14(3)</w:t>
            </w:r>
          </w:p>
        </w:tc>
      </w:tr>
      <w:tr>
        <w:tc>
          <w:tcPr>
            <w:tcW w:w="1740" w:type="dxa"/>
          </w:tcPr>
          <w:p>
            <w:pPr>
              <w:pStyle w:val="Compact"/>
              <w:spacing w:after="40"/>
              <w:jc w:val="left"/>
            </w:pPr>
            <w:r>
              <w:rPr>
                <w:sz w:val="18"/>
              </w:rPr>
              <w:t xml:space="preserve">Secrets</w:t>
            </w:r>
          </w:p>
        </w:tc>
        <w:tc>
          <w:tcPr>
            <w:tcW w:w="5344" w:type="dxa"/>
          </w:tcPr>
          <w:p>
            <w:pPr>
              <w:pStyle w:val="Compact"/>
              <w:spacing w:after="40"/>
              <w:jc w:val="left"/>
            </w:pPr>
            <w:r>
              <w:rPr>
                <w:sz w:val="18"/>
              </w:rPr>
              <w:t xml:space="preserve">Secrets Manager / Vault; short-lived credentials; per-RE provider credentials stored encrypted under that RE’s key; rotation runbook; no secrets in the app bundle,</w:t>
            </w:r>
            <w:r>
              <w:rPr>
                <w:sz w:val="18"/>
              </w:rPr>
              <w:t xml:space="preserve"> </w:t>
            </w:r>
            <w:r>
              <w:rPr>
                <w:rStyle w:val="VerbatimChar"/>
                <w:sz w:val="18"/>
              </w:rPr>
              <w:t xml:space="preserve">app.json</w:t>
            </w:r>
            <w:r>
              <w:rPr>
                <w:sz w:val="18"/>
              </w:rPr>
              <w:t xml:space="preserve">, EAS env for client builds, or OTA bundles</w:t>
            </w:r>
          </w:p>
        </w:tc>
        <w:tc>
          <w:tcPr>
            <w:tcW w:w="2554" w:type="dxa"/>
          </w:tcPr>
          <w:p>
            <w:pPr>
              <w:pStyle w:val="Compact"/>
              <w:spacing w:after="40"/>
              <w:jc w:val="left"/>
            </w:pPr>
            <w:r>
              <w:rPr>
                <w:sz w:val="18"/>
              </w:rPr>
              <w:t xml:space="preserve">OUT 97(viii); MASVS-STORAGE-1</w:t>
            </w:r>
          </w:p>
        </w:tc>
      </w:tr>
      <w:tr>
        <w:tc>
          <w:tcPr>
            <w:tcW w:w="1740" w:type="dxa"/>
          </w:tcPr>
          <w:p>
            <w:pPr>
              <w:pStyle w:val="Compact"/>
              <w:spacing w:after="40"/>
              <w:jc w:val="left"/>
            </w:pPr>
            <w:r>
              <w:rPr>
                <w:sz w:val="18"/>
              </w:rPr>
              <w:t xml:space="preserve">Logging without PII</w:t>
            </w:r>
          </w:p>
        </w:tc>
        <w:tc>
          <w:tcPr>
            <w:tcW w:w="5344" w:type="dxa"/>
          </w:tcPr>
          <w:p>
            <w:pPr>
              <w:pStyle w:val="Compact"/>
              <w:spacing w:after="40"/>
              <w:jc w:val="left"/>
            </w:pPr>
            <w:r>
              <w:rPr>
                <w:sz w:val="18"/>
              </w:rPr>
              <w:t xml:space="preserve">Structured logs with an allow-list of fields; automatic redaction of PAN, Aadhaar patterns, account numbers, OTPs, tokens; correlation IDs instead of identifiers; mobile crash reports scrubbed on device</w:t>
            </w:r>
          </w:p>
        </w:tc>
        <w:tc>
          <w:tcPr>
            <w:tcW w:w="2554" w:type="dxa"/>
          </w:tcPr>
          <w:p>
            <w:pPr>
              <w:pStyle w:val="Compact"/>
              <w:spacing w:after="40"/>
              <w:jc w:val="left"/>
            </w:pPr>
            <w:r>
              <w:rPr>
                <w:sz w:val="18"/>
              </w:rPr>
              <w:t xml:space="preserve">Principle 14; CYB paras 109–111</w:t>
            </w:r>
          </w:p>
        </w:tc>
      </w:tr>
      <w:tr>
        <w:tc>
          <w:tcPr>
            <w:tcW w:w="1740" w:type="dxa"/>
          </w:tcPr>
          <w:p>
            <w:pPr>
              <w:pStyle w:val="Compact"/>
              <w:spacing w:after="40"/>
              <w:jc w:val="left"/>
            </w:pPr>
            <w:r>
              <w:rPr>
                <w:sz w:val="18"/>
              </w:rPr>
              <w:t xml:space="preserve">Application security</w:t>
            </w:r>
          </w:p>
        </w:tc>
        <w:tc>
          <w:tcPr>
            <w:tcW w:w="5344" w:type="dxa"/>
          </w:tcPr>
          <w:p>
            <w:pPr>
              <w:pStyle w:val="Compact"/>
              <w:spacing w:after="40"/>
              <w:jc w:val="left"/>
            </w:pPr>
            <w:r>
              <w:rPr>
                <w:sz w:val="18"/>
              </w:rPr>
              <w:t xml:space="preserve">Zod validation; output encoding; CSRF; rate limiting; IDOR/BOLA tests on every endpoint; webhook signature verification and replay protection; file-upload scanning; WAF and DDoS on every internet endpoint</w:t>
            </w:r>
          </w:p>
        </w:tc>
        <w:tc>
          <w:tcPr>
            <w:tcW w:w="2554" w:type="dxa"/>
          </w:tcPr>
          <w:p>
            <w:pPr>
              <w:pStyle w:val="Compact"/>
              <w:spacing w:after="40"/>
              <w:jc w:val="left"/>
            </w:pPr>
            <w:r>
              <w:rPr>
                <w:sz w:val="18"/>
              </w:rPr>
              <w:t xml:space="preserve">OWASP ASVS L2; DPS paras 22–23 (baseline)</w:t>
            </w:r>
          </w:p>
        </w:tc>
      </w:tr>
      <w:tr>
        <w:tc>
          <w:tcPr>
            <w:tcW w:w="1740" w:type="dxa"/>
          </w:tcPr>
          <w:p>
            <w:pPr>
              <w:pStyle w:val="Compact"/>
              <w:spacing w:after="40"/>
              <w:jc w:val="left"/>
            </w:pPr>
            <w:r>
              <w:rPr>
                <w:sz w:val="18"/>
              </w:rPr>
              <w:t xml:space="preserve">Monitoring and incidents</w:t>
            </w:r>
          </w:p>
        </w:tc>
        <w:tc>
          <w:tcPr>
            <w:tcW w:w="5344" w:type="dxa"/>
          </w:tcPr>
          <w:p>
            <w:pPr>
              <w:pStyle w:val="Compact"/>
              <w:spacing w:after="40"/>
              <w:jc w:val="left"/>
            </w:pPr>
            <w:r>
              <w:rPr>
                <w:sz w:val="18"/>
              </w:rPr>
              <w:t xml:space="preserve">SIEM-ready audit stream with per-RE feeds to each RE’s SOC; anomaly alerts (bulk export, off-hours privileged access, mass status change, credential stuffing); incident runbook with RE notification, DAKSH support and CERT-In templates; NTP-synchronised clocks</w:t>
            </w:r>
          </w:p>
        </w:tc>
        <w:tc>
          <w:tcPr>
            <w:tcW w:w="2554" w:type="dxa"/>
          </w:tcPr>
          <w:p>
            <w:pPr>
              <w:pStyle w:val="Compact"/>
              <w:spacing w:after="40"/>
              <w:jc w:val="left"/>
            </w:pPr>
            <w:r>
              <w:rPr>
                <w:sz w:val="18"/>
              </w:rPr>
              <w:t xml:space="preserve">OUT paras 61, 97(xi); CYB paras 139–146; CERT-In 2022</w:t>
            </w:r>
          </w:p>
        </w:tc>
      </w:tr>
      <w:tr>
        <w:tc>
          <w:tcPr>
            <w:tcW w:w="1740" w:type="dxa"/>
          </w:tcPr>
          <w:p>
            <w:pPr>
              <w:pStyle w:val="Compact"/>
              <w:spacing w:after="40"/>
              <w:jc w:val="left"/>
            </w:pPr>
            <w:r>
              <w:rPr>
                <w:sz w:val="18"/>
              </w:rPr>
              <w:t xml:space="preserve">Fraud signals</w:t>
            </w:r>
          </w:p>
        </w:tc>
        <w:tc>
          <w:tcPr>
            <w:tcW w:w="5344" w:type="dxa"/>
          </w:tcPr>
          <w:p>
            <w:pPr>
              <w:pStyle w:val="Compact"/>
              <w:spacing w:after="40"/>
              <w:jc w:val="left"/>
            </w:pPr>
            <w:r>
              <w:rPr>
                <w:sz w:val="18"/>
              </w:rPr>
              <w:t xml:space="preserve">Device, network, velocity, document-tamper and identity-mismatch signals to U24, shared with the RE as signals only</w:t>
            </w:r>
          </w:p>
        </w:tc>
        <w:tc>
          <w:tcPr>
            <w:tcW w:w="2554" w:type="dxa"/>
          </w:tcPr>
          <w:p>
            <w:pPr>
              <w:pStyle w:val="Compact"/>
              <w:spacing w:after="40"/>
              <w:jc w:val="left"/>
            </w:pPr>
            <w:r>
              <w:rPr>
                <w:sz w:val="18"/>
              </w:rPr>
              <w:t xml:space="preserve">FRM paras 13–23 (RE EWS); FRM 31</w:t>
            </w:r>
          </w:p>
        </w:tc>
      </w:tr>
      <w:tr>
        <w:tc>
          <w:tcPr>
            <w:tcW w:w="1740" w:type="dxa"/>
          </w:tcPr>
          <w:p>
            <w:pPr>
              <w:pStyle w:val="Compact"/>
              <w:spacing w:after="40"/>
              <w:jc w:val="left"/>
            </w:pPr>
            <w:r>
              <w:rPr>
                <w:sz w:val="18"/>
              </w:rPr>
              <w:t xml:space="preserve">Independent security review</w:t>
            </w:r>
          </w:p>
        </w:tc>
        <w:tc>
          <w:tcPr>
            <w:tcW w:w="5344" w:type="dxa"/>
          </w:tcPr>
          <w:p>
            <w:pPr>
              <w:pStyle w:val="Compact"/>
              <w:spacing w:after="40"/>
              <w:jc w:val="left"/>
            </w:pPr>
            <w:r>
              <w:rPr>
                <w:sz w:val="18"/>
              </w:rPr>
              <w:t xml:space="preserve">Each phase tries to break its own work: cross-RE access, borrower-to-borrower IDOR, privilege escalation, insecure document links, replayed OTP and webhooks, mandate and payment-link tampering, consent bypass, OTA bundle tampering, deep-link hijack, repackaged app</w:t>
            </w:r>
          </w:p>
        </w:tc>
        <w:tc>
          <w:tcPr>
            <w:tcW w:w="2554" w:type="dxa"/>
          </w:tcPr>
          <w:p>
            <w:pPr>
              <w:pStyle w:val="Compact"/>
              <w:spacing w:after="40"/>
              <w:jc w:val="left"/>
            </w:pPr>
            <w:r>
              <w:rPr>
                <w:sz w:val="18"/>
              </w:rPr>
              <w:t xml:space="preserve">Part 11.6</w:t>
            </w:r>
          </w:p>
        </w:tc>
      </w:tr>
    </w:tbl>
    <w:bookmarkEnd w:id="482"/>
    <w:bookmarkStart w:id="483" w:name="uiux-and-theming"/>
    <w:p>
      <w:pPr>
        <w:pStyle w:val="Heading2"/>
      </w:pPr>
      <w:r>
        <w:t xml:space="preserve">10.7 UI/UX and theming</w:t>
      </w:r>
    </w:p>
    <w:p>
      <w:pPr>
        <w:numPr>
          <w:ilvl w:val="0"/>
          <w:numId w:val="1457"/>
        </w:numPr>
        <w:pStyle w:val="Compact"/>
      </w:pPr>
      <w:r>
        <w:rPr>
          <w:bCs/>
          <w:b/>
        </w:rPr>
        <w:t xml:space="preserve">Non-cluttered by rule.</w:t>
      </w:r>
      <w:r>
        <w:t xml:space="preserve"> </w:t>
      </w:r>
      <w:r>
        <w:t xml:space="preserve">One primary action per screen in the borrower journey; progressive disclosure of detail; plain language at reading age 12; no marketing banners inside KYC, offer, KFS, signing or payment steps.</w:t>
      </w:r>
    </w:p>
    <w:p>
      <w:pPr>
        <w:numPr>
          <w:ilvl w:val="0"/>
          <w:numId w:val="1457"/>
        </w:numPr>
        <w:pStyle w:val="Compact"/>
      </w:pPr>
      <w:r>
        <w:rPr>
          <w:bCs/>
          <w:b/>
        </w:rPr>
        <w:t xml:space="preserve">Explain why.</w:t>
      </w:r>
      <w:r>
        <w:t xml:space="preserve"> </w:t>
      </w:r>
      <w:r>
        <w:t xml:space="preserve">Every data request and permission shows the purpose, the RE(s) that will receive the data and the retention period before the OS prompt (CF para 13(3)).</w:t>
      </w:r>
    </w:p>
    <w:p>
      <w:pPr>
        <w:numPr>
          <w:ilvl w:val="0"/>
          <w:numId w:val="1457"/>
        </w:numPr>
        <w:pStyle w:val="Compact"/>
      </w:pPr>
      <w:r>
        <w:rPr>
          <w:bCs/>
          <w:b/>
        </w:rPr>
        <w:t xml:space="preserve">Offer comparison.</w:t>
      </w:r>
      <w:r>
        <w:t xml:space="preserve"> </w:t>
      </w:r>
      <w:r>
        <w:t xml:space="preserve">A neutral, equal-weight card per matching lender with lender name, amount, tenor, APR, monthly repayment obligation, penal charges and KFS link (CF para 7(3)); unmatched lenders listed; the ranking metric shown with a link to its public description (CF para 7(4)). No pre-selected offer, countdown timers, confirm-shaming or visual emphasis on one lender (CCPA Dark Patterns Guidelines, 2023).</w:t>
      </w:r>
    </w:p>
    <w:p>
      <w:pPr>
        <w:numPr>
          <w:ilvl w:val="0"/>
          <w:numId w:val="1457"/>
        </w:numPr>
        <w:pStyle w:val="Compact"/>
      </w:pPr>
      <w:r>
        <w:rPr>
          <w:bCs/>
          <w:b/>
        </w:rPr>
        <w:t xml:space="preserve">Transparency features (U25).</w:t>
      </w:r>
      <w:r>
        <w:t xml:space="preserve"> </w:t>
      </w:r>
      <w:r>
        <w:t xml:space="preserve">A borrower financial dashboard showing every loan sourced through Udofin with its RE as source and as-of time; all charges paid; upcoming dues; documents; consents given and withdrawn; data shared with whom; complaints and their status. The expense tracker and budget planner are not part of U25: they are Part 7D FW3, in the separate wellness store and behind the FW4 gates (no SMS, notification or inbox reading).</w:t>
      </w:r>
    </w:p>
    <w:p>
      <w:pPr>
        <w:numPr>
          <w:ilvl w:val="0"/>
          <w:numId w:val="1457"/>
        </w:numPr>
        <w:pStyle w:val="Compact"/>
      </w:pPr>
      <w:r>
        <w:rPr>
          <w:bCs/>
          <w:b/>
        </w:rPr>
        <w:t xml:space="preserve">Design tokens.</w:t>
      </w:r>
      <w:r>
        <w:t xml:space="preserve"> </w:t>
      </w:r>
      <w:r>
        <w:t xml:space="preserve">Colours, typography, spacing, radius, elevation, density, motion and iconography as tokens in</w:t>
      </w:r>
      <w:r>
        <w:t xml:space="preserve"> </w:t>
      </w:r>
      <w:r>
        <w:rPr>
          <w:rStyle w:val="VerbatimChar"/>
        </w:rPr>
        <w:t xml:space="preserve">packages/ui-tokens</w:t>
      </w:r>
      <w:r>
        <w:t xml:space="preserve">, compiled to React Native and Tailwind. The project owner can change the look without code changes.</w:t>
      </w:r>
    </w:p>
    <w:p>
      <w:pPr>
        <w:numPr>
          <w:ilvl w:val="0"/>
          <w:numId w:val="1457"/>
        </w:numPr>
        <w:pStyle w:val="Compact"/>
      </w:pPr>
      <w:r>
        <w:rPr>
          <w:bCs/>
          <w:b/>
        </w:rPr>
        <w:t xml:space="preserve">Per-RE branding.</w:t>
      </w:r>
      <w:r>
        <w:t xml:space="preserve"> </w:t>
      </w:r>
      <w:r>
        <w:t xml:space="preserve">Within the Udofin app, RE branding appears only on RE-specific artefacts (offer card logo, KFS, sanction letter, agreements, RE grievance contacts); the shell stays Udofin-branded and neutral. A dedicated white-label app (Appendix B) takes a full theme from U23 and is a separate DLA.</w:t>
      </w:r>
    </w:p>
    <w:p>
      <w:pPr>
        <w:numPr>
          <w:ilvl w:val="0"/>
          <w:numId w:val="1457"/>
        </w:numPr>
        <w:pStyle w:val="Compact"/>
      </w:pPr>
      <w:r>
        <w:rPr>
          <w:bCs/>
          <w:b/>
        </w:rPr>
        <w:t xml:space="preserve">Theme guard-rails.</w:t>
      </w:r>
      <w:r>
        <w:t xml:space="preserve"> </w:t>
      </w:r>
      <w:r>
        <w:t xml:space="preserve">Contrast checks on every theme; regulatory text sizes and placements cannot be changed by a theme; disclosures always render in the default reading style.</w:t>
      </w:r>
    </w:p>
    <w:p>
      <w:pPr>
        <w:numPr>
          <w:ilvl w:val="0"/>
          <w:numId w:val="1457"/>
        </w:numPr>
        <w:pStyle w:val="Compact"/>
      </w:pPr>
      <w:r>
        <w:rPr>
          <w:bCs/>
          <w:b/>
        </w:rPr>
        <w:t xml:space="preserve">Portals.</w:t>
      </w:r>
      <w:r>
        <w:t xml:space="preserve"> </w:t>
      </w:r>
      <w:r>
        <w:t xml:space="preserve">Data-dense without noise: My Queue (SLA-sorted), global search with masked identifiers, application 360° view, saved filters, bulk actions with maker-checker, export by permission, timelines. Every screen has empty, loading, error and permission-denied states. Storybook for all components.</w:t>
      </w:r>
    </w:p>
    <w:p>
      <w:pPr>
        <w:numPr>
          <w:ilvl w:val="0"/>
          <w:numId w:val="1457"/>
        </w:numPr>
        <w:pStyle w:val="Compact"/>
      </w:pPr>
      <w:r>
        <w:rPr>
          <w:bCs/>
          <w:b/>
        </w:rPr>
        <w:t xml:space="preserve">Maximum automation.</w:t>
      </w:r>
      <w:r>
        <w:t xml:space="preserve"> </w:t>
      </w:r>
      <w:r>
        <w:t xml:space="preserve">Pre-fill from consented data pulls; auto-classification of uploaded documents with human verification; automatic status updates from RE events; automatic reminders and escalations; straight-through processing where the RE’s rules allow.</w:t>
      </w:r>
    </w:p>
    <w:bookmarkEnd w:id="483"/>
    <w:bookmarkStart w:id="484" w:name="X9cb6805a35f52e4bf9c474e15c0465d81354b21"/>
    <w:p>
      <w:pPr>
        <w:pStyle w:val="Heading2"/>
      </w:pPr>
      <w:r>
        <w:t xml:space="preserve">10.8 Vendor obligations Udofin must meet as a service provider to REs</w:t>
      </w:r>
    </w:p>
    <w:p>
      <w:pPr>
        <w:pStyle w:val="FirstParagraph"/>
      </w:pPr>
      <w:r>
        <w:t xml:space="preserve">Udofin is the RE’s LSP and service provider. Build these obligations into the product, the LSP agreement and the evidence packs (U18).</w:t>
      </w:r>
    </w:p>
    <w:p>
      <w:pPr>
        <w:pStyle w:val="BodyText"/>
      </w:pPr>
      <w:r>
        <w:rPr>
          <w:bCs/>
          <w:b/>
        </w:rPr>
        <w:t xml:space="preserve">Udofin’s status.</w:t>
      </w:r>
      <w:r>
        <w:t xml:space="preserve"> </w:t>
      </w:r>
      <w:r>
        <w:t xml:space="preserve">Udofin is an LSP (CF para 4(1)(xix)), so the RE’s arrangement with Udofin is outsourcing of financial services under OUT Chapter III; OUT para 58(3)(iii) places partnership-based fintech firms providing co-branded applications, products and services under Chapter III. Where Udofin also hosts the lender portal, stores the RE’s customer data or runs the RE’s integrations, the arrangement also has the features of IT outsourcing (application service provider and cloud services, OUT para 5(1)(iii)–(v)); for ML/UL REs it is likely material (OUT para 58(2)) [interpretation; each RE decides].</w:t>
      </w:r>
      <w:r>
        <w:t xml:space="preserve"> </w:t>
      </w:r>
      <w:r>
        <w:rPr>
          <w:bCs/>
          <w:b/>
        </w:rPr>
        <w:t xml:space="preserve">Design every arrangement to meet both Chapter III and Chapter IV.</w:t>
      </w:r>
      <w:r>
        <w:t xml:space="preserve"> </w:t>
      </w:r>
      <w:r>
        <w:t xml:space="preserve">BL REs apply CYB Ch III/IV instead of OUT Ch IV (OUT para 3(2)); for BL ≥ ₹500 crore, CYB paras 60–64 govern IT outsourcing (CYB para 117 is the ML-and-above vendor-risk rule).</w:t>
      </w:r>
    </w:p>
    <w:p>
      <w:pPr>
        <w:numPr>
          <w:ilvl w:val="0"/>
          <w:numId w:val="1458"/>
        </w:numPr>
        <w:pStyle w:val="Compact"/>
      </w:pPr>
      <w:r>
        <w:rPr>
          <w:bCs/>
          <w:b/>
        </w:rPr>
        <w:t xml:space="preserve">LSP agreement</w:t>
      </w:r>
      <w:r>
        <w:t xml:space="preserve"> </w:t>
      </w:r>
      <w:r>
        <w:t xml:space="preserve">defining roles, rights and obligations (CF para 6(1)), with the clauses of OUT paras 33–34 and 74(i)–(xix), the DLG terms where applicable (CF para 22), and for BL REs ≥ ₹500 crore the CYB para 62 terms. The standard Udofin LSP agreement and DPA carry all of them, with a clause matrix per RE:</w:t>
      </w:r>
    </w:p>
    <w:p>
      <w:pPr>
        <w:numPr>
          <w:ilvl w:val="1"/>
          <w:numId w:val="1459"/>
        </w:numPr>
        <w:pStyle w:val="Compact"/>
      </w:pPr>
      <w:r>
        <w:t xml:space="preserve">activity and service standards (34(i));</w:t>
      </w:r>
    </w:p>
    <w:p>
      <w:pPr>
        <w:numPr>
          <w:ilvl w:val="1"/>
          <w:numId w:val="1459"/>
        </w:numPr>
        <w:pStyle w:val="Compact"/>
      </w:pPr>
      <w:r>
        <w:t xml:space="preserve">RE access to books, records, data, logs and alerts (34(ii); 74(ii));</w:t>
      </w:r>
    </w:p>
    <w:p>
      <w:pPr>
        <w:numPr>
          <w:ilvl w:val="1"/>
          <w:numId w:val="1459"/>
        </w:numPr>
        <w:pStyle w:val="Compact"/>
      </w:pPr>
      <w:r>
        <w:t xml:space="preserve">continuous monitoring by the RE (34(iii); CYB 62(1));</w:t>
      </w:r>
    </w:p>
    <w:p>
      <w:pPr>
        <w:numPr>
          <w:ilvl w:val="1"/>
          <w:numId w:val="1459"/>
        </w:numPr>
        <w:pStyle w:val="Compact"/>
      </w:pPr>
      <w:r>
        <w:rPr>
          <w:bCs/>
          <w:b/>
        </w:rPr>
        <w:t xml:space="preserve">prior RE consent to any subcontractor</w:t>
      </w:r>
      <w:r>
        <w:t xml:space="preserve"> </w:t>
      </w:r>
      <w:r>
        <w:t xml:space="preserve">(34(iv));</w:t>
      </w:r>
    </w:p>
    <w:p>
      <w:pPr>
        <w:numPr>
          <w:ilvl w:val="1"/>
          <w:numId w:val="1459"/>
        </w:numPr>
        <w:pStyle w:val="Compact"/>
      </w:pPr>
      <w:r>
        <w:t xml:space="preserve">confidentiality and Udofin liability for breaches (34(v));</w:t>
      </w:r>
    </w:p>
    <w:p>
      <w:pPr>
        <w:numPr>
          <w:ilvl w:val="1"/>
          <w:numId w:val="1459"/>
        </w:numPr>
        <w:pStyle w:val="Compact"/>
      </w:pPr>
      <w:r>
        <w:t xml:space="preserve">BCP (34(vi));</w:t>
      </w:r>
    </w:p>
    <w:p>
      <w:pPr>
        <w:numPr>
          <w:ilvl w:val="1"/>
          <w:numId w:val="1459"/>
        </w:numPr>
        <w:pStyle w:val="Compact"/>
      </w:pPr>
      <w:r>
        <w:t xml:space="preserve">audit rights and copies of audit reports (34(vii));</w:t>
      </w:r>
    </w:p>
    <w:p>
      <w:pPr>
        <w:numPr>
          <w:ilvl w:val="1"/>
          <w:numId w:val="1459"/>
        </w:numPr>
        <w:pStyle w:val="Compact"/>
      </w:pPr>
      <w:r>
        <w:t xml:space="preserve">RBI access and inspection of Udofin (34(viii)–(ix); 74(xii));</w:t>
      </w:r>
    </w:p>
    <w:p>
      <w:pPr>
        <w:numPr>
          <w:ilvl w:val="1"/>
          <w:numId w:val="1459"/>
        </w:numPr>
        <w:pStyle w:val="Compact"/>
      </w:pPr>
      <w:r>
        <w:t xml:space="preserve">termination and minimum notice (34(x));</w:t>
      </w:r>
    </w:p>
    <w:p>
      <w:pPr>
        <w:numPr>
          <w:ilvl w:val="1"/>
          <w:numId w:val="1459"/>
        </w:numPr>
        <w:pStyle w:val="Compact"/>
      </w:pPr>
      <w:r>
        <w:t xml:space="preserve">confidentiality after termination (34(xi)) and preservation of records (34(xii));</w:t>
      </w:r>
    </w:p>
    <w:p>
      <w:pPr>
        <w:numPr>
          <w:ilvl w:val="1"/>
          <w:numId w:val="1459"/>
        </w:numPr>
        <w:pStyle w:val="Compact"/>
      </w:pPr>
      <w:r>
        <w:rPr>
          <w:bCs/>
          <w:b/>
        </w:rPr>
        <w:t xml:space="preserve">retention of administrative audit trails and logs</w:t>
      </w:r>
      <w:r>
        <w:t xml:space="preserve">, accessible on approved request (CYB 62(2)(i)).</w:t>
      </w:r>
    </w:p>
    <w:p>
      <w:pPr>
        <w:numPr>
          <w:ilvl w:val="0"/>
          <w:numId w:val="1458"/>
        </w:numPr>
        <w:pStyle w:val="Compact"/>
      </w:pPr>
      <w:r>
        <w:rPr>
          <w:bCs/>
          <w:b/>
        </w:rPr>
        <w:t xml:space="preserve">Enhanced due diligence pack</w:t>
      </w:r>
      <w:r>
        <w:t xml:space="preserve"> </w:t>
      </w:r>
      <w:r>
        <w:t xml:space="preserve">for the RE before signing and at renewal: technical capability, data privacy policies and storage systems, fairness in conduct with borrowers, past conduct, ability to comply (CF para 6(2); OUT paras 29–30). Refresh at least annually (OUT para 38).</w:t>
      </w:r>
    </w:p>
    <w:p>
      <w:pPr>
        <w:numPr>
          <w:ilvl w:val="0"/>
          <w:numId w:val="1458"/>
        </w:numPr>
        <w:pStyle w:val="Compact"/>
      </w:pPr>
      <w:r>
        <w:rPr>
          <w:bCs/>
          <w:b/>
        </w:rPr>
        <w:t xml:space="preserve">Periodic conduct review support:</w:t>
      </w:r>
      <w:r>
        <w:t xml:space="preserve"> </w:t>
      </w:r>
      <w:r>
        <w:t xml:space="preserve">monthly RE dashboard of Udofin’s conduct against the agreement (complaints, SLA, data incidents, permission audit, offer-neutrality audit) (CF para 6(3)–(4)).</w:t>
      </w:r>
    </w:p>
    <w:p>
      <w:pPr>
        <w:numPr>
          <w:ilvl w:val="0"/>
          <w:numId w:val="1458"/>
        </w:numPr>
        <w:pStyle w:val="Compact"/>
      </w:pPr>
      <w:r>
        <w:rPr>
          <w:bCs/>
          <w:b/>
        </w:rPr>
        <w:t xml:space="preserve">No core management functions</w:t>
      </w:r>
      <w:r>
        <w:t xml:space="preserve"> </w:t>
      </w:r>
      <w:r>
        <w:t xml:space="preserve">(OUT para 15; KYC para 13): no Udofin role can sanction a loan, decide KYC compliance, close a complaint or set prices. Pre-filters run only on RE-approved rule versions and are labelled as the RE’s.</w:t>
      </w:r>
    </w:p>
    <w:p>
      <w:pPr>
        <w:numPr>
          <w:ilvl w:val="0"/>
          <w:numId w:val="1458"/>
        </w:numPr>
        <w:pStyle w:val="Compact"/>
      </w:pPr>
      <w:r>
        <w:rPr>
          <w:bCs/>
          <w:b/>
        </w:rPr>
        <w:t xml:space="preserve">Ownership and conflicts:</w:t>
      </w:r>
      <w:r>
        <w:t xml:space="preserve"> </w:t>
      </w:r>
      <w:r>
        <w:t xml:space="preserve">Udofin is not owned or controlled by any director, KMP or approver of the arrangement at a partner RE, or their relatives, unless the RE’s Board grants an exception with disclosure (OUT paras 18(vi), 59). Infrabyx group REs: objective selection, arm’s length and Board policy (OUT paras 45–51, 90–92).</w:t>
      </w:r>
    </w:p>
    <w:p>
      <w:pPr>
        <w:numPr>
          <w:ilvl w:val="0"/>
          <w:numId w:val="1458"/>
        </w:numPr>
        <w:pStyle w:val="Compact"/>
      </w:pPr>
      <w:r>
        <w:rPr>
          <w:bCs/>
          <w:b/>
        </w:rPr>
        <w:t xml:space="preserve">Data:</w:t>
      </w:r>
    </w:p>
    <w:p>
      <w:pPr>
        <w:numPr>
          <w:ilvl w:val="1"/>
          <w:numId w:val="1460"/>
        </w:numPr>
        <w:pStyle w:val="Compact"/>
      </w:pPr>
      <w:r>
        <w:t xml:space="preserve">minimal storage and RE-scoped vault (CF para 14(1); principle 20);</w:t>
      </w:r>
    </w:p>
    <w:p>
      <w:pPr>
        <w:numPr>
          <w:ilvl w:val="1"/>
          <w:numId w:val="1460"/>
        </w:numPr>
        <w:pStyle w:val="Compact"/>
      </w:pPr>
      <w:r>
        <w:t xml:space="preserve">India-only storage and 24-hour repatriation (CF para 14(4); OUT 74(vi));</w:t>
      </w:r>
    </w:p>
    <w:p>
      <w:pPr>
        <w:numPr>
          <w:ilvl w:val="1"/>
          <w:numId w:val="1460"/>
        </w:numPr>
        <w:pStyle w:val="Compact"/>
      </w:pPr>
      <w:r>
        <w:t xml:space="preserve">data inventory of what is captured, processed and stored, per RE (OUT 74(vii));</w:t>
      </w:r>
    </w:p>
    <w:p>
      <w:pPr>
        <w:numPr>
          <w:ilvl w:val="1"/>
          <w:numId w:val="1460"/>
        </w:numPr>
        <w:pStyle w:val="Compact"/>
      </w:pPr>
      <w:r>
        <w:t xml:space="preserve">permitted-sharing list (74(viii));</w:t>
      </w:r>
    </w:p>
    <w:p>
      <w:pPr>
        <w:numPr>
          <w:ilvl w:val="1"/>
          <w:numId w:val="1460"/>
        </w:numPr>
        <w:pStyle w:val="Compact"/>
      </w:pPr>
      <w:r>
        <w:t xml:space="preserve">lifecycle to permanent erasure (97(xvi));</w:t>
      </w:r>
    </w:p>
    <w:p>
      <w:pPr>
        <w:numPr>
          <w:ilvl w:val="1"/>
          <w:numId w:val="1460"/>
        </w:numPr>
        <w:pStyle w:val="Compact"/>
      </w:pPr>
      <w:r>
        <w:t xml:space="preserve">NDA with confidentiality surviving termination (74(xix)).</w:t>
      </w:r>
    </w:p>
    <w:p>
      <w:pPr>
        <w:numPr>
          <w:ilvl w:val="0"/>
          <w:numId w:val="1458"/>
        </w:numPr>
        <w:pStyle w:val="Compact"/>
      </w:pPr>
      <w:r>
        <w:rPr>
          <w:bCs/>
          <w:b/>
        </w:rPr>
        <w:t xml:space="preserve">Multi-tenant isolation:</w:t>
      </w:r>
      <w:r>
        <w:t xml:space="preserve"> </w:t>
      </w:r>
      <w:r>
        <w:t xml:space="preserve">each RE’s customer information, documents and records are isolated and identifiable; only RE-authorised personnel access them; Udofin staff use break-glass, need-to-know access, logged and visible to the RE (OUT paras 24, 26–27, 70; 97(vii)(c)).</w:t>
      </w:r>
    </w:p>
    <w:p>
      <w:pPr>
        <w:numPr>
          <w:ilvl w:val="0"/>
          <w:numId w:val="1458"/>
        </w:numPr>
        <w:pStyle w:val="Compact"/>
      </w:pPr>
      <w:r>
        <w:rPr>
          <w:bCs/>
          <w:b/>
        </w:rPr>
        <w:t xml:space="preserve">Keys and access:</w:t>
      </w:r>
      <w:r>
        <w:t xml:space="preserve"> </w:t>
      </w:r>
      <w:r>
        <w:t xml:space="preserve">RE-controlled keys where required (OUT 97(vii)(b)); IAM with SoD and MFA (97(viii)).</w:t>
      </w:r>
    </w:p>
    <w:p>
      <w:pPr>
        <w:numPr>
          <w:ilvl w:val="0"/>
          <w:numId w:val="1458"/>
        </w:numPr>
        <w:pStyle w:val="Compact"/>
      </w:pPr>
      <w:r>
        <w:rPr>
          <w:bCs/>
          <w:b/>
        </w:rPr>
        <w:t xml:space="preserve">Incidents:</w:t>
      </w:r>
      <w:r>
        <w:t xml:space="preserve"> </w:t>
      </w:r>
      <w:r>
        <w:t xml:space="preserve">contractual list of material adverse events (OUT 74(iii)); notify the RE without undue delay, target ≤ 2 hours from Udofin’s detection, so the RE can report to RBI within 6 hours of Udofin’s detection (OUT para 61; CYB paras 28, 141); disclose security breaches (OUT para 25); support forensics and RCA; take part in crisis drills; supply lessons-learned input (CYB paras 140–146; ORM paras 99–101). Udofin also reports to CERT-In itself.</w:t>
      </w:r>
    </w:p>
    <w:p>
      <w:pPr>
        <w:numPr>
          <w:ilvl w:val="0"/>
          <w:numId w:val="1458"/>
        </w:numPr>
        <w:pStyle w:val="Compact"/>
      </w:pPr>
      <w:r>
        <w:rPr>
          <w:bCs/>
          <w:b/>
        </w:rPr>
        <w:t xml:space="preserve">Testing:</w:t>
      </w:r>
      <w:r>
        <w:t xml:space="preserve"> </w:t>
      </w:r>
      <w:r>
        <w:t xml:space="preserve">independent VA every 6 months and PT every 12 months, pre- and post-implementation and after change, with reports and remediation status shared (CYB paras 121–126).</w:t>
      </w:r>
    </w:p>
    <w:p>
      <w:pPr>
        <w:numPr>
          <w:ilvl w:val="0"/>
          <w:numId w:val="1458"/>
        </w:numPr>
        <w:pStyle w:val="Compact"/>
      </w:pPr>
      <w:r>
        <w:rPr>
          <w:bCs/>
          <w:b/>
        </w:rPr>
        <w:t xml:space="preserve">Source code and certificate:</w:t>
      </w:r>
      <w:r>
        <w:t xml:space="preserve"> </w:t>
      </w:r>
      <w:r>
        <w:t xml:space="preserve">source-code escrow with an independent agent, every release including fixes, for REs that require it (CYB para 105); a certificate that the application is free of known vulnerabilities, malware and covert channels at onboarding and on each material change, using the agreed materiality definition (CYB para 106).</w:t>
      </w:r>
    </w:p>
    <w:p>
      <w:pPr>
        <w:numPr>
          <w:ilvl w:val="0"/>
          <w:numId w:val="1458"/>
        </w:numPr>
        <w:pStyle w:val="Compact"/>
      </w:pPr>
      <w:r>
        <w:rPr>
          <w:bCs/>
          <w:b/>
        </w:rPr>
        <w:t xml:space="preserve">Maintenance and support</w:t>
      </w:r>
      <w:r>
        <w:t xml:space="preserve"> </w:t>
      </w:r>
      <w:r>
        <w:t xml:space="preserve">under a formal agreement and SLA (CYB para 104).</w:t>
      </w:r>
    </w:p>
    <w:p>
      <w:pPr>
        <w:numPr>
          <w:ilvl w:val="0"/>
          <w:numId w:val="1458"/>
        </w:numPr>
        <w:pStyle w:val="Compact"/>
      </w:pPr>
      <w:r>
        <w:rPr>
          <w:bCs/>
          <w:b/>
        </w:rPr>
        <w:t xml:space="preserve">SLAs and monitoring:</w:t>
      </w:r>
      <w:r>
        <w:t xml:space="preserve"> </w:t>
      </w:r>
      <w:r>
        <w:t xml:space="preserve">uptime, availability, performance and incident-response dashboard per RE (OUT paras 74(v), 75).</w:t>
      </w:r>
    </w:p>
    <w:p>
      <w:pPr>
        <w:numPr>
          <w:ilvl w:val="0"/>
          <w:numId w:val="1458"/>
        </w:numPr>
        <w:pStyle w:val="Compact"/>
      </w:pPr>
      <w:r>
        <w:rPr>
          <w:bCs/>
          <w:b/>
        </w:rPr>
        <w:t xml:space="preserve">SOC integration:</w:t>
      </w:r>
      <w:r>
        <w:t xml:space="preserve"> </w:t>
      </w:r>
      <w:r>
        <w:t xml:space="preserve">log and event export to each RE’s SOC (OUT 97(xi)).</w:t>
      </w:r>
    </w:p>
    <w:p>
      <w:pPr>
        <w:numPr>
          <w:ilvl w:val="0"/>
          <w:numId w:val="1458"/>
        </w:numPr>
        <w:pStyle w:val="Compact"/>
      </w:pPr>
      <w:r>
        <w:rPr>
          <w:bCs/>
          <w:b/>
        </w:rPr>
        <w:t xml:space="preserve">BCP and DR:</w:t>
      </w:r>
      <w:r>
        <w:t xml:space="preserve"> </w:t>
      </w:r>
      <w:r>
        <w:t xml:space="preserve">documented, tested, joint tests with REs; essential personnel clause (OUT paras 40, 74(x), 74(xvii), 83; CYB paras 129–138).</w:t>
      </w:r>
    </w:p>
    <w:p>
      <w:pPr>
        <w:numPr>
          <w:ilvl w:val="0"/>
          <w:numId w:val="1458"/>
        </w:numPr>
        <w:pStyle w:val="Compact"/>
      </w:pPr>
      <w:r>
        <w:rPr>
          <w:bCs/>
          <w:b/>
        </w:rPr>
        <w:t xml:space="preserve">Sub-processors and supply chain:</w:t>
      </w:r>
      <w:r>
        <w:t xml:space="preserve"> </w:t>
      </w:r>
      <w:r>
        <w:t xml:space="preserve">full list to each RE; RE right to information about supply-chain parties (OUT 74(xi)); Udofin contractually liable for subcontractors (74(xiii); ORM para 76); back-to-back terms with OEMs and cloud providers (74(xviii)); inventory support (82).</w:t>
      </w:r>
    </w:p>
    <w:p>
      <w:pPr>
        <w:numPr>
          <w:ilvl w:val="0"/>
          <w:numId w:val="1458"/>
        </w:numPr>
        <w:pStyle w:val="Compact"/>
      </w:pPr>
      <w:r>
        <w:rPr>
          <w:bCs/>
          <w:b/>
        </w:rPr>
        <w:t xml:space="preserve">Access:</w:t>
      </w:r>
      <w:r>
        <w:t xml:space="preserve"> </w:t>
      </w:r>
      <w:r>
        <w:t xml:space="preserve">unrestricted and effective access for the RE, its auditors, RBI and competent authorities to data, logs, alerts and premises, including subcontractors (OUT paras 74(ii), 74(xii), 81). Support pooled audits (OUT para 77).</w:t>
      </w:r>
    </w:p>
    <w:p>
      <w:pPr>
        <w:numPr>
          <w:ilvl w:val="0"/>
          <w:numId w:val="1458"/>
        </w:numPr>
        <w:pStyle w:val="Compact"/>
      </w:pPr>
      <w:r>
        <w:rPr>
          <w:bCs/>
          <w:b/>
        </w:rPr>
        <w:t xml:space="preserve">Grievances:</w:t>
      </w:r>
      <w:r>
        <w:t xml:space="preserve"> </w:t>
      </w:r>
      <w:r>
        <w:t xml:space="preserve">Udofin designates a nodal grievance redressal officer for digital lending complaints (CF para 12(1)), shows contacts on its website and DLA (12(2)), accepts complaints on the DLA (12(3)), and routes every complaint to the RE, whose responsibility it remains; Udofin never closes an RE complaint (CF para 12(3); OUT paras 54–57).</w:t>
      </w:r>
    </w:p>
    <w:p>
      <w:pPr>
        <w:numPr>
          <w:ilvl w:val="0"/>
          <w:numId w:val="1458"/>
        </w:numPr>
        <w:pStyle w:val="Compact"/>
      </w:pPr>
      <w:r>
        <w:rPr>
          <w:bCs/>
          <w:b/>
        </w:rPr>
        <w:t xml:space="preserve">Recovery-agent role (only where appointed):</w:t>
      </w:r>
      <w:r>
        <w:t xml:space="preserve"> </w:t>
      </w:r>
      <w:r>
        <w:t xml:space="preserve">follow RE guidance and RBC paras 93–101 (CF para 6(5)); collections responsibility exists only under an explicit recovery-agent contract, never because of DLG.</w:t>
      </w:r>
    </w:p>
    <w:p>
      <w:pPr>
        <w:numPr>
          <w:ilvl w:val="0"/>
          <w:numId w:val="1458"/>
        </w:numPr>
        <w:pStyle w:val="Compact"/>
      </w:pPr>
      <w:r>
        <w:rPr>
          <w:bCs/>
          <w:b/>
        </w:rPr>
        <w:t xml:space="preserve">DLA reporting support:</w:t>
      </w:r>
      <w:r>
        <w:t xml:space="preserve"> </w:t>
      </w:r>
      <w:r>
        <w:t xml:space="preserve">for each RE, the data the RE files on CIMS (Annex-I fields), the CCO certification evidence for CF para 18(4)(i)–(iv), and change notices when a DLA is added, changed or withdrawn (CF para 18(2)). Udofin never markets CIMS inclusion as RBI registration or endorsement (CF para 18(6)).</w:t>
      </w:r>
    </w:p>
    <w:p>
      <w:pPr>
        <w:numPr>
          <w:ilvl w:val="0"/>
          <w:numId w:val="1458"/>
        </w:numPr>
        <w:pStyle w:val="Compact"/>
      </w:pPr>
      <w:r>
        <w:rPr>
          <w:bCs/>
          <w:b/>
        </w:rPr>
        <w:t xml:space="preserve">Exit:</w:t>
      </w:r>
      <w:r>
        <w:t xml:space="preserve"> </w:t>
      </w:r>
      <w:r>
        <w:t xml:space="preserve">orderly transfer (OUT 74(xv)); full cooperation with the incoming provider (88); no erasure or alteration of data during transition (87); complete export in documented formats (applications, consents, KYC evidence references, documents, audit trail, configuration); secure purge with an independent-assurance certificate (OUT para 42; 97(xvi)).</w:t>
      </w:r>
    </w:p>
    <w:p>
      <w:pPr>
        <w:numPr>
          <w:ilvl w:val="0"/>
          <w:numId w:val="1458"/>
        </w:numPr>
        <w:pStyle w:val="Compact"/>
      </w:pPr>
      <w:r>
        <w:rPr>
          <w:bCs/>
          <w:b/>
        </w:rPr>
        <w:t xml:space="preserve">Continuity:</w:t>
      </w:r>
      <w:r>
        <w:t xml:space="preserve"> </w:t>
      </w:r>
      <w:r>
        <w:t xml:space="preserve">cooperation in the RE’s insolvency or resolution (OUT 74(xvi)); records stay available even if Udofin is wound up (escrow and export).</w:t>
      </w:r>
    </w:p>
    <w:p>
      <w:pPr>
        <w:numPr>
          <w:ilvl w:val="0"/>
          <w:numId w:val="1458"/>
        </w:numPr>
        <w:pStyle w:val="Compact"/>
      </w:pPr>
      <w:r>
        <w:rPr>
          <w:bCs/>
          <w:b/>
        </w:rPr>
        <w:t xml:space="preserve">RBI directions:</w:t>
      </w:r>
      <w:r>
        <w:t xml:space="preserve"> </w:t>
      </w:r>
      <w:r>
        <w:t xml:space="preserve">comply with RBI directions on the outsourced service through the contract (OUT 74(xiv)).</w:t>
      </w:r>
    </w:p>
    <w:p>
      <w:pPr>
        <w:numPr>
          <w:ilvl w:val="0"/>
          <w:numId w:val="1458"/>
        </w:numPr>
        <w:pStyle w:val="Compact"/>
      </w:pPr>
      <w:r>
        <w:rPr>
          <w:bCs/>
          <w:b/>
        </w:rPr>
        <w:t xml:space="preserve">Fraud accountability:</w:t>
      </w:r>
      <w:r>
        <w:t xml:space="preserve"> </w:t>
      </w:r>
      <w:r>
        <w:t xml:space="preserve">accept terms holding Udofin accountable where its wilful negligence or malpractice causes a fraud (FRM para 31); respond to a show-cause notice under the RE’s fraud process (FRM para 6(1)).</w:t>
      </w:r>
    </w:p>
    <w:p>
      <w:pPr>
        <w:numPr>
          <w:ilvl w:val="0"/>
          <w:numId w:val="1458"/>
        </w:numPr>
        <w:pStyle w:val="Compact"/>
      </w:pPr>
      <w:r>
        <w:rPr>
          <w:bCs/>
          <w:b/>
        </w:rPr>
        <w:t xml:space="preserve">Certifications and engineering assurance:</w:t>
      </w:r>
      <w:r>
        <w:t xml:space="preserve"> </w:t>
      </w:r>
      <w:r>
        <w:t xml:space="preserve">pursue ISO/IEC 27001, SOC 2 Type 1 then Type 2 and ISO/IEC 27701:2025 per Part 7H RA4.4, with scope covering OUT 97(xvii); never claim a certification, report or</w:t>
      </w:r>
      <w:r>
        <w:t xml:space="preserve"> </w:t>
      </w:r>
      <w:r>
        <w:t xml:space="preserve">“</w:t>
      </w:r>
      <w:r>
        <w:t xml:space="preserve">compliant</w:t>
      </w:r>
      <w:r>
        <w:t xml:space="preserve">”</w:t>
      </w:r>
      <w:r>
        <w:t xml:space="preserve"> </w:t>
      </w:r>
      <w:r>
        <w:t xml:space="preserve">status before the certificate or report is issued; once issued, the RE may rely on it subject to its risk assessment (OUT para 79). Engineering operations, mobile VAPT to OWASP MASVS and app-store release controls are RA4.1–RA4.3; RE audit and inspection packs are Part 7B UP3; read-only access is RA2; exit exports are UP5 and RA3.</w:t>
      </w:r>
    </w:p>
    <w:p>
      <w:pPr>
        <w:numPr>
          <w:ilvl w:val="0"/>
          <w:numId w:val="1458"/>
        </w:numPr>
        <w:pStyle w:val="Compact"/>
      </w:pPr>
      <w:r>
        <w:rPr>
          <w:bCs/>
          <w:b/>
        </w:rPr>
        <w:t xml:space="preserve">ORM inputs:</w:t>
      </w:r>
      <w:r>
        <w:t xml:space="preserve"> </w:t>
      </w:r>
      <w:r>
        <w:t xml:space="preserve">RTO, RPO and service metrics for each RE critical operation that depends on Udofin (ORM para 33); Udofin RCSA; evidence of operational resilience at least equivalent to the RE’s (ORM para 73).</w:t>
      </w:r>
    </w:p>
    <w:p>
      <w:r>
        <w:pict>
          <v:rect style="width:0;height:1.5pt" o:hralign="center" o:hrstd="t" o:hr="t"/>
        </w:pict>
      </w:r>
    </w:p>
    <w:bookmarkEnd w:id="484"/>
    <w:bookmarkEnd w:id="485"/>
    <w:bookmarkStart w:id="492" w:name="Xfd61f29d05875baf6e4959fee94778d35f7c469"/>
    <w:p>
      <w:pPr>
        <w:pStyle w:val="Heading1"/>
      </w:pPr>
      <w:r>
        <w:t xml:space="preserve">PART 11 — WORKING METHOD, GIT DISCIPLINE AND DEFINITION OF DONE</w:t>
      </w:r>
    </w:p>
    <w:bookmarkStart w:id="486" w:name="for-each-module-or-sub-module"/>
    <w:p>
      <w:pPr>
        <w:pStyle w:val="Heading2"/>
      </w:pPr>
      <w:r>
        <w:t xml:space="preserve">11.1 For each module or sub-module</w:t>
      </w:r>
    </w:p>
    <w:p>
      <w:pPr>
        <w:pStyle w:val="FirstParagraph"/>
      </w:pPr>
      <w:r>
        <w:t xml:space="preserve">Work through these steps in order (the original 13-step method, extended):</w:t>
      </w:r>
    </w:p>
    <w:p>
      <w:pPr>
        <w:numPr>
          <w:ilvl w:val="0"/>
          <w:numId w:val="1461"/>
        </w:numPr>
        <w:pStyle w:val="Compact"/>
      </w:pPr>
      <w:r>
        <w:t xml:space="preserve">Explain the business objective in plain English.</w:t>
      </w:r>
    </w:p>
    <w:p>
      <w:pPr>
        <w:numPr>
          <w:ilvl w:val="0"/>
          <w:numId w:val="1461"/>
        </w:numPr>
        <w:pStyle w:val="Compact"/>
      </w:pPr>
      <w:r>
        <w:t xml:space="preserve">Identify assumptions and ask only material unresolved questions.</w:t>
      </w:r>
    </w:p>
    <w:p>
      <w:pPr>
        <w:numPr>
          <w:ilvl w:val="0"/>
          <w:numId w:val="1461"/>
        </w:numPr>
        <w:pStyle w:val="Compact"/>
      </w:pPr>
      <w:r>
        <w:t xml:space="preserve">Research the relevant legal, provider, app-store and technical requirements. Update the regulatory register (with REQ-IDs and the [RE] / [UDOFIN] / [RE→UDOFIN contract] tag) and the integration register.</w:t>
      </w:r>
    </w:p>
    <w:p>
      <w:pPr>
        <w:numPr>
          <w:ilvl w:val="0"/>
          <w:numId w:val="1461"/>
        </w:numPr>
        <w:pStyle w:val="Compact"/>
      </w:pPr>
      <w:r>
        <w:t xml:space="preserve">Produce the functional specification and acceptance criteria (Given/When/Then), including negative cases, for</w:t>
      </w:r>
      <w:r>
        <w:t xml:space="preserve"> </w:t>
      </w:r>
      <w:r>
        <w:rPr>
          <w:bCs/>
          <w:b/>
        </w:rPr>
        <w:t xml:space="preserve">each channel</w:t>
      </w:r>
      <w:r>
        <w:t xml:space="preserve"> </w:t>
      </w:r>
      <w:r>
        <w:t xml:space="preserve">(Android, iOS, borrower web, portal). Save it to</w:t>
      </w:r>
      <w:r>
        <w:t xml:space="preserve"> </w:t>
      </w:r>
      <w:r>
        <w:rPr>
          <w:rStyle w:val="VerbatimChar"/>
        </w:rPr>
        <w:t xml:space="preserve">docs/specs/[module].md</w:t>
      </w:r>
      <w:r>
        <w:t xml:space="preserve">.</w:t>
      </w:r>
    </w:p>
    <w:p>
      <w:pPr>
        <w:numPr>
          <w:ilvl w:val="0"/>
          <w:numId w:val="1461"/>
        </w:numPr>
        <w:pStyle w:val="Compact"/>
      </w:pPr>
      <w:r>
        <w:t xml:space="preserve">Describe the data model, data owner (RE or Udofin), APIs, events, permissions, state machine and workflows, and the screens with their copy.</w:t>
      </w:r>
    </w:p>
    <w:p>
      <w:pPr>
        <w:numPr>
          <w:ilvl w:val="0"/>
          <w:numId w:val="1461"/>
        </w:numPr>
        <w:pStyle w:val="Compact"/>
      </w:pPr>
      <w:r>
        <w:t xml:space="preserve">Identify security, privacy, failure, performance, store-policy and migration risks.</w:t>
      </w:r>
    </w:p>
    <w:p>
      <w:pPr>
        <w:numPr>
          <w:ilvl w:val="0"/>
          <w:numId w:val="1461"/>
        </w:numPr>
        <w:pStyle w:val="Compact"/>
      </w:pPr>
      <w:r>
        <w:rPr>
          <w:bCs/>
          <w:b/>
        </w:rPr>
        <w:t xml:space="preserve">Stop for my approval.</w:t>
      </w:r>
    </w:p>
    <w:p>
      <w:pPr>
        <w:numPr>
          <w:ilvl w:val="0"/>
          <w:numId w:val="1461"/>
        </w:numPr>
        <w:pStyle w:val="Compact"/>
      </w:pPr>
      <w:r>
        <w:t xml:space="preserve">Explain the logic in plain English, then implement only the approved scope in small, reviewable commits.</w:t>
      </w:r>
    </w:p>
    <w:p>
      <w:pPr>
        <w:numPr>
          <w:ilvl w:val="0"/>
          <w:numId w:val="1461"/>
        </w:numPr>
        <w:pStyle w:val="Compact"/>
      </w:pPr>
      <w:r>
        <w:t xml:space="preserve">Write and run the tests that apply:</w:t>
      </w:r>
    </w:p>
    <w:p>
      <w:pPr>
        <w:numPr>
          <w:ilvl w:val="1"/>
          <w:numId w:val="1462"/>
        </w:numPr>
        <w:pStyle w:val="Compact"/>
      </w:pPr>
      <w:r>
        <w:t xml:space="preserve">unit and property-based (money, APR display, DLG caps);</w:t>
      </w:r>
    </w:p>
    <w:p>
      <w:pPr>
        <w:numPr>
          <w:ilvl w:val="1"/>
          <w:numId w:val="1462"/>
        </w:numPr>
        <w:pStyle w:val="Compact"/>
      </w:pPr>
      <w:r>
        <w:t xml:space="preserve">integration and contract (Pact with Finbyx and LMS connectors; provider sandboxes);</w:t>
      </w:r>
    </w:p>
    <w:p>
      <w:pPr>
        <w:numPr>
          <w:ilvl w:val="1"/>
          <w:numId w:val="1462"/>
        </w:numPr>
        <w:pStyle w:val="Compact"/>
      </w:pPr>
      <w:r>
        <w:t xml:space="preserve">E2E on web (Playwright) and on real Android and iOS devices (Maestro or Detox);</w:t>
      </w:r>
    </w:p>
    <w:p>
      <w:pPr>
        <w:numPr>
          <w:ilvl w:val="1"/>
          <w:numId w:val="1462"/>
        </w:numPr>
        <w:pStyle w:val="Compact"/>
      </w:pPr>
      <w:r>
        <w:t xml:space="preserve">RE-tenant isolation and borrower-to-borrower isolation;</w:t>
      </w:r>
    </w:p>
    <w:p>
      <w:pPr>
        <w:numPr>
          <w:ilvl w:val="1"/>
          <w:numId w:val="1462"/>
        </w:numPr>
        <w:pStyle w:val="Compact"/>
      </w:pPr>
      <w:r>
        <w:t xml:space="preserve">security (OWASP ASVS, MASVS);</w:t>
      </w:r>
    </w:p>
    <w:p>
      <w:pPr>
        <w:numPr>
          <w:ilvl w:val="1"/>
          <w:numId w:val="1462"/>
        </w:numPr>
        <w:pStyle w:val="Compact"/>
      </w:pPr>
      <w:r>
        <w:t xml:space="preserve">accessibility (automated plus a manual screen-reader pass);</w:t>
      </w:r>
    </w:p>
    <w:p>
      <w:pPr>
        <w:numPr>
          <w:ilvl w:val="1"/>
          <w:numId w:val="1462"/>
        </w:numPr>
        <w:pStyle w:val="Compact"/>
      </w:pPr>
      <w:r>
        <w:t xml:space="preserve">permission audit of the built app manifest.</w:t>
      </w:r>
    </w:p>
    <w:p>
      <w:pPr>
        <w:numPr>
          <w:ilvl w:val="0"/>
          <w:numId w:val="1461"/>
        </w:numPr>
        <w:pStyle w:val="Compact"/>
      </w:pPr>
      <w:r>
        <w:t xml:space="preserve">Run linting, type checks, build checks (web and EAS preview build), migration validation and security scans.</w:t>
      </w:r>
    </w:p>
    <w:p>
      <w:pPr>
        <w:numPr>
          <w:ilvl w:val="0"/>
          <w:numId w:val="1461"/>
        </w:numPr>
        <w:pStyle w:val="Compact"/>
      </w:pPr>
      <w:r>
        <w:t xml:space="preserve">Review the diff for unrelated changes, secrets, PII in logs or analytics, new permissions and security defects.</w:t>
      </w:r>
    </w:p>
    <w:p>
      <w:pPr>
        <w:numPr>
          <w:ilvl w:val="0"/>
          <w:numId w:val="1461"/>
        </w:numPr>
        <w:pStyle w:val="Compact"/>
      </w:pPr>
      <w:r>
        <w:t xml:space="preserve">Update the docs: setup, configuration, migration, deployment, store declarations and runbooks.</w:t>
      </w:r>
    </w:p>
    <w:p>
      <w:pPr>
        <w:numPr>
          <w:ilvl w:val="0"/>
          <w:numId w:val="1461"/>
        </w:numPr>
        <w:pStyle w:val="Compact"/>
      </w:pPr>
      <w:r>
        <w:t xml:space="preserve">Summarise:</w:t>
      </w:r>
    </w:p>
    <w:p>
      <w:pPr>
        <w:numPr>
          <w:ilvl w:val="1"/>
          <w:numId w:val="1463"/>
        </w:numPr>
        <w:pStyle w:val="Compact"/>
      </w:pPr>
      <w:r>
        <w:t xml:space="preserve">what changed;</w:t>
      </w:r>
    </w:p>
    <w:p>
      <w:pPr>
        <w:numPr>
          <w:ilvl w:val="1"/>
          <w:numId w:val="1463"/>
        </w:numPr>
        <w:pStyle w:val="Compact"/>
      </w:pPr>
      <w:r>
        <w:t xml:space="preserve">the actual test results;</w:t>
      </w:r>
    </w:p>
    <w:p>
      <w:pPr>
        <w:numPr>
          <w:ilvl w:val="1"/>
          <w:numId w:val="1463"/>
        </w:numPr>
        <w:pStyle w:val="Compact"/>
      </w:pPr>
      <w:r>
        <w:t xml:space="preserve">known limitations;</w:t>
      </w:r>
    </w:p>
    <w:p>
      <w:pPr>
        <w:numPr>
          <w:ilvl w:val="1"/>
          <w:numId w:val="1463"/>
        </w:numPr>
        <w:pStyle w:val="Compact"/>
      </w:pPr>
      <w:r>
        <w:t xml:space="preserve">mock vs sandbox vs live integrations;</w:t>
      </w:r>
    </w:p>
    <w:p>
      <w:pPr>
        <w:numPr>
          <w:ilvl w:val="1"/>
          <w:numId w:val="1463"/>
        </w:numPr>
        <w:pStyle w:val="Compact"/>
      </w:pPr>
      <w:r>
        <w:t xml:space="preserve">next steps.</w:t>
      </w:r>
    </w:p>
    <w:p>
      <w:pPr>
        <w:numPr>
          <w:ilvl w:val="0"/>
          <w:numId w:val="1461"/>
        </w:numPr>
        <w:pStyle w:val="Compact"/>
      </w:pPr>
      <w:r>
        <w:t xml:space="preserve">Commit with a meaningful message on the feature branch, open a pull request, and merge only after my approval.</w:t>
      </w:r>
    </w:p>
    <w:p>
      <w:pPr>
        <w:pStyle w:val="FirstParagraph"/>
      </w:pPr>
      <w:r>
        <w:t xml:space="preserve">Do not implement large unapproved features or silently expand the scope. Do not claim a test passed unless it was actually run and its result is available.</w:t>
      </w:r>
    </w:p>
    <w:bookmarkEnd w:id="486"/>
    <w:bookmarkStart w:id="487" w:name="X352578cea0adae03564ad3fa0d9db8b10330882"/>
    <w:p>
      <w:pPr>
        <w:pStyle w:val="Heading2"/>
      </w:pPr>
      <w:r>
        <w:t xml:space="preserve">11.2 Financial and consent integrity before financial features</w:t>
      </w:r>
    </w:p>
    <w:p>
      <w:pPr>
        <w:pStyle w:val="FirstParagraph"/>
      </w:pPr>
      <w:r>
        <w:t xml:space="preserve">Udofin holds no loan ledger, but it displays money and moves money-related instructions. Do not implement live offer display, KFS display, mandate registration, payment links, loan-mirror balances, DLG calculations or fee accounting until their rules and acceptance tests are approved. Maintain a</w:t>
      </w:r>
      <w:r>
        <w:t xml:space="preserve"> </w:t>
      </w:r>
      <w:r>
        <w:rPr>
          <w:bCs/>
          <w:b/>
        </w:rPr>
        <w:t xml:space="preserve">golden test-case library</w:t>
      </w:r>
      <w:r>
        <w:t xml:space="preserve"> </w:t>
      </w:r>
      <w:r>
        <w:t xml:space="preserve">approved by me and our finance and compliance reviewers, including:</w:t>
      </w:r>
    </w:p>
    <w:p>
      <w:pPr>
        <w:numPr>
          <w:ilvl w:val="0"/>
          <w:numId w:val="1464"/>
        </w:numPr>
        <w:pStyle w:val="Compact"/>
      </w:pPr>
      <w:r>
        <w:t xml:space="preserve">APR display matching the RE’s KFS to the paisa (RBC para 29(3) illustration: ₹20,000, 24 months, 15%, ₹400 fees → 17.07%);</w:t>
      </w:r>
    </w:p>
    <w:p>
      <w:pPr>
        <w:numPr>
          <w:ilvl w:val="0"/>
          <w:numId w:val="1464"/>
        </w:numPr>
        <w:pStyle w:val="Compact"/>
      </w:pPr>
      <w:r>
        <w:t xml:space="preserve">cooling-off exit amount shown as principal plus proportionate APR, from the RE, with any one-time processing fee retained only if disclosed upfront in the KFS (CF para 11(1)–(2));</w:t>
      </w:r>
    </w:p>
    <w:p>
      <w:pPr>
        <w:numPr>
          <w:ilvl w:val="0"/>
          <w:numId w:val="1464"/>
        </w:numPr>
        <w:pStyle w:val="Compact"/>
      </w:pPr>
      <w:r>
        <w:t xml:space="preserve">DLG cap of 5% of the amount disbursed in the DLG set, the CF para 24 illustrations (Initial, Further, Cases 1–3), invocation by day 120 overdue and no reinstatement (CF paras 24, 25(4), 27);</w:t>
      </w:r>
    </w:p>
    <w:p>
      <w:pPr>
        <w:numPr>
          <w:ilvl w:val="0"/>
          <w:numId w:val="1464"/>
        </w:numPr>
        <w:pStyle w:val="Compact"/>
      </w:pPr>
      <w:r>
        <w:t xml:space="preserve">household-income microfinance flag at ₹3,00,000 and repayment obligation ≤ 50% of monthly household income for routing to microfinance products (CF paras 51, 55);</w:t>
      </w:r>
    </w:p>
    <w:p>
      <w:pPr>
        <w:numPr>
          <w:ilvl w:val="0"/>
          <w:numId w:val="1464"/>
        </w:numPr>
        <w:pStyle w:val="Compact"/>
      </w:pPr>
      <w:r>
        <w:t xml:space="preserve">store-policy filters (tenor ≤ 60 days; APR &gt; 36% on iOS);</w:t>
      </w:r>
    </w:p>
    <w:p>
      <w:pPr>
        <w:numPr>
          <w:ilvl w:val="0"/>
          <w:numId w:val="1464"/>
        </w:numPr>
        <w:pStyle w:val="Compact"/>
      </w:pPr>
      <w:r>
        <w:t xml:space="preserve">Udofin fee accrual and GST on LSP fees invoiced to the RE.</w:t>
      </w:r>
    </w:p>
    <w:p>
      <w:pPr>
        <w:pStyle w:val="FirstParagraph"/>
      </w:pPr>
      <w:r>
        <w:t xml:space="preserve">Every release must pass the library.</w:t>
      </w:r>
    </w:p>
    <w:bookmarkEnd w:id="487"/>
    <w:bookmarkStart w:id="488" w:name="git-and-environment-rules"/>
    <w:p>
      <w:pPr>
        <w:pStyle w:val="Heading2"/>
      </w:pPr>
      <w:r>
        <w:t xml:space="preserve">11.3 Git and environment rules</w:t>
      </w:r>
    </w:p>
    <w:p>
      <w:pPr>
        <w:numPr>
          <w:ilvl w:val="0"/>
          <w:numId w:val="1465"/>
        </w:numPr>
        <w:pStyle w:val="Compact"/>
      </w:pPr>
      <w:r>
        <w:t xml:space="preserve">First inspect the connected repository: current branch, existing files, Git status and available tooling.</w:t>
      </w:r>
    </w:p>
    <w:p>
      <w:pPr>
        <w:numPr>
          <w:ilvl w:val="0"/>
          <w:numId w:val="1465"/>
        </w:numPr>
        <w:pStyle w:val="Compact"/>
      </w:pPr>
      <w:r>
        <w:t xml:space="preserve">Do not overwrite existing work without understanding its purpose.</w:t>
      </w:r>
    </w:p>
    <w:p>
      <w:pPr>
        <w:numPr>
          <w:ilvl w:val="0"/>
          <w:numId w:val="1465"/>
        </w:numPr>
        <w:pStyle w:val="Compact"/>
      </w:pPr>
      <w:r>
        <w:t xml:space="preserve">Work on feature branches.</w:t>
      </w:r>
      <w:r>
        <w:t xml:space="preserve"> </w:t>
      </w:r>
      <w:r>
        <w:rPr>
          <w:bCs/>
          <w:b/>
        </w:rPr>
        <w:t xml:space="preserve">Never push directly to</w:t>
      </w:r>
      <w:r>
        <w:rPr>
          <w:bCs/>
          <w:b/>
        </w:rPr>
        <w:t xml:space="preserve"> </w:t>
      </w:r>
      <w:r>
        <w:rPr>
          <w:rStyle w:val="VerbatimChar"/>
          <w:bCs/>
          <w:b/>
        </w:rPr>
        <w:t xml:space="preserve">main</w:t>
      </w:r>
      <w:r>
        <w:rPr>
          <w:bCs/>
          <w:b/>
        </w:rPr>
        <w:t xml:space="preserve">.</w:t>
      </w:r>
      <w:r>
        <w:t xml:space="preserve"> </w:t>
      </w:r>
      <w:r>
        <w:t xml:space="preserve">Never deploy to production, submit to an app store, rotate live credentials or modify production data without my explicit authorisation.</w:t>
      </w:r>
    </w:p>
    <w:p>
      <w:pPr>
        <w:numPr>
          <w:ilvl w:val="1"/>
          <w:numId w:val="1466"/>
        </w:numPr>
        <w:pStyle w:val="Compact"/>
      </w:pPr>
      <w:r>
        <w:t xml:space="preserve">The original Udofin prompt asked for the initial structure to be committed directly to</w:t>
      </w:r>
      <w:r>
        <w:t xml:space="preserve"> </w:t>
      </w:r>
      <w:r>
        <w:rPr>
          <w:rStyle w:val="VerbatimChar"/>
        </w:rPr>
        <w:t xml:space="preserve">main</w:t>
      </w:r>
      <w:r>
        <w:t xml:space="preserve">. That is withdrawn: create</w:t>
      </w:r>
      <w:r>
        <w:t xml:space="preserve"> </w:t>
      </w:r>
      <w:r>
        <w:rPr>
          <w:rStyle w:val="VerbatimChar"/>
        </w:rPr>
        <w:t xml:space="preserve">feat/repo-baseline</w:t>
      </w:r>
      <w:r>
        <w:t xml:space="preserve"> </w:t>
      </w:r>
      <w:r>
        <w:t xml:space="preserve">and open a pull request. Enable branch protection on</w:t>
      </w:r>
      <w:r>
        <w:t xml:space="preserve"> </w:t>
      </w:r>
      <w:r>
        <w:rPr>
          <w:rStyle w:val="VerbatimChar"/>
        </w:rPr>
        <w:t xml:space="preserve">main</w:t>
      </w:r>
      <w:r>
        <w:t xml:space="preserve"> </w:t>
      </w:r>
      <w:r>
        <w:t xml:space="preserve">(required reviews, required CI checks, no force-push).</w:t>
      </w:r>
    </w:p>
    <w:p>
      <w:pPr>
        <w:numPr>
          <w:ilvl w:val="0"/>
          <w:numId w:val="1465"/>
        </w:numPr>
        <w:pStyle w:val="Compact"/>
      </w:pPr>
      <w:r>
        <w:t xml:space="preserve">Never commit API keys, service-role secrets, signing keys, keystores, provisioning profiles, private certificates, production credentials or real borrower data. Use</w:t>
      </w:r>
      <w:r>
        <w:t xml:space="preserve"> </w:t>
      </w:r>
      <w:r>
        <w:rPr>
          <w:rStyle w:val="VerbatimChar"/>
        </w:rPr>
        <w:t xml:space="preserve">.env.example</w:t>
      </w:r>
      <w:r>
        <w:t xml:space="preserve"> </w:t>
      </w:r>
      <w:r>
        <w:t xml:space="preserve">with placeholders. Keep local, test, staging and production configuration separate. Use synthetic test data only; synthetic PAN and Aadhaar-format values must be clearly invalid.</w:t>
      </w:r>
    </w:p>
    <w:p>
      <w:pPr>
        <w:numPr>
          <w:ilvl w:val="0"/>
          <w:numId w:val="1465"/>
        </w:numPr>
        <w:pStyle w:val="Compact"/>
      </w:pPr>
      <w:r>
        <w:t xml:space="preserve">Only</w:t>
      </w:r>
      <w:r>
        <w:t xml:space="preserve"> </w:t>
      </w:r>
      <w:r>
        <w:rPr>
          <w:rStyle w:val="VerbatimChar"/>
        </w:rPr>
        <w:t xml:space="preserve">EXPO_PUBLIC_</w:t>
      </w:r>
      <w:r>
        <w:t xml:space="preserve"> </w:t>
      </w:r>
      <w:r>
        <w:t xml:space="preserve">and</w:t>
      </w:r>
      <w:r>
        <w:t xml:space="preserve"> </w:t>
      </w:r>
      <w:r>
        <w:rPr>
          <w:rStyle w:val="VerbatimChar"/>
        </w:rPr>
        <w:t xml:space="preserve">NEXT_PUBLIC_</w:t>
      </w:r>
      <w:r>
        <w:t xml:space="preserve"> </w:t>
      </w:r>
      <w:r>
        <w:t xml:space="preserve">variables reach a client bundle, and they hold public configuration only; anything shipped in the app bundle or an OTA update is public. Build-time credentials (for example a source-map upload token) use EAS environment variables with secret visibility and are never read into</w:t>
      </w:r>
      <w:r>
        <w:t xml:space="preserve"> </w:t>
      </w:r>
      <w:r>
        <w:rPr>
          <w:rStyle w:val="VerbatimChar"/>
        </w:rPr>
        <w:t xml:space="preserve">app.config</w:t>
      </w:r>
      <w:r>
        <w:t xml:space="preserve"> </w:t>
      </w:r>
      <w:r>
        <w:rPr>
          <w:rStyle w:val="VerbatimChar"/>
        </w:rPr>
        <w:t xml:space="preserve">extra</w:t>
      </w:r>
      <w:r>
        <w:t xml:space="preserve">.</w:t>
      </w:r>
    </w:p>
    <w:p>
      <w:pPr>
        <w:numPr>
          <w:ilvl w:val="0"/>
          <w:numId w:val="1465"/>
        </w:numPr>
        <w:pStyle w:val="Compact"/>
      </w:pPr>
      <w:r>
        <w:t xml:space="preserve">If repository write access or commit capability is unavailable, provide the exact files and commands. Do not claim to have committed.</w:t>
      </w:r>
    </w:p>
    <w:p>
      <w:pPr>
        <w:numPr>
          <w:ilvl w:val="0"/>
          <w:numId w:val="1465"/>
        </w:numPr>
        <w:pStyle w:val="Compact"/>
      </w:pPr>
      <w:r>
        <w:t xml:space="preserve">Do not create placeholder business logic that pretends to work. Mark mocks clearly.</w:t>
      </w:r>
    </w:p>
    <w:bookmarkEnd w:id="488"/>
    <w:bookmarkStart w:id="489" w:name="project-documents-to-maintain"/>
    <w:p>
      <w:pPr>
        <w:pStyle w:val="Heading2"/>
      </w:pPr>
      <w:r>
        <w:t xml:space="preserve">11.4 Project documents to maintain</w:t>
      </w:r>
    </w:p>
    <w:p>
      <w:pPr>
        <w:numPr>
          <w:ilvl w:val="0"/>
          <w:numId w:val="1467"/>
        </w:numPr>
        <w:pStyle w:val="Compact"/>
      </w:pPr>
      <w:r>
        <w:rPr>
          <w:rStyle w:val="VerbatimChar"/>
        </w:rPr>
        <w:t xml:space="preserve">README.md</w:t>
      </w:r>
    </w:p>
    <w:p>
      <w:pPr>
        <w:numPr>
          <w:ilvl w:val="0"/>
          <w:numId w:val="1467"/>
        </w:numPr>
        <w:pStyle w:val="Compact"/>
      </w:pPr>
      <w:r>
        <w:rPr>
          <w:rStyle w:val="VerbatimChar"/>
        </w:rPr>
        <w:t xml:space="preserve">CLAUDE.md</w:t>
      </w:r>
      <w:r>
        <w:t xml:space="preserve"> </w:t>
      </w:r>
      <w:r>
        <w:t xml:space="preserve">(concise, stable; links to detail)</w:t>
      </w:r>
    </w:p>
    <w:p>
      <w:pPr>
        <w:numPr>
          <w:ilvl w:val="0"/>
          <w:numId w:val="1467"/>
        </w:numPr>
        <w:pStyle w:val="Compact"/>
      </w:pPr>
      <w:r>
        <w:rPr>
          <w:rStyle w:val="VerbatimChar"/>
        </w:rPr>
        <w:t xml:space="preserve">docs/00-master-prompt.md</w:t>
      </w:r>
      <w:r>
        <w:t xml:space="preserve"> </w:t>
      </w:r>
      <w:r>
        <w:t xml:space="preserve">and</w:t>
      </w:r>
      <w:r>
        <w:t xml:space="preserve"> </w:t>
      </w:r>
      <w:r>
        <w:rPr>
          <w:rStyle w:val="VerbatimChar"/>
        </w:rPr>
        <w:t xml:space="preserve">docs/01-phase-runbook.md</w:t>
      </w:r>
    </w:p>
    <w:p>
      <w:pPr>
        <w:numPr>
          <w:ilvl w:val="0"/>
          <w:numId w:val="1467"/>
        </w:numPr>
        <w:pStyle w:val="Compact"/>
      </w:pPr>
      <w:r>
        <w:rPr>
          <w:rStyle w:val="VerbatimChar"/>
        </w:rPr>
        <w:t xml:space="preserve">docs/architecture/</w:t>
      </w:r>
      <w:r>
        <w:t xml:space="preserve"> </w:t>
      </w:r>
      <w:r>
        <w:t xml:space="preserve">(system context, C4, module map, data ownership RE vs Udofin, fund-flow diagrams)</w:t>
      </w:r>
    </w:p>
    <w:p>
      <w:pPr>
        <w:numPr>
          <w:ilvl w:val="0"/>
          <w:numId w:val="1467"/>
        </w:numPr>
        <w:pStyle w:val="Compact"/>
      </w:pPr>
      <w:r>
        <w:rPr>
          <w:rStyle w:val="VerbatimChar"/>
        </w:rPr>
        <w:t xml:space="preserve">docs/adr/</w:t>
      </w:r>
    </w:p>
    <w:p>
      <w:pPr>
        <w:numPr>
          <w:ilvl w:val="0"/>
          <w:numId w:val="1467"/>
        </w:numPr>
        <w:pStyle w:val="Compact"/>
      </w:pPr>
      <w:r>
        <w:rPr>
          <w:rStyle w:val="VerbatimChar"/>
        </w:rPr>
        <w:t xml:space="preserve">docs/specs/</w:t>
      </w:r>
    </w:p>
    <w:p>
      <w:pPr>
        <w:numPr>
          <w:ilvl w:val="0"/>
          <w:numId w:val="1467"/>
        </w:numPr>
        <w:pStyle w:val="Compact"/>
      </w:pPr>
      <w:r>
        <w:rPr>
          <w:rStyle w:val="VerbatimChar"/>
        </w:rPr>
        <w:t xml:space="preserve">docs/products/</w:t>
      </w:r>
    </w:p>
    <w:p>
      <w:pPr>
        <w:numPr>
          <w:ilvl w:val="0"/>
          <w:numId w:val="1467"/>
        </w:numPr>
        <w:pStyle w:val="Compact"/>
      </w:pPr>
      <w:r>
        <w:rPr>
          <w:rStyle w:val="VerbatimChar"/>
        </w:rPr>
        <w:t xml:space="preserve">docs/data-model/</w:t>
      </w:r>
      <w:r>
        <w:t xml:space="preserve"> </w:t>
      </w:r>
      <w:r>
        <w:t xml:space="preserve">(ERD, migrations log, RE-scoped vault design)</w:t>
      </w:r>
    </w:p>
    <w:p>
      <w:pPr>
        <w:numPr>
          <w:ilvl w:val="0"/>
          <w:numId w:val="1467"/>
        </w:numPr>
        <w:pStyle w:val="Compact"/>
      </w:pPr>
      <w:r>
        <w:rPr>
          <w:rStyle w:val="VerbatimChar"/>
        </w:rPr>
        <w:t xml:space="preserve">docs/api/</w:t>
      </w:r>
      <w:r>
        <w:t xml:space="preserve"> </w:t>
      </w:r>
      <w:r>
        <w:t xml:space="preserve">(OpenAPI, AsyncAPI, lender connector contract)</w:t>
      </w:r>
    </w:p>
    <w:p>
      <w:pPr>
        <w:numPr>
          <w:ilvl w:val="0"/>
          <w:numId w:val="1467"/>
        </w:numPr>
        <w:pStyle w:val="Compact"/>
      </w:pPr>
      <w:r>
        <w:rPr>
          <w:rStyle w:val="VerbatimChar"/>
        </w:rPr>
        <w:t xml:space="preserve">docs/integrations/register.md</w:t>
      </w:r>
      <w:r>
        <w:t xml:space="preserve"> </w:t>
      </w:r>
      <w:r>
        <w:t xml:space="preserve">(provider, contracting party, residency, cost)</w:t>
      </w:r>
    </w:p>
    <w:p>
      <w:pPr>
        <w:numPr>
          <w:ilvl w:val="0"/>
          <w:numId w:val="1467"/>
        </w:numPr>
        <w:pStyle w:val="Compact"/>
      </w:pPr>
      <w:r>
        <w:rPr>
          <w:rStyle w:val="VerbatimChar"/>
        </w:rPr>
        <w:t xml:space="preserve">docs/compliance/requirements-to-controls.md</w:t>
      </w:r>
      <w:r>
        <w:t xml:space="preserve"> </w:t>
      </w:r>
      <w:r>
        <w:t xml:space="preserve">and</w:t>
      </w:r>
      <w:r>
        <w:t xml:space="preserve"> </w:t>
      </w:r>
      <w:r>
        <w:rPr>
          <w:rStyle w:val="VerbatimChar"/>
        </w:rPr>
        <w:t xml:space="preserve">docs/compliance/regulatory-register.md</w:t>
      </w:r>
      <w:r>
        <w:t xml:space="preserve"> </w:t>
      </w:r>
      <w:r>
        <w:t xml:space="preserve">(dated)</w:t>
      </w:r>
    </w:p>
    <w:p>
      <w:pPr>
        <w:numPr>
          <w:ilvl w:val="0"/>
          <w:numId w:val="1467"/>
        </w:numPr>
        <w:pStyle w:val="Compact"/>
      </w:pPr>
      <w:r>
        <w:rPr>
          <w:rStyle w:val="VerbatimChar"/>
        </w:rPr>
        <w:t xml:space="preserve">docs/compliance/dla-register.md</w:t>
      </w:r>
      <w:r>
        <w:t xml:space="preserve"> </w:t>
      </w:r>
      <w:r>
        <w:t xml:space="preserve">(one line per DLA per platform per RE)</w:t>
      </w:r>
    </w:p>
    <w:p>
      <w:pPr>
        <w:numPr>
          <w:ilvl w:val="0"/>
          <w:numId w:val="1467"/>
        </w:numPr>
        <w:pStyle w:val="Compact"/>
      </w:pPr>
      <w:r>
        <w:rPr>
          <w:rStyle w:val="VerbatimChar"/>
        </w:rPr>
        <w:t xml:space="preserve">docs/compliance/permission-policy.md</w:t>
      </w:r>
      <w:r>
        <w:t xml:space="preserve"> </w:t>
      </w:r>
      <w:r>
        <w:t xml:space="preserve">(approved permissions per platform and the purpose text)</w:t>
      </w:r>
    </w:p>
    <w:p>
      <w:pPr>
        <w:numPr>
          <w:ilvl w:val="0"/>
          <w:numId w:val="1467"/>
        </w:numPr>
        <w:pStyle w:val="Compact"/>
      </w:pPr>
      <w:r>
        <w:rPr>
          <w:rStyle w:val="VerbatimChar"/>
        </w:rPr>
        <w:t xml:space="preserve">docs/compliance/store-policy.md</w:t>
      </w:r>
      <w:r>
        <w:t xml:space="preserve"> </w:t>
      </w:r>
      <w:r>
        <w:t xml:space="preserve">(Google Play and Apple requirements with check dates)</w:t>
      </w:r>
    </w:p>
    <w:p>
      <w:pPr>
        <w:numPr>
          <w:ilvl w:val="0"/>
          <w:numId w:val="1467"/>
        </w:numPr>
        <w:pStyle w:val="Compact"/>
      </w:pPr>
      <w:r>
        <w:rPr>
          <w:rStyle w:val="VerbatimChar"/>
        </w:rPr>
        <w:t xml:space="preserve">docs/security/threat-model.md</w:t>
      </w:r>
      <w:r>
        <w:t xml:space="preserve">,</w:t>
      </w:r>
      <w:r>
        <w:t xml:space="preserve"> </w:t>
      </w:r>
      <w:r>
        <w:rPr>
          <w:rStyle w:val="VerbatimChar"/>
        </w:rPr>
        <w:t xml:space="preserve">docs/security/checklist.md</w:t>
      </w:r>
      <w:r>
        <w:t xml:space="preserve">,</w:t>
      </w:r>
      <w:r>
        <w:t xml:space="preserve"> </w:t>
      </w:r>
      <w:r>
        <w:rPr>
          <w:rStyle w:val="VerbatimChar"/>
        </w:rPr>
        <w:t xml:space="preserve">docs/security/masvs-matrix.md</w:t>
      </w:r>
    </w:p>
    <w:p>
      <w:pPr>
        <w:numPr>
          <w:ilvl w:val="0"/>
          <w:numId w:val="1467"/>
        </w:numPr>
        <w:pStyle w:val="Compact"/>
      </w:pPr>
      <w:r>
        <w:rPr>
          <w:rStyle w:val="VerbatimChar"/>
        </w:rPr>
        <w:t xml:space="preserve">docs/testing/strategy.md</w:t>
      </w:r>
      <w:r>
        <w:t xml:space="preserve"> </w:t>
      </w:r>
      <w:r>
        <w:t xml:space="preserve">and</w:t>
      </w:r>
      <w:r>
        <w:t xml:space="preserve"> </w:t>
      </w:r>
      <w:r>
        <w:rPr>
          <w:rStyle w:val="VerbatimChar"/>
        </w:rPr>
        <w:t xml:space="preserve">docs/testing/golden-cases/</w:t>
      </w:r>
    </w:p>
    <w:p>
      <w:pPr>
        <w:numPr>
          <w:ilvl w:val="0"/>
          <w:numId w:val="1467"/>
        </w:numPr>
        <w:pStyle w:val="Compact"/>
      </w:pPr>
      <w:r>
        <w:rPr>
          <w:rStyle w:val="VerbatimChar"/>
        </w:rPr>
        <w:t xml:space="preserve">docs/ops/</w:t>
      </w:r>
      <w:r>
        <w:t xml:space="preserve"> </w:t>
      </w:r>
      <w:r>
        <w:t xml:space="preserve">(deployment, rollback, OTA release register, DR, incident runbooks, SLOs)</w:t>
      </w:r>
    </w:p>
    <w:p>
      <w:pPr>
        <w:numPr>
          <w:ilvl w:val="0"/>
          <w:numId w:val="1467"/>
        </w:numPr>
        <w:pStyle w:val="Compact"/>
      </w:pPr>
      <w:r>
        <w:rPr>
          <w:rStyle w:val="VerbatimChar"/>
        </w:rPr>
        <w:t xml:space="preserve">docs/legal/third-party-notices.md</w:t>
      </w:r>
    </w:p>
    <w:p>
      <w:pPr>
        <w:numPr>
          <w:ilvl w:val="0"/>
          <w:numId w:val="1467"/>
        </w:numPr>
        <w:pStyle w:val="Compact"/>
      </w:pPr>
      <w:r>
        <w:rPr>
          <w:rStyle w:val="VerbatimChar"/>
        </w:rPr>
        <w:t xml:space="preserve">docs/status/modules.md</w:t>
      </w:r>
      <w:r>
        <w:t xml:space="preserve"> </w:t>
      </w:r>
      <w:r>
        <w:t xml:space="preserve">(module status and outstanding decisions)</w:t>
      </w:r>
    </w:p>
    <w:p>
      <w:pPr>
        <w:numPr>
          <w:ilvl w:val="0"/>
          <w:numId w:val="1467"/>
        </w:numPr>
        <w:pStyle w:val="Compact"/>
      </w:pPr>
      <w:r>
        <w:rPr>
          <w:rStyle w:val="VerbatimChar"/>
        </w:rPr>
        <w:t xml:space="preserve">docs/economics/unit-costs.md</w:t>
      </w:r>
    </w:p>
    <w:p>
      <w:pPr>
        <w:numPr>
          <w:ilvl w:val="0"/>
          <w:numId w:val="1467"/>
        </w:numPr>
        <w:pStyle w:val="Compact"/>
      </w:pPr>
      <w:r>
        <w:rPr>
          <w:rStyle w:val="VerbatimChar"/>
        </w:rPr>
        <w:t xml:space="preserve">docs/decisions/</w:t>
      </w:r>
      <w:r>
        <w:t xml:space="preserve"> </w:t>
      </w:r>
      <w:r>
        <w:t xml:space="preserve">(v1.2: owner-decision records for Appendix B items, each with date, approver and any legal-opinion reference)</w:t>
      </w:r>
    </w:p>
    <w:p>
      <w:pPr>
        <w:numPr>
          <w:ilvl w:val="0"/>
          <w:numId w:val="1467"/>
        </w:numPr>
        <w:pStyle w:val="Compact"/>
      </w:pPr>
      <w:r>
        <w:rPr>
          <w:rStyle w:val="VerbatimChar"/>
        </w:rPr>
        <w:t xml:space="preserve">docs/partners/</w:t>
      </w:r>
      <w:r>
        <w:t xml:space="preserve"> </w:t>
      </w:r>
      <w:r>
        <w:t xml:space="preserve">(deal register, due-diligence packs, deal-configuration versions, exit plans; Part 7B)</w:t>
      </w:r>
    </w:p>
    <w:p>
      <w:pPr>
        <w:numPr>
          <w:ilvl w:val="0"/>
          <w:numId w:val="1467"/>
        </w:numPr>
        <w:pStyle w:val="Compact"/>
      </w:pPr>
      <w:r>
        <w:rPr>
          <w:rStyle w:val="VerbatimChar"/>
        </w:rPr>
        <w:t xml:space="preserve">docs/compliance/redress-profiles.md</w:t>
      </w:r>
      <w:r>
        <w:t xml:space="preserve"> </w:t>
      </w:r>
      <w:r>
        <w:t xml:space="preserve">(per-RE grievance chain and RB-IOS/IO applicability; Part 7C UB3)</w:t>
      </w:r>
    </w:p>
    <w:p>
      <w:pPr>
        <w:numPr>
          <w:ilvl w:val="0"/>
          <w:numId w:val="1467"/>
        </w:numPr>
        <w:pStyle w:val="Compact"/>
      </w:pPr>
      <w:r>
        <w:rPr>
          <w:rStyle w:val="VerbatimChar"/>
        </w:rPr>
        <w:t xml:space="preserve">docs/compliance/revenue-legality-register.md</w:t>
      </w:r>
      <w:r>
        <w:t xml:space="preserve"> </w:t>
      </w:r>
      <w:r>
        <w:t xml:space="preserve">(RV1 gate decisions),</w:t>
      </w:r>
      <w:r>
        <w:t xml:space="preserve"> </w:t>
      </w:r>
      <w:r>
        <w:rPr>
          <w:rStyle w:val="VerbatimChar"/>
        </w:rPr>
        <w:t xml:space="preserve">docs/compliance/addon-legality.md</w:t>
      </w:r>
      <w:r>
        <w:t xml:space="preserve"> </w:t>
      </w:r>
      <w:r>
        <w:t xml:space="preserve">(FW4 gates G1–G5),</w:t>
      </w:r>
      <w:r>
        <w:t xml:space="preserve"> </w:t>
      </w:r>
      <w:r>
        <w:rPr>
          <w:rStyle w:val="VerbatimChar"/>
        </w:rPr>
        <w:t xml:space="preserve">docs/compliance/product-licence-register.md</w:t>
      </w:r>
      <w:r>
        <w:t xml:space="preserve"> </w:t>
      </w:r>
      <w:r>
        <w:t xml:space="preserve">(XP1) and</w:t>
      </w:r>
      <w:r>
        <w:t xml:space="preserve"> </w:t>
      </w:r>
      <w:r>
        <w:rPr>
          <w:rStyle w:val="VerbatimChar"/>
        </w:rPr>
        <w:t xml:space="preserve">docs/compliance/advertising-policy.md</w:t>
      </w:r>
      <w:r>
        <w:t xml:space="preserve"> </w:t>
      </w:r>
      <w:r>
        <w:t xml:space="preserve">(RV4)</w:t>
      </w:r>
    </w:p>
    <w:p>
      <w:pPr>
        <w:numPr>
          <w:ilvl w:val="0"/>
          <w:numId w:val="1467"/>
        </w:numPr>
        <w:pStyle w:val="Compact"/>
      </w:pPr>
      <w:r>
        <w:rPr>
          <w:rStyle w:val="VerbatimChar"/>
        </w:rPr>
        <w:t xml:space="preserve">docs/compliance/telecom-routing.md</w:t>
      </w:r>
      <w:r>
        <w:t xml:space="preserve"> </w:t>
      </w:r>
      <w:r>
        <w:t xml:space="preserve">(DLT headers and templates, 1600 and 140 number series, calling windows; RA5)</w:t>
      </w:r>
    </w:p>
    <w:p>
      <w:pPr>
        <w:numPr>
          <w:ilvl w:val="0"/>
          <w:numId w:val="1467"/>
        </w:numPr>
        <w:pStyle w:val="Compact"/>
      </w:pPr>
      <w:r>
        <w:rPr>
          <w:rStyle w:val="VerbatimChar"/>
        </w:rPr>
        <w:t xml:space="preserve">docs/compliance/rule-packs/</w:t>
      </w:r>
      <w:r>
        <w:t xml:space="preserve"> </w:t>
      </w:r>
      <w:r>
        <w:t xml:space="preserve">(MSCS, SCS by State, MFIN Guardrails, coercive-recovery State laws; Part 7E)</w:t>
      </w:r>
    </w:p>
    <w:p>
      <w:pPr>
        <w:numPr>
          <w:ilvl w:val="0"/>
          <w:numId w:val="1467"/>
        </w:numPr>
        <w:pStyle w:val="Compact"/>
      </w:pPr>
      <w:r>
        <w:rPr>
          <w:rStyle w:val="VerbatimChar"/>
        </w:rPr>
        <w:t xml:space="preserve">docs/risk/</w:t>
      </w:r>
      <w:r>
        <w:t xml:space="preserve"> </w:t>
      </w:r>
      <w:r>
        <w:t xml:space="preserve">(risk register, KRIs, RCSA, impact tolerances, quarterly RE packs; RA1)</w:t>
      </w:r>
    </w:p>
    <w:p>
      <w:pPr>
        <w:numPr>
          <w:ilvl w:val="0"/>
          <w:numId w:val="1467"/>
        </w:numPr>
        <w:pStyle w:val="Compact"/>
      </w:pPr>
      <w:r>
        <w:rPr>
          <w:rStyle w:val="VerbatimChar"/>
        </w:rPr>
        <w:t xml:space="preserve">docs/portability/</w:t>
      </w:r>
      <w:r>
        <w:t xml:space="preserve"> </w:t>
      </w:r>
      <w:r>
        <w:t xml:space="preserve">(archive standard as implemented, storage targets, restore-test evidence; RA3)</w:t>
      </w:r>
    </w:p>
    <w:p>
      <w:pPr>
        <w:numPr>
          <w:ilvl w:val="0"/>
          <w:numId w:val="1467"/>
        </w:numPr>
        <w:pStyle w:val="Compact"/>
      </w:pPr>
      <w:r>
        <w:rPr>
          <w:rStyle w:val="VerbatimChar"/>
        </w:rPr>
        <w:t xml:space="preserve">docs/help-centre/</w:t>
      </w:r>
      <w:r>
        <w:t xml:space="preserve"> </w:t>
      </w:r>
      <w:r>
        <w:t xml:space="preserve">(UB4 content, approved versions and languages) and</w:t>
      </w:r>
      <w:r>
        <w:t xml:space="preserve"> </w:t>
      </w:r>
      <w:r>
        <w:rPr>
          <w:rStyle w:val="VerbatimChar"/>
        </w:rPr>
        <w:t xml:space="preserve">docs/tax/</w:t>
      </w:r>
      <w:r>
        <w:t xml:space="preserve"> </w:t>
      </w:r>
      <w:r>
        <w:t xml:space="preserve">(UB2 section map, Income-tax Act 2025 and 1961)</w:t>
      </w:r>
    </w:p>
    <w:p>
      <w:pPr>
        <w:numPr>
          <w:ilvl w:val="0"/>
          <w:numId w:val="1467"/>
        </w:numPr>
        <w:pStyle w:val="Compact"/>
      </w:pPr>
      <w:r>
        <w:rPr>
          <w:rStyle w:val="VerbatimChar"/>
        </w:rPr>
        <w:t xml:space="preserve">docs/certification/</w:t>
      </w:r>
      <w:r>
        <w:t xml:space="preserve"> </w:t>
      </w:r>
      <w:r>
        <w:t xml:space="preserve">(control mapping, evidence index, claims register; RA4.4)</w:t>
      </w:r>
    </w:p>
    <w:bookmarkEnd w:id="489"/>
    <w:bookmarkStart w:id="490" w:name="definition-of-done"/>
    <w:p>
      <w:pPr>
        <w:pStyle w:val="Heading2"/>
      </w:pPr>
      <w:r>
        <w:t xml:space="preserve">11.5 Definition of done</w:t>
      </w:r>
    </w:p>
    <w:p>
      <w:pPr>
        <w:numPr>
          <w:ilvl w:val="0"/>
          <w:numId w:val="1468"/>
        </w:numPr>
        <w:pStyle w:val="Compact"/>
      </w:pPr>
      <w:r>
        <w:t xml:space="preserve">A module is not complete just because its screen renders.</w:t>
      </w:r>
    </w:p>
    <w:p>
      <w:pPr>
        <w:numPr>
          <w:ilvl w:val="0"/>
          <w:numId w:val="1468"/>
        </w:numPr>
        <w:pStyle w:val="Compact"/>
      </w:pPr>
      <w:r>
        <w:t xml:space="preserve">It is complete only when all of the following are true:</w:t>
      </w:r>
    </w:p>
    <w:p>
      <w:pPr>
        <w:numPr>
          <w:ilvl w:val="1"/>
          <w:numId w:val="1469"/>
        </w:numPr>
        <w:pStyle w:val="Compact"/>
      </w:pPr>
      <w:r>
        <w:t xml:space="preserve">its approved acceptance criteria are met on every channel in scope;</w:t>
      </w:r>
    </w:p>
    <w:p>
      <w:pPr>
        <w:numPr>
          <w:ilvl w:val="1"/>
          <w:numId w:val="1469"/>
        </w:numPr>
        <w:pStyle w:val="Compact"/>
      </w:pPr>
      <w:r>
        <w:t xml:space="preserve">the relevant tests (including negative, RE-isolation and borrower-isolation tests) have passed and their output is recorded;</w:t>
      </w:r>
    </w:p>
    <w:p>
      <w:pPr>
        <w:numPr>
          <w:ilvl w:val="1"/>
          <w:numId w:val="1469"/>
        </w:numPr>
        <w:pStyle w:val="Compact"/>
      </w:pPr>
      <w:r>
        <w:t xml:space="preserve">authorisation and maker-checker have been checked;</w:t>
      </w:r>
    </w:p>
    <w:p>
      <w:pPr>
        <w:numPr>
          <w:ilvl w:val="1"/>
          <w:numId w:val="1469"/>
        </w:numPr>
        <w:pStyle w:val="Compact"/>
      </w:pPr>
      <w:r>
        <w:t xml:space="preserve">failures, retries, time-outs and reconciliation are handled, with honest borrower messages;</w:t>
      </w:r>
    </w:p>
    <w:p>
      <w:pPr>
        <w:numPr>
          <w:ilvl w:val="1"/>
          <w:numId w:val="1469"/>
        </w:numPr>
        <w:pStyle w:val="Compact"/>
      </w:pPr>
      <w:r>
        <w:t xml:space="preserve">no new device permission, tracker or data field was added without an approved policy update;</w:t>
      </w:r>
    </w:p>
    <w:p>
      <w:pPr>
        <w:numPr>
          <w:ilvl w:val="1"/>
          <w:numId w:val="1469"/>
        </w:numPr>
        <w:pStyle w:val="Compact"/>
      </w:pPr>
      <w:r>
        <w:t xml:space="preserve">consent and audit events are emitted;</w:t>
      </w:r>
    </w:p>
    <w:p>
      <w:pPr>
        <w:numPr>
          <w:ilvl w:val="1"/>
          <w:numId w:val="1469"/>
        </w:numPr>
        <w:pStyle w:val="Compact"/>
      </w:pPr>
      <w:r>
        <w:t xml:space="preserve">documentation and registers are updated;</w:t>
      </w:r>
    </w:p>
    <w:p>
      <w:pPr>
        <w:numPr>
          <w:ilvl w:val="1"/>
          <w:numId w:val="1469"/>
        </w:numPr>
        <w:pStyle w:val="Compact"/>
      </w:pPr>
      <w:r>
        <w:t xml:space="preserve">the change is reviewable.</w:t>
      </w:r>
    </w:p>
    <w:p>
      <w:pPr>
        <w:numPr>
          <w:ilvl w:val="0"/>
          <w:numId w:val="1468"/>
        </w:numPr>
        <w:pStyle w:val="Compact"/>
      </w:pPr>
      <w:r>
        <w:t xml:space="preserve">A mock or sandbox integration is always clearly distinguished from a production integration.</w:t>
      </w:r>
    </w:p>
    <w:p>
      <w:pPr>
        <w:numPr>
          <w:ilvl w:val="0"/>
          <w:numId w:val="1468"/>
        </w:numPr>
        <w:pStyle w:val="Compact"/>
      </w:pPr>
      <w:r>
        <w:t xml:space="preserve">Our goal is a secure, maintainable, configurable, regulator-ready and commercially viable LSP platform, not the largest number of features or files.</w:t>
      </w:r>
    </w:p>
    <w:bookmarkEnd w:id="490"/>
    <w:bookmarkStart w:id="491" w:name="additional-quality-gates"/>
    <w:p>
      <w:pPr>
        <w:pStyle w:val="Heading2"/>
      </w:pPr>
      <w:r>
        <w:t xml:space="preserve">11.6 Additional quality gates</w:t>
      </w:r>
    </w:p>
    <w:p>
      <w:pPr>
        <w:pStyle w:val="FirstParagraph"/>
      </w:pPr>
      <w:r>
        <w:t xml:space="preserve">These are the ten</w:t>
      </w:r>
      <w:r>
        <w:t xml:space="preserve"> </w:t>
      </w:r>
      <w:r>
        <w:t xml:space="preserve">“</w:t>
      </w:r>
      <w:r>
        <w:t xml:space="preserve">important additions</w:t>
      </w:r>
      <w:r>
        <w:t xml:space="preserve">”</w:t>
      </w:r>
      <w:r>
        <w:t xml:space="preserve"> </w:t>
      </w:r>
      <w:r>
        <w:t xml:space="preserve">of the original prompt, extended:</w:t>
      </w:r>
    </w:p>
    <w:p>
      <w:pPr>
        <w:numPr>
          <w:ilvl w:val="0"/>
          <w:numId w:val="1470"/>
        </w:numPr>
        <w:pStyle w:val="Compact"/>
      </w:pPr>
      <w:r>
        <w:rPr>
          <w:bCs/>
          <w:b/>
        </w:rPr>
        <w:t xml:space="preserve">Independent security review</w:t>
      </w:r>
      <w:r>
        <w:t xml:space="preserve"> </w:t>
      </w:r>
      <w:r>
        <w:t xml:space="preserve">each phase: attempt to break the implementation (10.6 last row).</w:t>
      </w:r>
    </w:p>
    <w:p>
      <w:pPr>
        <w:numPr>
          <w:ilvl w:val="0"/>
          <w:numId w:val="1470"/>
        </w:numPr>
        <w:pStyle w:val="Compact"/>
      </w:pPr>
      <w:r>
        <w:rPr>
          <w:bCs/>
          <w:b/>
        </w:rPr>
        <w:t xml:space="preserve">A single authoritative financial record.</w:t>
      </w:r>
      <w:r>
        <w:t xml:space="preserve"> </w:t>
      </w:r>
      <w:r>
        <w:t xml:space="preserve">The RE’s LMS owns loans, schedules, repayments and classification; Udofin’s mirror is labelled and reconciled. Udofin’s own ledger (U17) owns Udofin’s fees, GST and DLG deposits. Prevent duplicate applications, mandates and payment links; reconcile provider records against internal records rather than trusting an API response.</w:t>
      </w:r>
    </w:p>
    <w:p>
      <w:pPr>
        <w:numPr>
          <w:ilvl w:val="0"/>
          <w:numId w:val="1470"/>
        </w:numPr>
        <w:pStyle w:val="Compact"/>
      </w:pPr>
      <w:r>
        <w:rPr>
          <w:bCs/>
          <w:b/>
        </w:rPr>
        <w:t xml:space="preserve">Borrower consent and data lifecycle:</w:t>
      </w:r>
      <w:r>
        <w:t xml:space="preserve"> </w:t>
      </w:r>
      <w:r>
        <w:t xml:space="preserve">record what was consented to, why, when, for which RE and purpose, and the exact wording; handle withdrawal, retention, deletion, correction and access logging with legally required exceptions (CF para 13(2); DPDP).</w:t>
      </w:r>
    </w:p>
    <w:p>
      <w:pPr>
        <w:numPr>
          <w:ilvl w:val="0"/>
          <w:numId w:val="1470"/>
        </w:numPr>
        <w:pStyle w:val="Compact"/>
      </w:pPr>
      <w:r>
        <w:rPr>
          <w:bCs/>
          <w:b/>
        </w:rPr>
        <w:t xml:space="preserve">Formal workflow and state rules</w:t>
      </w:r>
      <w:r>
        <w:t xml:space="preserve"> </w:t>
      </w:r>
      <w:r>
        <w:t xml:space="preserve">with failure states, retries and human overrides; no state is reached on an assumption.</w:t>
      </w:r>
    </w:p>
    <w:p>
      <w:pPr>
        <w:numPr>
          <w:ilvl w:val="0"/>
          <w:numId w:val="1470"/>
        </w:numPr>
        <w:pStyle w:val="Compact"/>
      </w:pPr>
      <w:r>
        <w:rPr>
          <w:bCs/>
          <w:b/>
        </w:rPr>
        <w:t xml:space="preserve">Independent testing and release gates:</w:t>
      </w:r>
      <w:r>
        <w:t xml:space="preserve"> </w:t>
      </w:r>
      <w:r>
        <w:t xml:space="preserve">a passing build is not evidence that the workflow is correct; tests must exercise the intended behaviour.</w:t>
      </w:r>
    </w:p>
    <w:p>
      <w:pPr>
        <w:numPr>
          <w:ilvl w:val="0"/>
          <w:numId w:val="1470"/>
        </w:numPr>
        <w:pStyle w:val="Compact"/>
      </w:pPr>
      <w:r>
        <w:rPr>
          <w:bCs/>
          <w:b/>
        </w:rPr>
        <w:t xml:space="preserve">Disaster recovery:</w:t>
      </w:r>
      <w:r>
        <w:t xml:space="preserve"> </w:t>
      </w:r>
      <w:r>
        <w:t xml:space="preserve">tested restore of database, documents, workflow state and queues, and reconciliation with REs after an outage.</w:t>
      </w:r>
    </w:p>
    <w:p>
      <w:pPr>
        <w:numPr>
          <w:ilvl w:val="0"/>
          <w:numId w:val="1470"/>
        </w:numPr>
        <w:pStyle w:val="Compact"/>
      </w:pPr>
      <w:r>
        <w:rPr>
          <w:bCs/>
          <w:b/>
        </w:rPr>
        <w:t xml:space="preserve">Change and migration safety:</w:t>
      </w:r>
      <w:r>
        <w:t xml:space="preserve"> </w:t>
      </w:r>
      <w:r>
        <w:t xml:space="preserve">no deployment may leave the mobile app (including older supported versions), web, API, workers and database on incompatible versions. Use expand-and-contract migrations and versioned APIs; the oldest supported app version is part of every compatibility test.</w:t>
      </w:r>
    </w:p>
    <w:p>
      <w:pPr>
        <w:numPr>
          <w:ilvl w:val="0"/>
          <w:numId w:val="1470"/>
        </w:numPr>
        <w:pStyle w:val="Compact"/>
      </w:pPr>
      <w:r>
        <w:rPr>
          <w:bCs/>
          <w:b/>
        </w:rPr>
        <w:t xml:space="preserve">Regulatory change management:</w:t>
      </w:r>
      <w:r>
        <w:t xml:space="preserve"> </w:t>
      </w:r>
      <w:r>
        <w:t xml:space="preserve">dated register; on each change, assess affected products, RE configurations, disclosures, store declarations, workflows, tests and evidence.</w:t>
      </w:r>
    </w:p>
    <w:p>
      <w:pPr>
        <w:numPr>
          <w:ilvl w:val="0"/>
          <w:numId w:val="1470"/>
        </w:numPr>
        <w:pStyle w:val="Compact"/>
      </w:pPr>
      <w:r>
        <w:rPr>
          <w:bCs/>
          <w:b/>
        </w:rPr>
        <w:t xml:space="preserve">Production monitoring:</w:t>
      </w:r>
      <w:r>
        <w:t xml:space="preserve"> </w:t>
      </w:r>
      <w:r>
        <w:t xml:space="preserve">SLOs for availability, latency, provider failure rates, RE connector lag, queue delays, mandate and payment-status reconciliation, crash-free rate; alerts carry no sensitive data.</w:t>
      </w:r>
    </w:p>
    <w:p>
      <w:pPr>
        <w:numPr>
          <w:ilvl w:val="0"/>
          <w:numId w:val="1470"/>
        </w:numPr>
        <w:pStyle w:val="Compact"/>
      </w:pPr>
      <w:r>
        <w:rPr>
          <w:bCs/>
          <w:b/>
        </w:rPr>
        <w:t xml:space="preserve">Commercial viability:</w:t>
      </w:r>
      <w:r>
        <w:t xml:space="preserve"> </w:t>
      </w:r>
      <w:r>
        <w:t xml:space="preserve">track per-application costs (KYC, bureau via RE, AA, eSign/eStamp, messaging, cloud, support) against LSP fee revenue per RE and per product. A technically working product may still be commercially unviable.</w:t>
      </w:r>
    </w:p>
    <w:p>
      <w:r>
        <w:pict>
          <v:rect style="width:0;height:1.5pt" o:hralign="center" o:hrstd="t" o:hr="t"/>
        </w:pict>
      </w:r>
    </w:p>
    <w:bookmarkEnd w:id="491"/>
    <w:bookmarkEnd w:id="492"/>
    <w:bookmarkStart w:id="528" w:name="Xae1e2dda7682176cd043b8a218fa0c58009f3c8"/>
    <w:p>
      <w:pPr>
        <w:pStyle w:val="Heading1"/>
      </w:pPr>
      <w:r>
        <w:t xml:space="preserve">PART 12 — PHASED ROADMAP WITH CLAUDE CODE INSTRUCTIONS</w:t>
      </w:r>
    </w:p>
    <w:p>
      <w:pPr>
        <w:pStyle w:val="FirstParagraph"/>
      </w:pPr>
      <w:r>
        <w:t xml:space="preserve">Build a common platform first, then launch a</w:t>
      </w:r>
      <w:r>
        <w:t xml:space="preserve"> </w:t>
      </w:r>
      <w:r>
        <w:rPr>
          <w:bCs/>
          <w:b/>
        </w:rPr>
        <w:t xml:space="preserve">narrow MVP pilot</w:t>
      </w:r>
      <w:r>
        <w:t xml:space="preserve"> </w:t>
      </w:r>
      <w:r>
        <w:t xml:space="preserve">before expanding:</w:t>
      </w:r>
    </w:p>
    <w:p>
      <w:pPr>
        <w:numPr>
          <w:ilvl w:val="0"/>
          <w:numId w:val="1471"/>
        </w:numPr>
        <w:pStyle w:val="Compact"/>
      </w:pPr>
      <w:r>
        <w:rPr>
          <w:bCs/>
          <w:b/>
        </w:rPr>
        <w:t xml:space="preserve">MVP scope:</w:t>
      </w:r>
      <w:r>
        <w:t xml:space="preserve"> </w:t>
      </w:r>
      <w:r>
        <w:t xml:space="preserve">Products 1 (Personal Loan) and 2 (Payday / short-tenure loan); the Android app, the borrower web app, the operations portal and the lender portal; one or two pilot REs — one on Finbyx and one on a generic LMS connector.</w:t>
      </w:r>
    </w:p>
    <w:p>
      <w:pPr>
        <w:numPr>
          <w:ilvl w:val="1"/>
          <w:numId w:val="1472"/>
        </w:numPr>
        <w:pStyle w:val="Compact"/>
      </w:pPr>
      <w:r>
        <w:t xml:space="preserve">Product 2 cannot be offered in the store apps where repayment in full falls due in 60 days or less (Google Play and App Store personal-loan rules). It is web-only in that form, or configured with tenor above 60 days for the apps. Decide in Phase 0 (Appendix B).</w:t>
      </w:r>
    </w:p>
    <w:p>
      <w:pPr>
        <w:numPr>
          <w:ilvl w:val="1"/>
          <w:numId w:val="1472"/>
        </w:numPr>
        <w:pStyle w:val="Compact"/>
      </w:pPr>
      <w:r>
        <w:t xml:space="preserve">Development and staging use synthetic data only. The pilot goes live only on India-region hosting (Part 10.1).</w:t>
      </w:r>
    </w:p>
    <w:p>
      <w:pPr>
        <w:numPr>
          <w:ilvl w:val="0"/>
          <w:numId w:val="1471"/>
        </w:numPr>
        <w:pStyle w:val="Compact"/>
      </w:pPr>
      <w:r>
        <w:rPr>
          <w:bCs/>
          <w:b/>
        </w:rPr>
        <w:t xml:space="preserve">iOS:</w:t>
      </w:r>
      <w:r>
        <w:t xml:space="preserve"> </w:t>
      </w:r>
      <w:r>
        <w:t xml:space="preserve">App Store submission after the Android pilot is stable (Phase P); release engineering is prepared in Phase 17.</w:t>
      </w:r>
    </w:p>
    <w:p>
      <w:pPr>
        <w:numPr>
          <w:ilvl w:val="0"/>
          <w:numId w:val="1471"/>
        </w:numPr>
        <w:pStyle w:val="Compact"/>
      </w:pPr>
      <w:r>
        <w:rPr>
          <w:bCs/>
          <w:b/>
        </w:rPr>
        <w:t xml:space="preserve">Next:</w:t>
      </w:r>
      <w:r>
        <w:t xml:space="preserve"> </w:t>
      </w:r>
      <w:r>
        <w:t xml:space="preserve">secured products (LAS, Home, LAP, Vehicle), then the proposed templates for Products 11–15 (Phase 18b).</w:t>
      </w:r>
    </w:p>
    <w:p>
      <w:pPr>
        <w:numPr>
          <w:ilvl w:val="0"/>
          <w:numId w:val="1471"/>
        </w:numPr>
        <w:pStyle w:val="Compact"/>
      </w:pPr>
      <w:r>
        <w:rPr>
          <w:bCs/>
          <w:b/>
        </w:rPr>
        <w:t xml:space="preserve">Last:</w:t>
      </w:r>
      <w:r>
        <w:t xml:space="preserve"> </w:t>
      </w:r>
      <w:r>
        <w:t xml:space="preserve">the specialist products, each after a feasibility approval.</w:t>
      </w:r>
    </w:p>
    <w:p>
      <w:pPr>
        <w:pStyle w:val="FirstParagraph"/>
      </w:pPr>
      <w:r>
        <w:t xml:space="preserve">How to run the phases:</w:t>
      </w:r>
    </w:p>
    <w:p>
      <w:pPr>
        <w:numPr>
          <w:ilvl w:val="0"/>
          <w:numId w:val="1473"/>
        </w:numPr>
        <w:pStyle w:val="Compact"/>
      </w:pPr>
      <w:r>
        <w:t xml:space="preserve">Each phase ends with a review gate (the runbook lists the checks).</w:t>
      </w:r>
    </w:p>
    <w:p>
      <w:pPr>
        <w:numPr>
          <w:ilvl w:val="0"/>
          <w:numId w:val="1473"/>
        </w:numPr>
        <w:pStyle w:val="Compact"/>
      </w:pPr>
      <w:r>
        <w:t xml:space="preserve">Copy one</w:t>
      </w:r>
      <w:r>
        <w:t xml:space="preserve"> </w:t>
      </w:r>
      <w:r>
        <w:rPr>
          <w:bCs/>
          <w:b/>
        </w:rPr>
        <w:t xml:space="preserve">“</w:t>
      </w:r>
      <w:r>
        <w:rPr>
          <w:bCs/>
          <w:b/>
        </w:rPr>
        <w:t xml:space="preserve">Instruction to Claude</w:t>
      </w:r>
      <w:r>
        <w:rPr>
          <w:bCs/>
          <w:b/>
        </w:rPr>
        <w:t xml:space="preserve">”</w:t>
      </w:r>
      <w:r>
        <w:t xml:space="preserve"> </w:t>
      </w:r>
      <w:r>
        <w:t xml:space="preserve">block into Claude Code when you start that phase. Do not paste several phases at once.</w:t>
      </w:r>
    </w:p>
    <w:p>
      <w:pPr>
        <w:numPr>
          <w:ilvl w:val="0"/>
          <w:numId w:val="1473"/>
        </w:numPr>
        <w:pStyle w:val="Compact"/>
      </w:pPr>
      <w:r>
        <w:t xml:space="preserve">Split large phases into sub-modules.</w:t>
      </w:r>
    </w:p>
    <w:p>
      <w:pPr>
        <w:numPr>
          <w:ilvl w:val="0"/>
          <w:numId w:val="1473"/>
        </w:numPr>
        <w:pStyle w:val="Compact"/>
      </w:pPr>
      <w:r>
        <w:t xml:space="preserve">Each phase also applies the Part 8A.16 items assigned to it: the module additions in 8A.16.1 and the phase additions in</w:t>
      </w:r>
      <w:r>
        <w:t xml:space="preserve"> </w:t>
      </w:r>
      <w:r>
        <w:rPr>
          <w:bCs/>
          <w:b/>
        </w:rPr>
        <w:t xml:space="preserve">8A.16.2</w:t>
      </w:r>
      <w:r>
        <w:t xml:space="preserve">. Add them to the phase specification before approval.</w:t>
      </w:r>
    </w:p>
    <w:p>
      <w:pPr>
        <w:numPr>
          <w:ilvl w:val="0"/>
          <w:numId w:val="1473"/>
        </w:numPr>
        <w:pStyle w:val="Compact"/>
      </w:pPr>
      <w:r>
        <w:rPr>
          <w:bCs/>
          <w:b/>
        </w:rPr>
        <w:t xml:space="preserve">Phase P (pilot go-live)</w:t>
      </w:r>
      <w:r>
        <w:t xml:space="preserve"> </w:t>
      </w:r>
      <w:r>
        <w:t xml:space="preserve">comes before the expansion phases (18–21).</w:t>
      </w:r>
    </w:p>
    <w:p>
      <w:pPr>
        <w:numPr>
          <w:ilvl w:val="0"/>
          <w:numId w:val="1473"/>
        </w:numPr>
        <w:pStyle w:val="Compact"/>
      </w:pPr>
      <w:r>
        <w:rPr>
          <w:bCs/>
          <w:b/>
        </w:rPr>
        <w:t xml:space="preserve">v1.2 phases:</w:t>
      </w:r>
      <w:r>
        <w:t xml:space="preserve"> </w:t>
      </w:r>
      <w:r>
        <w:t xml:space="preserve">3c (lender partnership onboarding and deal configurator, Part 7B), 11b (borrower downloads and tax documents, Part 7C UB1–UB2), 14b (grievance escalation chain v2, Part 7C UB3–UB4) and 16c (risk function, supervisory access, data portability and engineering assurance, Part 7H RA1–RA4) are pilot prerequisites; 18c (member and group lending, Parts 7B UP4 and 7E), 20b (financial wellness add-ons and plans and billing, Parts 7D and 7G), 20c (extensible products and insurance distribution, Part 7F) and 20d (voice, AI contact-centre and Jio adapters, Part 7H RA5) are expansion phases. Phases 20b and 20c start with an owner-decision and legal-opinion gate (Part 7D FW4 G1–G5; the IRDAI licence model in Part 7F XP2.1) and stop if it is not met. Phase 20b needs Operations Hub phase O6 for RE invoicing only; borrower plans are billed by Udofin’s own billing service on its own Razorpay account. Every v1.2 phase also builds the menus, screens and settings of its modules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Parts 7B–7H, consolidated in Appendix G). Order: 0 → 1 → 2 → 3 → 3b → 3c → 4 → 5 → 6 → 7 → 8 → 9 → 10 → 11 → 11b → 12 → 12b → 13 → 14 → 14b → 15 → 16 → 16b → 16c → 17 → P → 18 → 18b → 18c → 19 → 20 → 20b → 20c → 20d → 21.</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92"/>
        <w:gridCol w:w="4073"/>
        <w:gridCol w:w="3373"/>
      </w:tblGrid>
      <w:tr>
        <w:trPr>
          <w:tblHeader w:val="true"/>
          <w:tblHeader w:val="true"/>
        </w:trPr>
        <w:tc>
          <w:tcPr>
            <w:tcW w:w="2192" w:type="dxa"/>
            <w:shd w:val="clear" w:color="auto" w:fill="1F3A5F"/>
          </w:tcPr>
          <w:p>
            <w:pPr>
              <w:pStyle w:val="Compact"/>
              <w:spacing w:after="40"/>
              <w:jc w:val="left"/>
            </w:pPr>
            <w:r>
              <w:rPr>
                <w:b/>
                <w:color w:val="FFFFFF"/>
                <w:sz w:val="18"/>
              </w:rPr>
              <w:t xml:space="preserve">Phase</w:t>
            </w:r>
          </w:p>
        </w:tc>
        <w:tc>
          <w:tcPr>
            <w:tcW w:w="4073" w:type="dxa"/>
            <w:shd w:val="clear" w:color="auto" w:fill="1F3A5F"/>
          </w:tcPr>
          <w:p>
            <w:pPr>
              <w:pStyle w:val="Compact"/>
              <w:spacing w:after="40"/>
              <w:jc w:val="left"/>
            </w:pPr>
            <w:r>
              <w:rPr>
                <w:b/>
                <w:color w:val="FFFFFF"/>
                <w:sz w:val="18"/>
              </w:rPr>
              <w:t xml:space="preserve">Primary outcome</w:t>
            </w:r>
          </w:p>
        </w:tc>
        <w:tc>
          <w:tcPr>
            <w:tcW w:w="3373" w:type="dxa"/>
            <w:shd w:val="clear" w:color="auto" w:fill="1F3A5F"/>
          </w:tcPr>
          <w:p>
            <w:pPr>
              <w:pStyle w:val="Compact"/>
              <w:spacing w:after="40"/>
              <w:jc w:val="left"/>
            </w:pPr>
            <w:r>
              <w:rPr>
                <w:b/>
                <w:color w:val="FFFFFF"/>
                <w:sz w:val="18"/>
              </w:rPr>
              <w:t xml:space="preserve">Depends on</w:t>
            </w:r>
          </w:p>
        </w:tc>
      </w:tr>
      <w:tr>
        <w:tc>
          <w:tcPr>
            <w:tcW w:w="2192" w:type="dxa"/>
          </w:tcPr>
          <w:p>
            <w:pPr>
              <w:pStyle w:val="Compact"/>
              <w:spacing w:after="40"/>
              <w:jc w:val="left"/>
            </w:pPr>
            <w:r>
              <w:rPr>
                <w:sz w:val="18"/>
              </w:rPr>
              <w:t xml:space="preserve">0. Repository audit and architecture</w:t>
            </w:r>
          </w:p>
        </w:tc>
        <w:tc>
          <w:tcPr>
            <w:tcW w:w="4073" w:type="dxa"/>
          </w:tcPr>
          <w:p>
            <w:pPr>
              <w:pStyle w:val="Compact"/>
              <w:spacing w:after="40"/>
              <w:jc w:val="left"/>
            </w:pPr>
            <w:r>
              <w:rPr>
                <w:sz w:val="18"/>
              </w:rPr>
              <w:t xml:space="preserve">Verified repo facts; architecture and ADRs (mobile/web, loan mirror, data residency, RE-scoped vault); regulatory register v1 with REQ-IDs; DLA register design; permission policy; app-store policy check</w:t>
            </w:r>
          </w:p>
        </w:tc>
        <w:tc>
          <w:tcPr>
            <w:tcW w:w="3373" w:type="dxa"/>
          </w:tcPr>
          <w:p>
            <w:pPr>
              <w:pStyle w:val="Compact"/>
              <w:spacing w:after="40"/>
              <w:jc w:val="left"/>
            </w:pPr>
            <w:r>
              <w:rPr>
                <w:sz w:val="18"/>
              </w:rPr>
              <w:t xml:space="preserve">—</w:t>
            </w:r>
          </w:p>
        </w:tc>
      </w:tr>
      <w:tr>
        <w:tc>
          <w:tcPr>
            <w:tcW w:w="2192" w:type="dxa"/>
          </w:tcPr>
          <w:p>
            <w:pPr>
              <w:pStyle w:val="Compact"/>
              <w:spacing w:after="40"/>
              <w:jc w:val="left"/>
            </w:pPr>
            <w:r>
              <w:rPr>
                <w:sz w:val="18"/>
              </w:rPr>
              <w:t xml:space="preserve">1. Platform foundation</w:t>
            </w:r>
          </w:p>
        </w:tc>
        <w:tc>
          <w:tcPr>
            <w:tcW w:w="4073" w:type="dxa"/>
          </w:tcPr>
          <w:p>
            <w:pPr>
              <w:pStyle w:val="Compact"/>
              <w:spacing w:after="40"/>
              <w:jc w:val="left"/>
            </w:pPr>
            <w:r>
              <w:rPr>
                <w:sz w:val="18"/>
              </w:rPr>
              <w:t xml:space="preserve">Monorepo with mobile, borrower web, portal, API and worker skeletons; CI with permission audit; design tokens; observability</w:t>
            </w:r>
          </w:p>
        </w:tc>
        <w:tc>
          <w:tcPr>
            <w:tcW w:w="3373" w:type="dxa"/>
          </w:tcPr>
          <w:p>
            <w:pPr>
              <w:pStyle w:val="Compact"/>
              <w:spacing w:after="40"/>
              <w:jc w:val="left"/>
            </w:pPr>
            <w:r>
              <w:rPr>
                <w:sz w:val="18"/>
              </w:rPr>
              <w:t xml:space="preserve">0</w:t>
            </w:r>
          </w:p>
        </w:tc>
      </w:tr>
      <w:tr>
        <w:tc>
          <w:tcPr>
            <w:tcW w:w="2192" w:type="dxa"/>
          </w:tcPr>
          <w:p>
            <w:pPr>
              <w:pStyle w:val="Compact"/>
              <w:spacing w:after="40"/>
              <w:jc w:val="left"/>
            </w:pPr>
            <w:r>
              <w:rPr>
                <w:sz w:val="18"/>
              </w:rPr>
              <w:t xml:space="preserve">2. Database, tenancy and security</w:t>
            </w:r>
          </w:p>
        </w:tc>
        <w:tc>
          <w:tcPr>
            <w:tcW w:w="4073" w:type="dxa"/>
          </w:tcPr>
          <w:p>
            <w:pPr>
              <w:pStyle w:val="Compact"/>
              <w:spacing w:after="40"/>
              <w:jc w:val="left"/>
            </w:pPr>
            <w:r>
              <w:rPr>
                <w:sz w:val="18"/>
              </w:rPr>
              <w:t xml:space="preserve">RE-tenant and borrower model, RBAC/ABAC, enforced RLS, audit events, maker-checker, isolation tests</w:t>
            </w:r>
          </w:p>
        </w:tc>
        <w:tc>
          <w:tcPr>
            <w:tcW w:w="3373" w:type="dxa"/>
          </w:tcPr>
          <w:p>
            <w:pPr>
              <w:pStyle w:val="Compact"/>
              <w:spacing w:after="40"/>
              <w:jc w:val="left"/>
            </w:pPr>
            <w:r>
              <w:rPr>
                <w:sz w:val="18"/>
              </w:rPr>
              <w:t xml:space="preserve">1</w:t>
            </w:r>
          </w:p>
        </w:tc>
      </w:tr>
      <w:tr>
        <w:tc>
          <w:tcPr>
            <w:tcW w:w="2192" w:type="dxa"/>
          </w:tcPr>
          <w:p>
            <w:pPr>
              <w:pStyle w:val="Compact"/>
              <w:spacing w:after="40"/>
              <w:jc w:val="left"/>
            </w:pPr>
            <w:r>
              <w:rPr>
                <w:sz w:val="18"/>
              </w:rPr>
              <w:t xml:space="preserve">3. Lender onboarding, product catalogue and configuration</w:t>
            </w:r>
          </w:p>
        </w:tc>
        <w:tc>
          <w:tcPr>
            <w:tcW w:w="4073" w:type="dxa"/>
          </w:tcPr>
          <w:p>
            <w:pPr>
              <w:pStyle w:val="Compact"/>
              <w:spacing w:after="40"/>
              <w:jc w:val="left"/>
            </w:pPr>
            <w:r>
              <w:rPr>
                <w:sz w:val="18"/>
              </w:rPr>
              <w:t xml:space="preserve">U1 RE onboarding and LSP agreement registry; U2 product catalogue with rule packs and guard-rails; U23 admin</w:t>
            </w:r>
          </w:p>
        </w:tc>
        <w:tc>
          <w:tcPr>
            <w:tcW w:w="3373" w:type="dxa"/>
          </w:tcPr>
          <w:p>
            <w:pPr>
              <w:pStyle w:val="Compact"/>
              <w:spacing w:after="40"/>
              <w:jc w:val="left"/>
            </w:pPr>
            <w:r>
              <w:rPr>
                <w:sz w:val="18"/>
              </w:rPr>
              <w:t xml:space="preserve">2</w:t>
            </w:r>
          </w:p>
        </w:tc>
      </w:tr>
      <w:tr>
        <w:tc>
          <w:tcPr>
            <w:tcW w:w="2192" w:type="dxa"/>
          </w:tcPr>
          <w:p>
            <w:pPr>
              <w:pStyle w:val="Compact"/>
              <w:spacing w:after="40"/>
              <w:jc w:val="left"/>
            </w:pPr>
            <w:r>
              <w:rPr>
                <w:sz w:val="18"/>
              </w:rPr>
              <w:t xml:space="preserve">3b. Communications and consent foundation</w:t>
            </w:r>
          </w:p>
        </w:tc>
        <w:tc>
          <w:tcPr>
            <w:tcW w:w="4073" w:type="dxa"/>
          </w:tcPr>
          <w:p>
            <w:pPr>
              <w:pStyle w:val="Compact"/>
              <w:spacing w:after="40"/>
              <w:jc w:val="left"/>
            </w:pPr>
            <w:r>
              <w:rPr>
                <w:sz w:val="18"/>
              </w:rPr>
              <w:t xml:space="preserve">U4 consent ledger and notice versions; U16 templates, DLT/WhatsApp/email/push adapters; contact-policy engine</w:t>
            </w:r>
          </w:p>
        </w:tc>
        <w:tc>
          <w:tcPr>
            <w:tcW w:w="3373" w:type="dxa"/>
          </w:tcPr>
          <w:p>
            <w:pPr>
              <w:pStyle w:val="Compact"/>
              <w:spacing w:after="40"/>
              <w:jc w:val="left"/>
            </w:pPr>
            <w:r>
              <w:rPr>
                <w:sz w:val="18"/>
              </w:rPr>
              <w:t xml:space="preserve">2</w:t>
            </w:r>
          </w:p>
        </w:tc>
      </w:tr>
      <w:tr>
        <w:tc>
          <w:tcPr>
            <w:tcW w:w="2192" w:type="dxa"/>
          </w:tcPr>
          <w:p>
            <w:pPr>
              <w:pStyle w:val="Compact"/>
              <w:spacing w:after="40"/>
              <w:jc w:val="left"/>
            </w:pPr>
            <w:r>
              <w:rPr>
                <w:sz w:val="18"/>
              </w:rPr>
              <w:t xml:space="preserve">3c. Lender partnership onboarding and deal configurator</w:t>
            </w:r>
          </w:p>
        </w:tc>
        <w:tc>
          <w:tcPr>
            <w:tcW w:w="4073" w:type="dxa"/>
          </w:tcPr>
          <w:p>
            <w:pPr>
              <w:pStyle w:val="Compact"/>
              <w:spacing w:after="40"/>
              <w:jc w:val="left"/>
            </w:pPr>
            <w:r>
              <w:rPr>
                <w:sz w:val="18"/>
              </w:rPr>
              <w:t xml:space="preserve">Part 7B UP1–UP3, UP5: deal state machine with fail-closed gates and</w:t>
            </w:r>
            <w:r>
              <w:rPr>
                <w:sz w:val="18"/>
              </w:rPr>
              <w:t xml:space="preserve"> </w:t>
            </w:r>
            <w:r>
              <w:rPr>
                <w:rStyle w:val="VerbatimChar"/>
                <w:sz w:val="18"/>
              </w:rPr>
              <w:t xml:space="preserve">LenderDeal*</w:t>
            </w:r>
            <w:r>
              <w:rPr>
                <w:sz w:val="18"/>
              </w:rPr>
              <w:t xml:space="preserve"> </w:t>
            </w:r>
            <w:r>
              <w:rPr>
                <w:sz w:val="18"/>
              </w:rPr>
              <w:t xml:space="preserve">events; two-way due diligence and LSP declarations; per-deal configurator with the neutrality firewall; RE export packs P1–P10; suspension, exit, freeze and data return</w:t>
            </w:r>
          </w:p>
        </w:tc>
        <w:tc>
          <w:tcPr>
            <w:tcW w:w="3373" w:type="dxa"/>
          </w:tcPr>
          <w:p>
            <w:pPr>
              <w:pStyle w:val="Compact"/>
              <w:spacing w:after="40"/>
              <w:jc w:val="left"/>
            </w:pPr>
            <w:r>
              <w:rPr>
                <w:sz w:val="18"/>
              </w:rPr>
              <w:t xml:space="preserve">2, 3, 3b (packs P3–P10 completed as their source modules land: P3 after 7, P5 after 13, P4 after 14b, P9 after 20; full exit archive after 16c)</w:t>
            </w:r>
          </w:p>
        </w:tc>
      </w:tr>
      <w:tr>
        <w:tc>
          <w:tcPr>
            <w:tcW w:w="2192" w:type="dxa"/>
          </w:tcPr>
          <w:p>
            <w:pPr>
              <w:pStyle w:val="Compact"/>
              <w:spacing w:after="40"/>
              <w:jc w:val="left"/>
            </w:pPr>
            <w:r>
              <w:rPr>
                <w:sz w:val="18"/>
              </w:rPr>
              <w:t xml:space="preserve">4. Borrower identity and onboarding (app and web)</w:t>
            </w:r>
          </w:p>
        </w:tc>
        <w:tc>
          <w:tcPr>
            <w:tcW w:w="4073" w:type="dxa"/>
          </w:tcPr>
          <w:p>
            <w:pPr>
              <w:pStyle w:val="Compact"/>
              <w:spacing w:after="40"/>
              <w:jc w:val="left"/>
            </w:pPr>
            <w:r>
              <w:rPr>
                <w:sz w:val="18"/>
              </w:rPr>
              <w:t xml:space="preserve">U3 registration, OTP, device binding, app unlock, resumable journey shell on Android and web</w:t>
            </w:r>
          </w:p>
        </w:tc>
        <w:tc>
          <w:tcPr>
            <w:tcW w:w="3373" w:type="dxa"/>
          </w:tcPr>
          <w:p>
            <w:pPr>
              <w:pStyle w:val="Compact"/>
              <w:spacing w:after="40"/>
              <w:jc w:val="left"/>
            </w:pPr>
            <w:r>
              <w:rPr>
                <w:sz w:val="18"/>
              </w:rPr>
              <w:t xml:space="preserve">2, 3, 3b</w:t>
            </w:r>
          </w:p>
        </w:tc>
      </w:tr>
      <w:tr>
        <w:tc>
          <w:tcPr>
            <w:tcW w:w="2192" w:type="dxa"/>
          </w:tcPr>
          <w:p>
            <w:pPr>
              <w:pStyle w:val="Compact"/>
              <w:spacing w:after="40"/>
              <w:jc w:val="left"/>
            </w:pPr>
            <w:r>
              <w:rPr>
                <w:sz w:val="18"/>
              </w:rPr>
              <w:t xml:space="preserve">5. KYC and verification adapters</w:t>
            </w:r>
          </w:p>
        </w:tc>
        <w:tc>
          <w:tcPr>
            <w:tcW w:w="4073" w:type="dxa"/>
          </w:tcPr>
          <w:p>
            <w:pPr>
              <w:pStyle w:val="Compact"/>
              <w:spacing w:after="40"/>
              <w:jc w:val="left"/>
            </w:pPr>
            <w:r>
              <w:rPr>
                <w:sz w:val="18"/>
              </w:rPr>
              <w:t xml:space="preserve">U5 PAN, OKYC/DigiLocker, CKYC via RE, V-CIP handoff, face match, bank verification</w:t>
            </w:r>
          </w:p>
        </w:tc>
        <w:tc>
          <w:tcPr>
            <w:tcW w:w="3373" w:type="dxa"/>
          </w:tcPr>
          <w:p>
            <w:pPr>
              <w:pStyle w:val="Compact"/>
              <w:spacing w:after="40"/>
              <w:jc w:val="left"/>
            </w:pPr>
            <w:r>
              <w:rPr>
                <w:sz w:val="18"/>
              </w:rPr>
              <w:t xml:space="preserve">4</w:t>
            </w:r>
          </w:p>
        </w:tc>
      </w:tr>
      <w:tr>
        <w:tc>
          <w:tcPr>
            <w:tcW w:w="2192" w:type="dxa"/>
          </w:tcPr>
          <w:p>
            <w:pPr>
              <w:pStyle w:val="Compact"/>
              <w:spacing w:after="40"/>
              <w:jc w:val="left"/>
            </w:pPr>
            <w:r>
              <w:rPr>
                <w:sz w:val="18"/>
              </w:rPr>
              <w:t xml:space="preserve">6. Credit data, affordability and eligibility</w:t>
            </w:r>
          </w:p>
        </w:tc>
        <w:tc>
          <w:tcPr>
            <w:tcW w:w="4073" w:type="dxa"/>
          </w:tcPr>
          <w:p>
            <w:pPr>
              <w:pStyle w:val="Compact"/>
              <w:spacing w:after="40"/>
              <w:jc w:val="left"/>
            </w:pPr>
            <w:r>
              <w:rPr>
                <w:sz w:val="18"/>
              </w:rPr>
              <w:t xml:space="preserve">U6 bureau via RE, AA as RE’s TSP, income and affordability, household-income test; U7 eligibility pre-filters</w:t>
            </w:r>
          </w:p>
        </w:tc>
        <w:tc>
          <w:tcPr>
            <w:tcW w:w="3373" w:type="dxa"/>
          </w:tcPr>
          <w:p>
            <w:pPr>
              <w:pStyle w:val="Compact"/>
              <w:spacing w:after="40"/>
              <w:jc w:val="left"/>
            </w:pPr>
            <w:r>
              <w:rPr>
                <w:sz w:val="18"/>
              </w:rPr>
              <w:t xml:space="preserve">3, 5</w:t>
            </w:r>
          </w:p>
        </w:tc>
      </w:tr>
      <w:tr>
        <w:tc>
          <w:tcPr>
            <w:tcW w:w="2192" w:type="dxa"/>
          </w:tcPr>
          <w:p>
            <w:pPr>
              <w:pStyle w:val="Compact"/>
              <w:spacing w:after="40"/>
              <w:jc w:val="left"/>
            </w:pPr>
            <w:r>
              <w:rPr>
                <w:sz w:val="18"/>
              </w:rPr>
              <w:t xml:space="preserve">7. Lender routing, offers, KFS and cooling-off</w:t>
            </w:r>
          </w:p>
        </w:tc>
        <w:tc>
          <w:tcPr>
            <w:tcW w:w="4073" w:type="dxa"/>
          </w:tcPr>
          <w:p>
            <w:pPr>
              <w:pStyle w:val="Compact"/>
              <w:spacing w:after="40"/>
              <w:jc w:val="left"/>
            </w:pPr>
            <w:r>
              <w:rPr>
                <w:sz w:val="18"/>
              </w:rPr>
              <w:t xml:space="preserve">U7 routing; U8 multi-lender offer view, KFS display and acknowledgement, cooling-off</w:t>
            </w:r>
          </w:p>
        </w:tc>
        <w:tc>
          <w:tcPr>
            <w:tcW w:w="3373" w:type="dxa"/>
          </w:tcPr>
          <w:p>
            <w:pPr>
              <w:pStyle w:val="Compact"/>
              <w:spacing w:after="40"/>
              <w:jc w:val="left"/>
            </w:pPr>
            <w:r>
              <w:rPr>
                <w:sz w:val="18"/>
              </w:rPr>
              <w:t xml:space="preserve">6</w:t>
            </w:r>
          </w:p>
        </w:tc>
      </w:tr>
      <w:tr>
        <w:tc>
          <w:tcPr>
            <w:tcW w:w="2192" w:type="dxa"/>
          </w:tcPr>
          <w:p>
            <w:pPr>
              <w:pStyle w:val="Compact"/>
              <w:spacing w:after="40"/>
              <w:jc w:val="left"/>
            </w:pPr>
            <w:r>
              <w:rPr>
                <w:sz w:val="18"/>
              </w:rPr>
              <w:t xml:space="preserve">8. Documents, eSign, eStamp and DMS</w:t>
            </w:r>
          </w:p>
        </w:tc>
        <w:tc>
          <w:tcPr>
            <w:tcW w:w="4073" w:type="dxa"/>
          </w:tcPr>
          <w:p>
            <w:pPr>
              <w:pStyle w:val="Compact"/>
              <w:spacing w:after="40"/>
              <w:jc w:val="left"/>
            </w:pPr>
            <w:r>
              <w:rPr>
                <w:sz w:val="18"/>
              </w:rPr>
              <w:t xml:space="preserve">U9 templates from RE, signing evidence, stamping, DMS and auto-flow of signed documents</w:t>
            </w:r>
          </w:p>
        </w:tc>
        <w:tc>
          <w:tcPr>
            <w:tcW w:w="3373" w:type="dxa"/>
          </w:tcPr>
          <w:p>
            <w:pPr>
              <w:pStyle w:val="Compact"/>
              <w:spacing w:after="40"/>
              <w:jc w:val="left"/>
            </w:pPr>
            <w:r>
              <w:rPr>
                <w:sz w:val="18"/>
              </w:rPr>
              <w:t xml:space="preserve">7</w:t>
            </w:r>
          </w:p>
        </w:tc>
      </w:tr>
      <w:tr>
        <w:tc>
          <w:tcPr>
            <w:tcW w:w="2192" w:type="dxa"/>
          </w:tcPr>
          <w:p>
            <w:pPr>
              <w:pStyle w:val="Compact"/>
              <w:spacing w:after="40"/>
              <w:jc w:val="left"/>
            </w:pPr>
            <w:r>
              <w:rPr>
                <w:sz w:val="18"/>
              </w:rPr>
              <w:t xml:space="preserve">9. Lender connectors and disbursement orchestration</w:t>
            </w:r>
          </w:p>
        </w:tc>
        <w:tc>
          <w:tcPr>
            <w:tcW w:w="4073" w:type="dxa"/>
          </w:tcPr>
          <w:p>
            <w:pPr>
              <w:pStyle w:val="Compact"/>
              <w:spacing w:after="40"/>
              <w:jc w:val="left"/>
            </w:pPr>
            <w:r>
              <w:rPr>
                <w:sz w:val="18"/>
              </w:rPr>
              <w:t xml:space="preserve">U21 Finbyx connector and generic LMS connector; U10 disbursement status</w:t>
            </w:r>
          </w:p>
        </w:tc>
        <w:tc>
          <w:tcPr>
            <w:tcW w:w="3373" w:type="dxa"/>
          </w:tcPr>
          <w:p>
            <w:pPr>
              <w:pStyle w:val="Compact"/>
              <w:spacing w:after="40"/>
              <w:jc w:val="left"/>
            </w:pPr>
            <w:r>
              <w:rPr>
                <w:sz w:val="18"/>
              </w:rPr>
              <w:t xml:space="preserve">3, 8</w:t>
            </w:r>
          </w:p>
        </w:tc>
      </w:tr>
      <w:tr>
        <w:tc>
          <w:tcPr>
            <w:tcW w:w="2192" w:type="dxa"/>
          </w:tcPr>
          <w:p>
            <w:pPr>
              <w:pStyle w:val="Compact"/>
              <w:spacing w:after="40"/>
              <w:jc w:val="left"/>
            </w:pPr>
            <w:r>
              <w:rPr>
                <w:sz w:val="18"/>
              </w:rPr>
              <w:t xml:space="preserve">10. Repayments, mandates and reconciliation</w:t>
            </w:r>
          </w:p>
        </w:tc>
        <w:tc>
          <w:tcPr>
            <w:tcW w:w="4073" w:type="dxa"/>
          </w:tcPr>
          <w:p>
            <w:pPr>
              <w:pStyle w:val="Compact"/>
              <w:spacing w:after="40"/>
              <w:jc w:val="left"/>
            </w:pPr>
            <w:r>
              <w:rPr>
                <w:sz w:val="18"/>
              </w:rPr>
              <w:t xml:space="preserve">U11 eNACH/UPI AutoPay on RE accounts, payment links on RE merchant accounts, status reconciliation</w:t>
            </w:r>
          </w:p>
        </w:tc>
        <w:tc>
          <w:tcPr>
            <w:tcW w:w="3373" w:type="dxa"/>
          </w:tcPr>
          <w:p>
            <w:pPr>
              <w:pStyle w:val="Compact"/>
              <w:spacing w:after="40"/>
              <w:jc w:val="left"/>
            </w:pPr>
            <w:r>
              <w:rPr>
                <w:sz w:val="18"/>
              </w:rPr>
              <w:t xml:space="preserve">9</w:t>
            </w:r>
          </w:p>
        </w:tc>
      </w:tr>
      <w:tr>
        <w:tc>
          <w:tcPr>
            <w:tcW w:w="2192" w:type="dxa"/>
          </w:tcPr>
          <w:p>
            <w:pPr>
              <w:pStyle w:val="Compact"/>
              <w:spacing w:after="40"/>
              <w:jc w:val="left"/>
            </w:pPr>
            <w:r>
              <w:rPr>
                <w:sz w:val="18"/>
              </w:rPr>
              <w:t xml:space="preserve">11. Loan mirror and borrower servicing</w:t>
            </w:r>
          </w:p>
        </w:tc>
        <w:tc>
          <w:tcPr>
            <w:tcW w:w="4073" w:type="dxa"/>
          </w:tcPr>
          <w:p>
            <w:pPr>
              <w:pStyle w:val="Compact"/>
              <w:spacing w:after="40"/>
              <w:jc w:val="left"/>
            </w:pPr>
            <w:r>
              <w:rPr>
                <w:sz w:val="18"/>
              </w:rPr>
              <w:t xml:space="preserve">U12 loan mirror, statements, service requests; U25 borrower dashboard</w:t>
            </w:r>
          </w:p>
        </w:tc>
        <w:tc>
          <w:tcPr>
            <w:tcW w:w="3373" w:type="dxa"/>
          </w:tcPr>
          <w:p>
            <w:pPr>
              <w:pStyle w:val="Compact"/>
              <w:spacing w:after="40"/>
              <w:jc w:val="left"/>
            </w:pPr>
            <w:r>
              <w:rPr>
                <w:sz w:val="18"/>
              </w:rPr>
              <w:t xml:space="preserve">9, 10</w:t>
            </w:r>
          </w:p>
        </w:tc>
      </w:tr>
      <w:tr>
        <w:tc>
          <w:tcPr>
            <w:tcW w:w="2192" w:type="dxa"/>
          </w:tcPr>
          <w:p>
            <w:pPr>
              <w:pStyle w:val="Compact"/>
              <w:spacing w:after="40"/>
              <w:jc w:val="left"/>
            </w:pPr>
            <w:r>
              <w:rPr>
                <w:sz w:val="18"/>
              </w:rPr>
              <w:t xml:space="preserve">11b. Borrower downloads and tax documents</w:t>
            </w:r>
          </w:p>
        </w:tc>
        <w:tc>
          <w:tcPr>
            <w:tcW w:w="4073" w:type="dxa"/>
          </w:tcPr>
          <w:p>
            <w:pPr>
              <w:pStyle w:val="Compact"/>
              <w:spacing w:after="40"/>
              <w:jc w:val="left"/>
            </w:pPr>
            <w:r>
              <w:rPr>
                <w:sz w:val="18"/>
              </w:rPr>
              <w:t xml:space="preserve">Part 7C UB1–UB2: My documents and data, DPDP requests and borrower export; RE-issued tax certificates under the Income-tax Act 2025 with the regime notice; Form 131 relay and GSTIN profile</w:t>
            </w:r>
          </w:p>
        </w:tc>
        <w:tc>
          <w:tcPr>
            <w:tcW w:w="3373" w:type="dxa"/>
          </w:tcPr>
          <w:p>
            <w:pPr>
              <w:pStyle w:val="Compact"/>
              <w:spacing w:after="40"/>
              <w:jc w:val="left"/>
            </w:pPr>
            <w:r>
              <w:rPr>
                <w:sz w:val="18"/>
              </w:rPr>
              <w:t xml:space="preserve">3b, 8, 11;</w:t>
            </w:r>
            <w:r>
              <w:rPr>
                <w:sz w:val="18"/>
              </w:rPr>
              <w:t xml:space="preserve"> </w:t>
            </w:r>
            <w:r>
              <w:rPr>
                <w:rStyle w:val="VerbatimChar"/>
                <w:sz w:val="18"/>
              </w:rPr>
              <w:t xml:space="preserve">InterestCertificateIssued</w:t>
            </w:r>
            <w:r>
              <w:rPr>
                <w:sz w:val="18"/>
              </w:rPr>
              <w:t xml:space="preserve"> </w:t>
            </w:r>
            <w:r>
              <w:rPr>
                <w:sz w:val="18"/>
              </w:rPr>
              <w:t xml:space="preserve">from Finbyx Phase 13b (mock until then)</w:t>
            </w:r>
          </w:p>
        </w:tc>
      </w:tr>
      <w:tr>
        <w:tc>
          <w:tcPr>
            <w:tcW w:w="2192" w:type="dxa"/>
          </w:tcPr>
          <w:p>
            <w:pPr>
              <w:pStyle w:val="Compact"/>
              <w:spacing w:after="40"/>
              <w:jc w:val="left"/>
            </w:pPr>
            <w:r>
              <w:rPr>
                <w:sz w:val="18"/>
              </w:rPr>
              <w:t xml:space="preserve">12. Collections and recovery support</w:t>
            </w:r>
          </w:p>
        </w:tc>
        <w:tc>
          <w:tcPr>
            <w:tcW w:w="4073" w:type="dxa"/>
          </w:tcPr>
          <w:p>
            <w:pPr>
              <w:pStyle w:val="Compact"/>
              <w:spacing w:after="40"/>
              <w:jc w:val="left"/>
            </w:pPr>
            <w:r>
              <w:rPr>
                <w:sz w:val="18"/>
              </w:rPr>
              <w:t xml:space="preserve">U13 reminders and, only where appointed, recovery-agent workflows</w:t>
            </w:r>
          </w:p>
        </w:tc>
        <w:tc>
          <w:tcPr>
            <w:tcW w:w="3373" w:type="dxa"/>
          </w:tcPr>
          <w:p>
            <w:pPr>
              <w:pStyle w:val="Compact"/>
              <w:spacing w:after="40"/>
              <w:jc w:val="left"/>
            </w:pPr>
            <w:r>
              <w:rPr>
                <w:sz w:val="18"/>
              </w:rPr>
              <w:t xml:space="preserve">3b, 11</w:t>
            </w:r>
          </w:p>
        </w:tc>
      </w:tr>
      <w:tr>
        <w:tc>
          <w:tcPr>
            <w:tcW w:w="2192" w:type="dxa"/>
          </w:tcPr>
          <w:p>
            <w:pPr>
              <w:pStyle w:val="Compact"/>
              <w:spacing w:after="40"/>
              <w:jc w:val="left"/>
            </w:pPr>
            <w:r>
              <w:rPr>
                <w:sz w:val="18"/>
              </w:rPr>
              <w:t xml:space="preserve">12b. Recovery support, notices and ADR access</w:t>
            </w:r>
          </w:p>
        </w:tc>
        <w:tc>
          <w:tcPr>
            <w:tcW w:w="4073" w:type="dxa"/>
          </w:tcPr>
          <w:p>
            <w:pPr>
              <w:pStyle w:val="Compact"/>
              <w:spacing w:after="40"/>
              <w:jc w:val="left"/>
            </w:pPr>
            <w:r>
              <w:rPr>
                <w:sz w:val="18"/>
              </w:rPr>
              <w:t xml:space="preserve">Part 7A (7A.0, UR1–UR6), attachable per RE: overdue, settlement and payment centre; ADR access through Equator without a separate app; RE notices and case visibility; recovery-agent operations only where appointed; data feeds to the RE’s recovery suite; conduct and evidence controls</w:t>
            </w:r>
          </w:p>
        </w:tc>
        <w:tc>
          <w:tcPr>
            <w:tcW w:w="3373" w:type="dxa"/>
          </w:tcPr>
          <w:p>
            <w:pPr>
              <w:pStyle w:val="Compact"/>
              <w:spacing w:after="40"/>
              <w:jc w:val="left"/>
            </w:pPr>
            <w:r>
              <w:rPr>
                <w:sz w:val="18"/>
              </w:rPr>
              <w:t xml:space="preserve">3b, 9, 11, 12 (UR2 also 14; UR6 export to LawDocsComply or a GRC tool also 16, evidence packs before then; UR4 field-app features also 20)</w:t>
            </w:r>
          </w:p>
        </w:tc>
      </w:tr>
      <w:tr>
        <w:tc>
          <w:tcPr>
            <w:tcW w:w="2192" w:type="dxa"/>
          </w:tcPr>
          <w:p>
            <w:pPr>
              <w:pStyle w:val="Compact"/>
              <w:spacing w:after="40"/>
              <w:jc w:val="left"/>
            </w:pPr>
            <w:r>
              <w:rPr>
                <w:sz w:val="18"/>
              </w:rPr>
              <w:t xml:space="preserve">13. DLG management and lender disclosures</w:t>
            </w:r>
          </w:p>
        </w:tc>
        <w:tc>
          <w:tcPr>
            <w:tcW w:w="4073" w:type="dxa"/>
          </w:tcPr>
          <w:p>
            <w:pPr>
              <w:pStyle w:val="Compact"/>
              <w:spacing w:after="40"/>
              <w:jc w:val="left"/>
            </w:pPr>
            <w:r>
              <w:rPr>
                <w:sz w:val="18"/>
              </w:rPr>
              <w:t xml:space="preserve">U14 DLG arrangements, caps, invocations, monthly website disclosure</w:t>
            </w:r>
          </w:p>
        </w:tc>
        <w:tc>
          <w:tcPr>
            <w:tcW w:w="3373" w:type="dxa"/>
          </w:tcPr>
          <w:p>
            <w:pPr>
              <w:pStyle w:val="Compact"/>
              <w:spacing w:after="40"/>
              <w:jc w:val="left"/>
            </w:pPr>
            <w:r>
              <w:rPr>
                <w:sz w:val="18"/>
              </w:rPr>
              <w:t xml:space="preserve">9, 11</w:t>
            </w:r>
          </w:p>
        </w:tc>
      </w:tr>
      <w:tr>
        <w:tc>
          <w:tcPr>
            <w:tcW w:w="2192" w:type="dxa"/>
          </w:tcPr>
          <w:p>
            <w:pPr>
              <w:pStyle w:val="Compact"/>
              <w:spacing w:after="40"/>
              <w:jc w:val="left"/>
            </w:pPr>
            <w:r>
              <w:rPr>
                <w:sz w:val="18"/>
              </w:rPr>
              <w:t xml:space="preserve">14. Grievance, AI support and Equator</w:t>
            </w:r>
          </w:p>
        </w:tc>
        <w:tc>
          <w:tcPr>
            <w:tcW w:w="4073" w:type="dxa"/>
          </w:tcPr>
          <w:p>
            <w:pPr>
              <w:pStyle w:val="Compact"/>
              <w:spacing w:after="40"/>
              <w:jc w:val="left"/>
            </w:pPr>
            <w:r>
              <w:rPr>
                <w:sz w:val="18"/>
              </w:rPr>
              <w:t xml:space="preserve">U15 complaints, nodal GRO, RE routing, AI support, Equator access for RE-referred cases</w:t>
            </w:r>
          </w:p>
        </w:tc>
        <w:tc>
          <w:tcPr>
            <w:tcW w:w="3373" w:type="dxa"/>
          </w:tcPr>
          <w:p>
            <w:pPr>
              <w:pStyle w:val="Compact"/>
              <w:spacing w:after="40"/>
              <w:jc w:val="left"/>
            </w:pPr>
            <w:r>
              <w:rPr>
                <w:sz w:val="18"/>
              </w:rPr>
              <w:t xml:space="preserve">3b, 11</w:t>
            </w:r>
          </w:p>
        </w:tc>
      </w:tr>
      <w:tr>
        <w:tc>
          <w:tcPr>
            <w:tcW w:w="2192" w:type="dxa"/>
          </w:tcPr>
          <w:p>
            <w:pPr>
              <w:pStyle w:val="Compact"/>
              <w:spacing w:after="40"/>
              <w:jc w:val="left"/>
            </w:pPr>
            <w:r>
              <w:rPr>
                <w:sz w:val="18"/>
              </w:rPr>
              <w:t xml:space="preserve">14b. Grievance escalation chain v2</w:t>
            </w:r>
          </w:p>
        </w:tc>
        <w:tc>
          <w:tcPr>
            <w:tcW w:w="4073" w:type="dxa"/>
          </w:tcPr>
          <w:p>
            <w:pPr>
              <w:pStyle w:val="Compact"/>
              <w:spacing w:after="40"/>
              <w:jc w:val="left"/>
            </w:pPr>
            <w:r>
              <w:rPr>
                <w:sz w:val="18"/>
              </w:rPr>
              <w:t xml:space="preserve">Part 7C UB3–UB4: lender redress profile; tiers to the RE Internal Ombudsman and the RBI Ombudsman with the 90-day window; parallel routes; twelve borrower capabilities, case packs and help-centre content model</w:t>
            </w:r>
          </w:p>
        </w:tc>
        <w:tc>
          <w:tcPr>
            <w:tcW w:w="3373" w:type="dxa"/>
          </w:tcPr>
          <w:p>
            <w:pPr>
              <w:pStyle w:val="Compact"/>
              <w:spacing w:after="40"/>
              <w:jc w:val="left"/>
            </w:pPr>
            <w:r>
              <w:rPr>
                <w:sz w:val="18"/>
              </w:rPr>
              <w:t xml:space="preserve">3c, 11b, 14</w:t>
            </w:r>
          </w:p>
        </w:tc>
      </w:tr>
      <w:tr>
        <w:tc>
          <w:tcPr>
            <w:tcW w:w="2192" w:type="dxa"/>
          </w:tcPr>
          <w:p>
            <w:pPr>
              <w:pStyle w:val="Compact"/>
              <w:spacing w:after="40"/>
              <w:jc w:val="left"/>
            </w:pPr>
            <w:r>
              <w:rPr>
                <w:sz w:val="18"/>
              </w:rPr>
              <w:t xml:space="preserve">15. Udofin finance, accounting and reporting</w:t>
            </w:r>
          </w:p>
        </w:tc>
        <w:tc>
          <w:tcPr>
            <w:tcW w:w="4073" w:type="dxa"/>
          </w:tcPr>
          <w:p>
            <w:pPr>
              <w:pStyle w:val="Compact"/>
              <w:spacing w:after="40"/>
              <w:jc w:val="left"/>
            </w:pPr>
            <w:r>
              <w:rPr>
                <w:sz w:val="18"/>
              </w:rPr>
              <w:t xml:space="preserve">U17 Udofin ledger, fee invoicing, GST, DLG accounting, Tally/SAP; U19 reports and lender dashboards</w:t>
            </w:r>
          </w:p>
        </w:tc>
        <w:tc>
          <w:tcPr>
            <w:tcW w:w="3373" w:type="dxa"/>
          </w:tcPr>
          <w:p>
            <w:pPr>
              <w:pStyle w:val="Compact"/>
              <w:spacing w:after="40"/>
              <w:jc w:val="left"/>
            </w:pPr>
            <w:r>
              <w:rPr>
                <w:sz w:val="18"/>
              </w:rPr>
              <w:t xml:space="preserve">9, 13</w:t>
            </w:r>
          </w:p>
        </w:tc>
      </w:tr>
      <w:tr>
        <w:tc>
          <w:tcPr>
            <w:tcW w:w="2192" w:type="dxa"/>
          </w:tcPr>
          <w:p>
            <w:pPr>
              <w:pStyle w:val="Compact"/>
              <w:spacing w:after="40"/>
              <w:jc w:val="left"/>
            </w:pPr>
            <w:r>
              <w:rPr>
                <w:sz w:val="18"/>
              </w:rPr>
              <w:t xml:space="preserve">16. Compliance, audit and security operations</w:t>
            </w:r>
          </w:p>
        </w:tc>
        <w:tc>
          <w:tcPr>
            <w:tcW w:w="4073" w:type="dxa"/>
          </w:tcPr>
          <w:p>
            <w:pPr>
              <w:pStyle w:val="Compact"/>
              <w:spacing w:after="40"/>
              <w:jc w:val="left"/>
            </w:pPr>
            <w:r>
              <w:rPr>
                <w:sz w:val="18"/>
              </w:rPr>
              <w:t xml:space="preserve">U18 register, evidence, DLA register, RE audit access, LawDocsComply bridge; U24 SecOps and fraud signals</w:t>
            </w:r>
          </w:p>
        </w:tc>
        <w:tc>
          <w:tcPr>
            <w:tcW w:w="3373" w:type="dxa"/>
          </w:tcPr>
          <w:p>
            <w:pPr>
              <w:pStyle w:val="Compact"/>
              <w:spacing w:after="40"/>
              <w:jc w:val="left"/>
            </w:pPr>
            <w:r>
              <w:rPr>
                <w:sz w:val="18"/>
              </w:rPr>
              <w:t xml:space="preserve">2, 14</w:t>
            </w:r>
          </w:p>
        </w:tc>
      </w:tr>
      <w:tr>
        <w:tc>
          <w:tcPr>
            <w:tcW w:w="2192" w:type="dxa"/>
          </w:tcPr>
          <w:p>
            <w:pPr>
              <w:pStyle w:val="Compact"/>
              <w:spacing w:after="40"/>
              <w:jc w:val="left"/>
            </w:pPr>
            <w:r>
              <w:rPr>
                <w:sz w:val="18"/>
              </w:rPr>
              <w:t xml:space="preserve">16b. Ecosystem integration v2</w:t>
            </w:r>
          </w:p>
        </w:tc>
        <w:tc>
          <w:tcPr>
            <w:tcW w:w="4073" w:type="dxa"/>
          </w:tcPr>
          <w:p>
            <w:pPr>
              <w:pStyle w:val="Compact"/>
              <w:spacing w:after="40"/>
              <w:jc w:val="left"/>
            </w:pPr>
            <w:r>
              <w:rPr>
                <w:sz w:val="18"/>
              </w:rPr>
              <w:t xml:space="preserve">Ecosystem Integration Specification conformance for every product lifecycle including LAS; new event domains; Equator and other ODR providers; LawDocsComply and third-party GRC connectors with OSCAL export; third-party LOS/LMS certification; module manifests</w:t>
            </w:r>
          </w:p>
        </w:tc>
        <w:tc>
          <w:tcPr>
            <w:tcW w:w="3373" w:type="dxa"/>
          </w:tcPr>
          <w:p>
            <w:pPr>
              <w:pStyle w:val="Compact"/>
              <w:spacing w:after="40"/>
              <w:jc w:val="left"/>
            </w:pPr>
            <w:r>
              <w:rPr>
                <w:sz w:val="18"/>
              </w:rPr>
              <w:t xml:space="preserve">9, 12b, 14, 16; Finbyx Phase 16b sandbox (Integration Spec Part 15)</w:t>
            </w:r>
          </w:p>
        </w:tc>
      </w:tr>
      <w:tr>
        <w:tc>
          <w:tcPr>
            <w:tcW w:w="2192" w:type="dxa"/>
          </w:tcPr>
          <w:p>
            <w:pPr>
              <w:pStyle w:val="Compact"/>
              <w:spacing w:after="40"/>
              <w:jc w:val="left"/>
            </w:pPr>
            <w:r>
              <w:rPr>
                <w:sz w:val="18"/>
              </w:rPr>
              <w:t xml:space="preserve">16c. Risk function, supervisory access, data portability and engineering assurance</w:t>
            </w:r>
          </w:p>
        </w:tc>
        <w:tc>
          <w:tcPr>
            <w:tcW w:w="4073" w:type="dxa"/>
          </w:tcPr>
          <w:p>
            <w:pPr>
              <w:pStyle w:val="Compact"/>
              <w:spacing w:after="40"/>
              <w:jc w:val="left"/>
            </w:pPr>
            <w:r>
              <w:rPr>
                <w:sz w:val="18"/>
              </w:rPr>
              <w:t xml:space="preserve">Part 7H RA1–RA4: LSP risk register, KRIs, DLG cap monitor and LawDocsComply feed; RE auditor and RBI read-only access; RE archives and India-only RE-controlled storage; engineering operations, app-store release gates, MASVS and certification readiness</w:t>
            </w:r>
          </w:p>
        </w:tc>
        <w:tc>
          <w:tcPr>
            <w:tcW w:w="3373" w:type="dxa"/>
          </w:tcPr>
          <w:p>
            <w:pPr>
              <w:pStyle w:val="Compact"/>
              <w:spacing w:after="40"/>
              <w:jc w:val="left"/>
            </w:pPr>
            <w:r>
              <w:rPr>
                <w:sz w:val="18"/>
              </w:rPr>
              <w:t xml:space="preserve">2, 3c, 13, 14b, 16, 16b; Operations Hub O12 for the evidence console (local evidence store until then)</w:t>
            </w:r>
          </w:p>
        </w:tc>
      </w:tr>
      <w:tr>
        <w:tc>
          <w:tcPr>
            <w:tcW w:w="2192" w:type="dxa"/>
          </w:tcPr>
          <w:p>
            <w:pPr>
              <w:pStyle w:val="Compact"/>
              <w:spacing w:after="40"/>
              <w:jc w:val="left"/>
            </w:pPr>
            <w:r>
              <w:rPr>
                <w:sz w:val="18"/>
              </w:rPr>
              <w:t xml:space="preserve">17. Mobile and web release engineering (Play Store, App Store, PWA)</w:t>
            </w:r>
          </w:p>
        </w:tc>
        <w:tc>
          <w:tcPr>
            <w:tcW w:w="4073" w:type="dxa"/>
          </w:tcPr>
          <w:p>
            <w:pPr>
              <w:pStyle w:val="Compact"/>
              <w:spacing w:after="40"/>
              <w:jc w:val="left"/>
            </w:pPr>
            <w:r>
              <w:rPr>
                <w:sz w:val="18"/>
              </w:rPr>
              <w:t xml:space="preserve">Store declarations, listings, signing, staged rollout, OTA policy, PWA</w:t>
            </w:r>
          </w:p>
        </w:tc>
        <w:tc>
          <w:tcPr>
            <w:tcW w:w="3373" w:type="dxa"/>
          </w:tcPr>
          <w:p>
            <w:pPr>
              <w:pStyle w:val="Compact"/>
              <w:spacing w:after="40"/>
              <w:jc w:val="left"/>
            </w:pPr>
            <w:r>
              <w:rPr>
                <w:sz w:val="18"/>
              </w:rPr>
              <w:t xml:space="preserve">4–16 (MVP scope)</w:t>
            </w:r>
          </w:p>
        </w:tc>
      </w:tr>
      <w:tr>
        <w:tc>
          <w:tcPr>
            <w:tcW w:w="2192" w:type="dxa"/>
          </w:tcPr>
          <w:p>
            <w:pPr>
              <w:pStyle w:val="Compact"/>
              <w:spacing w:after="40"/>
              <w:jc w:val="left"/>
            </w:pPr>
            <w:r>
              <w:rPr>
                <w:bCs/>
                <w:b/>
                <w:sz w:val="18"/>
              </w:rPr>
              <w:t xml:space="preserve">P. MVP hardening and pilot go-live</w:t>
            </w:r>
          </w:p>
        </w:tc>
        <w:tc>
          <w:tcPr>
            <w:tcW w:w="4073" w:type="dxa"/>
          </w:tcPr>
          <w:p>
            <w:pPr>
              <w:pStyle w:val="Compact"/>
              <w:spacing w:after="40"/>
              <w:jc w:val="left"/>
            </w:pPr>
            <w:r>
              <w:rPr>
                <w:sz w:val="18"/>
              </w:rPr>
              <w:t xml:space="preserve">E2E, independent VAPT and MASVS assessment, DR and incident drills, RE onboarding sign-off through the Phase 3c deal gates, controlled Android and web go-live</w:t>
            </w:r>
          </w:p>
        </w:tc>
        <w:tc>
          <w:tcPr>
            <w:tcW w:w="3373" w:type="dxa"/>
          </w:tcPr>
          <w:p>
            <w:pPr>
              <w:pStyle w:val="Compact"/>
              <w:spacing w:after="40"/>
              <w:jc w:val="left"/>
            </w:pPr>
            <w:r>
              <w:rPr>
                <w:sz w:val="18"/>
              </w:rPr>
              <w:t xml:space="preserve">0–17, including 3c, 11b, 14b and 16c (12b and 16b only where a pilot RE attaches them)</w:t>
            </w:r>
          </w:p>
        </w:tc>
      </w:tr>
      <w:tr>
        <w:tc>
          <w:tcPr>
            <w:tcW w:w="2192" w:type="dxa"/>
          </w:tcPr>
          <w:p>
            <w:pPr>
              <w:pStyle w:val="Compact"/>
              <w:spacing w:after="40"/>
              <w:jc w:val="left"/>
            </w:pPr>
            <w:r>
              <w:rPr>
                <w:sz w:val="18"/>
              </w:rPr>
              <w:t xml:space="preserve">18. Secured products (LAS, Home, LAP, Vehicle)</w:t>
            </w:r>
          </w:p>
        </w:tc>
        <w:tc>
          <w:tcPr>
            <w:tcW w:w="4073" w:type="dxa"/>
          </w:tcPr>
          <w:p>
            <w:pPr>
              <w:pStyle w:val="Compact"/>
              <w:spacing w:after="40"/>
              <w:jc w:val="left"/>
            </w:pPr>
            <w:r>
              <w:rPr>
                <w:sz w:val="18"/>
              </w:rPr>
              <w:t xml:space="preserve">Product specs, collateral workflows via the RE, NSDL/CDSL pledge; LAS journey per Part 6.5</w:t>
            </w:r>
          </w:p>
        </w:tc>
        <w:tc>
          <w:tcPr>
            <w:tcW w:w="3373" w:type="dxa"/>
          </w:tcPr>
          <w:p>
            <w:pPr>
              <w:pStyle w:val="Compact"/>
              <w:spacing w:after="40"/>
              <w:jc w:val="left"/>
            </w:pPr>
            <w:r>
              <w:rPr>
                <w:sz w:val="18"/>
              </w:rPr>
              <w:t xml:space="preserve">P; for LAS, Finbyx Phase 17 (Integration Spec Part 15)</w:t>
            </w:r>
          </w:p>
        </w:tc>
      </w:tr>
      <w:tr>
        <w:tc>
          <w:tcPr>
            <w:tcW w:w="2192" w:type="dxa"/>
          </w:tcPr>
          <w:p>
            <w:pPr>
              <w:pStyle w:val="Compact"/>
              <w:spacing w:after="40"/>
              <w:jc w:val="left"/>
            </w:pPr>
            <w:r>
              <w:rPr>
                <w:sz w:val="18"/>
              </w:rPr>
              <w:t xml:space="preserve">18b. Additional product templates</w:t>
            </w:r>
          </w:p>
        </w:tc>
        <w:tc>
          <w:tcPr>
            <w:tcW w:w="4073" w:type="dxa"/>
          </w:tcPr>
          <w:p>
            <w:pPr>
              <w:pStyle w:val="Compact"/>
              <w:spacing w:after="40"/>
              <w:jc w:val="left"/>
            </w:pPr>
            <w:r>
              <w:rPr>
                <w:sz w:val="18"/>
              </w:rPr>
              <w:t xml:space="preserve">Products 11–15 (Gold, Business/MSME, Microfinance, Supply-chain/TReDS invoice finance, Education) per Part 6.4, each after an approved spec and a partner RE</w:t>
            </w:r>
          </w:p>
        </w:tc>
        <w:tc>
          <w:tcPr>
            <w:tcW w:w="3373" w:type="dxa"/>
          </w:tcPr>
          <w:p>
            <w:pPr>
              <w:pStyle w:val="Compact"/>
              <w:spacing w:after="40"/>
              <w:jc w:val="left"/>
            </w:pPr>
            <w:r>
              <w:rPr>
                <w:sz w:val="18"/>
              </w:rPr>
              <w:t xml:space="preserve">18, 16b</w:t>
            </w:r>
          </w:p>
        </w:tc>
      </w:tr>
      <w:tr>
        <w:tc>
          <w:tcPr>
            <w:tcW w:w="2192" w:type="dxa"/>
          </w:tcPr>
          <w:p>
            <w:pPr>
              <w:pStyle w:val="Compact"/>
              <w:spacing w:after="40"/>
              <w:jc w:val="left"/>
            </w:pPr>
            <w:r>
              <w:rPr>
                <w:sz w:val="18"/>
              </w:rPr>
              <w:t xml:space="preserve">18c. Member and group lending: co-operative societies and microfinance</w:t>
            </w:r>
          </w:p>
        </w:tc>
        <w:tc>
          <w:tcPr>
            <w:tcW w:w="4073" w:type="dxa"/>
          </w:tcPr>
          <w:p>
            <w:pPr>
              <w:pStyle w:val="Compact"/>
              <w:spacing w:after="40"/>
              <w:jc w:val="left"/>
            </w:pPr>
            <w:r>
              <w:rPr>
                <w:sz w:val="18"/>
              </w:rPr>
              <w:t xml:space="preserve">Part 7B UP4 and Part 7E MG1–MG4: non-RE society track; member journeys with no deposit features; JLG and SHG journeys; field app with assisted mode, offline capture and group collection records</w:t>
            </w:r>
          </w:p>
        </w:tc>
        <w:tc>
          <w:tcPr>
            <w:tcW w:w="3373" w:type="dxa"/>
          </w:tcPr>
          <w:p>
            <w:pPr>
              <w:pStyle w:val="Compact"/>
              <w:spacing w:after="40"/>
              <w:jc w:val="left"/>
            </w:pPr>
            <w:r>
              <w:rPr>
                <w:sz w:val="18"/>
              </w:rPr>
              <w:t xml:space="preserve">P, 3c, 12b (UR4 cash on delinquent loans only), 14b, 18b; Finbyx Phase 17c or the lender’s system for member and group events; society member APIs in Integration Spec v1.1</w:t>
            </w:r>
          </w:p>
        </w:tc>
      </w:tr>
      <w:tr>
        <w:tc>
          <w:tcPr>
            <w:tcW w:w="2192" w:type="dxa"/>
          </w:tcPr>
          <w:p>
            <w:pPr>
              <w:pStyle w:val="Compact"/>
              <w:spacing w:after="40"/>
              <w:jc w:val="left"/>
            </w:pPr>
            <w:r>
              <w:rPr>
                <w:sz w:val="18"/>
              </w:rPr>
              <w:t xml:space="preserve">19. Specialist products (feasibility-gated)</w:t>
            </w:r>
          </w:p>
        </w:tc>
        <w:tc>
          <w:tcPr>
            <w:tcW w:w="4073" w:type="dxa"/>
          </w:tcPr>
          <w:p>
            <w:pPr>
              <w:pStyle w:val="Compact"/>
              <w:spacing w:after="40"/>
              <w:jc w:val="left"/>
            </w:pPr>
            <w:r>
              <w:rPr>
                <w:sz w:val="18"/>
              </w:rPr>
              <w:t xml:space="preserve">Feasibility notes and approved pilots for Products 7–10</w:t>
            </w:r>
          </w:p>
        </w:tc>
        <w:tc>
          <w:tcPr>
            <w:tcW w:w="3373" w:type="dxa"/>
          </w:tcPr>
          <w:p>
            <w:pPr>
              <w:pStyle w:val="Compact"/>
              <w:spacing w:after="40"/>
              <w:jc w:val="left"/>
            </w:pPr>
            <w:r>
              <w:rPr>
                <w:sz w:val="18"/>
              </w:rPr>
              <w:t xml:space="preserve">P, 14</w:t>
            </w:r>
          </w:p>
        </w:tc>
      </w:tr>
      <w:tr>
        <w:tc>
          <w:tcPr>
            <w:tcW w:w="2192" w:type="dxa"/>
          </w:tcPr>
          <w:p>
            <w:pPr>
              <w:pStyle w:val="Compact"/>
              <w:spacing w:after="40"/>
              <w:jc w:val="left"/>
            </w:pPr>
            <w:r>
              <w:rPr>
                <w:sz w:val="18"/>
              </w:rPr>
              <w:t xml:space="preserve">20. Field app, analytics, AI and marketing expansion</w:t>
            </w:r>
          </w:p>
        </w:tc>
        <w:tc>
          <w:tcPr>
            <w:tcW w:w="4073" w:type="dxa"/>
          </w:tcPr>
          <w:p>
            <w:pPr>
              <w:pStyle w:val="Compact"/>
              <w:spacing w:after="40"/>
              <w:jc w:val="left"/>
            </w:pPr>
            <w:r>
              <w:rPr>
                <w:sz w:val="18"/>
              </w:rPr>
              <w:t xml:space="preserve">U22 field app (if appointed), U20 governed AI, analytics, consented marketing</w:t>
            </w:r>
          </w:p>
        </w:tc>
        <w:tc>
          <w:tcPr>
            <w:tcW w:w="3373" w:type="dxa"/>
          </w:tcPr>
          <w:p>
            <w:pPr>
              <w:pStyle w:val="Compact"/>
              <w:spacing w:after="40"/>
              <w:jc w:val="left"/>
            </w:pPr>
            <w:r>
              <w:rPr>
                <w:sz w:val="18"/>
              </w:rPr>
              <w:t xml:space="preserve">P</w:t>
            </w:r>
          </w:p>
        </w:tc>
      </w:tr>
      <w:tr>
        <w:tc>
          <w:tcPr>
            <w:tcW w:w="2192" w:type="dxa"/>
          </w:tcPr>
          <w:p>
            <w:pPr>
              <w:pStyle w:val="Compact"/>
              <w:spacing w:after="40"/>
              <w:jc w:val="left"/>
            </w:pPr>
            <w:r>
              <w:rPr>
                <w:sz w:val="18"/>
              </w:rPr>
              <w:t xml:space="preserve">20b. Financial wellness add-ons and plans and billing</w:t>
            </w:r>
          </w:p>
        </w:tc>
        <w:tc>
          <w:tcPr>
            <w:tcW w:w="4073" w:type="dxa"/>
          </w:tcPr>
          <w:p>
            <w:pPr>
              <w:pStyle w:val="Compact"/>
              <w:spacing w:after="40"/>
              <w:jc w:val="left"/>
            </w:pPr>
            <w:r>
              <w:rPr>
                <w:sz w:val="18"/>
              </w:rPr>
              <w:t xml:space="preserve">Part 7D FW1–FW4 behind the G1–G5 gate; Part 7G RV1–RV4: revenue catalogue mirror and legality gate, lender and borrower billing pages, Razorpay for Udofin revenue, advertising rules</w:t>
            </w:r>
          </w:p>
        </w:tc>
        <w:tc>
          <w:tcPr>
            <w:tcW w:w="3373" w:type="dxa"/>
          </w:tcPr>
          <w:p>
            <w:pPr>
              <w:pStyle w:val="Compact"/>
              <w:spacing w:after="40"/>
              <w:jc w:val="left"/>
            </w:pPr>
            <w:r>
              <w:rPr>
                <w:sz w:val="18"/>
              </w:rPr>
              <w:t xml:space="preserve">P, 3c, 11b, 14b, 16c; owner decision and legal opinion (FW4 G1–G2) before any wellness or borrower-plan code; Operations Hub O6 for RE invoicing only (borrower plans run on Udofin’s own billing)</w:t>
            </w:r>
          </w:p>
        </w:tc>
      </w:tr>
      <w:tr>
        <w:tc>
          <w:tcPr>
            <w:tcW w:w="2192" w:type="dxa"/>
          </w:tcPr>
          <w:p>
            <w:pPr>
              <w:pStyle w:val="Compact"/>
              <w:spacing w:after="40"/>
              <w:jc w:val="left"/>
            </w:pPr>
            <w:r>
              <w:rPr>
                <w:sz w:val="18"/>
              </w:rPr>
              <w:t xml:space="preserve">20c. Extensible products and insurance distribution</w:t>
            </w:r>
          </w:p>
        </w:tc>
        <w:tc>
          <w:tcPr>
            <w:tcW w:w="4073" w:type="dxa"/>
          </w:tcPr>
          <w:p>
            <w:pPr>
              <w:pStyle w:val="Compact"/>
              <w:spacing w:after="40"/>
              <w:jc w:val="left"/>
            </w:pPr>
            <w:r>
              <w:rPr>
                <w:sz w:val="18"/>
              </w:rPr>
              <w:t xml:space="preserve">Part 7F XP1–XP4: product plug-in registry with licence gating and kill-switch; insurance quote, buy, pay, claim support and complaints; feasibility-gated future products; cross-sell consent and sales-practice controls</w:t>
            </w:r>
          </w:p>
        </w:tc>
        <w:tc>
          <w:tcPr>
            <w:tcW w:w="3373" w:type="dxa"/>
          </w:tcPr>
          <w:p>
            <w:pPr>
              <w:pStyle w:val="Compact"/>
              <w:spacing w:after="40"/>
              <w:jc w:val="left"/>
            </w:pPr>
            <w:r>
              <w:rPr>
                <w:sz w:val="18"/>
              </w:rPr>
              <w:t xml:space="preserve">P, 14b, 16c, 20b; IRDAI licence model decided and registration or legal note recorded before any insurance code</w:t>
            </w:r>
          </w:p>
        </w:tc>
      </w:tr>
      <w:tr>
        <w:tc>
          <w:tcPr>
            <w:tcW w:w="2192" w:type="dxa"/>
          </w:tcPr>
          <w:p>
            <w:pPr>
              <w:pStyle w:val="Compact"/>
              <w:spacing w:after="40"/>
              <w:jc w:val="left"/>
            </w:pPr>
            <w:r>
              <w:rPr>
                <w:sz w:val="18"/>
              </w:rPr>
              <w:t xml:space="preserve">20d. Voice, AI contact-centre and Jio adapters</w:t>
            </w:r>
          </w:p>
        </w:tc>
        <w:tc>
          <w:tcPr>
            <w:tcW w:w="4073" w:type="dxa"/>
          </w:tcPr>
          <w:p>
            <w:pPr>
              <w:pStyle w:val="Compact"/>
              <w:spacing w:after="40"/>
              <w:jc w:val="left"/>
            </w:pPr>
            <w:r>
              <w:rPr>
                <w:sz w:val="18"/>
              </w:rPr>
              <w:t xml:space="preserve">Part 7H RA5: provider-neutral messaging, voice, speech, LLM and conversation ports; TRAI number-series and calling-window routing; AI disclosure, handover and recording rules; Indian-language acceptance; Jio adapter after contract</w:t>
            </w:r>
          </w:p>
        </w:tc>
        <w:tc>
          <w:tcPr>
            <w:tcW w:w="3373" w:type="dxa"/>
          </w:tcPr>
          <w:p>
            <w:pPr>
              <w:pStyle w:val="Compact"/>
              <w:spacing w:after="40"/>
              <w:jc w:val="left"/>
            </w:pPr>
            <w:r>
              <w:rPr>
                <w:sz w:val="18"/>
              </w:rPr>
              <w:t xml:space="preserve">P, 3b, 12b, 14b, 16c, 20</w:t>
            </w:r>
          </w:p>
        </w:tc>
      </w:tr>
      <w:tr>
        <w:tc>
          <w:tcPr>
            <w:tcW w:w="2192" w:type="dxa"/>
          </w:tcPr>
          <w:p>
            <w:pPr>
              <w:pStyle w:val="Compact"/>
              <w:spacing w:after="40"/>
              <w:jc w:val="left"/>
            </w:pPr>
            <w:r>
              <w:rPr>
                <w:sz w:val="18"/>
              </w:rPr>
              <w:t xml:space="preserve">21. Scale hardening and AWS migration</w:t>
            </w:r>
          </w:p>
        </w:tc>
        <w:tc>
          <w:tcPr>
            <w:tcW w:w="4073" w:type="dxa"/>
          </w:tcPr>
          <w:p>
            <w:pPr>
              <w:pStyle w:val="Compact"/>
              <w:spacing w:after="40"/>
              <w:jc w:val="left"/>
            </w:pPr>
            <w:r>
              <w:rPr>
                <w:sz w:val="18"/>
              </w:rPr>
              <w:t xml:space="preserve">Scale tests, AWS ap-south-1 / ap-south-2, DR at scale</w:t>
            </w:r>
          </w:p>
        </w:tc>
        <w:tc>
          <w:tcPr>
            <w:tcW w:w="3373" w:type="dxa"/>
          </w:tcPr>
          <w:p>
            <w:pPr>
              <w:pStyle w:val="Compact"/>
              <w:spacing w:after="40"/>
              <w:jc w:val="left"/>
            </w:pPr>
            <w:r>
              <w:rPr>
                <w:sz w:val="18"/>
              </w:rPr>
              <w:t xml:space="preserve">P, 16b, 18, 18b, 18c, 19, 20; 20b, 20c and 20d where built</w:t>
            </w:r>
          </w:p>
        </w:tc>
      </w:tr>
    </w:tbl>
    <w:bookmarkStart w:id="493" w:name="X9c0ddc9339227ee95af308bbf94e6e6f57e199a"/>
    <w:p>
      <w:pPr>
        <w:pStyle w:val="Heading3"/>
      </w:pPr>
      <w:r>
        <w:t xml:space="preserve">Phase 0 — Repository audit and architecture</w:t>
      </w:r>
    </w:p>
    <w:p>
      <w:pPr>
        <w:pStyle w:val="BlockText"/>
      </w:pPr>
      <w:r>
        <w:rPr>
          <w:bCs/>
          <w:b/>
        </w:rPr>
        <w:t xml:space="preserve">Instruction to Claude:</w:t>
      </w:r>
      <w:r>
        <w:t xml:space="preserve"> </w:t>
      </w:r>
      <w:r>
        <w:t xml:space="preserve">“Read docs/00-master-prompt.md in full (Parts 1–13, including the v1.2 Parts 7B–7H, Appendices A–G and Sources). Inspect the connected repository, branch, files, Git status and tooling, and report them. Do not write application code and do not modify the repository yet. Produce:</w:t>
      </w:r>
    </w:p>
    <w:p>
      <w:pPr>
        <w:numPr>
          <w:ilvl w:val="0"/>
          <w:numId w:val="1474"/>
        </w:numPr>
        <w:pStyle w:val="Compact"/>
      </w:pPr>
      <w:r>
        <w:t xml:space="preserve">The architecture proposal: system context showing Udofin, each RE, Finbyx and other LMSs, Equator and LawDocsComply; the modular-monolith module map (U1–U25, the Part 7A UR modules and the v1.2 sub-modules UP1–UP5, UB1–UB4, FW1–FW4, MG1–MG4, XP1–XP4, RV1–RV4 and RA1–RA5) with data ownership (RE, non-RE lender, or Udofin, including the separate</w:t>
      </w:r>
      <w:r>
        <w:t xml:space="preserve"> </w:t>
      </w:r>
      <w:r>
        <w:rPr>
          <w:rStyle w:val="VerbatimChar"/>
        </w:rPr>
        <w:t xml:space="preserve">wellness</w:t>
      </w:r>
      <w:r>
        <w:t xml:space="preserve"> </w:t>
      </w:r>
      <w:r>
        <w:t xml:space="preserve">and</w:t>
      </w:r>
      <w:r>
        <w:t xml:space="preserve"> </w:t>
      </w:r>
      <w:r>
        <w:rPr>
          <w:rStyle w:val="VerbatimChar"/>
        </w:rPr>
        <w:t xml:space="preserve">product_vault</w:t>
      </w:r>
      <w:r>
        <w:t xml:space="preserve"> </w:t>
      </w:r>
      <w:r>
        <w:t xml:space="preserve">stores in which Udofin is fiduciary in its own right) for every entity; and the</w:t>
      </w:r>
      <w:r>
        <w:t xml:space="preserve"> </w:t>
      </w:r>
      <w:r>
        <w:rPr>
          <w:bCs/>
          <w:b/>
        </w:rPr>
        <w:t xml:space="preserve">navigation, menu, screen and settings map</w:t>
      </w:r>
      <w:r>
        <w:t xml:space="preserve"> </w:t>
      </w:r>
      <w:r>
        <w:t xml:space="preserve">(Appendix G) for every channel A–G and workspace: the menu tree, the main screens per module (list, detail, create or edit wizard, approval queue, dashboard) with their key and bulk actions, filters, exports, empty and error states and role visibility, and every setting from the Part 7</w:t>
      </w:r>
      <w:r>
        <w:t xml:space="preserve"> </w:t>
      </w:r>
      <w:r>
        <w:rPr>
          <w:rStyle w:val="VerbatimChar"/>
        </w:rPr>
        <w:t xml:space="preserve">Settings and options</w:t>
      </w:r>
      <w:r>
        <w:t xml:space="preserve"> </w:t>
      </w:r>
      <w:r>
        <w:t xml:space="preserve">subsections with its level, default and whether it is a regulatory floor or a commercial choice; fund-flow diagrams proving no Udofin account sits in any money flow (CF para 10).</w:t>
      </w:r>
    </w:p>
    <w:p>
      <w:pPr>
        <w:numPr>
          <w:ilvl w:val="0"/>
          <w:numId w:val="1474"/>
        </w:numPr>
        <w:pStyle w:val="Compact"/>
      </w:pPr>
      <w:r>
        <w:t xml:space="preserve">ADRs, after checking the current stable version and licence of each tool:</w:t>
      </w:r>
    </w:p>
    <w:p>
      <w:pPr>
        <w:numPr>
          <w:ilvl w:val="1"/>
          <w:numId w:val="1475"/>
        </w:numPr>
        <w:pStyle w:val="Compact"/>
      </w:pPr>
      <w:r>
        <w:t xml:space="preserve">mobile and web architecture: Expo SDK 57 vs SDK 58 (once stable), New Architecture, EAS Build/Submit/Update, OTA policy, the single portal app with operations, lender and admin workspaces (Appendix C), the borrower web app and PWA scope;</w:t>
      </w:r>
    </w:p>
    <w:p>
      <w:pPr>
        <w:numPr>
          <w:ilvl w:val="1"/>
          <w:numId w:val="1475"/>
        </w:numPr>
        <w:pStyle w:val="Compact"/>
      </w:pPr>
      <w:r>
        <w:t xml:space="preserve">backend: NestJS (11 or 12, per the shared ecosystem ADR with Finbyx), Node 24 LTS;</w:t>
      </w:r>
    </w:p>
    <w:p>
      <w:pPr>
        <w:numPr>
          <w:ilvl w:val="1"/>
          <w:numId w:val="1475"/>
        </w:numPr>
        <w:pStyle w:val="Compact"/>
      </w:pPr>
      <w:r>
        <w:rPr>
          <w:bCs/>
          <w:b/>
        </w:rPr>
        <w:t xml:space="preserve">Apache Fineract is not needed</w:t>
      </w:r>
      <w:r>
        <w:t xml:space="preserve">: Udofin is not an LMS. Record this and design the</w:t>
      </w:r>
      <w:r>
        <w:t xml:space="preserve"> </w:t>
      </w:r>
      <w:r>
        <w:rPr>
          <w:bCs/>
          <w:b/>
        </w:rPr>
        <w:t xml:space="preserve">loan mirror</w:t>
      </w:r>
      <w:r>
        <w:t xml:space="preserve"> </w:t>
      </w:r>
      <w:r>
        <w:t xml:space="preserve">instead: a read model fed by RE events (Finbyx Part 5.2), with source and as-of labels, daily reconciliation and no balance computation;</w:t>
      </w:r>
    </w:p>
    <w:p>
      <w:pPr>
        <w:numPr>
          <w:ilvl w:val="1"/>
          <w:numId w:val="1475"/>
        </w:numPr>
        <w:pStyle w:val="Compact"/>
      </w:pPr>
      <w:r>
        <w:t xml:space="preserve">the</w:t>
      </w:r>
      <w:r>
        <w:t xml:space="preserve"> </w:t>
      </w:r>
      <w:r>
        <w:rPr>
          <w:bCs/>
          <w:b/>
        </w:rPr>
        <w:t xml:space="preserve">RE-scoped vault</w:t>
      </w:r>
      <w:r>
        <w:t xml:space="preserve"> </w:t>
      </w:r>
      <w:r>
        <w:t xml:space="preserve">for KYC documents, bureau reports and statements, with per-RE keys and retention, meeting CF para 14(1);</w:t>
      </w:r>
    </w:p>
    <w:p>
      <w:pPr>
        <w:numPr>
          <w:ilvl w:val="1"/>
          <w:numId w:val="1475"/>
        </w:numPr>
        <w:pStyle w:val="Compact"/>
      </w:pPr>
      <w:r>
        <w:t xml:space="preserve">the Aadhaar approach: no Aadhaar number stored by Udofin; OKYC/DigiLocker first; OTP e-KYC only via REs notified under PML Act s.11A; any ADV with the RE (UIDAI Circular 14 of 2025);</w:t>
      </w:r>
    </w:p>
    <w:p>
      <w:pPr>
        <w:numPr>
          <w:ilvl w:val="1"/>
          <w:numId w:val="1475"/>
        </w:numPr>
        <w:pStyle w:val="Compact"/>
      </w:pPr>
      <w:r>
        <w:t xml:space="preserve">V-CIP: run by the RE’s officials on the RE’s infrastructure (KYC para 27(1)(i)); launched from the app as a web session so the store app never requests precise location.</w:t>
      </w:r>
    </w:p>
    <w:p>
      <w:pPr>
        <w:numPr>
          <w:ilvl w:val="0"/>
          <w:numId w:val="1474"/>
        </w:numPr>
        <w:pStyle w:val="Compact"/>
      </w:pPr>
      <w:r>
        <w:t xml:space="preserve">A</w:t>
      </w:r>
      <w:r>
        <w:t xml:space="preserve"> </w:t>
      </w:r>
      <w:r>
        <w:rPr>
          <w:bCs/>
          <w:b/>
        </w:rPr>
        <w:t xml:space="preserve">data-residency check</w:t>
      </w:r>
      <w:r>
        <w:t xml:space="preserve"> </w:t>
      </w:r>
      <w:r>
        <w:t xml:space="preserve">for every hosting provider and SaaS sub-processor (Supabase, compute host, Temporal, Expo/EAS services, error tracking, analytics, push, email, SMS, WhatsApp, LLM endpoints, providers in Part 9.2). Record which ones may receive personal data; Expo push and EAS Update must carry none.</w:t>
      </w:r>
    </w:p>
    <w:p>
      <w:pPr>
        <w:numPr>
          <w:ilvl w:val="0"/>
          <w:numId w:val="1474"/>
        </w:numPr>
        <w:pStyle w:val="Compact"/>
      </w:pPr>
      <w:r>
        <w:t xml:space="preserve">The proposed repository structure, using Appendix C.</w:t>
      </w:r>
    </w:p>
    <w:p>
      <w:pPr>
        <w:numPr>
          <w:ilvl w:val="0"/>
          <w:numId w:val="1474"/>
        </w:numPr>
        <w:pStyle w:val="Compact"/>
      </w:pPr>
      <w:r>
        <w:t xml:space="preserve">The initial entity model, using Appendix D.</w:t>
      </w:r>
    </w:p>
    <w:p>
      <w:pPr>
        <w:numPr>
          <w:ilvl w:val="0"/>
          <w:numId w:val="1474"/>
        </w:numPr>
        <w:pStyle w:val="Compact"/>
      </w:pPr>
      <w:r>
        <w:t xml:space="preserve">API boundaries and the lender connector contract, reusing the event names of the Infrabyx Ecosystem Integration Specification unchanged (Finbyx Part 5.2 and Udofin Part 5 summarise it).</w:t>
      </w:r>
    </w:p>
    <w:p>
      <w:pPr>
        <w:numPr>
          <w:ilvl w:val="0"/>
          <w:numId w:val="1474"/>
        </w:numPr>
        <w:pStyle w:val="Compact"/>
      </w:pPr>
      <w:r>
        <w:rPr>
          <w:bCs/>
          <w:b/>
        </w:rPr>
        <w:t xml:space="preserve">Regulatory register v1:</w:t>
      </w:r>
    </w:p>
    <w:p>
      <w:pPr>
        <w:numPr>
          <w:ilvl w:val="1"/>
          <w:numId w:val="1476"/>
        </w:numPr>
        <w:pStyle w:val="Compact"/>
      </w:pPr>
      <w:r>
        <w:t xml:space="preserve">load every Part 8A requirement with its REQ-ID (same IDs as Finbyx) and its [RE] / [UDOFIN] / [RE→UDOFIN contract] tag;</w:t>
      </w:r>
    </w:p>
    <w:p>
      <w:pPr>
        <w:numPr>
          <w:ilvl w:val="1"/>
          <w:numId w:val="1476"/>
        </w:numPr>
        <w:pStyle w:val="Compact"/>
      </w:pPr>
      <w:r>
        <w:t xml:space="preserve">confirm every other instrument in Part 8.2 with title, number, date and status;</w:t>
      </w:r>
    </w:p>
    <w:p>
      <w:pPr>
        <w:numPr>
          <w:ilvl w:val="1"/>
          <w:numId w:val="1476"/>
        </w:numPr>
        <w:pStyle w:val="Compact"/>
      </w:pPr>
      <w:r>
        <w:t xml:space="preserve">list every [VERIFY] item with the phase that will resolve it; fully verify now only what Phases 1–5 depend on.</w:t>
      </w:r>
    </w:p>
    <w:p>
      <w:pPr>
        <w:numPr>
          <w:ilvl w:val="0"/>
          <w:numId w:val="1474"/>
        </w:numPr>
        <w:pStyle w:val="Compact"/>
      </w:pPr>
      <w:r>
        <w:t xml:space="preserve">The</w:t>
      </w:r>
      <w:r>
        <w:t xml:space="preserve"> </w:t>
      </w:r>
      <w:r>
        <w:rPr>
          <w:bCs/>
          <w:b/>
        </w:rPr>
        <w:t xml:space="preserve">DLA register design</w:t>
      </w:r>
      <w:r>
        <w:t xml:space="preserve">: one line per DLA per platform per RE (Android app, iOS app, borrower web app, any white-label app), with the CF Annex-I fields, GRO contacts, RE website link, store URL and package ID, and the evidence for the CF para 18(4) certification.</w:t>
      </w:r>
    </w:p>
    <w:p>
      <w:pPr>
        <w:numPr>
          <w:ilvl w:val="0"/>
          <w:numId w:val="1474"/>
        </w:numPr>
        <w:pStyle w:val="Compact"/>
      </w:pPr>
      <w:r>
        <w:t xml:space="preserve">The</w:t>
      </w:r>
      <w:r>
        <w:t xml:space="preserve"> </w:t>
      </w:r>
      <w:r>
        <w:rPr>
          <w:bCs/>
          <w:b/>
        </w:rPr>
        <w:t xml:space="preserve">permission policy</w:t>
      </w:r>
      <w:r>
        <w:t xml:space="preserve"> </w:t>
      </w:r>
      <w:r>
        <w:t xml:space="preserve">(</w:t>
      </w:r>
      <w:r>
        <w:rPr>
          <w:rStyle w:val="VerbatimChar"/>
        </w:rPr>
        <w:t xml:space="preserve">docs/compliance/permission-policy.md</w:t>
      </w:r>
      <w:r>
        <w:t xml:space="preserve">): approved Android permissions and iOS usage descriptions with purpose text, the prohibited list (CF para 13(1); Google Play personal-loan prohibited permissions), and the CI check that enforces it.</w:t>
      </w:r>
    </w:p>
    <w:p>
      <w:pPr>
        <w:numPr>
          <w:ilvl w:val="0"/>
          <w:numId w:val="1474"/>
        </w:numPr>
        <w:pStyle w:val="Compact"/>
      </w:pPr>
      <w:r>
        <w:t xml:space="preserve">The</w:t>
      </w:r>
      <w:r>
        <w:t xml:space="preserve"> </w:t>
      </w:r>
      <w:r>
        <w:rPr>
          <w:bCs/>
          <w:b/>
        </w:rPr>
        <w:t xml:space="preserve">app-store policy check</w:t>
      </w:r>
      <w:r>
        <w:t xml:space="preserve">: current Google Play Financial Services and India personal-loan requirements and Apple Guideline 3.2.2(ix), with their impact on Product 2 and on APR display, and the server-side channel filter design.</w:t>
      </w:r>
    </w:p>
    <w:p>
      <w:pPr>
        <w:numPr>
          <w:ilvl w:val="0"/>
          <w:numId w:val="1474"/>
        </w:numPr>
        <w:pStyle w:val="Compact"/>
      </w:pPr>
      <w:r>
        <w:t xml:space="preserve">The phased roadmap with dependencies and acceptance criteria; the minimum security, testing and code-review gates.</w:t>
      </w:r>
    </w:p>
    <w:p>
      <w:pPr>
        <w:numPr>
          <w:ilvl w:val="0"/>
          <w:numId w:val="1474"/>
        </w:numPr>
        <w:pStyle w:val="Compact"/>
      </w:pPr>
      <w:r>
        <w:t xml:space="preserve">The list of business decisions you need from me (Appendix B). Record each decision I take as an owner-decision record in</w:t>
      </w:r>
      <w:r>
        <w:t xml:space="preserve"> </w:t>
      </w:r>
      <w:r>
        <w:rPr>
          <w:rStyle w:val="VerbatimChar"/>
        </w:rPr>
        <w:t xml:space="preserve">docs/decisions/</w:t>
      </w:r>
      <w:r>
        <w:t xml:space="preserve"> </w:t>
      </w:r>
      <w:r>
        <w:t xml:space="preserve">(decision, date, approver, evidence or opinion reference, review date) before the phase that depends on it, including the v1.2 decisions: wellness gates G1 and G4 and whether a separate group entity runs paid add-ons (Part 7D FW4; Phase 20b); the CIC consumer partner or partners (FW1); the co-operative track and pilot societies (Part 7B UP4; Phase 18c); the grievance receipt-date basis to write into the LSP agreement (Part 7C UB3); the IRDAI licence model A–D (Part 7F XP2.1; Phase 20c); the advertising policy (Part 7G RV4); 1600-series eligibility for Udofin (Part 7H RA5.3); the JioCX contract (RA5.2); and the successor of old s.80EEA under the Income-tax Act, 2025 (s.131) [VERIFY].</w:t>
      </w:r>
    </w:p>
    <w:p>
      <w:pPr>
        <w:numPr>
          <w:ilvl w:val="0"/>
          <w:numId w:val="1474"/>
        </w:numPr>
        <w:pStyle w:val="Compact"/>
      </w:pPr>
      <w:r>
        <w:t xml:space="preserve">A competitor benchmark of Indian multi-lender LSP apps and DLAs (features, onboarding steps, permissions requested, disclosures, UX), with the gaps Udofin should close.</w:t>
      </w:r>
    </w:p>
    <w:p>
      <w:pPr>
        <w:pStyle w:val="BlockText"/>
      </w:pPr>
      <w:r>
        <w:t xml:space="preserve">Present all of this for my approval before modifying the repository.”</w:t>
      </w:r>
    </w:p>
    <w:bookmarkEnd w:id="493"/>
    <w:bookmarkStart w:id="494" w:name="phase-1-platform-foundation"/>
    <w:p>
      <w:pPr>
        <w:pStyle w:val="Heading3"/>
      </w:pPr>
      <w:r>
        <w:t xml:space="preserve">Phase 1 — Platform foundation</w:t>
      </w:r>
    </w:p>
    <w:p>
      <w:pPr>
        <w:pStyle w:val="BlockText"/>
      </w:pPr>
      <w:r>
        <w:rPr>
          <w:bCs/>
          <w:b/>
        </w:rPr>
        <w:t xml:space="preserve">Instruction to Claude:</w:t>
      </w:r>
      <w:r>
        <w:t xml:space="preserve"> </w:t>
      </w:r>
      <w:r>
        <w:t xml:space="preserve">“On branch</w:t>
      </w:r>
      <w:r>
        <w:t xml:space="preserve"> </w:t>
      </w:r>
      <w:r>
        <w:rPr>
          <w:rStyle w:val="VerbatimChar"/>
        </w:rPr>
        <w:t xml:space="preserve">feat/platform-foundation</w:t>
      </w:r>
      <w:r>
        <w:t xml:space="preserve">, initialise the approved monorepo. Set up:</w:t>
      </w:r>
    </w:p>
    <w:p>
      <w:pPr>
        <w:numPr>
          <w:ilvl w:val="0"/>
          <w:numId w:val="1477"/>
        </w:numPr>
        <w:pStyle w:val="Compact"/>
      </w:pPr>
      <w:r>
        <w:t xml:space="preserve">pnpm + Turborepo, TypeScript strict, ESLint/Prettier;</w:t>
      </w:r>
    </w:p>
    <w:p>
      <w:pPr>
        <w:numPr>
          <w:ilvl w:val="0"/>
          <w:numId w:val="1477"/>
        </w:numPr>
        <w:pStyle w:val="Compact"/>
      </w:pPr>
      <w:r>
        <w:rPr>
          <w:rStyle w:val="VerbatimChar"/>
        </w:rPr>
        <w:t xml:space="preserve">apps/mobile</w:t>
      </w:r>
      <w:r>
        <w:t xml:space="preserve"> </w:t>
      </w:r>
      <w:r>
        <w:t xml:space="preserve">(Expo, New Architecture, Expo Router, EAS profiles</w:t>
      </w:r>
      <w:r>
        <w:t xml:space="preserve"> </w:t>
      </w:r>
      <w:r>
        <w:rPr>
          <w:rStyle w:val="VerbatimChar"/>
        </w:rPr>
        <w:t xml:space="preserve">development</w:t>
      </w:r>
      <w:r>
        <w:t xml:space="preserve">,</w:t>
      </w:r>
      <w:r>
        <w:t xml:space="preserve"> </w:t>
      </w:r>
      <w:r>
        <w:rPr>
          <w:rStyle w:val="VerbatimChar"/>
        </w:rPr>
        <w:t xml:space="preserve">preview</w:t>
      </w:r>
      <w:r>
        <w:t xml:space="preserve">,</w:t>
      </w:r>
      <w:r>
        <w:t xml:space="preserve"> </w:t>
      </w:r>
      <w:r>
        <w:rPr>
          <w:rStyle w:val="VerbatimChar"/>
        </w:rPr>
        <w:t xml:space="preserve">production</w:t>
      </w:r>
      <w:r>
        <w:t xml:space="preserve">),</w:t>
      </w:r>
      <w:r>
        <w:t xml:space="preserve"> </w:t>
      </w:r>
      <w:r>
        <w:rPr>
          <w:rStyle w:val="VerbatimChar"/>
        </w:rPr>
        <w:t xml:space="preserve">apps/borrower-web</w:t>
      </w:r>
      <w:r>
        <w:t xml:space="preserve"> </w:t>
      </w:r>
      <w:r>
        <w:t xml:space="preserve">(Next.js 16),</w:t>
      </w:r>
      <w:r>
        <w:t xml:space="preserve"> </w:t>
      </w:r>
      <w:r>
        <w:rPr>
          <w:rStyle w:val="VerbatimChar"/>
        </w:rPr>
        <w:t xml:space="preserve">apps/portal</w:t>
      </w:r>
      <w:r>
        <w:t xml:space="preserve"> </w:t>
      </w:r>
      <w:r>
        <w:t xml:space="preserve">(Next.js 16 with operations, lender and admin workspaces),</w:t>
      </w:r>
      <w:r>
        <w:t xml:space="preserve"> </w:t>
      </w:r>
      <w:r>
        <w:rPr>
          <w:rStyle w:val="VerbatimChar"/>
        </w:rPr>
        <w:t xml:space="preserve">apps/api</w:t>
      </w:r>
      <w:r>
        <w:t xml:space="preserve"> </w:t>
      </w:r>
      <w:r>
        <w:t xml:space="preserve">(NestJS) and</w:t>
      </w:r>
      <w:r>
        <w:t xml:space="preserve"> </w:t>
      </w:r>
      <w:r>
        <w:rPr>
          <w:rStyle w:val="VerbatimChar"/>
        </w:rPr>
        <w:t xml:space="preserve">apps/worker</w:t>
      </w:r>
      <w:r>
        <w:t xml:space="preserve"> </w:t>
      </w:r>
      <w:r>
        <w:t xml:space="preserve">skeletons;</w:t>
      </w:r>
    </w:p>
    <w:p>
      <w:pPr>
        <w:numPr>
          <w:ilvl w:val="0"/>
          <w:numId w:val="1477"/>
        </w:numPr>
        <w:pStyle w:val="Compact"/>
      </w:pPr>
      <w:r>
        <w:rPr>
          <w:rStyle w:val="VerbatimChar"/>
        </w:rPr>
        <w:t xml:space="preserve">packages/</w:t>
      </w:r>
      <w:r>
        <w:t xml:space="preserve"> </w:t>
      </w:r>
      <w:r>
        <w:t xml:space="preserve">for contracts (OpenAPI, AsyncAPI, Zod), domain-kernel (Money, Rate, Percentage, IDs, BusinessDate), journey (shared step definitions and validation), ui-tokens, ui-web, ui-native, config, observability and testing;</w:t>
      </w:r>
    </w:p>
    <w:p>
      <w:pPr>
        <w:numPr>
          <w:ilvl w:val="0"/>
          <w:numId w:val="1477"/>
        </w:numPr>
        <w:pStyle w:val="Compact"/>
      </w:pPr>
      <w:r>
        <w:t xml:space="preserve">Docker Compose for local Postgres, Temporal and Gotenberg;</w:t>
      </w:r>
    </w:p>
    <w:p>
      <w:pPr>
        <w:numPr>
          <w:ilvl w:val="0"/>
          <w:numId w:val="1477"/>
        </w:numPr>
        <w:pStyle w:val="Compact"/>
      </w:pPr>
      <w:r>
        <w:t xml:space="preserve">GitHub Actions CI: lint, typecheck, test, build, secret scan, dependency scan, SBOM, EAS preview build, and a</w:t>
      </w:r>
      <w:r>
        <w:t xml:space="preserve"> </w:t>
      </w:r>
      <w:r>
        <w:rPr>
          <w:bCs/>
          <w:b/>
        </w:rPr>
        <w:t xml:space="preserve">permission audit</w:t>
      </w:r>
      <w:r>
        <w:t xml:space="preserve"> </w:t>
      </w:r>
      <w:r>
        <w:t xml:space="preserve">that fails if the built Android manifest or iOS Info.plist contains any permission not in</w:t>
      </w:r>
      <w:r>
        <w:t xml:space="preserve"> </w:t>
      </w:r>
      <w:r>
        <w:rPr>
          <w:rStyle w:val="VerbatimChar"/>
        </w:rPr>
        <w:t xml:space="preserve">docs/compliance/permission-policy.md</w:t>
      </w:r>
      <w:r>
        <w:t xml:space="preserve">;</w:t>
      </w:r>
    </w:p>
    <w:p>
      <w:pPr>
        <w:numPr>
          <w:ilvl w:val="0"/>
          <w:numId w:val="1477"/>
        </w:numPr>
        <w:pStyle w:val="Compact"/>
      </w:pPr>
      <w:r>
        <w:t xml:space="preserve">repository controls from the first commit, equivalent to Finbyx Part 7L EO1 (Part 7H RA4.1): GitHub rulesets on</w:t>
      </w:r>
      <w:r>
        <w:t xml:space="preserve"> </w:t>
      </w:r>
      <w:r>
        <w:rPr>
          <w:rStyle w:val="VerbatimChar"/>
        </w:rPr>
        <w:t xml:space="preserve">main</w:t>
      </w:r>
      <w:r>
        <w:t xml:space="preserve"> </w:t>
      </w:r>
      <w:r>
        <w:t xml:space="preserve">and</w:t>
      </w:r>
      <w:r>
        <w:t xml:space="preserve"> </w:t>
      </w:r>
      <w:r>
        <w:rPr>
          <w:rStyle w:val="VerbatimChar"/>
        </w:rPr>
        <w:t xml:space="preserve">release/*</w:t>
      </w:r>
      <w:r>
        <w:t xml:space="preserve"> </w:t>
      </w:r>
      <w:r>
        <w:t xml:space="preserve">(pull request required; CODEOWNERS review, two reviewers for sensitive paths such as consent, KYC, payments and fund-flow validators, permission policy, CI workflows and</w:t>
      </w:r>
      <w:r>
        <w:t xml:space="preserve"> </w:t>
      </w:r>
      <w:r>
        <w:rPr>
          <w:rStyle w:val="VerbatimChar"/>
        </w:rPr>
        <w:t xml:space="preserve">infra/</w:t>
      </w:r>
      <w:r>
        <w:t xml:space="preserve">; required status checks; linear history; no force-push or deletion; no bypass for administrators), signed commits, secret scanning with push protection, Dependabot alerts and updates, protected release tags, and</w:t>
      </w:r>
      <w:r>
        <w:t xml:space="preserve"> </w:t>
      </w:r>
      <w:r>
        <w:rPr>
          <w:rStyle w:val="VerbatimChar"/>
        </w:rPr>
        <w:t xml:space="preserve">staging</w:t>
      </w:r>
      <w:r>
        <w:t xml:space="preserve"> </w:t>
      </w:r>
      <w:r>
        <w:t xml:space="preserve">and</w:t>
      </w:r>
      <w:r>
        <w:t xml:space="preserve"> </w:t>
      </w:r>
      <w:r>
        <w:rPr>
          <w:rStyle w:val="VerbatimChar"/>
        </w:rPr>
        <w:t xml:space="preserve">production</w:t>
      </w:r>
      <w:r>
        <w:t xml:space="preserve"> </w:t>
      </w:r>
      <w:r>
        <w:t xml:space="preserve">GitHub environments with required reviewers;</w:t>
      </w:r>
    </w:p>
    <w:p>
      <w:pPr>
        <w:numPr>
          <w:ilvl w:val="0"/>
          <w:numId w:val="1477"/>
        </w:numPr>
        <w:pStyle w:val="Compact"/>
      </w:pPr>
      <w:r>
        <w:rPr>
          <w:rStyle w:val="VerbatimChar"/>
        </w:rPr>
        <w:t xml:space="preserve">.env.example</w:t>
      </w:r>
      <w:r>
        <w:t xml:space="preserve"> </w:t>
      </w:r>
      <w:r>
        <w:t xml:space="preserve">files; a check that no secret appears in client bundles;</w:t>
      </w:r>
    </w:p>
    <w:p>
      <w:pPr>
        <w:numPr>
          <w:ilvl w:val="0"/>
          <w:numId w:val="1477"/>
        </w:numPr>
        <w:pStyle w:val="Compact"/>
      </w:pPr>
      <w:r>
        <w:t xml:space="preserve">OpenTelemetry with PII redaction, and India-resident error tracking per the Phase 0 ADR; mobile crash reporting with on-device scrubbing;</w:t>
      </w:r>
    </w:p>
    <w:p>
      <w:pPr>
        <w:numPr>
          <w:ilvl w:val="0"/>
          <w:numId w:val="1477"/>
        </w:numPr>
        <w:pStyle w:val="Compact"/>
      </w:pPr>
      <w:r>
        <w:t xml:space="preserve">Storybook for web components and a component catalogue for native.</w:t>
      </w:r>
    </w:p>
    <w:p>
      <w:pPr>
        <w:pStyle w:val="BlockText"/>
      </w:pPr>
      <w:r>
        <w:t xml:space="preserve">Implement Money, Rate and Percentage on decimal.js (precision ≥ 40) with property-based tests. Build no business features. Open a PR with the test output, the permission-audit output and an export of the ruleset, CODEOWNERS and environment-protection settings as the first engineering-operations evidence (Part 7H RA4; filed to the Operations Hub console once phase O12 is live).”</w:t>
      </w:r>
    </w:p>
    <w:bookmarkEnd w:id="494"/>
    <w:bookmarkStart w:id="495" w:name="phase-2-database-tenancy-and-security"/>
    <w:p>
      <w:pPr>
        <w:pStyle w:val="Heading3"/>
      </w:pPr>
      <w:r>
        <w:t xml:space="preserve">Phase 2 — Database, tenancy and security</w:t>
      </w:r>
    </w:p>
    <w:p>
      <w:pPr>
        <w:pStyle w:val="BlockText"/>
      </w:pPr>
      <w:r>
        <w:rPr>
          <w:bCs/>
          <w:b/>
        </w:rPr>
        <w:t xml:space="preserve">Instruction to Claude:</w:t>
      </w:r>
      <w:r>
        <w:t xml:space="preserve"> </w:t>
      </w:r>
      <w:r>
        <w:t xml:space="preserve">“On branch</w:t>
      </w:r>
      <w:r>
        <w:t xml:space="preserve"> </w:t>
      </w:r>
      <w:r>
        <w:rPr>
          <w:rStyle w:val="VerbatimChar"/>
        </w:rPr>
        <w:t xml:space="preserve">feat/db-tenancy-security</w:t>
      </w:r>
      <w:r>
        <w:t xml:space="preserve">, design and create the migrations for:</w:t>
      </w:r>
    </w:p>
    <w:p>
      <w:pPr>
        <w:numPr>
          <w:ilvl w:val="0"/>
          <w:numId w:val="1478"/>
        </w:numPr>
        <w:pStyle w:val="Compact"/>
      </w:pPr>
      <w:r>
        <w:t xml:space="preserve">lender_tenant with re_regulatory_profile (entity type, layer, asset size, s.11A status, CYB chapter, deposit-taking, card issuer), lender_legal_entity, udofin_org;</w:t>
      </w:r>
    </w:p>
    <w:p>
      <w:pPr>
        <w:numPr>
          <w:ilvl w:val="0"/>
          <w:numId w:val="1478"/>
        </w:numPr>
        <w:pStyle w:val="Compact"/>
      </w:pPr>
      <w:r>
        <w:t xml:space="preserve">staff_user (Udofin staff and RE users), borrower_account, device_binding, role, permission, role_permission, user_scope (RE, product, workspace);</w:t>
      </w:r>
    </w:p>
    <w:p>
      <w:pPr>
        <w:numPr>
          <w:ilvl w:val="0"/>
          <w:numId w:val="1478"/>
        </w:numPr>
        <w:pStyle w:val="Compact"/>
      </w:pPr>
      <w:r>
        <w:t xml:space="preserve">maker_checker_request; audit_event (hash-chained per RE partition: each row stores the SHA-256 of its canonical content and of the previous row’s hash, with a daily anchor hash written to write-once storage and a verifier job; this is the audit trail exported in RE archive folder 17, Part 7H RA3); idempotency_key; outbox_event;</w:t>
      </w:r>
    </w:p>
    <w:p>
      <w:pPr>
        <w:numPr>
          <w:ilvl w:val="0"/>
          <w:numId w:val="1478"/>
        </w:numPr>
        <w:pStyle w:val="Compact"/>
      </w:pPr>
      <w:r>
        <w:t xml:space="preserve">the external-access skeleton:</w:t>
      </w:r>
      <w:r>
        <w:t xml:space="preserve"> </w:t>
      </w:r>
      <w:r>
        <w:rPr>
          <w:rStyle w:val="VerbatimChar"/>
        </w:rPr>
        <w:t xml:space="preserve">external_access_grant</w:t>
      </w:r>
      <w:r>
        <w:t xml:space="preserve">,</w:t>
      </w:r>
      <w:r>
        <w:t xml:space="preserve"> </w:t>
      </w:r>
      <w:r>
        <w:rPr>
          <w:rStyle w:val="VerbatimChar"/>
        </w:rPr>
        <w:t xml:space="preserve">external_access_session</w:t>
      </w:r>
      <w:r>
        <w:t xml:space="preserve"> </w:t>
      </w:r>
      <w:r>
        <w:t xml:space="preserve">and</w:t>
      </w:r>
      <w:r>
        <w:t xml:space="preserve"> </w:t>
      </w:r>
      <w:r>
        <w:rPr>
          <w:rStyle w:val="VerbatimChar"/>
        </w:rPr>
        <w:t xml:space="preserve">external_access_query_log</w:t>
      </w:r>
      <w:r>
        <w:t xml:space="preserve"> </w:t>
      </w:r>
      <w:r>
        <w:t xml:space="preserve">tables (Appendix D) and the external-access role family (RE auditors, RBI supervisors, co-operative auditors) with SELECT-only, one-RE, time-boxed grants and no write path; the grant workflow is built in Phase 16c (Part 7H RA2);</w:t>
      </w:r>
    </w:p>
    <w:p>
      <w:pPr>
        <w:numPr>
          <w:ilvl w:val="0"/>
          <w:numId w:val="1478"/>
        </w:numPr>
        <w:pStyle w:val="Compact"/>
      </w:pPr>
      <w:r>
        <w:t xml:space="preserve">the RE-scoped vault tables and storage buckets keyed by RE, with per-RE KMS key references.</w:t>
      </w:r>
    </w:p>
    <w:p>
      <w:pPr>
        <w:pStyle w:val="BlockText"/>
      </w:pPr>
      <w:r>
        <w:t xml:space="preserve">Implement:</w:t>
      </w:r>
    </w:p>
    <w:p>
      <w:pPr>
        <w:numPr>
          <w:ilvl w:val="0"/>
          <w:numId w:val="1479"/>
        </w:numPr>
        <w:pStyle w:val="Compact"/>
      </w:pPr>
      <w:r>
        <w:t xml:space="preserve">server-side authorisation (RBAC + ABAC);</w:t>
      </w:r>
    </w:p>
    <w:p>
      <w:pPr>
        <w:numPr>
          <w:ilvl w:val="0"/>
          <w:numId w:val="1479"/>
        </w:numPr>
        <w:pStyle w:val="Compact"/>
      </w:pPr>
      <w:r>
        <w:t xml:space="preserve">Postgres RLS on every RE-scoped and borrower-scoped table,</w:t>
      </w:r>
      <w:r>
        <w:t xml:space="preserve"> </w:t>
      </w:r>
      <w:r>
        <w:rPr>
          <w:bCs/>
          <w:b/>
        </w:rPr>
        <w:t xml:space="preserve">enforced</w:t>
      </w:r>
      <w:r>
        <w:t xml:space="preserve">: the API connects as a non-owner role without BYPASSRLS;</w:t>
      </w:r>
      <w:r>
        <w:t xml:space="preserve"> </w:t>
      </w:r>
      <w:r>
        <w:rPr>
          <w:rStyle w:val="VerbatimChar"/>
        </w:rPr>
        <w:t xml:space="preserve">FORCE ROW LEVEL SECURITY</w:t>
      </w:r>
      <w:r>
        <w:t xml:space="preserve"> </w:t>
      </w:r>
      <w:r>
        <w:t xml:space="preserve">on every tenant table; RE and borrower context set with</w:t>
      </w:r>
      <w:r>
        <w:t xml:space="preserve"> </w:t>
      </w:r>
      <w:r>
        <w:rPr>
          <w:rStyle w:val="VerbatimChar"/>
        </w:rPr>
        <w:t xml:space="preserve">set_config(…, true)</w:t>
      </w:r>
      <w:r>
        <w:t xml:space="preserve"> </w:t>
      </w:r>
      <w:r>
        <w:t xml:space="preserve">inside each transaction;</w:t>
      </w:r>
    </w:p>
    <w:p>
      <w:pPr>
        <w:numPr>
          <w:ilvl w:val="0"/>
          <w:numId w:val="1479"/>
        </w:numPr>
        <w:pStyle w:val="Compact"/>
      </w:pPr>
      <w:r>
        <w:t xml:space="preserve">the auth abstraction over Supabase Auth: borrower OTP sessions with device-bound refresh, staff and RE SSO with mandatory MFA;</w:t>
      </w:r>
    </w:p>
    <w:p>
      <w:pPr>
        <w:numPr>
          <w:ilvl w:val="0"/>
          <w:numId w:val="1479"/>
        </w:numPr>
        <w:pStyle w:val="Compact"/>
      </w:pPr>
      <w:r>
        <w:t xml:space="preserve">the maker-checker framework;</w:t>
      </w:r>
    </w:p>
    <w:p>
      <w:pPr>
        <w:numPr>
          <w:ilvl w:val="0"/>
          <w:numId w:val="1479"/>
        </w:numPr>
        <w:pStyle w:val="Compact"/>
      </w:pPr>
      <w:r>
        <w:t xml:space="preserve">break-glass access for Udofin staff to RE data, logged and visible to the RE (OUT paras 24, 70);</w:t>
      </w:r>
    </w:p>
    <w:p>
      <w:pPr>
        <w:numPr>
          <w:ilvl w:val="0"/>
          <w:numId w:val="1479"/>
        </w:numPr>
        <w:pStyle w:val="Compact"/>
      </w:pPr>
      <w:r>
        <w:t xml:space="preserve">Supabase Data API (PostgREST, GraphQL) disabled, or application schemas unexposed with all privileges revoked from</w:t>
      </w:r>
      <w:r>
        <w:t xml:space="preserve"> </w:t>
      </w:r>
      <w:r>
        <w:rPr>
          <w:rStyle w:val="VerbatimChar"/>
        </w:rPr>
        <w:t xml:space="preserve">anon</w:t>
      </w:r>
      <w:r>
        <w:t xml:space="preserve"> </w:t>
      </w:r>
      <w:r>
        <w:t xml:space="preserve">and</w:t>
      </w:r>
      <w:r>
        <w:t xml:space="preserve"> </w:t>
      </w:r>
      <w:r>
        <w:rPr>
          <w:rStyle w:val="VerbatimChar"/>
        </w:rPr>
        <w:t xml:space="preserve">authenticated</w:t>
      </w:r>
      <w:r>
        <w:t xml:space="preserve">; Storage RE-vault buckets private with no client policies; clients reach data only through the NestJS API.</w:t>
      </w:r>
    </w:p>
    <w:p>
      <w:pPr>
        <w:pStyle w:val="BlockText"/>
      </w:pPr>
      <w:r>
        <w:t xml:space="preserve">Write isolation tests that try to read and write across REs, across borrowers and from a lender user into another RE’s data, and prove they fail. Include a test proving that a query without context returns zero rows, and that a borrower JWT calling the Supabase Data API or Storage directly gets no data. Also prove that altering or deleting any</w:t>
      </w:r>
      <w:r>
        <w:t xml:space="preserve"> </w:t>
      </w:r>
      <w:r>
        <w:rPr>
          <w:rStyle w:val="VerbatimChar"/>
        </w:rPr>
        <w:t xml:space="preserve">audit_event</w:t>
      </w:r>
      <w:r>
        <w:t xml:space="preserve"> </w:t>
      </w:r>
      <w:r>
        <w:t xml:space="preserve">row makes the chain verifier fail, and that an external-access role cannot write any table or read another RE’s rows. Report results.”</w:t>
      </w:r>
    </w:p>
    <w:bookmarkEnd w:id="495"/>
    <w:bookmarkStart w:id="496" w:name="Xfeb49d09a7d4ab026a10135d9ce12c34011bcbe"/>
    <w:p>
      <w:pPr>
        <w:pStyle w:val="Heading3"/>
      </w:pPr>
      <w:r>
        <w:t xml:space="preserve">Phase 3 — Lender onboarding, product catalogue and configuration</w:t>
      </w:r>
    </w:p>
    <w:p>
      <w:pPr>
        <w:pStyle w:val="BlockText"/>
      </w:pPr>
      <w:r>
        <w:rPr>
          <w:bCs/>
          <w:b/>
        </w:rPr>
        <w:t xml:space="preserve">Instruction to Claude:</w:t>
      </w:r>
      <w:r>
        <w:t xml:space="preserve"> </w:t>
      </w:r>
      <w:r>
        <w:t xml:space="preserve">“On branch</w:t>
      </w:r>
      <w:r>
        <w:t xml:space="preserve"> </w:t>
      </w:r>
      <w:r>
        <w:rPr>
          <w:rStyle w:val="VerbatimChar"/>
        </w:rPr>
        <w:t xml:space="preserve">feat/lender-onboarding-catalogue</w:t>
      </w:r>
      <w:r>
        <w:t xml:space="preserve">, build:</w:t>
      </w:r>
    </w:p>
    <w:p>
      <w:pPr>
        <w:numPr>
          <w:ilvl w:val="0"/>
          <w:numId w:val="1480"/>
        </w:numPr>
        <w:pStyle w:val="Compact"/>
      </w:pPr>
      <w:r>
        <w:rPr>
          <w:bCs/>
          <w:b/>
        </w:rPr>
        <w:t xml:space="preserve">U1:</w:t>
      </w:r>
      <w:r>
        <w:t xml:space="preserve"> </w:t>
      </w:r>
      <w:r>
        <w:t xml:space="preserve">RE onboarding with the regulatory profile; the LSP agreement registry with effective dates, scope (sourcing, servicing, recovery agent yes/no, DLG yes/no), clause matrix against OUT paras 34 and 74 and CF para 6(1), the due-diligence pack (CF para 6(2)), ownership and conflict declaration (OUT paras 18(vi), 59), and the RE’s grievance contacts, website link and data-storage policy (CF paras 9(4)–(5), 12(2), 14(2));</w:t>
      </w:r>
    </w:p>
    <w:p>
      <w:pPr>
        <w:numPr>
          <w:ilvl w:val="0"/>
          <w:numId w:val="1480"/>
        </w:numPr>
        <w:pStyle w:val="Compact"/>
      </w:pPr>
      <w:r>
        <w:rPr>
          <w:bCs/>
          <w:b/>
        </w:rPr>
        <w:t xml:space="preserve">U2:</w:t>
      </w:r>
      <w:r>
        <w:t xml:space="preserve"> </w:t>
      </w:r>
      <w:r>
        <w:t xml:space="preserve">the product catalogue per RE, either received from the RE’s LMS (</w:t>
      </w:r>
      <w:r>
        <w:rPr>
          <w:rStyle w:val="VerbatimChar"/>
        </w:rPr>
        <w:t xml:space="preserve">ProductCatalogPublished</w:t>
      </w:r>
      <w:r>
        <w:t xml:space="preserve">, through the U21 connector port with a contract-faithful mock until Phase 9) or configured in the lender portal for REs without an LMS connector: amount and tenor ranges, pricing grids, charges, cooling-off days (≥ 1, CF para 11(1)), KFS template version, eligibility pre-filter rules (GoRules), required documents, mandate and payment providers;</w:t>
      </w:r>
    </w:p>
    <w:p>
      <w:pPr>
        <w:numPr>
          <w:ilvl w:val="0"/>
          <w:numId w:val="1480"/>
        </w:numPr>
        <w:pStyle w:val="Compact"/>
      </w:pPr>
      <w:r>
        <w:rPr>
          <w:bCs/>
          <w:b/>
        </w:rPr>
        <w:t xml:space="preserve">platform guard-rails</w:t>
      </w:r>
      <w:r>
        <w:t xml:space="preserve"> </w:t>
      </w:r>
      <w:r>
        <w:t xml:space="preserve">that an RE cannot loosen: no fund flow through Udofin (CF para 10), cooling-off ≥ 1 day, KFS validity ≥ 3 working days or 1 for tenor &lt; 7 days (RBC para 29(2)), contact windows (RBC para 100), store-policy channel filters (tenor ≤ 60 days blocked on store apps; APR &gt; 36% blocked on iOS), microfinance flag for household income ≤ ₹3 lakh (CF para 51);</w:t>
      </w:r>
    </w:p>
    <w:p>
      <w:pPr>
        <w:numPr>
          <w:ilvl w:val="0"/>
          <w:numId w:val="1480"/>
        </w:numPr>
        <w:pStyle w:val="Compact"/>
      </w:pPr>
      <w:r>
        <w:t xml:space="preserve">classification of every configuration item into the five layers of Part 3.4 (standard core, tenant-safe, platform-approved, legal-review, controlled extensions), with maker-checker and effective dating;</w:t>
      </w:r>
    </w:p>
    <w:p>
      <w:pPr>
        <w:numPr>
          <w:ilvl w:val="0"/>
          <w:numId w:val="1480"/>
        </w:numPr>
        <w:pStyle w:val="Compact"/>
      </w:pPr>
      <w:r>
        <w:rPr>
          <w:bCs/>
          <w:b/>
        </w:rPr>
        <w:t xml:space="preserve">U23</w:t>
      </w:r>
      <w:r>
        <w:t xml:space="preserve"> </w:t>
      </w:r>
      <w:r>
        <w:t xml:space="preserve">admin for feature flags, roles and integration credentials (stored per RE, encrypted under the RE’s key).</w:t>
      </w:r>
    </w:p>
    <w:p>
      <w:pPr>
        <w:pStyle w:val="BlockText"/>
      </w:pPr>
      <w:r>
        <w:t xml:space="preserve">Phase 3c extends U1 with the full lender deal state machine, two-way due diligence, the per-deal configurator, RE export packs and exit (Part 7B UP1–UP3, UP5); design the U1 tables (</w:t>
      </w:r>
      <w:r>
        <w:rPr>
          <w:rStyle w:val="VerbatimChar"/>
        </w:rPr>
        <w:t xml:space="preserve">lender_tenant</w:t>
      </w:r>
      <w:r>
        <w:t xml:space="preserve">, LSP agreement registry, activity gate) so that 3c adds the deal layer without breaking migrations, and keep commercials out of every table the ranking or routing services can read.</w:t>
      </w:r>
    </w:p>
    <w:p>
      <w:pPr>
        <w:pStyle w:val="BlockText"/>
      </w:pPr>
      <w:r>
        <w:t xml:space="preserve">Produce</w:t>
      </w:r>
      <w:r>
        <w:t xml:space="preserve"> </w:t>
      </w:r>
      <w:r>
        <w:rPr>
          <w:rStyle w:val="VerbatimChar"/>
        </w:rPr>
        <w:t xml:space="preserve">docs/products/_template.md</w:t>
      </w:r>
      <w:r>
        <w:t xml:space="preserve"> </w:t>
      </w:r>
      <w:r>
        <w:t xml:space="preserve">and the Personal Loan and Payday product specs for my approval. Tests: guard-rail rejection tests for every rule above; maker-checker tests; isolation tests for the lender workspace.”</w:t>
      </w:r>
    </w:p>
    <w:bookmarkEnd w:id="496"/>
    <w:bookmarkStart w:id="497" w:name="Xb6ac1fd40bfd8fc59644005aacc72b394e41e87"/>
    <w:p>
      <w:pPr>
        <w:pStyle w:val="Heading3"/>
      </w:pPr>
      <w:r>
        <w:t xml:space="preserve">Phase 3b — Communications and consent foundation</w:t>
      </w:r>
    </w:p>
    <w:p>
      <w:pPr>
        <w:pStyle w:val="BlockText"/>
      </w:pPr>
      <w:r>
        <w:rPr>
          <w:bCs/>
          <w:b/>
        </w:rPr>
        <w:t xml:space="preserve">Instruction to Claude:</w:t>
      </w:r>
      <w:r>
        <w:t xml:space="preserve"> </w:t>
      </w:r>
      <w:r>
        <w:t xml:space="preserve">“On branch</w:t>
      </w:r>
      <w:r>
        <w:t xml:space="preserve"> </w:t>
      </w:r>
      <w:r>
        <w:rPr>
          <w:rStyle w:val="VerbatimChar"/>
        </w:rPr>
        <w:t xml:space="preserve">feat/communications-consent</w:t>
      </w:r>
      <w:r>
        <w:t xml:space="preserve">, build:</w:t>
      </w:r>
    </w:p>
    <w:p>
      <w:pPr>
        <w:numPr>
          <w:ilvl w:val="0"/>
          <w:numId w:val="1481"/>
        </w:numPr>
        <w:pStyle w:val="Compact"/>
      </w:pPr>
      <w:r>
        <w:rPr>
          <w:bCs/>
          <w:b/>
        </w:rPr>
        <w:t xml:space="preserve">U4 consent ledger:</w:t>
      </w:r>
      <w:r>
        <w:t xml:space="preserve"> </w:t>
      </w:r>
      <w:r>
        <w:t xml:space="preserve">consent records with purpose, data categories, recipient RE(s), notice version and language, channel, timestamp, device, withdrawal and expiry; notice versioning with legal approval; purpose disclosure at each stage (CF para 13(1)–(4)); a privacy centre API for the app and web (view, withdraw, restrict sharing, request deletion, CF para 13(2)); retention rules engine with legal-basis exceptions (PMLA, RBI, CIC); DPDP rights workflow with a 90-day clock (DPDP Rule 14(3) from 13 May 2027) and a consent-manager integration point (Rule 4 from 13 Nov 2026) [VERIFY: Gazette text];</w:t>
      </w:r>
    </w:p>
    <w:p>
      <w:pPr>
        <w:numPr>
          <w:ilvl w:val="0"/>
          <w:numId w:val="1481"/>
        </w:numPr>
        <w:pStyle w:val="Compact"/>
      </w:pPr>
      <w:r>
        <w:rPr>
          <w:bCs/>
          <w:b/>
        </w:rPr>
        <w:t xml:space="preserve">U16 communications:</w:t>
      </w:r>
      <w:r>
        <w:t xml:space="preserve"> </w:t>
      </w:r>
      <w:r>
        <w:t xml:space="preserve">versioned, multilingual templates with approval; SMS adapter with DLT entity, header and template IDs (sending on the RE’s header where the message is the RE’s); WhatsApp Business adapter restricted to categories the WhatsApp Business Messaging Policy allows (no payday-loan promotion, no debt collection); email; push via FCM/APNs with no personal data in payloads; voice/IVR adapter on 1600-series numbers for service calls [VERIFY: TRAI direction];</w:t>
      </w:r>
    </w:p>
    <w:p>
      <w:pPr>
        <w:numPr>
          <w:ilvl w:val="0"/>
          <w:numId w:val="1481"/>
        </w:numPr>
        <w:pStyle w:val="Compact"/>
      </w:pPr>
      <w:r>
        <w:rPr>
          <w:bCs/>
          <w:b/>
        </w:rPr>
        <w:t xml:space="preserve">contact-policy engine:</w:t>
      </w:r>
      <w:r>
        <w:t xml:space="preserve"> </w:t>
      </w:r>
      <w:r>
        <w:t xml:space="preserve">effective-dated windows and frequency limits, separate service, marketing and recovery categories; recovery calls only 08:00–19:00 (RBC para 100), and only 09:00–18:00 with no persistent calling for microfinance loans, to which para 100 does not apply (RBC para 91(2)); a second effective-dated pack for the RBC Third Amendment from 1 Jan 2027 (para 100Y(4): borrower-requested times honoured; sensitive occasions avoided) [VERIFY: official text not supplied]; TCCCPR consent categories and opt-out cooling periods; DND checks.</w:t>
      </w:r>
    </w:p>
    <w:p>
      <w:pPr>
        <w:pStyle w:val="BlockText"/>
      </w:pPr>
      <w:r>
        <w:t xml:space="preserve">Every later phase must send messages only through U16 and record consent only through U4. Tests: consent replay and withdrawal; template without DLT ID rejected; recovery message outside window blocked; push payload PII scan.”</w:t>
      </w:r>
    </w:p>
    <w:bookmarkEnd w:id="497"/>
    <w:bookmarkStart w:id="498" w:name="X8dbf73da9a4f58f115cd9f9cf4cba3a1be98fad"/>
    <w:p>
      <w:pPr>
        <w:pStyle w:val="Heading3"/>
      </w:pPr>
      <w:r>
        <w:t xml:space="preserve">Phase 3c — Lender partnership onboarding and deal configurator</w:t>
      </w:r>
    </w:p>
    <w:p>
      <w:pPr>
        <w:pStyle w:val="BlockText"/>
      </w:pPr>
      <w:r>
        <w:rPr>
          <w:bCs/>
          <w:b/>
        </w:rPr>
        <w:t xml:space="preserve">Instruction to Claude:</w:t>
      </w:r>
      <w:r>
        <w:t xml:space="preserve"> </w:t>
      </w:r>
      <w:r>
        <w:t xml:space="preserve">“Before writing the specification, verify: (i) the partner-deal domain of</w:t>
      </w:r>
      <w:r>
        <w:t xml:space="preserve"> </w:t>
      </w:r>
      <w:r>
        <w:rPr>
          <w:rStyle w:val="VerbatimChar"/>
        </w:rPr>
        <w:t xml:space="preserve">docs/ecosystem/infrabyx-integration-spec.md</w:t>
      </w:r>
      <w:r>
        <w:t xml:space="preserve"> </w:t>
      </w:r>
      <w:r>
        <w:t xml:space="preserve">v1.1 (</w:t>
      </w:r>
      <w:r>
        <w:rPr>
          <w:rStyle w:val="VerbatimChar"/>
        </w:rPr>
        <w:t xml:space="preserve">LenderDealProposed</w:t>
      </w:r>
      <w:r>
        <w:t xml:space="preserve">,</w:t>
      </w:r>
      <w:r>
        <w:t xml:space="preserve"> </w:t>
      </w:r>
      <w:r>
        <w:rPr>
          <w:rStyle w:val="VerbatimChar"/>
        </w:rPr>
        <w:t xml:space="preserve">LenderDealApproved</w:t>
      </w:r>
      <w:r>
        <w:t xml:space="preserve">,</w:t>
      </w:r>
      <w:r>
        <w:t xml:space="preserve"> </w:t>
      </w:r>
      <w:r>
        <w:rPr>
          <w:rStyle w:val="VerbatimChar"/>
        </w:rPr>
        <w:t xml:space="preserve">LenderDealActivated</w:t>
      </w:r>
      <w:r>
        <w:t xml:space="preserve"> </w:t>
      </w:r>
      <w:r>
        <w:t xml:space="preserve">with</w:t>
      </w:r>
      <w:r>
        <w:t xml:space="preserve"> </w:t>
      </w:r>
      <w:r>
        <w:rPr>
          <w:rStyle w:val="VerbatimChar"/>
        </w:rPr>
        <w:t xml:space="preserve">mode</w:t>
      </w:r>
      <w:r>
        <w:t xml:space="preserve"> </w:t>
      </w:r>
      <w:r>
        <w:t xml:space="preserve">PILOT or GENERAL and</w:t>
      </w:r>
      <w:r>
        <w:t xml:space="preserve"> </w:t>
      </w:r>
      <w:r>
        <w:rPr>
          <w:rStyle w:val="VerbatimChar"/>
        </w:rPr>
        <w:t xml:space="preserve">resumed</w:t>
      </w:r>
      <w:r>
        <w:t xml:space="preserve">,</w:t>
      </w:r>
      <w:r>
        <w:t xml:space="preserve"> </w:t>
      </w:r>
      <w:r>
        <w:rPr>
          <w:rStyle w:val="VerbatimChar"/>
        </w:rPr>
        <w:t xml:space="preserve">LenderDealSuspended</w:t>
      </w:r>
      <w:r>
        <w:t xml:space="preserve">,</w:t>
      </w:r>
      <w:r>
        <w:t xml:space="preserve"> </w:t>
      </w:r>
      <w:r>
        <w:rPr>
          <w:rStyle w:val="VerbatimChar"/>
        </w:rPr>
        <w:t xml:space="preserve">LenderDealTerminated</w:t>
      </w:r>
      <w:r>
        <w:t xml:space="preserve">,</w:t>
      </w:r>
      <w:r>
        <w:t xml:space="preserve"> </w:t>
      </w:r>
      <w:r>
        <w:rPr>
          <w:rStyle w:val="VerbatimChar"/>
        </w:rPr>
        <w:t xml:space="preserve">ExportRequested</w:t>
      </w:r>
      <w:r>
        <w:t xml:space="preserve">,</w:t>
      </w:r>
      <w:r>
        <w:t xml:space="preserve"> </w:t>
      </w:r>
      <w:r>
        <w:rPr>
          <w:rStyle w:val="VerbatimChar"/>
        </w:rPr>
        <w:t xml:space="preserve">ExportCompleted</w:t>
      </w:r>
      <w:r>
        <w:t xml:space="preserve">) and raise any gap as a versioned contract change; (ii) the current Google Play India personal-loan policy text on naming partner lenders in the listing [VERIFY]; (iii) that the bank, SFB and co-operative-bank rule packs are still</w:t>
      </w:r>
      <w:r>
        <w:t xml:space="preserve"> </w:t>
      </w:r>
      <w:r>
        <w:rPr>
          <w:rStyle w:val="VerbatimChar"/>
        </w:rPr>
        <w:t xml:space="preserve">unmapped</w:t>
      </w:r>
      <w:r>
        <w:t xml:space="preserve">, so those REs cannot pass due diligence (UP-C03) [VERIFY: bank texts]; (iv) the OUT paras 34 and 74 clause list in the U1 clause matrix against docs/regulations/rbi/. Then, on branch</w:t>
      </w:r>
      <w:r>
        <w:t xml:space="preserve"> </w:t>
      </w:r>
      <w:r>
        <w:rPr>
          <w:rStyle w:val="VerbatimChar"/>
        </w:rPr>
        <w:t xml:space="preserve">feat/lender-deals</w:t>
      </w:r>
      <w:r>
        <w:t xml:space="preserve">, build Part 7B UP1–UP3 and UP5 on top of U1 and U2 (UP4, the non-RE society track, is Phase 18c):</w:t>
      </w:r>
    </w:p>
    <w:p>
      <w:pPr>
        <w:numPr>
          <w:ilvl w:val="0"/>
          <w:numId w:val="1482"/>
        </w:numPr>
        <w:pStyle w:val="Compact"/>
      </w:pPr>
      <w:r>
        <w:rPr>
          <w:bCs/>
          <w:b/>
        </w:rPr>
        <w:t xml:space="preserve">UP1 deal state machine:</w:t>
      </w:r>
      <w:r>
        <w:t xml:space="preserve"> </w:t>
      </w:r>
      <w:r>
        <w:rPr>
          <w:rStyle w:val="VerbatimChar"/>
        </w:rPr>
        <w:t xml:space="preserve">lender_deal</w:t>
      </w:r>
      <w:r>
        <w:t xml:space="preserve"> </w:t>
      </w:r>
      <w:r>
        <w:t xml:space="preserve">from PROPOSED through DUE_DILIGENCE, LEGAL, TECHNICAL_CERTIFICATION, PILOT and ACTIVE to TERMINATED, with WITHDRAWN and the UNDER_REVIEW overlay that never stops service; every transition through the gate engine, fail-closed, maker-checker inside Udofin and the RE approver’s name, role and authority reference (</w:t>
      </w:r>
      <w:r>
        <w:rPr>
          <w:rStyle w:val="VerbatimChar"/>
        </w:rPr>
        <w:t xml:space="preserve">re_change_approval</w:t>
      </w:r>
      <w:r>
        <w:t xml:space="preserve">). The PILOT gate requires the RE’s CIMS acknowledgement for each Udofin DLA per platform (CF para 18(1)–(2)), the RE website disclosure snapshot (CF para 9(4)), the store-listing snapshot, live GRO and nodal-officer contacts (CF para 12(2)), the redress-profile hook (UB-C09; the profile itself is built in Phase 14b) and</w:t>
      </w:r>
      <w:r>
        <w:t xml:space="preserve"> </w:t>
      </w:r>
      <w:r>
        <w:rPr>
          <w:rStyle w:val="VerbatimChar"/>
        </w:rPr>
        <w:t xml:space="preserve">ConnectorCertified</w:t>
      </w:r>
      <w:r>
        <w:t xml:space="preserve">. The U1 activity gate reads the deal state: nothing borrower-facing exists before PILOT. Pilot plan with caps and the system-measured exit criteria;</w:t>
      </w:r>
    </w:p>
    <w:p>
      <w:pPr>
        <w:numPr>
          <w:ilvl w:val="0"/>
          <w:numId w:val="1482"/>
        </w:numPr>
        <w:pStyle w:val="Compact"/>
      </w:pPr>
      <w:r>
        <w:rPr>
          <w:bCs/>
          <w:b/>
        </w:rPr>
        <w:t xml:space="preserve">two-way due diligence:</w:t>
      </w:r>
      <w:r>
        <w:t xml:space="preserve"> </w:t>
      </w:r>
      <w:r>
        <w:t xml:space="preserve">Udofin’s versioned DD pack with an expiry per item (CF para 6(2); OUT paras 29–32, 38); counter-party diligence on the RE, including</w:t>
      </w:r>
      <w:r>
        <w:t xml:space="preserve"> </w:t>
      </w:r>
      <w:r>
        <w:rPr>
          <w:rStyle w:val="VerbatimChar"/>
        </w:rPr>
        <w:t xml:space="preserve">re_board_policy_evidence</w:t>
      </w:r>
      <w:r>
        <w:t xml:space="preserve"> </w:t>
      </w:r>
      <w:r>
        <w:t xml:space="preserve">(OUT para 20; RBC para 7; CF paras 6(4), 20(1); CIR para 20); the signed</w:t>
      </w:r>
      <w:r>
        <w:t xml:space="preserve"> </w:t>
      </w:r>
      <w:r>
        <w:rPr>
          <w:rStyle w:val="VerbatimChar"/>
        </w:rPr>
        <w:t xml:space="preserve">lsp_declaration</w:t>
      </w:r>
      <w:r>
        <w:t xml:space="preserve"> </w:t>
      </w:r>
      <w:r>
        <w:t xml:space="preserve">at LEGAL and annually (OUT paras 18(vi), 59; CF paras 10(1)–(4), 13(1), 14(3)–(4), 18(6)); certification shown only as programme status, never as a certificate;</w:t>
      </w:r>
    </w:p>
    <w:p>
      <w:pPr>
        <w:numPr>
          <w:ilvl w:val="0"/>
          <w:numId w:val="1482"/>
        </w:numPr>
        <w:pStyle w:val="Compact"/>
      </w:pPr>
      <w:r>
        <w:rPr>
          <w:bCs/>
          <w:b/>
        </w:rPr>
        <w:t xml:space="preserve">UP2 per-deal configurator:</w:t>
      </w:r>
      <w:r>
        <w:t xml:space="preserve"> </w:t>
      </w:r>
      <w:r>
        <w:t xml:space="preserve">the twelve sections of the immutable, diffed, effective-dated</w:t>
      </w:r>
      <w:r>
        <w:t xml:space="preserve"> </w:t>
      </w:r>
      <w:r>
        <w:rPr>
          <w:rStyle w:val="VerbatimChar"/>
        </w:rPr>
        <w:t xml:space="preserve">deal_config_version</w:t>
      </w:r>
      <w:r>
        <w:t xml:space="preserve"> </w:t>
      </w:r>
      <w:r>
        <w:t xml:space="preserve">with approval on both sides and Udofin legal sign-off for sections 4, 7, 8, 9 and 10; the in-flight rule (an application keeps its submission version; an accepted KFS binds the RE within validity, RBC para 29(2) Explanation); commercials in the separately keyed</w:t>
      </w:r>
      <w:r>
        <w:t xml:space="preserve"> </w:t>
      </w:r>
      <w:r>
        <w:rPr>
          <w:rStyle w:val="VerbatimChar"/>
        </w:rPr>
        <w:t xml:space="preserve">deal_commercials</w:t>
      </w:r>
      <w:r>
        <w:t xml:space="preserve"> </w:t>
      </w:r>
      <w:r>
        <w:t xml:space="preserve">schema;</w:t>
      </w:r>
    </w:p>
    <w:p>
      <w:pPr>
        <w:numPr>
          <w:ilvl w:val="0"/>
          <w:numId w:val="1482"/>
        </w:numPr>
        <w:pStyle w:val="Compact"/>
      </w:pPr>
      <w:r>
        <w:rPr>
          <w:bCs/>
          <w:b/>
        </w:rPr>
        <w:t xml:space="preserve">neutrality firewall (CF para 7(4)):</w:t>
      </w:r>
      <w:r>
        <w:t xml:space="preserve"> </w:t>
      </w:r>
      <w:r>
        <w:t xml:space="preserve">the schema validator rejects any priority, boost, featured, sponsored, default_selected, rank_weight or badge key; the ranking, matching, routing, offer, AI and marketing database roles have no grant on</w:t>
      </w:r>
      <w:r>
        <w:t xml:space="preserve"> </w:t>
      </w:r>
      <w:r>
        <w:rPr>
          <w:rStyle w:val="VerbatimChar"/>
        </w:rPr>
        <w:t xml:space="preserve">deal_commercials</w:t>
      </w:r>
      <w:r>
        <w:t xml:space="preserve">,</w:t>
      </w:r>
      <w:r>
        <w:t xml:space="preserve"> </w:t>
      </w:r>
      <w:r>
        <w:rPr>
          <w:rStyle w:val="VerbatimChar"/>
        </w:rPr>
        <w:t xml:space="preserve">dlg_*</w:t>
      </w:r>
      <w:r>
        <w:t xml:space="preserve"> </w:t>
      </w:r>
      <w:r>
        <w:t xml:space="preserve">or</w:t>
      </w:r>
      <w:r>
        <w:t xml:space="preserve"> </w:t>
      </w:r>
      <w:r>
        <w:rPr>
          <w:rStyle w:val="VerbatimChar"/>
        </w:rPr>
        <w:t xml:space="preserve">deal_config.commercials</w:t>
      </w:r>
      <w:r>
        <w:t xml:space="preserve">; any borrower-facing Udofin fee line fails validation (CF para 10(4)); clawback terms count inside the 5% DLG cap (CF para 24); wellness add-ons can never be a deal item;</w:t>
      </w:r>
    </w:p>
    <w:p>
      <w:pPr>
        <w:numPr>
          <w:ilvl w:val="0"/>
          <w:numId w:val="1482"/>
        </w:numPr>
        <w:pStyle w:val="Compact"/>
      </w:pPr>
      <w:r>
        <w:rPr>
          <w:bCs/>
          <w:b/>
        </w:rPr>
        <w:t xml:space="preserve">UP3 export packs P1–P10:</w:t>
      </w:r>
      <w:r>
        <w:t xml:space="preserve"> </w:t>
      </w:r>
      <w:r>
        <w:t xml:space="preserve">the pack framework (README,</w:t>
      </w:r>
      <w:r>
        <w:t xml:space="preserve"> </w:t>
      </w:r>
      <w:r>
        <w:rPr>
          <w:rStyle w:val="VerbatimChar"/>
        </w:rPr>
        <w:t xml:space="preserve">manifest.json</w:t>
      </w:r>
      <w:r>
        <w:t xml:space="preserve"> </w:t>
      </w:r>
      <w:r>
        <w:t xml:space="preserve">with SHA-256 per file and per pack, detached JWS, CSV and XLSX, PDF/A, JSON Lines,</w:t>
      </w:r>
      <w:r>
        <w:t xml:space="preserve"> </w:t>
      </w:r>
      <w:r>
        <w:rPr>
          <w:rStyle w:val="VerbatimChar"/>
        </w:rPr>
        <w:t xml:space="preserve">reconciliation.xlsx</w:t>
      </w:r>
      <w:r>
        <w:t xml:space="preserve">), snapshot generation on a read replica, masking levels, maker-checker for P8 and for unmasked P3, P4 and P6, and the hash-verification tool. P1 and P2 now; the others are wired as their source modules land (P3 after Phase 7, P5 after 13, P4 after 14b, P9 after 20);</w:t>
      </w:r>
    </w:p>
    <w:p>
      <w:pPr>
        <w:numPr>
          <w:ilvl w:val="0"/>
          <w:numId w:val="1482"/>
        </w:numPr>
        <w:pStyle w:val="Compact"/>
      </w:pPr>
      <w:r>
        <w:rPr>
          <w:bCs/>
          <w:b/>
        </w:rPr>
        <w:t xml:space="preserve">UP5 suspension and exit:</w:t>
      </w:r>
      <w:r>
        <w:t xml:space="preserve"> </w:t>
      </w:r>
      <w:r>
        <w:t xml:space="preserve">the four suspension types; the borrower-continuity table enforced per borrower position; a per-RE freeze flag checked by every purge job (OUT para 87);</w:t>
      </w:r>
      <w:r>
        <w:t xml:space="preserve"> </w:t>
      </w:r>
      <w:r>
        <w:rPr>
          <w:rStyle w:val="VerbatimChar"/>
        </w:rPr>
        <w:t xml:space="preserve">deal_exit</w:t>
      </w:r>
      <w:r>
        <w:t xml:space="preserve"> </w:t>
      </w:r>
      <w:r>
        <w:t xml:space="preserve">states; data return, RE acknowledgement by hash and destruction certificate (OUT paras 42, 88, 97(xvi)); DLG cover and disclosure survive exit (CF paras 27(2), 28); an annual exit dry-run per active RE;</w:t>
      </w:r>
    </w:p>
    <w:p>
      <w:pPr>
        <w:numPr>
          <w:ilvl w:val="0"/>
          <w:numId w:val="1482"/>
        </w:numPr>
        <w:pStyle w:val="Compact"/>
      </w:pPr>
      <w:r>
        <w:rPr>
          <w:bCs/>
          <w:b/>
        </w:rPr>
        <w:t xml:space="preserve">menus, screens and settings:</w:t>
      </w:r>
      <w:r>
        <w:t xml:space="preserve"> </w:t>
      </w:r>
      <w:r>
        <w:t xml:space="preserve">build every entry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7B (UP1–UP3, UP5) on the channel and workspace named there (navigation map in Appendix G): list, detail, wizard, approval-queue and dashboard screens with their key and bulk actions, filters, exports, empty and error states and role visibility; each setting as a versioned, effective-dated</w:t>
      </w:r>
      <w:r>
        <w:t xml:space="preserve"> </w:t>
      </w:r>
      <w:r>
        <w:rPr>
          <w:rStyle w:val="VerbatimChar"/>
        </w:rPr>
        <w:t xml:space="preserve">module_setting</w:t>
      </w:r>
      <w:r>
        <w:t xml:space="preserve"> </w:t>
      </w:r>
      <w:r>
        <w:t xml:space="preserve">record with its default, where a regulatory floor is enforced server-side and can never be relaxed;</w:t>
      </w:r>
    </w:p>
    <w:p>
      <w:pPr>
        <w:pStyle w:val="BlockText"/>
      </w:pPr>
      <w:r>
        <w:t xml:space="preserve">Publish the</w:t>
      </w:r>
      <w:r>
        <w:t xml:space="preserve"> </w:t>
      </w:r>
      <w:r>
        <w:rPr>
          <w:rStyle w:val="VerbatimChar"/>
        </w:rPr>
        <w:t xml:space="preserve">LenderDeal*</w:t>
      </w:r>
      <w:r>
        <w:t xml:space="preserve"> </w:t>
      </w:r>
      <w:r>
        <w:t xml:space="preserve">events with JSON Schemas and Pact tests; Finbyx consumes them into the RE’s LSP register and the OUT para 36 central record.</w:t>
      </w:r>
    </w:p>
    <w:p>
      <w:pPr>
        <w:pStyle w:val="BlockText"/>
      </w:pPr>
      <w:r>
        <w:t xml:space="preserve">Tests and acceptance evidence:</w:t>
      </w:r>
    </w:p>
    <w:p>
      <w:pPr>
        <w:numPr>
          <w:ilvl w:val="0"/>
          <w:numId w:val="1483"/>
        </w:numPr>
        <w:pStyle w:val="Compact"/>
      </w:pPr>
      <w:r>
        <w:t xml:space="preserve">every UP1, UP2, UP3 and UP5 acceptance test in Part 7B;</w:t>
      </w:r>
    </w:p>
    <w:p>
      <w:pPr>
        <w:numPr>
          <w:ilvl w:val="0"/>
          <w:numId w:val="1483"/>
        </w:numPr>
        <w:pStyle w:val="Compact"/>
      </w:pPr>
      <w:r>
        <w:t xml:space="preserve">PILOT is refused while any gate item is missing, and the error names each missing item;</w:t>
      </w:r>
    </w:p>
    <w:p>
      <w:pPr>
        <w:numPr>
          <w:ilvl w:val="0"/>
          <w:numId w:val="1483"/>
        </w:numPr>
        <w:pStyle w:val="Compact"/>
      </w:pPr>
      <w:r>
        <w:t xml:space="preserve">a</w:t>
      </w:r>
      <w:r>
        <w:t xml:space="preserve"> </w:t>
      </w:r>
      <w:r>
        <w:rPr>
          <w:rStyle w:val="VerbatimChar"/>
        </w:rPr>
        <w:t xml:space="preserve">deal_config</w:t>
      </w:r>
      <w:r>
        <w:t xml:space="preserve"> </w:t>
      </w:r>
      <w:r>
        <w:t xml:space="preserve">with a</w:t>
      </w:r>
      <w:r>
        <w:t xml:space="preserve"> </w:t>
      </w:r>
      <w:r>
        <w:rPr>
          <w:rStyle w:val="VerbatimChar"/>
        </w:rPr>
        <w:t xml:space="preserve">featured</w:t>
      </w:r>
      <w:r>
        <w:t xml:space="preserve"> </w:t>
      </w:r>
      <w:r>
        <w:t xml:space="preserve">key fails validation; the ranking role gets</w:t>
      </w:r>
      <w:r>
        <w:t xml:space="preserve"> </w:t>
      </w:r>
      <w:r>
        <w:t xml:space="preserve">‘</w:t>
      </w:r>
      <w:r>
        <w:t xml:space="preserve">permission denied</w:t>
      </w:r>
      <w:r>
        <w:t xml:space="preserve">’</w:t>
      </w:r>
      <w:r>
        <w:t xml:space="preserve"> </w:t>
      </w:r>
      <w:r>
        <w:t xml:space="preserve">on</w:t>
      </w:r>
      <w:r>
        <w:t xml:space="preserve"> </w:t>
      </w:r>
      <w:r>
        <w:rPr>
          <w:rStyle w:val="VerbatimChar"/>
        </w:rPr>
        <w:t xml:space="preserve">deal_commercials</w:t>
      </w:r>
      <w:r>
        <w:t xml:space="preserve"> </w:t>
      </w:r>
      <w:r>
        <w:t xml:space="preserve">in CI; raising RE A’s sourcing fee from 1% to 3% leaves the offer order unchanged for an identical synthetic borrower;</w:t>
      </w:r>
    </w:p>
    <w:p>
      <w:pPr>
        <w:numPr>
          <w:ilvl w:val="0"/>
          <w:numId w:val="1483"/>
        </w:numPr>
        <w:pStyle w:val="Compact"/>
      </w:pPr>
      <w:r>
        <w:t xml:space="preserve">an application submitted under version 4 still uses version 4 after version 5 takes effect;</w:t>
      </w:r>
    </w:p>
    <w:p>
      <w:pPr>
        <w:numPr>
          <w:ilvl w:val="0"/>
          <w:numId w:val="1483"/>
        </w:numPr>
        <w:pStyle w:val="Compact"/>
      </w:pPr>
      <w:r>
        <w:t xml:space="preserve">every pack verifies against its manifest, one altered byte fails, regeneration from the same snapshot gives identical hashes, and a cross-RE row aborts generation;</w:t>
      </w:r>
    </w:p>
    <w:p>
      <w:pPr>
        <w:numPr>
          <w:ilvl w:val="0"/>
          <w:numId w:val="1483"/>
        </w:numPr>
        <w:pStyle w:val="Compact"/>
      </w:pPr>
      <w:r>
        <w:t xml:space="preserve">with a freeze active a scheduled purge is blocked and logged; after TERMINATED the monthly DLG disclosure still runs for open sets;</w:t>
      </w:r>
    </w:p>
    <w:p>
      <w:pPr>
        <w:numPr>
          <w:ilvl w:val="0"/>
          <w:numId w:val="1483"/>
        </w:numPr>
        <w:pStyle w:val="Compact"/>
      </w:pPr>
      <w:r>
        <w:t xml:space="preserve">each transition emits exactly one event with the correct</w:t>
      </w:r>
      <w:r>
        <w:t xml:space="preserve"> </w:t>
      </w:r>
      <w:r>
        <w:rPr>
          <w:rStyle w:val="VerbatimChar"/>
        </w:rPr>
        <w:t xml:space="preserve">mode</w:t>
      </w:r>
      <w:r>
        <w:t xml:space="preserve">; replay is idempotent;</w:t>
      </w:r>
    </w:p>
    <w:p>
      <w:pPr>
        <w:numPr>
          <w:ilvl w:val="0"/>
          <w:numId w:val="1483"/>
        </w:numPr>
        <w:pStyle w:val="Compact"/>
      </w:pPr>
      <w:r>
        <w:t xml:space="preserve">every screen in the module’s</w:t>
      </w:r>
      <w:r>
        <w:t xml:space="preserve"> </w:t>
      </w:r>
      <w:r>
        <w:rPr>
          <w:rStyle w:val="VerbatimChar"/>
        </w:rPr>
        <w:t xml:space="preserve">Menu and screens</w:t>
      </w:r>
      <w:r>
        <w:t xml:space="preserve"> </w:t>
      </w:r>
      <w:r>
        <w:t xml:space="preserve">list renders only for the roles named there, and a setting change below its regulatory floor is refused server-side and logged.</w:t>
      </w:r>
    </w:p>
    <w:p>
      <w:pPr>
        <w:pStyle w:val="BlockText"/>
      </w:pPr>
      <w:r>
        <w:t xml:space="preserve">Show me the deal state machine with its gate table, the</w:t>
      </w:r>
      <w:r>
        <w:t xml:space="preserve"> </w:t>
      </w:r>
      <w:r>
        <w:rPr>
          <w:rStyle w:val="VerbatimChar"/>
        </w:rPr>
        <w:t xml:space="preserve">deal_config</w:t>
      </w:r>
      <w:r>
        <w:t xml:space="preserve"> </w:t>
      </w:r>
      <w:r>
        <w:t xml:space="preserve">JSON Schema with the guard-rail validator rules, the pack catalogue with masking levels, and the lender-portal and operations-portal menu and settings map for approval before coding.”</w:t>
      </w:r>
    </w:p>
    <w:bookmarkEnd w:id="498"/>
    <w:bookmarkStart w:id="499" w:name="X2bb3f9140c8b6250708e896871d7e65f4b06900"/>
    <w:p>
      <w:pPr>
        <w:pStyle w:val="Heading3"/>
      </w:pPr>
      <w:r>
        <w:t xml:space="preserve">Phase 4 — Borrower identity and onboarding (app and web)</w:t>
      </w:r>
    </w:p>
    <w:p>
      <w:pPr>
        <w:pStyle w:val="BlockText"/>
      </w:pPr>
      <w:r>
        <w:rPr>
          <w:bCs/>
          <w:b/>
        </w:rPr>
        <w:t xml:space="preserve">Instruction to Claude:</w:t>
      </w:r>
      <w:r>
        <w:t xml:space="preserve"> </w:t>
      </w:r>
      <w:r>
        <w:t xml:space="preserve">“On branch</w:t>
      </w:r>
      <w:r>
        <w:t xml:space="preserve"> </w:t>
      </w:r>
      <w:r>
        <w:rPr>
          <w:rStyle w:val="VerbatimChar"/>
        </w:rPr>
        <w:t xml:space="preserve">feat/borrower-identity</w:t>
      </w:r>
      <w:r>
        <w:t xml:space="preserve">, build U3 on Android (Expo) and the borrower web app:</w:t>
      </w:r>
    </w:p>
    <w:p>
      <w:pPr>
        <w:numPr>
          <w:ilvl w:val="0"/>
          <w:numId w:val="1484"/>
        </w:numPr>
        <w:pStyle w:val="Compact"/>
      </w:pPr>
      <w:r>
        <w:t xml:space="preserve">registration and login by mobile OTP (SMS Retriever / WebOTP autofill; no SMS permission), sent through the U16 DLT-registered SMS adapter (Supabase Auth Send SMS hook or the auth abstraction), never Supabase’s built-in SMS providers; rate limits and lockout;</w:t>
      </w:r>
    </w:p>
    <w:p>
      <w:pPr>
        <w:numPr>
          <w:ilvl w:val="0"/>
          <w:numId w:val="1484"/>
        </w:numPr>
        <w:pStyle w:val="Compact"/>
      </w:pPr>
      <w:r>
        <w:t xml:space="preserve">device binding with a hardware-backed key, Play Integrity standard request and App Attest verification on the server; device list and revocation; new-device notification;</w:t>
      </w:r>
    </w:p>
    <w:p>
      <w:pPr>
        <w:numPr>
          <w:ilvl w:val="0"/>
          <w:numId w:val="1484"/>
        </w:numPr>
        <w:pStyle w:val="Compact"/>
      </w:pPr>
      <w:r>
        <w:t xml:space="preserve">app unlock with biometric or app PIN after inactivity and at launch;</w:t>
      </w:r>
    </w:p>
    <w:p>
      <w:pPr>
        <w:numPr>
          <w:ilvl w:val="0"/>
          <w:numId w:val="1484"/>
        </w:numPr>
        <w:pStyle w:val="Compact"/>
      </w:pPr>
      <w:r>
        <w:t xml:space="preserve">the resumable journey shell: server-side Temporal workflow per application; the same step definitions on app and web; resume on another device after re-authentication;</w:t>
      </w:r>
    </w:p>
    <w:p>
      <w:pPr>
        <w:numPr>
          <w:ilvl w:val="0"/>
          <w:numId w:val="1484"/>
        </w:numPr>
        <w:pStyle w:val="Compact"/>
      </w:pPr>
      <w:r>
        <w:t xml:space="preserve">consent screens from U4 at the first step; purpose screens before each OS permission prompt;</w:t>
      </w:r>
    </w:p>
    <w:p>
      <w:pPr>
        <w:numPr>
          <w:ilvl w:val="0"/>
          <w:numId w:val="1484"/>
        </w:numPr>
        <w:pStyle w:val="Compact"/>
      </w:pPr>
      <w:r>
        <w:t xml:space="preserve">FLAG_SECURE and app-switcher blur on sensitive screens; version check against the minimum supported version with a forced-upgrade screen;</w:t>
      </w:r>
    </w:p>
    <w:p>
      <w:pPr>
        <w:numPr>
          <w:ilvl w:val="0"/>
          <w:numId w:val="1484"/>
        </w:numPr>
        <w:pStyle w:val="Compact"/>
      </w:pPr>
      <w:r>
        <w:t xml:space="preserve">web: WebAuthn passkey binding where available, CAPTCHA with server validation under attack, inactivity logout; QR/deep-link handoff to the app;</w:t>
      </w:r>
    </w:p>
    <w:p>
      <w:pPr>
        <w:numPr>
          <w:ilvl w:val="0"/>
          <w:numId w:val="1484"/>
        </w:numPr>
        <w:pStyle w:val="Compact"/>
      </w:pPr>
      <w:r>
        <w:t xml:space="preserve">accessibility (screen reader, dynamic type, contrast) and English/Hindi copy.</w:t>
      </w:r>
    </w:p>
    <w:p>
      <w:pPr>
        <w:pStyle w:val="BlockText"/>
      </w:pPr>
      <w:r>
        <w:t xml:space="preserve">Target: an application starts in 3–4 interactions (mobile number, OTP, consent, product). Tests: E2E on a real low-end Android device and on Chromium mobile emulation; replayed OTP and session-fixation tests; deep-link hijack test; permission audit showing no new permission; cold-start measurement against Part 10.5.”</w:t>
      </w:r>
    </w:p>
    <w:bookmarkEnd w:id="499"/>
    <w:bookmarkStart w:id="500" w:name="phase-5-kyc-and-verification-adapters"/>
    <w:p>
      <w:pPr>
        <w:pStyle w:val="Heading3"/>
      </w:pPr>
      <w:r>
        <w:t xml:space="preserve">Phase 5 — KYC and verification adapters</w:t>
      </w:r>
    </w:p>
    <w:p>
      <w:pPr>
        <w:pStyle w:val="BlockText"/>
      </w:pPr>
      <w:r>
        <w:rPr>
          <w:bCs/>
          <w:b/>
        </w:rPr>
        <w:t xml:space="preserve">Instruction to Claude:</w:t>
      </w:r>
      <w:r>
        <w:t xml:space="preserve"> </w:t>
      </w:r>
      <w:r>
        <w:t xml:space="preserve">“On branch</w:t>
      </w:r>
      <w:r>
        <w:t xml:space="preserve"> </w:t>
      </w:r>
      <w:r>
        <w:rPr>
          <w:rStyle w:val="VerbatimChar"/>
        </w:rPr>
        <w:t xml:space="preserve">feat/kyc-verification</w:t>
      </w:r>
      <w:r>
        <w:t xml:space="preserve">, build U5 with mock adapters first, then Surepass and other sandboxes behind</w:t>
      </w:r>
      <w:r>
        <w:t xml:space="preserve"> </w:t>
      </w:r>
      <w:r>
        <w:rPr>
          <w:rStyle w:val="VerbatimChar"/>
        </w:rPr>
        <w:t xml:space="preserve">KycProvider</w:t>
      </w:r>
      <w:r>
        <w:t xml:space="preserve">:</w:t>
      </w:r>
    </w:p>
    <w:p>
      <w:pPr>
        <w:numPr>
          <w:ilvl w:val="0"/>
          <w:numId w:val="1485"/>
        </w:numPr>
        <w:pStyle w:val="Compact"/>
      </w:pPr>
      <w:r>
        <w:t xml:space="preserve">PAN verification and PAN–Aadhaar link status;</w:t>
      </w:r>
    </w:p>
    <w:p>
      <w:pPr>
        <w:numPr>
          <w:ilvl w:val="0"/>
          <w:numId w:val="1485"/>
        </w:numPr>
        <w:pStyle w:val="Compact"/>
      </w:pPr>
      <w:r>
        <w:t xml:space="preserve">Aadhaar offline verification (OKYC XML or secure QR) and DigiLocker issued documents with digital-signature verification (KYC para 23 proviso (ii)–(iii)); Aadhaar number redaction (Explanation 1); no Aadhaar number or UID token stored by Udofin;</w:t>
      </w:r>
    </w:p>
    <w:p>
      <w:pPr>
        <w:numPr>
          <w:ilvl w:val="0"/>
          <w:numId w:val="1485"/>
        </w:numPr>
        <w:pStyle w:val="Compact"/>
      </w:pPr>
      <w:r>
        <w:t xml:space="preserve">Aadhaar OTP e-KYC only for REs whose profile shows s.11A notification, via the RE’s KUA/sub-KUA, with specific OTP consent and the para 25 limits passed to the RE (term loans only, ₹60,000 a year, one-year validity unless full CDD) (KYC para 25);</w:t>
      </w:r>
    </w:p>
    <w:p>
      <w:pPr>
        <w:numPr>
          <w:ilvl w:val="0"/>
          <w:numId w:val="1485"/>
        </w:numPr>
        <w:pStyle w:val="Compact"/>
      </w:pPr>
      <w:r>
        <w:t xml:space="preserve">CKYC search and download with the borrower’s explicit consent using the RE’s credentials (KYC para 23(4));</w:t>
      </w:r>
    </w:p>
    <w:p>
      <w:pPr>
        <w:numPr>
          <w:ilvl w:val="0"/>
          <w:numId w:val="1485"/>
        </w:numPr>
        <w:pStyle w:val="Compact"/>
      </w:pPr>
      <w:r>
        <w:t xml:space="preserve">V-CIP handoff: launch the RE’s V-CIP session (web) with a signed context; receive only the outcome and evidence reference (KYC paras 26–27);</w:t>
      </w:r>
    </w:p>
    <w:p>
      <w:pPr>
        <w:numPr>
          <w:ilvl w:val="0"/>
          <w:numId w:val="1485"/>
        </w:numPr>
        <w:pStyle w:val="Compact"/>
      </w:pPr>
      <w:r>
        <w:t xml:space="preserve">selfie liveness and face match with accessible alternatives (RBC para 105); scores only, no biometric storage (CF para 14(3));</w:t>
      </w:r>
    </w:p>
    <w:p>
      <w:pPr>
        <w:numPr>
          <w:ilvl w:val="0"/>
          <w:numId w:val="1485"/>
        </w:numPr>
        <w:pStyle w:val="Compact"/>
      </w:pPr>
      <w:r>
        <w:t xml:space="preserve">bank account verification (penny-drop/pennyless) with name match; the account must be the borrower’s (CF para 10(1));</w:t>
      </w:r>
    </w:p>
    <w:p>
      <w:pPr>
        <w:numPr>
          <w:ilvl w:val="0"/>
          <w:numId w:val="1485"/>
        </w:numPr>
        <w:pStyle w:val="Compact"/>
      </w:pPr>
      <w:r>
        <w:t xml:space="preserve">KYC evidence packages written to the RE-scoped vault and sent to the RE as evidence; the KYC decision field is writable only by the RE (KYC para 13).</w:t>
      </w:r>
    </w:p>
    <w:p>
      <w:pPr>
        <w:pStyle w:val="BlockText"/>
      </w:pPr>
      <w:r>
        <w:t xml:space="preserve">Load the KYC REQ-IDs from Part 8A.3 into the register. Tests: s.11A gate; para 25 limit propagation; no Aadhaar number in DB, logs or analytics (automated scan); RE-only KYC decision; provider time-out and retry without duplicate calls.”</w:t>
      </w:r>
    </w:p>
    <w:bookmarkEnd w:id="500"/>
    <w:bookmarkStart w:id="501" w:name="X437b5844490712ea3a56c6e87374a227d9c9a78"/>
    <w:p>
      <w:pPr>
        <w:pStyle w:val="Heading3"/>
      </w:pPr>
      <w:r>
        <w:t xml:space="preserve">Phase 6 — Credit data, affordability and eligibility</w:t>
      </w:r>
    </w:p>
    <w:p>
      <w:pPr>
        <w:pStyle w:val="BlockText"/>
      </w:pPr>
      <w:r>
        <w:rPr>
          <w:bCs/>
          <w:b/>
        </w:rPr>
        <w:t xml:space="preserve">Instruction to Claude:</w:t>
      </w:r>
      <w:r>
        <w:t xml:space="preserve"> </w:t>
      </w:r>
      <w:r>
        <w:t xml:space="preserve">“On branch</w:t>
      </w:r>
      <w:r>
        <w:t xml:space="preserve"> </w:t>
      </w:r>
      <w:r>
        <w:rPr>
          <w:rStyle w:val="VerbatimChar"/>
        </w:rPr>
        <w:t xml:space="preserve">feat/credit-affordability-eligibility</w:t>
      </w:r>
      <w:r>
        <w:t xml:space="preserve">, build U6 and the U7 eligibility pre-filter:</w:t>
      </w:r>
    </w:p>
    <w:p>
      <w:pPr>
        <w:numPr>
          <w:ilvl w:val="0"/>
          <w:numId w:val="1486"/>
        </w:numPr>
        <w:pStyle w:val="Compact"/>
      </w:pPr>
      <w:r>
        <w:t xml:space="preserve">bureau pulls through</w:t>
      </w:r>
      <w:r>
        <w:t xml:space="preserve"> </w:t>
      </w:r>
      <w:r>
        <w:rPr>
          <w:rStyle w:val="VerbatimChar"/>
        </w:rPr>
        <w:t xml:space="preserve">BureauGateway</w:t>
      </w:r>
      <w:r>
        <w:t xml:space="preserve"> </w:t>
      </w:r>
      <w:r>
        <w:t xml:space="preserve">under the RE’s CIC membership, with consent naming the RE and purpose; no Udofin-owned bureau account (CIR para 6) [VERIFY: CIC and Surepass contract terms];</w:t>
      </w:r>
    </w:p>
    <w:p>
      <w:pPr>
        <w:numPr>
          <w:ilvl w:val="0"/>
          <w:numId w:val="1486"/>
        </w:numPr>
        <w:pStyle w:val="Compact"/>
      </w:pPr>
      <w:r>
        <w:t xml:space="preserve">borrower-initiated own-report import as an alternative path, clearly labelled;</w:t>
      </w:r>
    </w:p>
    <w:p>
      <w:pPr>
        <w:numPr>
          <w:ilvl w:val="0"/>
          <w:numId w:val="1486"/>
        </w:numPr>
        <w:pStyle w:val="Compact"/>
      </w:pPr>
      <w:r>
        <w:t xml:space="preserve">Account Aggregator flows with the RE as FIU and Udofin as technology service provider; consent artefact per RE; data used only as the artefact allows (AA para 28);</w:t>
      </w:r>
    </w:p>
    <w:p>
      <w:pPr>
        <w:numPr>
          <w:ilvl w:val="0"/>
          <w:numId w:val="1486"/>
        </w:numPr>
        <w:pStyle w:val="Compact"/>
      </w:pPr>
      <w:r>
        <w:t xml:space="preserve">income, employment and bank-statement analysis adapters; economic profile capture of age, occupation and income for the RE’s record (CF para 8(1));</w:t>
      </w:r>
    </w:p>
    <w:p>
      <w:pPr>
        <w:numPr>
          <w:ilvl w:val="0"/>
          <w:numId w:val="1486"/>
        </w:numPr>
        <w:pStyle w:val="Compact"/>
      </w:pPr>
      <w:r>
        <w:t xml:space="preserve">household income capture and the microfinance flag (≤ ₹3 lakh; CF para 51) with repayment obligations ≤ 50% of monthly household income for routing to microfinance products (CF para 55);</w:t>
      </w:r>
    </w:p>
    <w:p>
      <w:pPr>
        <w:numPr>
          <w:ilvl w:val="0"/>
          <w:numId w:val="1486"/>
        </w:numPr>
        <w:pStyle w:val="Compact"/>
      </w:pPr>
      <w:r>
        <w:t xml:space="preserve">the eligibility pre-filter: RE-approved GoRules versions only; first-time borrowers never excluded for lack of credit history (CIR para 38(5)); DLG cover never an input (CF para 20(2)); every pre-filter outcome stores inputs, rule version and RE attribution; the credit decision is always the RE’s.</w:t>
      </w:r>
    </w:p>
    <w:p>
      <w:pPr>
        <w:pStyle w:val="BlockText"/>
      </w:pPr>
      <w:r>
        <w:t xml:space="preserve">Tests: consent required before any pull; per-RE data isolation of bureau data; rule-version replay; new-to-credit test; microfinance-flag golden cases.”</w:t>
      </w:r>
    </w:p>
    <w:bookmarkEnd w:id="501"/>
    <w:bookmarkStart w:id="502" w:name="X6a54c53c89c9c2301568b8f43b8502948e9dc97"/>
    <w:p>
      <w:pPr>
        <w:pStyle w:val="Heading3"/>
      </w:pPr>
      <w:r>
        <w:t xml:space="preserve">Phase 7 — Lender routing, offers, KFS and cooling-off</w:t>
      </w:r>
    </w:p>
    <w:p>
      <w:pPr>
        <w:pStyle w:val="BlockText"/>
      </w:pPr>
      <w:r>
        <w:rPr>
          <w:bCs/>
          <w:b/>
        </w:rPr>
        <w:t xml:space="preserve">Instruction to Claude:</w:t>
      </w:r>
      <w:r>
        <w:t xml:space="preserve"> </w:t>
      </w:r>
      <w:r>
        <w:t xml:space="preserve">“On branch</w:t>
      </w:r>
      <w:r>
        <w:t xml:space="preserve"> </w:t>
      </w:r>
      <w:r>
        <w:rPr>
          <w:rStyle w:val="VerbatimChar"/>
        </w:rPr>
        <w:t xml:space="preserve">feat/routing-offers-kfs</w:t>
      </w:r>
      <w:r>
        <w:t xml:space="preserve">, build U7 routing and U8:</w:t>
      </w:r>
    </w:p>
    <w:p>
      <w:pPr>
        <w:numPr>
          <w:ilvl w:val="0"/>
          <w:numId w:val="1487"/>
        </w:numPr>
        <w:pStyle w:val="Compact"/>
      </w:pPr>
      <w:r>
        <w:t xml:space="preserve">routing to every RE whose pre-filter matches, using the documented matching mechanism, versioned and applied consistently to similarly placed borrowers (CF para 7(2));</w:t>
      </w:r>
    </w:p>
    <w:p>
      <w:pPr>
        <w:numPr>
          <w:ilvl w:val="0"/>
          <w:numId w:val="1487"/>
        </w:numPr>
        <w:pStyle w:val="Compact"/>
      </w:pPr>
      <w:r>
        <w:rPr>
          <w:rStyle w:val="VerbatimChar"/>
        </w:rPr>
        <w:t xml:space="preserve">EligibilityCheck</w:t>
      </w:r>
      <w:r>
        <w:t xml:space="preserve"> </w:t>
      </w:r>
      <w:r>
        <w:t xml:space="preserve">and</w:t>
      </w:r>
      <w:r>
        <w:t xml:space="preserve"> </w:t>
      </w:r>
      <w:r>
        <w:rPr>
          <w:rStyle w:val="VerbatimChar"/>
        </w:rPr>
        <w:t xml:space="preserve">ApplicationSubmitted</w:t>
      </w:r>
      <w:r>
        <w:t xml:space="preserve"> </w:t>
      </w:r>
      <w:r>
        <w:t xml:space="preserve">to each RE (Finbyx Part 5.2), with only the data the borrower consented to share with that RE, through the U21</w:t>
      </w:r>
      <w:r>
        <w:t xml:space="preserve"> </w:t>
      </w:r>
      <w:r>
        <w:rPr>
          <w:rStyle w:val="VerbatimChar"/>
        </w:rPr>
        <w:t xml:space="preserve">LenderConnector</w:t>
      </w:r>
      <w:r>
        <w:t xml:space="preserve"> </w:t>
      </w:r>
      <w:r>
        <w:t xml:space="preserve">port against a contract-faithful mock until the Finbyx and generic connectors are built in Phase 9; handle</w:t>
      </w:r>
      <w:r>
        <w:t xml:space="preserve"> </w:t>
      </w:r>
      <w:r>
        <w:rPr>
          <w:rStyle w:val="VerbatimChar"/>
        </w:rPr>
        <w:t xml:space="preserve">AdditionalInfoRequested</w:t>
      </w:r>
      <w:r>
        <w:t xml:space="preserve">,</w:t>
      </w:r>
      <w:r>
        <w:t xml:space="preserve"> </w:t>
      </w:r>
      <w:r>
        <w:rPr>
          <w:rStyle w:val="VerbatimChar"/>
        </w:rPr>
        <w:t xml:space="preserve">ApplicationStatusChanged</w:t>
      </w:r>
      <w:r>
        <w:t xml:space="preserve">,</w:t>
      </w:r>
      <w:r>
        <w:t xml:space="preserve"> </w:t>
      </w:r>
      <w:r>
        <w:rPr>
          <w:rStyle w:val="VerbatimChar"/>
        </w:rPr>
        <w:t xml:space="preserve">DecisionMade</w:t>
      </w:r>
      <w:r>
        <w:t xml:space="preserve">,</w:t>
      </w:r>
      <w:r>
        <w:t xml:space="preserve"> </w:t>
      </w:r>
      <w:r>
        <w:rPr>
          <w:rStyle w:val="VerbatimChar"/>
        </w:rPr>
        <w:t xml:space="preserve">KFSIssued</w:t>
      </w:r>
      <w:r>
        <w:t xml:space="preserve"> </w:t>
      </w:r>
      <w:r>
        <w:t xml:space="preserve">and</w:t>
      </w:r>
      <w:r>
        <w:t xml:space="preserve"> </w:t>
      </w:r>
      <w:r>
        <w:rPr>
          <w:rStyle w:val="VerbatimChar"/>
        </w:rPr>
        <w:t xml:space="preserve">SanctionLetterIssued</w:t>
      </w:r>
      <w:r>
        <w:t xml:space="preserve">, and send</w:t>
      </w:r>
      <w:r>
        <w:t xml:space="preserve"> </w:t>
      </w:r>
      <w:r>
        <w:rPr>
          <w:rStyle w:val="VerbatimChar"/>
        </w:rPr>
        <w:t xml:space="preserve">BorrowerAccepted</w:t>
      </w:r>
      <w:r>
        <w:t xml:space="preserve"> </w:t>
      </w:r>
      <w:r>
        <w:t xml:space="preserve">within KFS validity;</w:t>
      </w:r>
    </w:p>
    <w:p>
      <w:pPr>
        <w:numPr>
          <w:ilvl w:val="0"/>
          <w:numId w:val="1487"/>
        </w:numPr>
        <w:pStyle w:val="Compact"/>
      </w:pPr>
      <w:r>
        <w:t xml:space="preserve">the multi-lender offer view: lender name, amount, tenor, APR, monthly repayment obligation, penal charges and KFS link per offer; unmatched lenders named; ranking only by a publicly pre-disclosed metric; no dark patterns (CF para 7(1)–(4); CCPA Dark Patterns Guidelines, 2023);</w:t>
      </w:r>
    </w:p>
    <w:p>
      <w:pPr>
        <w:numPr>
          <w:ilvl w:val="0"/>
          <w:numId w:val="1487"/>
        </w:numPr>
        <w:pStyle w:val="Compact"/>
      </w:pPr>
      <w:r>
        <w:t xml:space="preserve">channel filters from Phase 3 (store-policy limits) applied server-side and recorded;</w:t>
      </w:r>
    </w:p>
    <w:p>
      <w:pPr>
        <w:numPr>
          <w:ilvl w:val="0"/>
          <w:numId w:val="1487"/>
        </w:numPr>
        <w:pStyle w:val="Compact"/>
      </w:pPr>
      <w:r>
        <w:t xml:space="preserve">KFS display exactly as issued by the RE (</w:t>
      </w:r>
      <w:r>
        <w:rPr>
          <w:rStyle w:val="VerbatimChar"/>
        </w:rPr>
        <w:t xml:space="preserve">KFSIssued</w:t>
      </w:r>
      <w:r>
        <w:t xml:space="preserve">): proposal number, validity period, APR computation sheet and repayment schedule (RBC para 29(1)–(3)); borrower acknowledgement captured; KFS in the borrower’s language;</w:t>
      </w:r>
    </w:p>
    <w:p>
      <w:pPr>
        <w:numPr>
          <w:ilvl w:val="0"/>
          <w:numId w:val="1487"/>
        </w:numPr>
        <w:pStyle w:val="Compact"/>
      </w:pPr>
      <w:r>
        <w:t xml:space="preserve">the cooling-off period from the RE product and the exit request (</w:t>
      </w:r>
      <w:r>
        <w:rPr>
          <w:rStyle w:val="VerbatimChar"/>
        </w:rPr>
        <w:t xml:space="preserve">CoolingOffExitRequested</w:t>
      </w:r>
      <w:r>
        <w:t xml:space="preserve">) with the RE-computed exit amount (CF para 11);</w:t>
      </w:r>
    </w:p>
    <w:p>
      <w:pPr>
        <w:numPr>
          <w:ilvl w:val="0"/>
          <w:numId w:val="1487"/>
        </w:numPr>
        <w:pStyle w:val="Compact"/>
      </w:pPr>
      <w:r>
        <w:t xml:space="preserve">no automatic credit-limit increase without an explicit borrower request (CF para 8(2)).</w:t>
      </w:r>
    </w:p>
    <w:p>
      <w:pPr>
        <w:pStyle w:val="BlockText"/>
      </w:pPr>
      <w:r>
        <w:t xml:space="preserve">Tests: APR golden test 17.07% displayed (RBC para 29(3)); offer-neutrality test (same inputs, same order, no lender emphasis); unmatched-lender disclosure; KFS expiry blocks acceptance after the validity period; store-filter tests per channel; E2E from application to accepted offer on Android and web.”</w:t>
      </w:r>
    </w:p>
    <w:bookmarkEnd w:id="502"/>
    <w:bookmarkStart w:id="503" w:name="phase-8-documents-esign-estamp-and-dms"/>
    <w:p>
      <w:pPr>
        <w:pStyle w:val="Heading3"/>
      </w:pPr>
      <w:r>
        <w:t xml:space="preserve">Phase 8 — Documents, eSign, eStamp and DMS</w:t>
      </w:r>
    </w:p>
    <w:p>
      <w:pPr>
        <w:pStyle w:val="BlockText"/>
      </w:pPr>
      <w:r>
        <w:rPr>
          <w:bCs/>
          <w:b/>
        </w:rPr>
        <w:t xml:space="preserve">Instruction to Claude:</w:t>
      </w:r>
      <w:r>
        <w:t xml:space="preserve"> </w:t>
      </w:r>
      <w:r>
        <w:t xml:space="preserve">“On branch</w:t>
      </w:r>
      <w:r>
        <w:t xml:space="preserve"> </w:t>
      </w:r>
      <w:r>
        <w:rPr>
          <w:rStyle w:val="VerbatimChar"/>
        </w:rPr>
        <w:t xml:space="preserve">feat/documents-esign-dms</w:t>
      </w:r>
      <w:r>
        <w:t xml:space="preserve">, build U9:</w:t>
      </w:r>
    </w:p>
    <w:p>
      <w:pPr>
        <w:numPr>
          <w:ilvl w:val="0"/>
          <w:numId w:val="1488"/>
        </w:numPr>
        <w:pStyle w:val="Compact"/>
      </w:pPr>
      <w:r>
        <w:t xml:space="preserve">document generation from RE-owned templates on the RE’s letterhead (KFS, sanction letter, agreement, summary of product, privacy policies);</w:t>
      </w:r>
    </w:p>
    <w:p>
      <w:pPr>
        <w:numPr>
          <w:ilvl w:val="0"/>
          <w:numId w:val="1488"/>
        </w:numPr>
        <w:pStyle w:val="Compact"/>
      </w:pPr>
      <w:r>
        <w:t xml:space="preserve">eSign adapters storing provider transaction ID, certificate, signer details and document hash (</w:t>
      </w:r>
      <w:r>
        <w:rPr>
          <w:rStyle w:val="VerbatimChar"/>
        </w:rPr>
        <w:t xml:space="preserve">ESignCompleted</w:t>
      </w:r>
      <w:r>
        <w:t xml:space="preserve">), never a bare flag; eStamp adapters with state, duty and certificate (</w:t>
      </w:r>
      <w:r>
        <w:rPr>
          <w:rStyle w:val="VerbatimChar"/>
        </w:rPr>
        <w:t xml:space="preserve">EStampCompleted</w:t>
      </w:r>
      <w:r>
        <w:t xml:space="preserve">);</w:t>
      </w:r>
    </w:p>
    <w:p>
      <w:pPr>
        <w:numPr>
          <w:ilvl w:val="0"/>
          <w:numId w:val="1488"/>
        </w:numPr>
        <w:pStyle w:val="Compact"/>
      </w:pPr>
      <w:r>
        <w:t xml:space="preserve">the physical-execution path for instruments excluded by the IT Act First Schedule;</w:t>
      </w:r>
    </w:p>
    <w:p>
      <w:pPr>
        <w:numPr>
          <w:ilvl w:val="0"/>
          <w:numId w:val="1488"/>
        </w:numPr>
        <w:pStyle w:val="Compact"/>
      </w:pPr>
      <w:r>
        <w:t xml:space="preserve">the DMS with versions, hashes, retention per RE policy, access logs and signed short-lived URLs; the borrower sees every signed document in the app and web;</w:t>
      </w:r>
    </w:p>
    <w:p>
      <w:pPr>
        <w:numPr>
          <w:ilvl w:val="0"/>
          <w:numId w:val="1488"/>
        </w:numPr>
        <w:pStyle w:val="Compact"/>
      </w:pPr>
      <w:r>
        <w:rPr>
          <w:bCs/>
          <w:b/>
        </w:rPr>
        <w:t xml:space="preserve">automatic flow</w:t>
      </w:r>
      <w:r>
        <w:t xml:space="preserve"> </w:t>
      </w:r>
      <w:r>
        <w:t xml:space="preserve">of the digitally signed KFS, product summary, sanction letter, terms and conditions and privacy policies to the borrower’s verified email or SMS on execution (CF para 9(3)).</w:t>
      </w:r>
    </w:p>
    <w:p>
      <w:pPr>
        <w:pStyle w:val="BlockText"/>
      </w:pPr>
      <w:r>
        <w:t xml:space="preserve">Tests: tampered document hash detected; signature evidence linked to the accepted KFS version; no document reachable without authorisation (IDOR tests on URLs); auto-flow sent once and only to the verified contact.”</w:t>
      </w:r>
    </w:p>
    <w:bookmarkEnd w:id="503"/>
    <w:bookmarkStart w:id="504" w:name="X686b5fec18c583b53ddcc1d8902cad8a115ca3b"/>
    <w:p>
      <w:pPr>
        <w:pStyle w:val="Heading3"/>
      </w:pPr>
      <w:r>
        <w:t xml:space="preserve">Phase 9 — Lender connectors and disbursement orchestration</w:t>
      </w:r>
    </w:p>
    <w:p>
      <w:pPr>
        <w:pStyle w:val="BlockText"/>
      </w:pPr>
      <w:r>
        <w:rPr>
          <w:bCs/>
          <w:b/>
        </w:rPr>
        <w:t xml:space="preserve">Instruction to Claude:</w:t>
      </w:r>
      <w:r>
        <w:t xml:space="preserve"> </w:t>
      </w:r>
      <w:r>
        <w:t xml:space="preserve">“On branch</w:t>
      </w:r>
      <w:r>
        <w:t xml:space="preserve"> </w:t>
      </w:r>
      <w:r>
        <w:rPr>
          <w:rStyle w:val="VerbatimChar"/>
        </w:rPr>
        <w:t xml:space="preserve">feat/lender-connectors-disbursement</w:t>
      </w:r>
      <w:r>
        <w:t xml:space="preserve">, build U21 and U10:</w:t>
      </w:r>
    </w:p>
    <w:p>
      <w:pPr>
        <w:numPr>
          <w:ilvl w:val="0"/>
          <w:numId w:val="1489"/>
        </w:numPr>
        <w:pStyle w:val="Compact"/>
      </w:pPr>
      <w:r>
        <w:t xml:space="preserve">the Finbyx connector implementing the Ecosystem Integration Specification exactly (same event names as Finbyx Part 5.2), with mTLS, JWS-signed messages, idempotency and replay protection; Pact contract tests against Finbyx;</w:t>
      </w:r>
    </w:p>
    <w:p>
      <w:pPr>
        <w:numPr>
          <w:ilvl w:val="0"/>
          <w:numId w:val="1489"/>
        </w:numPr>
        <w:pStyle w:val="Compact"/>
      </w:pPr>
      <w:r>
        <w:t xml:space="preserve">the generic LMS connector framework (REST/webhook and SFTP file adapters), a mapping layer per RE, and a connector certification suite;</w:t>
      </w:r>
    </w:p>
    <w:p>
      <w:pPr>
        <w:numPr>
          <w:ilvl w:val="0"/>
          <w:numId w:val="1489"/>
        </w:numPr>
        <w:pStyle w:val="Compact"/>
      </w:pPr>
      <w:r>
        <w:t xml:space="preserve">disbursement orchestration as</w:t>
      </w:r>
      <w:r>
        <w:t xml:space="preserve"> </w:t>
      </w:r>
      <w:r>
        <w:rPr>
          <w:bCs/>
          <w:b/>
        </w:rPr>
        <w:t xml:space="preserve">status only</w:t>
      </w:r>
      <w:r>
        <w:t xml:space="preserve">: Udofin sends the accepted, signed package; the RE disburses directly to the borrower’s verified account; Udofin moves the application to disbursed only on</w:t>
      </w:r>
      <w:r>
        <w:t xml:space="preserve"> </w:t>
      </w:r>
      <w:r>
        <w:rPr>
          <w:rStyle w:val="VerbatimChar"/>
        </w:rPr>
        <w:t xml:space="preserve">LoanDisbursed</w:t>
      </w:r>
      <w:r>
        <w:t xml:space="preserve"> </w:t>
      </w:r>
      <w:r>
        <w:t xml:space="preserve">with UTR (CF para 10(1));</w:t>
      </w:r>
      <w:r>
        <w:t xml:space="preserve"> </w:t>
      </w:r>
      <w:r>
        <w:rPr>
          <w:rStyle w:val="VerbatimChar"/>
        </w:rPr>
        <w:t xml:space="preserve">DisbursementFailed</w:t>
      </w:r>
      <w:r>
        <w:t xml:space="preserve"> </w:t>
      </w:r>
      <w:r>
        <w:t xml:space="preserve">handling with borrower messaging;</w:t>
      </w:r>
    </w:p>
    <w:p>
      <w:pPr>
        <w:numPr>
          <w:ilvl w:val="0"/>
          <w:numId w:val="1489"/>
        </w:numPr>
        <w:pStyle w:val="Compact"/>
      </w:pPr>
      <w:r>
        <w:t xml:space="preserve">start of the cooling-off clock on the trigger set in the RE’s product (default the RE’s</w:t>
      </w:r>
      <w:r>
        <w:t xml:space="preserve"> </w:t>
      </w:r>
      <w:r>
        <w:rPr>
          <w:rStyle w:val="VerbatimChar"/>
        </w:rPr>
        <w:t xml:space="preserve">LoanDisbursed</w:t>
      </w:r>
      <w:r>
        <w:t xml:space="preserve"> </w:t>
      </w:r>
      <w:r>
        <w:t xml:space="preserve">event; CF para 11 leaves it to the RE’s credit policy, 8A.16.3);</w:t>
      </w:r>
    </w:p>
    <w:p>
      <w:pPr>
        <w:numPr>
          <w:ilvl w:val="0"/>
          <w:numId w:val="1489"/>
        </w:numPr>
        <w:pStyle w:val="Compact"/>
      </w:pPr>
      <w:r>
        <w:t xml:space="preserve">lender portal queues for REs without an LMS connector: decision capture by RE users only, with maker-checker.</w:t>
      </w:r>
    </w:p>
    <w:p>
      <w:pPr>
        <w:pStyle w:val="BlockText"/>
      </w:pPr>
      <w:r>
        <w:t xml:space="preserve">Tests: no configuration can name a Udofin account as payee (guard-rail test); duplicate event idempotency; connector outage queues and recovers; reconciliation report between Udofin application states and RE events.”</w:t>
      </w:r>
    </w:p>
    <w:bookmarkEnd w:id="504"/>
    <w:bookmarkStart w:id="505" w:name="X142938987fc7717c6c5d6527886318941edf87d"/>
    <w:p>
      <w:pPr>
        <w:pStyle w:val="Heading3"/>
      </w:pPr>
      <w:r>
        <w:t xml:space="preserve">Phase 10 — Repayments, mandates and reconciliation</w:t>
      </w:r>
    </w:p>
    <w:p>
      <w:pPr>
        <w:pStyle w:val="BlockText"/>
      </w:pPr>
      <w:r>
        <w:rPr>
          <w:bCs/>
          <w:b/>
        </w:rPr>
        <w:t xml:space="preserve">Instruction to Claude:</w:t>
      </w:r>
      <w:r>
        <w:t xml:space="preserve"> </w:t>
      </w:r>
      <w:r>
        <w:t xml:space="preserve">“On branch</w:t>
      </w:r>
      <w:r>
        <w:t xml:space="preserve"> </w:t>
      </w:r>
      <w:r>
        <w:rPr>
          <w:rStyle w:val="VerbatimChar"/>
        </w:rPr>
        <w:t xml:space="preserve">feat/repayments-mandates-recon</w:t>
      </w:r>
      <w:r>
        <w:t xml:space="preserve">, build U11:</w:t>
      </w:r>
    </w:p>
    <w:p>
      <w:pPr>
        <w:numPr>
          <w:ilvl w:val="0"/>
          <w:numId w:val="1490"/>
        </w:numPr>
        <w:pStyle w:val="Compact"/>
      </w:pPr>
      <w:r>
        <w:t xml:space="preserve">eNACH and UPI AutoPay mandate registration on the RE’s corporate utility code or merchant account, with limits and UMRN sent to the LMS (</w:t>
      </w:r>
      <w:r>
        <w:rPr>
          <w:rStyle w:val="VerbatimChar"/>
        </w:rPr>
        <w:t xml:space="preserve">MandateRegistered</w:t>
      </w:r>
      <w:r>
        <w:t xml:space="preserve">); no fresh PDCs or EMI cheques where NACH is available (MISC para 23);</w:t>
      </w:r>
    </w:p>
    <w:p>
      <w:pPr>
        <w:numPr>
          <w:ilvl w:val="0"/>
          <w:numId w:val="1490"/>
        </w:numPr>
        <w:pStyle w:val="Compact"/>
      </w:pPr>
      <w:r>
        <w:t xml:space="preserve">payment links and UPI intent on the RE’s merchant account only; Udofin never holds a merchant account, escrow or virtual account for repayments (CF para 10(2)–(3));</w:t>
      </w:r>
    </w:p>
    <w:p>
      <w:pPr>
        <w:numPr>
          <w:ilvl w:val="0"/>
          <w:numId w:val="1490"/>
        </w:numPr>
        <w:pStyle w:val="Compact"/>
      </w:pPr>
      <w:r>
        <w:t xml:space="preserve">payment status from the gateway reconciled against the RE’s</w:t>
      </w:r>
      <w:r>
        <w:t xml:space="preserve"> </w:t>
      </w:r>
      <w:r>
        <w:rPr>
          <w:rStyle w:val="VerbatimChar"/>
        </w:rPr>
        <w:t xml:space="preserve">PaymentReceived</w:t>
      </w:r>
      <w:r>
        <w:t xml:space="preserve"> </w:t>
      </w:r>
      <w:r>
        <w:t xml:space="preserve">and</w:t>
      </w:r>
      <w:r>
        <w:t xml:space="preserve"> </w:t>
      </w:r>
      <w:r>
        <w:rPr>
          <w:rStyle w:val="VerbatimChar"/>
        </w:rPr>
        <w:t xml:space="preserve">PaymentBounced</w:t>
      </w:r>
      <w:r>
        <w:t xml:space="preserve"> </w:t>
      </w:r>
      <w:r>
        <w:t xml:space="preserve">events; a gateway success alone never marks a due as paid;</w:t>
      </w:r>
    </w:p>
    <w:p>
      <w:pPr>
        <w:numPr>
          <w:ilvl w:val="0"/>
          <w:numId w:val="1490"/>
        </w:numPr>
        <w:pStyle w:val="Compact"/>
      </w:pPr>
      <w:r>
        <w:t xml:space="preserve">receipts issued by the RE shown in the app;</w:t>
      </w:r>
    </w:p>
    <w:p>
      <w:pPr>
        <w:numPr>
          <w:ilvl w:val="0"/>
          <w:numId w:val="1490"/>
        </w:numPr>
        <w:pStyle w:val="Compact"/>
      </w:pPr>
      <w:r>
        <w:t xml:space="preserve">co-lending: repayment to the co-lending escrow controlled only by the co-lenders (CF para 10(1) Note);</w:t>
      </w:r>
    </w:p>
    <w:p>
      <w:pPr>
        <w:numPr>
          <w:ilvl w:val="0"/>
          <w:numId w:val="1490"/>
        </w:numPr>
        <w:pStyle w:val="Compact"/>
      </w:pPr>
      <w:r>
        <w:t xml:space="preserve">Stripe and PayPal: no adapter for domestic repayments; record the ADR.</w:t>
      </w:r>
    </w:p>
    <w:p>
      <w:pPr>
        <w:pStyle w:val="BlockText"/>
      </w:pPr>
      <w:r>
        <w:t xml:space="preserve">Tests: payee-account guard-rail; duplicate payment-link prevention; three-way status reconciliation (gateway, RE event, mirror) with aged exceptions; mandate amount cannot exceed the RE-approved limit.”</w:t>
      </w:r>
    </w:p>
    <w:bookmarkEnd w:id="505"/>
    <w:bookmarkStart w:id="506" w:name="X6f9db2b57d4713c30dc8181285718ca7f2dd446"/>
    <w:p>
      <w:pPr>
        <w:pStyle w:val="Heading3"/>
      </w:pPr>
      <w:r>
        <w:t xml:space="preserve">Phase 11 — Loan mirror and borrower servicing</w:t>
      </w:r>
    </w:p>
    <w:p>
      <w:pPr>
        <w:pStyle w:val="BlockText"/>
      </w:pPr>
      <w:r>
        <w:rPr>
          <w:bCs/>
          <w:b/>
        </w:rPr>
        <w:t xml:space="preserve">Instruction to Claude:</w:t>
      </w:r>
      <w:r>
        <w:t xml:space="preserve"> </w:t>
      </w:r>
      <w:r>
        <w:t xml:space="preserve">“On branch</w:t>
      </w:r>
      <w:r>
        <w:t xml:space="preserve"> </w:t>
      </w:r>
      <w:r>
        <w:rPr>
          <w:rStyle w:val="VerbatimChar"/>
        </w:rPr>
        <w:t xml:space="preserve">feat/loan-mirror-servicing</w:t>
      </w:r>
      <w:r>
        <w:t xml:space="preserve">, build U12 and U25:</w:t>
      </w:r>
    </w:p>
    <w:p>
      <w:pPr>
        <w:numPr>
          <w:ilvl w:val="0"/>
          <w:numId w:val="1491"/>
        </w:numPr>
        <w:pStyle w:val="Compact"/>
      </w:pPr>
      <w:r>
        <w:t xml:space="preserve">the loan mirror fed by</w:t>
      </w:r>
      <w:r>
        <w:t xml:space="preserve"> </w:t>
      </w:r>
      <w:r>
        <w:rPr>
          <w:rStyle w:val="VerbatimChar"/>
        </w:rPr>
        <w:t xml:space="preserve">ScheduleIssued</w:t>
      </w:r>
      <w:r>
        <w:t xml:space="preserve">,</w:t>
      </w:r>
      <w:r>
        <w:t xml:space="preserve"> </w:t>
      </w:r>
      <w:r>
        <w:rPr>
          <w:rStyle w:val="VerbatimChar"/>
        </w:rPr>
        <w:t xml:space="preserve">ScheduleChanged</w:t>
      </w:r>
      <w:r>
        <w:t xml:space="preserve">,</w:t>
      </w:r>
      <w:r>
        <w:t xml:space="preserve"> </w:t>
      </w:r>
      <w:r>
        <w:rPr>
          <w:rStyle w:val="VerbatimChar"/>
        </w:rPr>
        <w:t xml:space="preserve">PaymentReceived</w:t>
      </w:r>
      <w:r>
        <w:t xml:space="preserve">,</w:t>
      </w:r>
      <w:r>
        <w:t xml:space="preserve"> </w:t>
      </w:r>
      <w:r>
        <w:rPr>
          <w:rStyle w:val="VerbatimChar"/>
        </w:rPr>
        <w:t xml:space="preserve">PaymentBounced</w:t>
      </w:r>
      <w:r>
        <w:t xml:space="preserve">,</w:t>
      </w:r>
      <w:r>
        <w:t xml:space="preserve"> </w:t>
      </w:r>
      <w:r>
        <w:rPr>
          <w:rStyle w:val="VerbatimChar"/>
        </w:rPr>
        <w:t xml:space="preserve">DPDChanged</w:t>
      </w:r>
      <w:r>
        <w:t xml:space="preserve">,</w:t>
      </w:r>
      <w:r>
        <w:t xml:space="preserve"> </w:t>
      </w:r>
      <w:r>
        <w:rPr>
          <w:rStyle w:val="VerbatimChar"/>
        </w:rPr>
        <w:t xml:space="preserve">AssetClassificationChanged</w:t>
      </w:r>
      <w:r>
        <w:t xml:space="preserve">,</w:t>
      </w:r>
      <w:r>
        <w:t xml:space="preserve"> </w:t>
      </w:r>
      <w:r>
        <w:rPr>
          <w:rStyle w:val="VerbatimChar"/>
        </w:rPr>
        <w:t xml:space="preserve">LoanClosed</w:t>
      </w:r>
      <w:r>
        <w:t xml:space="preserve"> </w:t>
      </w:r>
      <w:r>
        <w:t xml:space="preserve">and</w:t>
      </w:r>
      <w:r>
        <w:t xml:space="preserve"> </w:t>
      </w:r>
      <w:r>
        <w:rPr>
          <w:rStyle w:val="VerbatimChar"/>
        </w:rPr>
        <w:t xml:space="preserve">NOCIssued</w:t>
      </w:r>
      <w:r>
        <w:t xml:space="preserve">; every figure labelled with the RE as source and the as-of time; daily reconciliation with the RE’s</w:t>
      </w:r>
      <w:r>
        <w:t xml:space="preserve"> </w:t>
      </w:r>
      <w:r>
        <w:rPr>
          <w:rStyle w:val="VerbatimChar"/>
        </w:rPr>
        <w:t xml:space="preserve">DailyReconciliationFile</w:t>
      </w:r>
      <w:r>
        <w:t xml:space="preserve">; no balance computed by Udofin;</w:t>
      </w:r>
    </w:p>
    <w:p>
      <w:pPr>
        <w:numPr>
          <w:ilvl w:val="0"/>
          <w:numId w:val="1491"/>
        </w:numPr>
        <w:pStyle w:val="Compact"/>
      </w:pPr>
      <w:r>
        <w:t xml:space="preserve">revised schedules shown on each part-disbursement as sent by the RE (MSD para 7(3));</w:t>
      </w:r>
    </w:p>
    <w:p>
      <w:pPr>
        <w:numPr>
          <w:ilvl w:val="0"/>
          <w:numId w:val="1491"/>
        </w:numPr>
        <w:pStyle w:val="Compact"/>
      </w:pPr>
      <w:r>
        <w:t xml:space="preserve">service requests (statement, foreclosure quote, NOC, profile change) routed to the RE with SLA tracking;</w:t>
      </w:r>
    </w:p>
    <w:p>
      <w:pPr>
        <w:numPr>
          <w:ilvl w:val="0"/>
          <w:numId w:val="1491"/>
        </w:numPr>
        <w:pStyle w:val="Compact"/>
      </w:pPr>
      <w:r>
        <w:t xml:space="preserve">U25 borrower dashboard: all loans, charges, dues, documents, consents and data-sharing history, complaints; no expense tracker here: the expense tracker and budget planner are Part 7D FW3, built in Phase 20b behind the FW4 gate in a separate store; the dashboard’s document downloads are Part 7C UB1, built in Phase 11b.</w:t>
      </w:r>
    </w:p>
    <w:p>
      <w:pPr>
        <w:pStyle w:val="BlockText"/>
      </w:pPr>
      <w:r>
        <w:t xml:space="preserve">Tests: mirror never shows a value without source and as-of; reconciliation break raises an exception; service request reaches the right RE only; dashboard isolation between borrowers.”</w:t>
      </w:r>
    </w:p>
    <w:bookmarkEnd w:id="506"/>
    <w:bookmarkStart w:id="507" w:name="X4eaae7b5d27124083c961a22728cdf5212a1fc5"/>
    <w:p>
      <w:pPr>
        <w:pStyle w:val="Heading3"/>
      </w:pPr>
      <w:r>
        <w:t xml:space="preserve">Phase 11b — Borrower downloads and tax documents</w:t>
      </w:r>
    </w:p>
    <w:p>
      <w:pPr>
        <w:pStyle w:val="BlockText"/>
      </w:pPr>
      <w:r>
        <w:rPr>
          <w:bCs/>
          <w:b/>
        </w:rPr>
        <w:t xml:space="preserve">Instruction to Claude:</w:t>
      </w:r>
      <w:r>
        <w:t xml:space="preserve"> </w:t>
      </w:r>
      <w:r>
        <w:t xml:space="preserve">“Before writing the specification, verify: (i) the Income-tax Act, 2025 provisions used by UB2 against the official text and the CBDT concordance: s.22(1)(b)–(c), 22(2)(a)–(b), 22(4) and 22(5) (house-property interest and the lender’s certificate), s.123 with Schedule XV (home-loan principal), s.129 (education-loan interest), ss.130–132 (legacy windows), s.202 (default new regime), the s.393 table entry replacing old s.194A, Form 131 and Form 168 [VERIFY]; keep s.131 disabled until the successor of old s.80EEA is confirmed [VERIFY]; confirm that FY 2025-26 documents keep 1961-Act references [VERIFY: CBDT transition guidance]; (ii) the</w:t>
      </w:r>
      <w:r>
        <w:t xml:space="preserve"> </w:t>
      </w:r>
      <w:r>
        <w:rPr>
          <w:rStyle w:val="VerbatimChar"/>
        </w:rPr>
        <w:t xml:space="preserve">InterestCertificateIssued</w:t>
      </w:r>
      <w:r>
        <w:t xml:space="preserve"> </w:t>
      </w:r>
      <w:r>
        <w:t xml:space="preserve">and</w:t>
      </w:r>
      <w:r>
        <w:t xml:space="preserve"> </w:t>
      </w:r>
      <w:r>
        <w:rPr>
          <w:rStyle w:val="VerbatimChar"/>
        </w:rPr>
        <w:t xml:space="preserve">DocumentShared</w:t>
      </w:r>
      <w:r>
        <w:t xml:space="preserve"> </w:t>
      </w:r>
      <w:r>
        <w:t xml:space="preserve">schemas and</w:t>
      </w:r>
      <w:r>
        <w:t xml:space="preserve"> </w:t>
      </w:r>
      <w:r>
        <w:rPr>
          <w:rStyle w:val="VerbatimChar"/>
        </w:rPr>
        <w:t xml:space="preserve">GET /v1/documents/{id}</w:t>
      </w:r>
      <w:r>
        <w:t xml:space="preserve"> </w:t>
      </w:r>
      <w:r>
        <w:t xml:space="preserve">in Integration Spec v1.1, with a contract-faithful mock until Finbyx Phase 13b publishes the certificate; (iii) DPDP Rules r.14(3) (90-day period for grievances; whether it bounds s.11–12 access, correction and erasure requests [VERIFY]) and the commencement of DPDP ss.11–14 on 13 May 2027 [VERIFY]; (iv) the GST positions in UB2 (Notification 12/2017-CT(Rate) entry 27(a); CBIC Circular 245/02/2025-GST; CGST Rule 48(4)) [VERIFY]. Then, on branch</w:t>
      </w:r>
      <w:r>
        <w:t xml:space="preserve"> </w:t>
      </w:r>
      <w:r>
        <w:rPr>
          <w:rStyle w:val="VerbatimChar"/>
        </w:rPr>
        <w:t xml:space="preserve">feat/borrower-downloads-tax</w:t>
      </w:r>
      <w:r>
        <w:t xml:space="preserve">, build Part 7C UB1–UB2:</w:t>
      </w:r>
    </w:p>
    <w:p>
      <w:pPr>
        <w:numPr>
          <w:ilvl w:val="0"/>
          <w:numId w:val="1492"/>
        </w:numPr>
        <w:pStyle w:val="Compact"/>
      </w:pPr>
      <w:r>
        <w:rPr>
          <w:bCs/>
          <w:b/>
        </w:rPr>
        <w:t xml:space="preserve">UB1 My documents and data:</w:t>
      </w:r>
      <w:r>
        <w:t xml:space="preserve"> </w:t>
      </w:r>
      <w:r>
        <w:t xml:space="preserve">the</w:t>
      </w:r>
      <w:r>
        <w:t xml:space="preserve"> </w:t>
      </w:r>
      <w:r>
        <w:rPr>
          <w:rStyle w:val="VerbatimChar"/>
        </w:rPr>
        <w:t xml:space="preserve">document_catalogue_entry</w:t>
      </w:r>
      <w:r>
        <w:t xml:space="preserve"> </w:t>
      </w:r>
      <w:r>
        <w:t xml:space="preserve">model with issuer, owner, source, availability state and rule; RE documents served only as the RE-signed version after hash and JWS verification, never re-rendered (CF para 9(3));</w:t>
      </w:r>
      <w:r>
        <w:t xml:space="preserve"> </w:t>
      </w:r>
      <w:r>
        <w:t xml:space="preserve">‘</w:t>
      </w:r>
      <w:r>
        <w:t xml:space="preserve">Not yet issued by [RE name]</w:t>
      </w:r>
      <w:r>
        <w:t xml:space="preserve">’</w:t>
      </w:r>
      <w:r>
        <w:t xml:space="preserve"> </w:t>
      </w:r>
      <w:r>
        <w:t xml:space="preserve">with a one-tap U12 service request on the deal SLA (UP2); co-borrower, guarantor and authorised-signatory scoping; legal-heir requests routed to the RE (RBC para 38); release-of-documents tracker with the 30-day and 60-day clocks (RBC paras 35–41); post-exit access period (UP5); society labels for UP4 lenders;</w:t>
      </w:r>
    </w:p>
    <w:p>
      <w:pPr>
        <w:numPr>
          <w:ilvl w:val="0"/>
          <w:numId w:val="1492"/>
        </w:numPr>
        <w:pStyle w:val="Compact"/>
      </w:pPr>
      <w:r>
        <w:rPr>
          <w:bCs/>
          <w:b/>
        </w:rPr>
        <w:t xml:space="preserve">my data:</w:t>
      </w:r>
      <w:r>
        <w:t xml:space="preserve"> </w:t>
      </w:r>
      <w:r>
        <w:t xml:space="preserve">DPDP ss.11–14 as practice now (summary, correction, erasure with plain-language retention reasons, nomination); loan-data requests forwarded to the RE as</w:t>
      </w:r>
      <w:r>
        <w:t xml:space="preserve"> </w:t>
      </w:r>
      <w:r>
        <w:rPr>
          <w:rStyle w:val="VerbatimChar"/>
        </w:rPr>
        <w:t xml:space="preserve">DataPrincipalRequest</w:t>
      </w:r>
      <w:r>
        <w:t xml:space="preserve"> </w:t>
      </w:r>
      <w:r>
        <w:t xml:space="preserve">within 1 working day; a 30-day Udofin target, inside the 90-day grievance period of DPDP Rules r.14(3) (whether that period bounds s.11–12 requests is [VERIFY]), with a shorter RE or RBI clock winning;</w:t>
      </w:r>
    </w:p>
    <w:p>
      <w:pPr>
        <w:numPr>
          <w:ilvl w:val="0"/>
          <w:numId w:val="1492"/>
        </w:numPr>
        <w:pStyle w:val="Compact"/>
      </w:pPr>
      <w:r>
        <w:rPr>
          <w:bCs/>
          <w:b/>
        </w:rPr>
        <w:t xml:space="preserve">‘</w:t>
      </w:r>
      <w:r>
        <w:rPr>
          <w:bCs/>
          <w:b/>
        </w:rPr>
        <w:t xml:space="preserve">Download my data</w:t>
      </w:r>
      <w:r>
        <w:rPr>
          <w:bCs/>
          <w:b/>
        </w:rPr>
        <w:t xml:space="preserve">’</w:t>
      </w:r>
      <w:r>
        <w:rPr>
          <w:bCs/>
          <w:b/>
        </w:rPr>
        <w:t xml:space="preserve">:</w:t>
      </w:r>
      <w:r>
        <w:t xml:space="preserve"> </w:t>
      </w:r>
      <w:r>
        <w:t xml:space="preserve">scope selection; folder archive with README in the borrower’s language,</w:t>
      </w:r>
      <w:r>
        <w:t xml:space="preserve"> </w:t>
      </w:r>
      <w:r>
        <w:rPr>
          <w:rStyle w:val="VerbatimChar"/>
        </w:rPr>
        <w:t xml:space="preserve">manifest.json</w:t>
      </w:r>
      <w:r>
        <w:t xml:space="preserve">, CSV, JSON, PDF/A and XLSX; step-up authentication within 5 minutes; passphrase-encrypted package; signed URL valid at most 15 minutes; alert to every registered channel; purge after 7 days; at most 3 full exports per 30 days; wellness data is a separate package from its own store and never merged (UB-C03);</w:t>
      </w:r>
    </w:p>
    <w:p>
      <w:pPr>
        <w:numPr>
          <w:ilvl w:val="0"/>
          <w:numId w:val="1492"/>
        </w:numPr>
        <w:pStyle w:val="Compact"/>
      </w:pPr>
      <w:r>
        <w:rPr>
          <w:bCs/>
          <w:b/>
        </w:rPr>
        <w:t xml:space="preserve">UB2 tax documents:</w:t>
      </w:r>
      <w:r>
        <w:t xml:space="preserve"> </w:t>
      </w:r>
      <w:r>
        <w:t xml:space="preserve">the certificate mirror state machine; certificates displayed only when received from the RE and verified, because the deduction depends on the certificate of the person to whom interest is payable (ITA25 s.22(2)(a)); 1961-Act or 2025-Act variant by period; the fixed regime notice (ITA25 s.202) on every view and download; caps and eligibility never computed; the optional summary card labelled</w:t>
      </w:r>
      <w:r>
        <w:t xml:space="preserve"> </w:t>
      </w:r>
      <w:r>
        <w:t xml:space="preserve">‘</w:t>
      </w:r>
      <w:r>
        <w:t xml:space="preserve">not a tax certificate</w:t>
      </w:r>
      <w:r>
        <w:t xml:space="preserve">’</w:t>
      </w:r>
      <w:r>
        <w:t xml:space="preserve">; s.129 hidden without the RE’s eligibility reference; provisional and final requests; 8-year retention; no income-tax portal credentials, OTPs or AIS downloads ever requested;</w:t>
      </w:r>
    </w:p>
    <w:p>
      <w:pPr>
        <w:numPr>
          <w:ilvl w:val="0"/>
          <w:numId w:val="1492"/>
        </w:numPr>
        <w:pStyle w:val="Compact"/>
      </w:pPr>
      <w:r>
        <w:rPr>
          <w:bCs/>
          <w:b/>
        </w:rPr>
        <w:t xml:space="preserve">business borrowers:</w:t>
      </w:r>
      <w:r>
        <w:t xml:space="preserve"> </w:t>
      </w:r>
      <w:r>
        <w:t xml:space="preserve">Form 131 upload through the system picker (no storage permission; CF para 13(1)), fields confirmed by the borrower, relayed as</w:t>
      </w:r>
      <w:r>
        <w:t xml:space="preserve"> </w:t>
      </w:r>
      <w:r>
        <w:rPr>
          <w:rStyle w:val="VerbatimChar"/>
        </w:rPr>
        <w:t xml:space="preserve">DocumentShared</w:t>
      </w:r>
      <w:r>
        <w:t xml:space="preserve">, RE reconciliation status shown; Udofin never computes TDS and never files Form 140;</w:t>
      </w:r>
      <w:r>
        <w:t xml:space="preserve"> </w:t>
      </w:r>
      <w:r>
        <w:rPr>
          <w:rStyle w:val="VerbatimChar"/>
        </w:rPr>
        <w:t xml:space="preserve">business_tax_profile</w:t>
      </w:r>
      <w:r>
        <w:t xml:space="preserve"> </w:t>
      </w:r>
      <w:r>
        <w:t xml:space="preserve">with GSTIN validation (format, check digit, PAN segment, State code, status); RE invoices mirrored; no Udofin GST invoice for an RE fee (CF para 10(4));</w:t>
      </w:r>
    </w:p>
    <w:p>
      <w:pPr>
        <w:numPr>
          <w:ilvl w:val="0"/>
          <w:numId w:val="1492"/>
        </w:numPr>
        <w:pStyle w:val="Compact"/>
      </w:pPr>
      <w:r>
        <w:rPr>
          <w:bCs/>
          <w:b/>
        </w:rPr>
        <w:t xml:space="preserve">menus, screens and settings:</w:t>
      </w:r>
      <w:r>
        <w:t xml:space="preserve"> </w:t>
      </w:r>
      <w:r>
        <w:t xml:space="preserve">build every entry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7C (UB1–UB2) on the channel and workspace named there (navigation map in Appendix G): list, detail, wizard, approval-queue and dashboard screens with their key and bulk actions, filters, exports, empty and error states and role visibility; each setting as a versioned, effective-dated</w:t>
      </w:r>
      <w:r>
        <w:t xml:space="preserve"> </w:t>
      </w:r>
      <w:r>
        <w:rPr>
          <w:rStyle w:val="VerbatimChar"/>
        </w:rPr>
        <w:t xml:space="preserve">module_setting</w:t>
      </w:r>
      <w:r>
        <w:t xml:space="preserve"> </w:t>
      </w:r>
      <w:r>
        <w:t xml:space="preserve">record with its default, where a regulatory floor is enforced server-side and can never be relaxed;</w:t>
      </w:r>
    </w:p>
    <w:p>
      <w:pPr>
        <w:pStyle w:val="BlockText"/>
      </w:pPr>
      <w:r>
        <w:t xml:space="preserve">Tests and acceptance evidence:</w:t>
      </w:r>
    </w:p>
    <w:p>
      <w:pPr>
        <w:numPr>
          <w:ilvl w:val="0"/>
          <w:numId w:val="1493"/>
        </w:numPr>
        <w:pStyle w:val="Compact"/>
      </w:pPr>
      <w:r>
        <w:t xml:space="preserve">every UB1 and UB2 acceptance test in Part 7C;</w:t>
      </w:r>
    </w:p>
    <w:p>
      <w:pPr>
        <w:numPr>
          <w:ilvl w:val="0"/>
          <w:numId w:val="1493"/>
        </w:numPr>
        <w:pStyle w:val="Compact"/>
      </w:pPr>
      <w:r>
        <w:t xml:space="preserve">a KFS or certificate with a tampered byte is not displayed and raises an RE exception;</w:t>
      </w:r>
    </w:p>
    <w:p>
      <w:pPr>
        <w:numPr>
          <w:ilvl w:val="0"/>
          <w:numId w:val="1493"/>
        </w:numPr>
        <w:pStyle w:val="Compact"/>
      </w:pPr>
      <w:r>
        <w:t xml:space="preserve">an FY 2025-26 certificate shows 1961-Act references and a tax year 2026-27 certificate shows ITA25 references, each with the regime notice;</w:t>
      </w:r>
    </w:p>
    <w:p>
      <w:pPr>
        <w:numPr>
          <w:ilvl w:val="0"/>
          <w:numId w:val="1493"/>
        </w:numPr>
        <w:pStyle w:val="Compact"/>
      </w:pPr>
      <w:r>
        <w:t xml:space="preserve">a repository test proves no tax-certificate template exists in Udofin’s document generator (UB-C05);</w:t>
      </w:r>
    </w:p>
    <w:p>
      <w:pPr>
        <w:numPr>
          <w:ilvl w:val="0"/>
          <w:numId w:val="1493"/>
        </w:numPr>
        <w:pStyle w:val="Compact"/>
      </w:pPr>
      <w:r>
        <w:t xml:space="preserve">a full export contains README, manifest and every selected scope, recomputed hashes match, the package will not open without the passphrase, and a fourth full export in 30 days is refused;</w:t>
      </w:r>
    </w:p>
    <w:p>
      <w:pPr>
        <w:numPr>
          <w:ilvl w:val="0"/>
          <w:numId w:val="1493"/>
        </w:numPr>
        <w:pStyle w:val="Compact"/>
      </w:pPr>
      <w:r>
        <w:t xml:space="preserve">wellness data never appears in a loan export, even with</w:t>
      </w:r>
      <w:r>
        <w:t xml:space="preserve"> </w:t>
      </w:r>
      <w:r>
        <w:t xml:space="preserve">‘</w:t>
      </w:r>
      <w:r>
        <w:t xml:space="preserve">select all</w:t>
      </w:r>
      <w:r>
        <w:t xml:space="preserve">’</w:t>
      </w:r>
      <w:r>
        <w:t xml:space="preserve">;</w:t>
      </w:r>
    </w:p>
    <w:p>
      <w:pPr>
        <w:numPr>
          <w:ilvl w:val="0"/>
          <w:numId w:val="1493"/>
        </w:numPr>
        <w:pStyle w:val="Compact"/>
      </w:pPr>
      <w:r>
        <w:t xml:space="preserve">an erasure request covering loan data reaches the RE within 1 working day with the retention reasons shown to the borrower;</w:t>
      </w:r>
    </w:p>
    <w:p>
      <w:pPr>
        <w:numPr>
          <w:ilvl w:val="0"/>
          <w:numId w:val="1493"/>
        </w:numPr>
        <w:pStyle w:val="Compact"/>
      </w:pPr>
      <w:r>
        <w:t xml:space="preserve">every screen in the module’s</w:t>
      </w:r>
      <w:r>
        <w:t xml:space="preserve"> </w:t>
      </w:r>
      <w:r>
        <w:rPr>
          <w:rStyle w:val="VerbatimChar"/>
        </w:rPr>
        <w:t xml:space="preserve">Menu and screens</w:t>
      </w:r>
      <w:r>
        <w:t xml:space="preserve"> </w:t>
      </w:r>
      <w:r>
        <w:t xml:space="preserve">list renders only for the roles named there, and a setting change below its regulatory floor is refused server-side and logged.</w:t>
      </w:r>
    </w:p>
    <w:p>
      <w:pPr>
        <w:pStyle w:val="BlockText"/>
      </w:pPr>
      <w:r>
        <w:t xml:space="preserve">Show me the document catalogue, the borrower export package layout with its README and manifest, the certificate validation rules with the regime-notice text, and the borrower menu and settings map for My documents and tax documents for approval before coding.”</w:t>
      </w:r>
    </w:p>
    <w:bookmarkEnd w:id="507"/>
    <w:bookmarkStart w:id="508" w:name="Xd582eb001f65348bf58c6dde10bd873bfac53bb"/>
    <w:p>
      <w:pPr>
        <w:pStyle w:val="Heading3"/>
      </w:pPr>
      <w:r>
        <w:t xml:space="preserve">Phase 12 — Collections and recovery support</w:t>
      </w:r>
    </w:p>
    <w:p>
      <w:pPr>
        <w:pStyle w:val="BlockText"/>
      </w:pPr>
      <w:r>
        <w:rPr>
          <w:bCs/>
          <w:b/>
        </w:rPr>
        <w:t xml:space="preserve">Instruction to Claude:</w:t>
      </w:r>
      <w:r>
        <w:t xml:space="preserve"> </w:t>
      </w:r>
      <w:r>
        <w:t xml:space="preserve">“On branch</w:t>
      </w:r>
      <w:r>
        <w:t xml:space="preserve"> </w:t>
      </w:r>
      <w:r>
        <w:rPr>
          <w:rStyle w:val="VerbatimChar"/>
        </w:rPr>
        <w:t xml:space="preserve">feat/collections-support</w:t>
      </w:r>
      <w:r>
        <w:t xml:space="preserve">, build U13 in two separate capabilities:</w:t>
      </w:r>
    </w:p>
    <w:p>
      <w:pPr>
        <w:numPr>
          <w:ilvl w:val="0"/>
          <w:numId w:val="1494"/>
        </w:numPr>
        <w:pStyle w:val="Compact"/>
      </w:pPr>
      <w:r>
        <w:rPr>
          <w:bCs/>
          <w:b/>
        </w:rPr>
        <w:t xml:space="preserve">Reminders for all REs</w:t>
      </w:r>
      <w:r>
        <w:t xml:space="preserve"> </w:t>
      </w:r>
      <w:r>
        <w:t xml:space="preserve">(servicing under the LSP agreement): due-date reminders and payment links through U16 within the contact policy; no WhatsApp for debt collection.</w:t>
      </w:r>
    </w:p>
    <w:p>
      <w:pPr>
        <w:numPr>
          <w:ilvl w:val="0"/>
          <w:numId w:val="1494"/>
        </w:numPr>
        <w:pStyle w:val="Compact"/>
      </w:pPr>
      <w:r>
        <w:rPr>
          <w:bCs/>
          <w:b/>
        </w:rPr>
        <w:t xml:space="preserve">Recovery-agent workflows only for REs that appointed Udofin by an explicit recovery-agent contract</w:t>
      </w:r>
      <w:r>
        <w:t xml:space="preserve"> </w:t>
      </w:r>
      <w:r>
        <w:t xml:space="preserve">recorded in U1 (never inferred from DLG):</w:t>
      </w:r>
      <w:r>
        <w:t xml:space="preserve"> </w:t>
      </w:r>
      <w:r>
        <w:rPr>
          <w:rStyle w:val="VerbatimChar"/>
        </w:rPr>
        <w:t xml:space="preserve">CollectionAllocated</w:t>
      </w:r>
      <w:r>
        <w:t xml:space="preserve"> </w:t>
      </w:r>
      <w:r>
        <w:t xml:space="preserve">and</w:t>
      </w:r>
      <w:r>
        <w:t xml:space="preserve"> </w:t>
      </w:r>
      <w:r>
        <w:rPr>
          <w:rStyle w:val="VerbatimChar"/>
        </w:rPr>
        <w:t xml:space="preserve">CollectionDeallocated</w:t>
      </w:r>
      <w:r>
        <w:t xml:space="preserve">; recovery-agent particulars sent to the borrower by email or SMS before first contact (CF para 9(6); RBC para 95); notice and authorisation letter (RBC paras 95–96); agent register with police verification and training (RBC paras 94, 98–99); calling window 08:00–19:00 and no harassment (RBC para 100), or 09:00–18:00, no persistent calling and recovery at the designated place unless the borrower fails to appear twice in succession for microfinance loans (RBC paras 90–91; para 100 excludes them); calls from the RE’s 1600-series numbers [VERIFY];</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FieldVisitLogged</w:t>
      </w:r>
      <w:r>
        <w:t xml:space="preserve">,</w:t>
      </w:r>
      <w:r>
        <w:t xml:space="preserve"> </w:t>
      </w:r>
      <w:r>
        <w:rPr>
          <w:rStyle w:val="VerbatimChar"/>
        </w:rPr>
        <w:t xml:space="preserve">ReceiptIssued</w:t>
      </w:r>
      <w:r>
        <w:t xml:space="preserve">; cash recoveries reflected in the borrower’s account the same day and no Udofin fee deducted from proceeds (CF para 10(5)).</w:t>
      </w:r>
    </w:p>
    <w:p>
      <w:pPr>
        <w:pStyle w:val="BlockText"/>
      </w:pPr>
      <w:r>
        <w:t xml:space="preserve">Build the RBC Third Amendment Directions, 2026 (RBI/2026-27/230, 6 Aug 2026; paras 100A–100AB in force 1 Jan 2027) as a second effective-dated rule pack, as summarised in Part 7A.0.1 [VERIFY: official text not supplied; confirm paragraph numbers before release]. Phase 12b extends this phase with Part 7A. Tests: recovery workflow unavailable without an active contract; contact outside window blocked; particulars notice precedes first contact; DLG arrangement alone grants no collection rights.”</w:t>
      </w:r>
    </w:p>
    <w:bookmarkEnd w:id="508"/>
    <w:bookmarkStart w:id="509" w:name="X706da3adb545f156e737a2ecf7a0d0113aa1426"/>
    <w:p>
      <w:pPr>
        <w:pStyle w:val="Heading3"/>
      </w:pPr>
      <w:r>
        <w:t xml:space="preserve">Phase 12b — Recovery support, notices and ADR access</w:t>
      </w:r>
    </w:p>
    <w:p>
      <w:pPr>
        <w:pStyle w:val="BlockText"/>
      </w:pPr>
      <w:r>
        <w:rPr>
          <w:bCs/>
          <w:b/>
        </w:rPr>
        <w:t xml:space="preserve">Instruction to Claude:</w:t>
      </w:r>
      <w:r>
        <w:t xml:space="preserve"> </w:t>
      </w:r>
      <w:r>
        <w:t xml:space="preserve">“On branch</w:t>
      </w:r>
      <w:r>
        <w:t xml:space="preserve"> </w:t>
      </w:r>
      <w:r>
        <w:rPr>
          <w:rStyle w:val="VerbatimChar"/>
        </w:rPr>
        <w:t xml:space="preserve">feat/recovery-support</w:t>
      </w:r>
      <w:r>
        <w:t xml:space="preserve">, build Part 7A (7A.0, UR1–UR6) as the attachable module pack</w:t>
      </w:r>
      <w:r>
        <w:t xml:space="preserve"> </w:t>
      </w:r>
      <w:r>
        <w:rPr>
          <w:rStyle w:val="VerbatimChar"/>
        </w:rPr>
        <w:t xml:space="preserve">modules/ur-recovery-support/</w:t>
      </w:r>
      <w:r>
        <w:t xml:space="preserve"> </w:t>
      </w:r>
      <w:r>
        <w:t xml:space="preserve">with its</w:t>
      </w:r>
      <w:r>
        <w:t xml:space="preserve"> </w:t>
      </w:r>
      <w:r>
        <w:rPr>
          <w:rStyle w:val="VerbatimChar"/>
        </w:rPr>
        <w:t xml:space="preserve">module.yaml</w:t>
      </w:r>
      <w:r>
        <w:t xml:space="preserve"> </w:t>
      </w:r>
      <w:r>
        <w:t xml:space="preserve">manifest:</w:t>
      </w:r>
    </w:p>
    <w:p>
      <w:pPr>
        <w:numPr>
          <w:ilvl w:val="0"/>
          <w:numId w:val="1495"/>
        </w:numPr>
        <w:pStyle w:val="Compact"/>
      </w:pPr>
      <w:r>
        <w:rPr>
          <w:bCs/>
          <w:b/>
        </w:rPr>
        <w:t xml:space="preserve">7A.0:</w:t>
      </w:r>
      <w:r>
        <w:t xml:space="preserve"> </w:t>
      </w:r>
      <w:r>
        <w:t xml:space="preserve">entitlement check (the RE’s licence SKU, the LSP agreement scope and the flag</w:t>
      </w:r>
      <w:r>
        <w:t xml:space="preserve"> </w:t>
      </w:r>
      <w:r>
        <w:rPr>
          <w:rStyle w:val="VerbatimChar"/>
        </w:rPr>
        <w:t xml:space="preserve">mod.udofin-recovery.[capability]</w:t>
      </w:r>
      <w:r>
        <w:t xml:space="preserve">, all server-side); lifecycle from</w:t>
      </w:r>
      <w:r>
        <w:t xml:space="preserve"> </w:t>
      </w:r>
      <w:r>
        <w:rPr>
          <w:rStyle w:val="VerbatimChar"/>
        </w:rPr>
        <w:t xml:space="preserve">AVAILABLE</w:t>
      </w:r>
      <w:r>
        <w:t xml:space="preserve"> </w:t>
      </w:r>
      <w:r>
        <w:t xml:space="preserve">to</w:t>
      </w:r>
      <w:r>
        <w:t xml:space="preserve"> </w:t>
      </w:r>
      <w:r>
        <w:rPr>
          <w:rStyle w:val="VerbatimChar"/>
        </w:rPr>
        <w:t xml:space="preserve">DETACHED</w:t>
      </w:r>
      <w:r>
        <w:t xml:space="preserve"> </w:t>
      </w:r>
      <w:r>
        <w:t xml:space="preserve">with</w:t>
      </w:r>
      <w:r>
        <w:t xml:space="preserve"> </w:t>
      </w:r>
      <w:r>
        <w:rPr>
          <w:rStyle w:val="VerbatimChar"/>
        </w:rPr>
        <w:t xml:space="preserve">ModuleAttached</w:t>
      </w:r>
      <w:r>
        <w:t xml:space="preserve"> </w:t>
      </w:r>
      <w:r>
        <w:t xml:space="preserve">and</w:t>
      </w:r>
      <w:r>
        <w:t xml:space="preserve"> </w:t>
      </w:r>
      <w:r>
        <w:rPr>
          <w:rStyle w:val="VerbatimChar"/>
        </w:rPr>
        <w:t xml:space="preserve">ModuleDetached</w:t>
      </w:r>
      <w:r>
        <w:t xml:space="preserve">; read-only detach with an RE export pack; the retention schedule and legal holds; rule pack A (RBC paras 90–100, to 31 Dec 2026) and rule pack B (RBC Third Amendment Directions, 2026, RBI/2026-27/230, paras 100A–100AB, from 1 Jan 2027) as effective-dated versions, plus state overlays [VERIFY: official text not supplied; confirm paragraph numbers before release];</w:t>
      </w:r>
    </w:p>
    <w:p>
      <w:pPr>
        <w:numPr>
          <w:ilvl w:val="0"/>
          <w:numId w:val="1495"/>
        </w:numPr>
        <w:pStyle w:val="Compact"/>
      </w:pPr>
      <w:r>
        <w:rPr>
          <w:bCs/>
          <w:b/>
        </w:rPr>
        <w:t xml:space="preserve">UR1:</w:t>
      </w:r>
      <w:r>
        <w:t xml:space="preserve"> </w:t>
      </w:r>
      <w:r>
        <w:t xml:space="preserve">overdue view, RE payment options, PTP, hardship requests, settlement requests (</w:t>
      </w:r>
      <w:r>
        <w:rPr>
          <w:rStyle w:val="VerbatimChar"/>
        </w:rPr>
        <w:t xml:space="preserve">SettlementRequested</w:t>
      </w:r>
      <w:r>
        <w:t xml:space="preserve">), RE offers shown verbatim with the characterisation block (RSA paras 89–90, 95, 97–98, 100; CIR para 12(4)) and acceptance evidence; no Udofin role can approve, price or promise a settlement (RSA para 16(5); OUT para 15);</w:t>
      </w:r>
    </w:p>
    <w:p>
      <w:pPr>
        <w:numPr>
          <w:ilvl w:val="0"/>
          <w:numId w:val="1495"/>
        </w:numPr>
        <w:pStyle w:val="Compact"/>
      </w:pPr>
      <w:r>
        <w:rPr>
          <w:bCs/>
          <w:b/>
        </w:rPr>
        <w:t xml:space="preserve">UR2 (after Phase 14):</w:t>
      </w:r>
      <w:r>
        <w:t xml:space="preserve"> </w:t>
      </w:r>
      <w:r>
        <w:t xml:space="preserve">ADR case view from the ADR events, signed link into Equator’s web flow with no separate app, a basis check on every referral, and no referral scope for Udofin credentials (</w:t>
      </w:r>
      <w:r>
        <w:rPr>
          <w:iCs/>
          <w:i/>
        </w:rPr>
        <w:t xml:space="preserve">CORE v ECI-SPIC-SMO-MCML (JV)</w:t>
      </w:r>
      <w:r>
        <w:t xml:space="preserve">, SC, 8 Nov 2024;</w:t>
      </w:r>
      <w:r>
        <w:t xml:space="preserve"> </w:t>
      </w:r>
      <w:r>
        <w:rPr>
          <w:iCs/>
          <w:i/>
        </w:rPr>
        <w:t xml:space="preserve">L&amp;T Finance v Jai Paras Material Store</w:t>
      </w:r>
      <w:r>
        <w:t xml:space="preserve">, Cal HC, 14 May 2026);</w:t>
      </w:r>
    </w:p>
    <w:p>
      <w:pPr>
        <w:numPr>
          <w:ilvl w:val="0"/>
          <w:numId w:val="1495"/>
        </w:numPr>
        <w:pStyle w:val="Compact"/>
      </w:pPr>
      <w:r>
        <w:rPr>
          <w:bCs/>
          <w:b/>
        </w:rPr>
        <w:t xml:space="preserve">UR3:</w:t>
      </w:r>
      <w:r>
        <w:t xml:space="preserve"> </w:t>
      </w:r>
      <w:r>
        <w:t xml:space="preserve">RE notice inbox with hash checks, Udofin-channel delivery evidence (</w:t>
      </w:r>
      <w:r>
        <w:rPr>
          <w:rStyle w:val="VerbatimChar"/>
        </w:rPr>
        <w:t xml:space="preserve">NoticeServiceUpdated</w:t>
      </w:r>
      <w:r>
        <w:t xml:space="preserve">), the RE’s visibility policy (off by default), no</w:t>
      </w:r>
      <w:r>
        <w:t xml:space="preserve"> </w:t>
      </w:r>
      <w:r>
        <w:t xml:space="preserve">“</w:t>
      </w:r>
      <w:r>
        <w:t xml:space="preserve">served</w:t>
      </w:r>
      <w:r>
        <w:t xml:space="preserve">”</w:t>
      </w:r>
      <w:r>
        <w:t xml:space="preserve"> </w:t>
      </w:r>
      <w:r>
        <w:t xml:space="preserve">state and no WhatsApp;</w:t>
      </w:r>
    </w:p>
    <w:p>
      <w:pPr>
        <w:numPr>
          <w:ilvl w:val="0"/>
          <w:numId w:val="1495"/>
        </w:numPr>
        <w:pStyle w:val="Compact"/>
      </w:pPr>
      <w:r>
        <w:rPr>
          <w:bCs/>
          <w:b/>
        </w:rPr>
        <w:t xml:space="preserve">UR4:</w:t>
      </w:r>
      <w:r>
        <w:t xml:space="preserve"> </w:t>
      </w:r>
      <w:r>
        <w:t xml:space="preserve">recovery-agent operations only for REs with an explicit recovery-agent contract: contract, agent-eligibility, notice-before-contact (CF para 9(6)) and</w:t>
      </w:r>
      <w:r>
        <w:t xml:space="preserve"> </w:t>
      </w:r>
      <w:r>
        <w:rPr>
          <w:rStyle w:val="VerbatimChar"/>
        </w:rPr>
        <w:t xml:space="preserve">canContact</w:t>
      </w:r>
      <w:r>
        <w:t xml:space="preserve"> </w:t>
      </w:r>
      <w:r>
        <w:t xml:space="preserve">gates; call recording; same-day cash posting (CF para 10(5)); agency list feed (RBC para 97);</w:t>
      </w:r>
    </w:p>
    <w:p>
      <w:pPr>
        <w:numPr>
          <w:ilvl w:val="0"/>
          <w:numId w:val="1495"/>
        </w:numPr>
        <w:pStyle w:val="Compact"/>
      </w:pPr>
      <w:r>
        <w:rPr>
          <w:bCs/>
          <w:b/>
        </w:rPr>
        <w:t xml:space="preserve">UR5:</w:t>
      </w:r>
      <w:r>
        <w:t xml:space="preserve"> </w:t>
      </w:r>
      <w:r>
        <w:t xml:space="preserve">data feeds to the RE’s recovery suite with daily reconciliation;</w:t>
      </w:r>
    </w:p>
    <w:p>
      <w:pPr>
        <w:numPr>
          <w:ilvl w:val="0"/>
          <w:numId w:val="1495"/>
        </w:numPr>
        <w:pStyle w:val="Compact"/>
      </w:pPr>
      <w:r>
        <w:rPr>
          <w:bCs/>
          <w:b/>
        </w:rPr>
        <w:t xml:space="preserve">UR6:</w:t>
      </w:r>
      <w:r>
        <w:t xml:space="preserve"> </w:t>
      </w:r>
      <w:r>
        <w:t xml:space="preserve">controls UR6-C01 to C16 with evidence to LawDocsComply or the RE’s GRC tool.</w:t>
      </w:r>
    </w:p>
    <w:p>
      <w:pPr>
        <w:pStyle w:val="BlockText"/>
      </w:pPr>
      <w:r>
        <w:t xml:space="preserve">Present the specification of each UR module for my approval before code. Tests: every test listed under UR1–UR6, plus: Udofin client credentials cannot create an ADR referral or a settlement approval; attaching UR4 for an RE without a recovery-agent contract fails; detach makes every UR screen read-only and produces a verified export; no recovery template can select WhatsApp.”</w:t>
      </w:r>
    </w:p>
    <w:bookmarkEnd w:id="509"/>
    <w:bookmarkStart w:id="510" w:name="X685b18ee91a2c836640bd3385ad63dca0e86f02"/>
    <w:p>
      <w:pPr>
        <w:pStyle w:val="Heading3"/>
      </w:pPr>
      <w:r>
        <w:t xml:space="preserve">Phase 13 — DLG management and lender disclosures</w:t>
      </w:r>
    </w:p>
    <w:p>
      <w:pPr>
        <w:pStyle w:val="BlockText"/>
      </w:pPr>
      <w:r>
        <w:rPr>
          <w:bCs/>
          <w:b/>
        </w:rPr>
        <w:t xml:space="preserve">Instruction to Claude:</w:t>
      </w:r>
      <w:r>
        <w:t xml:space="preserve"> </w:t>
      </w:r>
      <w:r>
        <w:t xml:space="preserve">“On branch</w:t>
      </w:r>
      <w:r>
        <w:t xml:space="preserve"> </w:t>
      </w:r>
      <w:r>
        <w:rPr>
          <w:rStyle w:val="VerbatimChar"/>
        </w:rPr>
        <w:t xml:space="preserve">feat/dlg-management</w:t>
      </w:r>
      <w:r>
        <w:t xml:space="preserve">, build U14 (Udofin as DLG provider):</w:t>
      </w:r>
    </w:p>
    <w:p>
      <w:pPr>
        <w:numPr>
          <w:ilvl w:val="0"/>
          <w:numId w:val="1496"/>
        </w:numPr>
        <w:pStyle w:val="Compact"/>
      </w:pPr>
      <w:r>
        <w:t xml:space="preserve">eligibility check: Udofin incorporated under the Companies Act, 2013 (CF para 19); DLG policy inputs for the RE (CF para 20(1));</w:t>
      </w:r>
    </w:p>
    <w:p>
      <w:pPr>
        <w:numPr>
          <w:ilvl w:val="0"/>
          <w:numId w:val="1496"/>
        </w:numPr>
        <w:pStyle w:val="Compact"/>
      </w:pPr>
      <w:r>
        <w:t xml:space="preserve">arrangements per RE with the explicit contract terms (extent, form, invocation timeline, disclosure; CF para 22), form as cash with the RE, FD with lien or bank guarantee (CF para 23), and the fixed DLG set (CF para 24(2));</w:t>
      </w:r>
    </w:p>
    <w:p>
      <w:pPr>
        <w:numPr>
          <w:ilvl w:val="0"/>
          <w:numId w:val="1496"/>
        </w:numPr>
        <w:pStyle w:val="Compact"/>
      </w:pPr>
      <w:r>
        <w:t xml:space="preserve">cap engine: total cover ≤ 5% of the amount disbursed out of the DLG set, activated proportionately on disbursement (CF para 24(3), Illustration 1), with the CF para 24(3) illustrations as golden tests;</w:t>
      </w:r>
    </w:p>
    <w:p>
      <w:pPr>
        <w:numPr>
          <w:ilvl w:val="0"/>
          <w:numId w:val="1496"/>
        </w:numPr>
        <w:pStyle w:val="Compact"/>
      </w:pPr>
      <w:r>
        <w:t xml:space="preserve">invocation register: invocation within 120 days overdue (CF para 27(1)); no set-off against borrower liability (25(2)); recovery sharing per contract (25(3));</w:t>
      </w:r>
      <w:r>
        <w:t xml:space="preserve"> </w:t>
      </w:r>
      <w:r>
        <w:rPr>
          <w:bCs/>
          <w:b/>
        </w:rPr>
        <w:t xml:space="preserve">no reinstatement</w:t>
      </w:r>
      <w:r>
        <w:t xml:space="preserve"> </w:t>
      </w:r>
      <w:r>
        <w:t xml:space="preserve">(25(4)); DLG term ≥ longest loan tenor (27(2)); no DLG on loans under trust-fund guarantee schemes (CF para 21(1)) or for P2P;</w:t>
      </w:r>
    </w:p>
    <w:p>
      <w:pPr>
        <w:numPr>
          <w:ilvl w:val="0"/>
          <w:numId w:val="1496"/>
        </w:numPr>
        <w:pStyle w:val="Compact"/>
      </w:pPr>
      <w:r>
        <w:t xml:space="preserve">the statutory-auditor-certified declaration (aggregate DLG outstanding, number of lenders, portfolios, past default rates) at each entry or renewal (CF para 20(3));</w:t>
      </w:r>
    </w:p>
    <w:p>
      <w:pPr>
        <w:numPr>
          <w:ilvl w:val="0"/>
          <w:numId w:val="1496"/>
        </w:numPr>
        <w:pStyle w:val="Compact"/>
      </w:pPr>
      <w:r>
        <w:t xml:space="preserve">monthly website disclosure of the number of portfolios and amount of each on which DLG is offered, published within 7 working days of month-end (CF para 28);</w:t>
      </w:r>
    </w:p>
    <w:p>
      <w:pPr>
        <w:numPr>
          <w:ilvl w:val="0"/>
          <w:numId w:val="1496"/>
        </w:numPr>
        <w:pStyle w:val="Compact"/>
      </w:pPr>
      <w:r>
        <w:rPr>
          <w:rStyle w:val="VerbatimChar"/>
        </w:rPr>
        <w:t xml:space="preserve">DLGArrangementRegistered</w:t>
      </w:r>
      <w:r>
        <w:t xml:space="preserve">,</w:t>
      </w:r>
      <w:r>
        <w:t xml:space="preserve"> </w:t>
      </w:r>
      <w:r>
        <w:rPr>
          <w:rStyle w:val="VerbatimChar"/>
        </w:rPr>
        <w:t xml:space="preserve">DLGInvocationRaised</w:t>
      </w:r>
      <w:r>
        <w:t xml:space="preserve">,</w:t>
      </w:r>
      <w:r>
        <w:t xml:space="preserve"> </w:t>
      </w:r>
      <w:r>
        <w:rPr>
          <w:rStyle w:val="VerbatimChar"/>
        </w:rPr>
        <w:t xml:space="preserve">DLGInvocationSettled</w:t>
      </w:r>
      <w:r>
        <w:t xml:space="preserve">,</w:t>
      </w:r>
      <w:r>
        <w:t xml:space="preserve"> </w:t>
      </w:r>
      <w:r>
        <w:rPr>
          <w:rStyle w:val="VerbatimChar"/>
        </w:rPr>
        <w:t xml:space="preserve">DLGPortfolioCoverage</w:t>
      </w:r>
      <w:r>
        <w:t xml:space="preserve"> </w:t>
      </w:r>
      <w:r>
        <w:t xml:space="preserve">with each RE;</w:t>
      </w:r>
      <w:r>
        <w:t xml:space="preserve"> </w:t>
      </w:r>
      <w:r>
        <w:rPr>
          <w:rStyle w:val="VerbatimChar"/>
        </w:rPr>
        <w:t xml:space="preserve">DLGDisclosurePublished</w:t>
      </w:r>
      <w:r>
        <w:t xml:space="preserve"> </w:t>
      </w:r>
      <w:r>
        <w:t xml:space="preserve">to each RE and LawDocsComply (CF para 28);</w:t>
      </w:r>
      <w:r>
        <w:t xml:space="preserve"> </w:t>
      </w:r>
      <w:r>
        <w:rPr>
          <w:rStyle w:val="VerbatimChar"/>
        </w:rPr>
        <w:t xml:space="preserve">DLGRecoveryShared</w:t>
      </w:r>
      <w:r>
        <w:t xml:space="preserve"> </w:t>
      </w:r>
      <w:r>
        <w:t xml:space="preserve">consumed into the recovery-share ledger (CF para 25(3)); data for the RE’s ECL (IRACP paras 36A–36C) and capital treatment (CF para 26).</w:t>
      </w:r>
    </w:p>
    <w:p>
      <w:pPr>
        <w:pStyle w:val="BlockText"/>
      </w:pPr>
      <w:r>
        <w:t xml:space="preserve">DLG never feeds credit pre-filters (CF para 20(2)) and never creates collection rights. Tests: all CF para 24(3) cases; 121-day invocation rejected; reinstatement attempt rejected; disclosure job meets the 7-working-day deadline.”</w:t>
      </w:r>
    </w:p>
    <w:bookmarkEnd w:id="510"/>
    <w:bookmarkStart w:id="511" w:name="Xeea6b9f8479807584cb4d4aee1f99e84bdf66ee"/>
    <w:p>
      <w:pPr>
        <w:pStyle w:val="Heading3"/>
      </w:pPr>
      <w:r>
        <w:t xml:space="preserve">Phase 14 — Grievance, AI support and Equator</w:t>
      </w:r>
    </w:p>
    <w:p>
      <w:pPr>
        <w:pStyle w:val="BlockText"/>
      </w:pPr>
      <w:r>
        <w:rPr>
          <w:bCs/>
          <w:b/>
        </w:rPr>
        <w:t xml:space="preserve">Instruction to Claude:</w:t>
      </w:r>
      <w:r>
        <w:t xml:space="preserve"> </w:t>
      </w:r>
      <w:r>
        <w:t xml:space="preserve">“On branch</w:t>
      </w:r>
      <w:r>
        <w:t xml:space="preserve"> </w:t>
      </w:r>
      <w:r>
        <w:rPr>
          <w:rStyle w:val="VerbatimChar"/>
        </w:rPr>
        <w:t xml:space="preserve">feat/grievance-ai-equator</w:t>
      </w:r>
      <w:r>
        <w:t xml:space="preserve">, build U15:</w:t>
      </w:r>
    </w:p>
    <w:p>
      <w:pPr>
        <w:numPr>
          <w:ilvl w:val="0"/>
          <w:numId w:val="1497"/>
        </w:numPr>
        <w:pStyle w:val="Compact"/>
      </w:pPr>
      <w:r>
        <w:t xml:space="preserve">complaint lodging in the app and on the web (CF para 12(3)); unique reference; acknowledgement; Udofin nodal GRO details displayed on the DLA and website and RE GRO details in the KFS (CF para 12(1)–(2));</w:t>
      </w:r>
    </w:p>
    <w:p>
      <w:pPr>
        <w:numPr>
          <w:ilvl w:val="0"/>
          <w:numId w:val="1497"/>
        </w:numPr>
        <w:pStyle w:val="Compact"/>
      </w:pPr>
      <w:r>
        <w:t xml:space="preserve">routing every complaint to the responsible RE (</w:t>
      </w:r>
      <w:r>
        <w:rPr>
          <w:rStyle w:val="VerbatimChar"/>
        </w:rPr>
        <w:t xml:space="preserve">GrievanceRaised</w:t>
      </w:r>
      <w:r>
        <w:t xml:space="preserve">,</w:t>
      </w:r>
      <w:r>
        <w:t xml:space="preserve"> </w:t>
      </w:r>
      <w:r>
        <w:rPr>
          <w:rStyle w:val="VerbatimChar"/>
        </w:rPr>
        <w:t xml:space="preserve">GrievanceUpdated</w:t>
      </w:r>
      <w:r>
        <w:t xml:space="preserve">,</w:t>
      </w:r>
      <w:r>
        <w:t xml:space="preserve"> </w:t>
      </w:r>
      <w:r>
        <w:rPr>
          <w:rStyle w:val="VerbatimChar"/>
        </w:rPr>
        <w:t xml:space="preserve">GrievanceEscalated</w:t>
      </w:r>
      <w:r>
        <w:t xml:space="preserve">); grievance redressal remains with the RE; Udofin never closes an RE complaint (CF para 12(3); OUT para 56);</w:t>
      </w:r>
    </w:p>
    <w:p>
      <w:pPr>
        <w:numPr>
          <w:ilvl w:val="0"/>
          <w:numId w:val="1497"/>
        </w:numPr>
        <w:pStyle w:val="Compact"/>
      </w:pPr>
      <w:r>
        <w:t xml:space="preserve">the 30-day clock and escalation information to RBI CMS (https://cms.rbi.org.in) and the CRPC address when the RE rejects, partly rejects or does not reply within 30 days (CF para 12(4)); the full chain (lender redress profile, the RE’s Internal Ombudsman under the Internal Ombudsman Directions 2026, the RBI Ombudsman under the Integrated Ombudsman Scheme 2026 with its 90-day window, parallel routes, reopen, rating and case packs) is Phase 14b (Part 7C UB3–UB4), which supersedes U15 where they differ, so build the</w:t>
      </w:r>
      <w:r>
        <w:t xml:space="preserve"> </w:t>
      </w:r>
      <w:r>
        <w:rPr>
          <w:rStyle w:val="VerbatimChar"/>
        </w:rPr>
        <w:t xml:space="preserve">grievance</w:t>
      </w:r>
      <w:r>
        <w:t xml:space="preserve"> </w:t>
      </w:r>
      <w:r>
        <w:t xml:space="preserve">aggregate here for 14b to extend;</w:t>
      </w:r>
    </w:p>
    <w:p>
      <w:pPr>
        <w:numPr>
          <w:ilvl w:val="0"/>
          <w:numId w:val="1497"/>
        </w:numPr>
        <w:pStyle w:val="Compact"/>
      </w:pPr>
      <w:r>
        <w:t xml:space="preserve">AI support assistant answering only from approved sources (RE product documents, KFS, FAQs, case status), with citations, hand-off to a human and no invented rights or outcomes; it never rejects or closes a complaint; build now the minimum U20 controls it needs (model-inventory entry, approved-source retrieval, prompt redaction, India-region or RE-approved endpoint per CF para 14(4)), which Phase 20 extends;</w:t>
      </w:r>
    </w:p>
    <w:p>
      <w:pPr>
        <w:numPr>
          <w:ilvl w:val="0"/>
          <w:numId w:val="1497"/>
        </w:numPr>
        <w:pStyle w:val="Compact"/>
      </w:pPr>
      <w:r>
        <w:t xml:space="preserve">Equator access only for cases the RE has referred (Udofin never refers), after the RE’s process or under a pre-named institution clause or written post-dispute consent; a signed link into Equator’s web flow from the app, no separate app; outcome status flows back (full specification in Part 7A UR2, built in Phase 12b);</w:t>
      </w:r>
    </w:p>
    <w:p>
      <w:pPr>
        <w:numPr>
          <w:ilvl w:val="0"/>
          <w:numId w:val="1497"/>
        </w:numPr>
        <w:pStyle w:val="Compact"/>
      </w:pPr>
      <w:r>
        <w:t xml:space="preserve">feedback (CSAT/NPS) through U16.</w:t>
      </w:r>
    </w:p>
    <w:p>
      <w:pPr>
        <w:pStyle w:val="BlockText"/>
      </w:pPr>
      <w:r>
        <w:t xml:space="preserve">Tests: complaint cannot be closed by any Udofin role; 30-day escalation message triggers; AI refuses out-of-scope questions; Udofin credentials cannot create an ADR referral, and Equator access appears only for RE-referred cases with a recorded basis.”</w:t>
      </w:r>
    </w:p>
    <w:bookmarkEnd w:id="511"/>
    <w:bookmarkStart w:id="512" w:name="phase-14b-grievance-escalation-chain-v2"/>
    <w:p>
      <w:pPr>
        <w:pStyle w:val="Heading3"/>
      </w:pPr>
      <w:r>
        <w:t xml:space="preserve">Phase 14b — Grievance escalation chain v2</w:t>
      </w:r>
    </w:p>
    <w:p>
      <w:pPr>
        <w:pStyle w:val="BlockText"/>
      </w:pPr>
      <w:r>
        <w:rPr>
          <w:bCs/>
          <w:b/>
        </w:rPr>
        <w:t xml:space="preserve">Instruction to Claude:</w:t>
      </w:r>
      <w:r>
        <w:t xml:space="preserve"> </w:t>
      </w:r>
      <w:r>
        <w:t xml:space="preserve">“Before writing the specification, verify against the official texts and record the paragraph numbers in the regulatory register: (i) the Reserve Bank – Integrated Ombudsman Scheme, 2026 (notified 16 Jan 2026, effective 1 Jul 2026): coverage and exclusions (cl.1(3)), complaint first to the RE (cl.10(1)(e)), the RE’s 30-day period (cl.10(1)(f)), the</w:t>
      </w:r>
      <w:r>
        <w:t xml:space="preserve"> </w:t>
      </w:r>
      <w:r>
        <w:rPr>
          <w:bCs/>
          <w:b/>
        </w:rPr>
        <w:t xml:space="preserve">90-day</w:t>
      </w:r>
      <w:r>
        <w:t xml:space="preserve"> </w:t>
      </w:r>
      <w:r>
        <w:t xml:space="preserve">window to file after that period or the RE’s last reply (cl.10(1)(g)), representatives other than advocates (cl.10(1)(b)), the Principal Nodal Officer and display duties (cl.18), and the transition rule for complaints received before 1 Jul 2026 (cl.20) [VERIFY: clause numbering]; (ii) the RBI (NBFCs – Internal Ombudsman) Directions, 2026 (14 Jan 2026): applicability thresholds, auto-escalation of partial or full rejections within 20 days and the final reply within 30 days [VERIFY: paragraph numbers]; (iii) the current NHB route for HFCs and the post-2026 CEPC route for NBFCs outside RB-IOS [VERIFY]; (iv) CMS upload limits, the Insurance Ombudsman Rules, 2017 limits and the Data Protection Board commencement [VERIFY]; (v)</w:t>
      </w:r>
      <w:r>
        <w:t xml:space="preserve"> </w:t>
      </w:r>
      <w:r>
        <w:rPr>
          <w:rStyle w:val="VerbatimChar"/>
        </w:rPr>
        <w:t xml:space="preserve">GrievanceReopened</w:t>
      </w:r>
      <w:r>
        <w:t xml:space="preserve">,</w:t>
      </w:r>
      <w:r>
        <w:t xml:space="preserve"> </w:t>
      </w:r>
      <w:r>
        <w:rPr>
          <w:rStyle w:val="VerbatimChar"/>
        </w:rPr>
        <w:t xml:space="preserve">GrievanceRated</w:t>
      </w:r>
      <w:r>
        <w:t xml:space="preserve"> </w:t>
      </w:r>
      <w:r>
        <w:t xml:space="preserve">and</w:t>
      </w:r>
      <w:r>
        <w:t xml:space="preserve"> </w:t>
      </w:r>
      <w:r>
        <w:rPr>
          <w:rStyle w:val="VerbatimChar"/>
        </w:rPr>
        <w:t xml:space="preserve">OmbudsmanReferralRecorded</w:t>
      </w:r>
      <w:r>
        <w:t xml:space="preserve"> </w:t>
      </w:r>
      <w:r>
        <w:t xml:space="preserve">in Integration Spec v1.1. Then, on branch</w:t>
      </w:r>
      <w:r>
        <w:t xml:space="preserve"> </w:t>
      </w:r>
      <w:r>
        <w:rPr>
          <w:rStyle w:val="VerbatimChar"/>
        </w:rPr>
        <w:t xml:space="preserve">feat/grievance-chain-v2</w:t>
      </w:r>
      <w:r>
        <w:t xml:space="preserve">, build Part 7C UB3–UB4 on the U15</w:t>
      </w:r>
      <w:r>
        <w:t xml:space="preserve"> </w:t>
      </w:r>
      <w:r>
        <w:rPr>
          <w:rStyle w:val="VerbatimChar"/>
        </w:rPr>
        <w:t xml:space="preserve">grievance</w:t>
      </w:r>
      <w:r>
        <w:t xml:space="preserve"> </w:t>
      </w:r>
      <w:r>
        <w:t xml:space="preserve">aggregate (UB3 and UB4 supersede U15 where they differ):</w:t>
      </w:r>
    </w:p>
    <w:p>
      <w:pPr>
        <w:numPr>
          <w:ilvl w:val="0"/>
          <w:numId w:val="1498"/>
        </w:numPr>
        <w:pStyle w:val="Compact"/>
      </w:pPr>
      <w:r>
        <w:rPr>
          <w:bCs/>
          <w:b/>
        </w:rPr>
        <w:t xml:space="preserve">lender redress profile:</w:t>
      </w:r>
      <w:r>
        <w:t xml:space="preserve"> </w:t>
      </w:r>
      <w:r>
        <w:t xml:space="preserve">the versioned</w:t>
      </w:r>
      <w:r>
        <w:t xml:space="preserve"> </w:t>
      </w:r>
      <w:r>
        <w:rPr>
          <w:rStyle w:val="VerbatimChar"/>
        </w:rPr>
        <w:t xml:space="preserve">re_redress_profile</w:t>
      </w:r>
      <w:r>
        <w:t xml:space="preserve"> </w:t>
      </w:r>
      <w:r>
        <w:t xml:space="preserve">per RE (</w:t>
      </w:r>
      <w:r>
        <w:rPr>
          <w:rStyle w:val="VerbatimChar"/>
        </w:rPr>
        <w:t xml:space="preserve">rbios_covered</w:t>
      </w:r>
      <w:r>
        <w:t xml:space="preserve">,</w:t>
      </w:r>
      <w:r>
        <w:t xml:space="preserve"> </w:t>
      </w:r>
      <w:r>
        <w:rPr>
          <w:rStyle w:val="VerbatimChar"/>
        </w:rPr>
        <w:t xml:space="preserve">io_applicable</w:t>
      </w:r>
      <w:r>
        <w:t xml:space="preserve">,</w:t>
      </w:r>
      <w:r>
        <w:t xml:space="preserve"> </w:t>
      </w:r>
      <w:r>
        <w:rPr>
          <w:rStyle w:val="VerbatimChar"/>
        </w:rPr>
        <w:t xml:space="preserve">top_tier</w:t>
      </w:r>
      <w:r>
        <w:t xml:space="preserve"> </w:t>
      </w:r>
      <w:r>
        <w:t xml:space="preserve">of RBI Ombudsman, CEPC regional office, NHB, bank RB-IOS or co-operative route, and the contacts), recomputed on every asset-size update and required before an RE deal reaches PILOT (UB-C09);</w:t>
      </w:r>
    </w:p>
    <w:p>
      <w:pPr>
        <w:numPr>
          <w:ilvl w:val="0"/>
          <w:numId w:val="1498"/>
        </w:numPr>
        <w:pStyle w:val="Compact"/>
      </w:pPr>
      <w:r>
        <w:rPr>
          <w:bCs/>
          <w:b/>
        </w:rPr>
        <w:t xml:space="preserve">tiers T0–T5 and the co-operative route:</w:t>
      </w:r>
      <w:r>
        <w:t xml:space="preserve"> </w:t>
      </w:r>
      <w:r>
        <w:t xml:space="preserve">help centre; Udofin nodal grievance officer (CF para 12(1)) with forwarding of every RE-related complaint targeted within 1 hour and the RE’s receipt acknowledgement stored; the RE GRO with day-20 and day-25 reminders; the RE’s Internal Ombudsman (IO 2026); the T4 panel that opens at the earliest of a whole or partial rejection, a borrower</w:t>
      </w:r>
      <w:r>
        <w:t xml:space="preserve"> </w:t>
      </w:r>
      <w:r>
        <w:t xml:space="preserve">‘</w:t>
      </w:r>
      <w:r>
        <w:t xml:space="preserve">not satisfied</w:t>
      </w:r>
      <w:r>
        <w:t xml:space="preserve">’</w:t>
      </w:r>
      <w:r>
        <w:t xml:space="preserve"> </w:t>
      </w:r>
      <w:r>
        <w:t xml:space="preserve">or 30 days without reply (CF para 12(4)), and closes 90 days after the later of the end of the RE’s 30-day period and the RE’s last communication (RB-IOS cl.10(1)(g)); the 2021 Scheme applies only to Ombudsman filings made before 1 Jul 2026 [INTERP; VERIFY: cl.20]; chains that start at the help section of the RE’s website or a Finbyx-hosted page appear in the borrower’s case list through</w:t>
      </w:r>
      <w:r>
        <w:t xml:space="preserve"> </w:t>
      </w:r>
      <w:r>
        <w:rPr>
          <w:rStyle w:val="VerbatimChar"/>
        </w:rPr>
        <w:t xml:space="preserve">GrievanceUpdated</w:t>
      </w:r>
      <w:r>
        <w:t xml:space="preserve">;</w:t>
      </w:r>
    </w:p>
    <w:p>
      <w:pPr>
        <w:numPr>
          <w:ilvl w:val="0"/>
          <w:numId w:val="1498"/>
        </w:numPr>
        <w:pStyle w:val="Compact"/>
      </w:pPr>
      <w:r>
        <w:rPr>
          <w:bCs/>
          <w:b/>
        </w:rPr>
        <w:t xml:space="preserve">clock rules:</w:t>
      </w:r>
      <w:r>
        <w:t xml:space="preserve"> </w:t>
      </w:r>
      <w:r>
        <w:t xml:space="preserve">legal clock from the RE’s receipt; if unacknowledged after 1 business day, Udofin’s forwarding time is shown as the receipt date with the basis disclosed in the case pack; calendar days; a reopen gets a new RE receipt and recomputes the window; Udofin never pauses an RE clock;</w:t>
      </w:r>
    </w:p>
    <w:p>
      <w:pPr>
        <w:numPr>
          <w:ilvl w:val="0"/>
          <w:numId w:val="1498"/>
        </w:numPr>
        <w:pStyle w:val="Compact"/>
      </w:pPr>
      <w:r>
        <w:rPr>
          <w:bCs/>
          <w:b/>
        </w:rPr>
        <w:t xml:space="preserve">parallel routes</w:t>
      </w:r>
      <w:r>
        <w:t xml:space="preserve"> </w:t>
      </w:r>
      <w:r>
        <w:t xml:space="preserve">by subject (credit information with the CIR para 35 clocks and mandatory bank or UPI details; insurance; personal data; subscription to consumer routes; recovery conduct; fraud; Sachet; ODR only through RE referral or borrower consent; courts), never in place of the RBI route for an RE complaint;</w:t>
      </w:r>
    </w:p>
    <w:p>
      <w:pPr>
        <w:numPr>
          <w:ilvl w:val="0"/>
          <w:numId w:val="1498"/>
        </w:numPr>
        <w:pStyle w:val="Compact"/>
      </w:pPr>
      <w:r>
        <w:rPr>
          <w:bCs/>
          <w:b/>
        </w:rPr>
        <w:t xml:space="preserve">display, states and automatic actions:</w:t>
      </w:r>
      <w:r>
        <w:t xml:space="preserve"> </w:t>
      </w:r>
      <w:r>
        <w:t xml:space="preserve">contacts on every help screen (CF para 12(2)); neutral wording with a linter for discouraging phrases (UB-C12); the full</w:t>
      </w:r>
      <w:r>
        <w:t xml:space="preserve"> </w:t>
      </w:r>
      <w:r>
        <w:rPr>
          <w:rStyle w:val="VerbatimChar"/>
        </w:rPr>
        <w:t xml:space="preserve">grievance</w:t>
      </w:r>
      <w:r>
        <w:t xml:space="preserve"> </w:t>
      </w:r>
      <w:r>
        <w:t xml:space="preserve">state machine; internal escalations only; Udofin never files externally or represents the borrower; AI drafts for staff review and never rejects, closes or advises against escalation (U20);</w:t>
      </w:r>
    </w:p>
    <w:p>
      <w:pPr>
        <w:numPr>
          <w:ilvl w:val="0"/>
          <w:numId w:val="1498"/>
        </w:numPr>
        <w:pStyle w:val="Compact"/>
      </w:pPr>
      <w:r>
        <w:rPr>
          <w:bCs/>
          <w:b/>
        </w:rPr>
        <w:t xml:space="preserve">UB4:</w:t>
      </w:r>
      <w:r>
        <w:t xml:space="preserve"> </w:t>
      </w:r>
      <w:r>
        <w:t xml:space="preserve">the twelve borrower capabilities (raise, attach through the picker, acknowledgement, track, reply, escalate, case pack, reopen within 30 days, rate, withdraw, nominate a non-advocate representative, callback and accessible format); the PDF/A and JSON case pack signed by Udofin; the help-centre content model with owner, approver, sources and review dates; English and Hindi at launch with RB-IOS salient features in the regional language; WCAG 2.2 AA; MIS feeding UP3 pack P4 and the RE’s FPC review (RBC para 8);</w:t>
      </w:r>
    </w:p>
    <w:p>
      <w:pPr>
        <w:numPr>
          <w:ilvl w:val="0"/>
          <w:numId w:val="1498"/>
        </w:numPr>
        <w:pStyle w:val="Compact"/>
      </w:pPr>
      <w:r>
        <w:rPr>
          <w:bCs/>
          <w:b/>
        </w:rPr>
        <w:t xml:space="preserve">menus, screens and settings:</w:t>
      </w:r>
      <w:r>
        <w:t xml:space="preserve"> </w:t>
      </w:r>
      <w:r>
        <w:t xml:space="preserve">build every entry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7C (UB3–UB4) on the channel and workspace named there (navigation map in Appendix G): list, detail, wizard, approval-queue and dashboard screens with their key and bulk actions, filters, exports, empty and error states and role visibility; each setting as a versioned, effective-dated</w:t>
      </w:r>
      <w:r>
        <w:t xml:space="preserve"> </w:t>
      </w:r>
      <w:r>
        <w:rPr>
          <w:rStyle w:val="VerbatimChar"/>
        </w:rPr>
        <w:t xml:space="preserve">module_setting</w:t>
      </w:r>
      <w:r>
        <w:t xml:space="preserve"> </w:t>
      </w:r>
      <w:r>
        <w:t xml:space="preserve">record with its default, where a regulatory floor is enforced server-side and can never be relaxed;</w:t>
      </w:r>
    </w:p>
    <w:p>
      <w:pPr>
        <w:pStyle w:val="BlockText"/>
      </w:pPr>
      <w:r>
        <w:t xml:space="preserve">Tests and acceptance evidence:</w:t>
      </w:r>
    </w:p>
    <w:p>
      <w:pPr>
        <w:numPr>
          <w:ilvl w:val="0"/>
          <w:numId w:val="1499"/>
        </w:numPr>
        <w:pStyle w:val="Compact"/>
      </w:pPr>
      <w:r>
        <w:t xml:space="preserve">every UB3 and UB4 acceptance test in Part 7C;</w:t>
      </w:r>
    </w:p>
    <w:p>
      <w:pPr>
        <w:numPr>
          <w:ilvl w:val="0"/>
          <w:numId w:val="1499"/>
        </w:numPr>
        <w:pStyle w:val="Compact"/>
      </w:pPr>
      <w:r>
        <w:t xml:space="preserve">golden date cases: a complaint received by the RE on 1 Aug 2026 with no reply opens the external route on 1 Sep 2026 and closes it on 29 Nov 2026 [VERIFY: day-count convention]; one received by the RE on 20 Jun 2026 and taken to the Ombudsman after 1 Jul 2026 gets the 90-day window under RB-IOS 2026 [INTERP; VERIFY: cl.20];</w:t>
      </w:r>
    </w:p>
    <w:p>
      <w:pPr>
        <w:numPr>
          <w:ilvl w:val="0"/>
          <w:numId w:val="1499"/>
        </w:numPr>
        <w:pStyle w:val="Compact"/>
      </w:pPr>
      <w:r>
        <w:t xml:space="preserve">an RE with ₹80 crore of assets and no deposits shows the CEPC regional office; an HFC never shows RB-IOS; a society loan never shows any RBI route;</w:t>
      </w:r>
    </w:p>
    <w:p>
      <w:pPr>
        <w:numPr>
          <w:ilvl w:val="0"/>
          <w:numId w:val="1499"/>
        </w:numPr>
        <w:pStyle w:val="Compact"/>
      </w:pPr>
      <w:r>
        <w:t xml:space="preserve">no Udofin role can set</w:t>
      </w:r>
      <w:r>
        <w:t xml:space="preserve"> </w:t>
      </w:r>
      <w:r>
        <w:rPr>
          <w:rStyle w:val="VerbatimChar"/>
        </w:rPr>
        <w:t xml:space="preserve">RE_FINAL_REPLY</w:t>
      </w:r>
      <w:r>
        <w:t xml:space="preserve"> </w:t>
      </w:r>
      <w:r>
        <w:t xml:space="preserve">or close an RE-owned complaint (CF para 12(3); OUT para 56);</w:t>
      </w:r>
    </w:p>
    <w:p>
      <w:pPr>
        <w:numPr>
          <w:ilvl w:val="0"/>
          <w:numId w:val="1499"/>
        </w:numPr>
        <w:pStyle w:val="Compact"/>
      </w:pPr>
      <w:r>
        <w:t xml:space="preserve">a partial rejection by an</w:t>
      </w:r>
      <w:r>
        <w:t xml:space="preserve"> </w:t>
      </w:r>
      <w:r>
        <w:rPr>
          <w:rStyle w:val="VerbatimChar"/>
        </w:rPr>
        <w:t xml:space="preserve">io_applicable</w:t>
      </w:r>
      <w:r>
        <w:t xml:space="preserve"> </w:t>
      </w:r>
      <w:r>
        <w:t xml:space="preserve">RE without IO status by day 20 pages Udofin compliance and the RE nodal officer;</w:t>
      </w:r>
    </w:p>
    <w:p>
      <w:pPr>
        <w:numPr>
          <w:ilvl w:val="0"/>
          <w:numId w:val="1499"/>
        </w:numPr>
        <w:pStyle w:val="Compact"/>
      </w:pPr>
      <w:r>
        <w:t xml:space="preserve">a nominated representative can view but not reply, withdraw or reopen; a one-star rating shows escalation options and no promotion;</w:t>
      </w:r>
    </w:p>
    <w:p>
      <w:pPr>
        <w:numPr>
          <w:ilvl w:val="0"/>
          <w:numId w:val="1499"/>
        </w:numPr>
        <w:pStyle w:val="Compact"/>
      </w:pPr>
      <w:r>
        <w:t xml:space="preserve">every screen in the module’s</w:t>
      </w:r>
      <w:r>
        <w:t xml:space="preserve"> </w:t>
      </w:r>
      <w:r>
        <w:rPr>
          <w:rStyle w:val="VerbatimChar"/>
        </w:rPr>
        <w:t xml:space="preserve">Menu and screens</w:t>
      </w:r>
      <w:r>
        <w:t xml:space="preserve"> </w:t>
      </w:r>
      <w:r>
        <w:t xml:space="preserve">list renders only for the roles named there, and a setting change below its regulatory floor is refused server-side and logged.</w:t>
      </w:r>
    </w:p>
    <w:p>
      <w:pPr>
        <w:pStyle w:val="BlockText"/>
      </w:pPr>
      <w:r>
        <w:t xml:space="preserve">Show me the redress-profile decision table, the tier and clock specification with the golden date cases, the grievance state machine, the case-pack layout, and the help-centre, complaint and staff-queue menu and settings map for approval before coding.”</w:t>
      </w:r>
    </w:p>
    <w:bookmarkEnd w:id="512"/>
    <w:bookmarkStart w:id="513" w:name="Xb18b71ede7c87ed68b97d86ef3cccefd672b3a0"/>
    <w:p>
      <w:pPr>
        <w:pStyle w:val="Heading3"/>
      </w:pPr>
      <w:r>
        <w:t xml:space="preserve">Phase 15 — Udofin finance, accounting and reporting</w:t>
      </w:r>
    </w:p>
    <w:p>
      <w:pPr>
        <w:pStyle w:val="BlockText"/>
      </w:pPr>
      <w:r>
        <w:rPr>
          <w:bCs/>
          <w:b/>
        </w:rPr>
        <w:t xml:space="preserve">Instruction to Claude:</w:t>
      </w:r>
      <w:r>
        <w:t xml:space="preserve"> </w:t>
      </w:r>
      <w:r>
        <w:t xml:space="preserve">“On branch</w:t>
      </w:r>
      <w:r>
        <w:t xml:space="preserve"> </w:t>
      </w:r>
      <w:r>
        <w:rPr>
          <w:rStyle w:val="VerbatimChar"/>
        </w:rPr>
        <w:t xml:space="preserve">feat/udofin-finance</w:t>
      </w:r>
      <w:r>
        <w:t xml:space="preserve">, build U17 and U19:</w:t>
      </w:r>
    </w:p>
    <w:p>
      <w:pPr>
        <w:numPr>
          <w:ilvl w:val="0"/>
          <w:numId w:val="1500"/>
        </w:numPr>
        <w:pStyle w:val="Compact"/>
      </w:pPr>
      <w:r>
        <w:t xml:space="preserve">Udofin’s own double-entry ledger (append-only, balanced, reversal-only corrections, period locks) for LSP fee income, GST on fees invoiced to REs, DLG deposits, FDs and bank guarantees, invocations and recoveries shared, collection-agent fees (where appointed) and vendor costs;</w:t>
      </w:r>
    </w:p>
    <w:p>
      <w:pPr>
        <w:numPr>
          <w:ilvl w:val="0"/>
          <w:numId w:val="1500"/>
        </w:numPr>
        <w:pStyle w:val="Compact"/>
      </w:pPr>
      <w:r>
        <w:t xml:space="preserve">fee computation from RE agreements; invoices to REs only; a test proving no fee line can be charged to a borrower (CF para 10(4));</w:t>
      </w:r>
    </w:p>
    <w:p>
      <w:pPr>
        <w:numPr>
          <w:ilvl w:val="0"/>
          <w:numId w:val="1500"/>
        </w:numPr>
        <w:pStyle w:val="Compact"/>
      </w:pPr>
      <w:r>
        <w:t xml:space="preserve">Tally Prime (JSON/XML connector), SAP and CSV exports with reconciliation;</w:t>
      </w:r>
    </w:p>
    <w:p>
      <w:pPr>
        <w:numPr>
          <w:ilvl w:val="0"/>
          <w:numId w:val="1500"/>
        </w:numPr>
        <w:pStyle w:val="Compact"/>
      </w:pPr>
      <w:r>
        <w:t xml:space="preserve">U19 reports: per-RE funnel, conversion, TAT, complaints, DLG positions, sourcing data for the RE’s returns (SR) with lineage, unit economics per application; lender dashboards with row-level security.</w:t>
      </w:r>
    </w:p>
    <w:p>
      <w:pPr>
        <w:pStyle w:val="BlockText"/>
      </w:pPr>
      <w:r>
        <w:t xml:space="preserve">Our CA reviewer approves the golden accounting cases. Tests: trial balance balances under randomised postings; RE dashboard isolation; export reconciles to the ledger.”</w:t>
      </w:r>
    </w:p>
    <w:bookmarkEnd w:id="513"/>
    <w:bookmarkStart w:id="514" w:name="X581f5a01eb7991eca531630463a1910d5c5930d"/>
    <w:p>
      <w:pPr>
        <w:pStyle w:val="Heading3"/>
      </w:pPr>
      <w:r>
        <w:t xml:space="preserve">Phase 16 — Compliance, audit and security operations</w:t>
      </w:r>
    </w:p>
    <w:p>
      <w:pPr>
        <w:pStyle w:val="BlockText"/>
      </w:pPr>
      <w:r>
        <w:rPr>
          <w:bCs/>
          <w:b/>
        </w:rPr>
        <w:t xml:space="preserve">Instruction to Claude:</w:t>
      </w:r>
      <w:r>
        <w:t xml:space="preserve"> </w:t>
      </w:r>
      <w:r>
        <w:t xml:space="preserve">“On branch</w:t>
      </w:r>
      <w:r>
        <w:t xml:space="preserve"> </w:t>
      </w:r>
      <w:r>
        <w:rPr>
          <w:rStyle w:val="VerbatimChar"/>
        </w:rPr>
        <w:t xml:space="preserve">feat/compliance-secops</w:t>
      </w:r>
      <w:r>
        <w:t xml:space="preserve">, build U18 and U24:</w:t>
      </w:r>
    </w:p>
    <w:p>
      <w:pPr>
        <w:numPr>
          <w:ilvl w:val="0"/>
          <w:numId w:val="1501"/>
        </w:numPr>
        <w:pStyle w:val="Compact"/>
      </w:pPr>
      <w:r>
        <w:t xml:space="preserve">the regulatory register with REQ-IDs, owners, controls, control tests and evidence; dated change log;</w:t>
      </w:r>
    </w:p>
    <w:p>
      <w:pPr>
        <w:numPr>
          <w:ilvl w:val="0"/>
          <w:numId w:val="1501"/>
        </w:numPr>
        <w:pStyle w:val="Compact"/>
      </w:pPr>
      <w:r>
        <w:t xml:space="preserve">the DLA register and CIMS data pack per RE (CF para 18, Annex-I) with change notices and CCO-certification evidence for CF para 18(4)(i)–(iv);</w:t>
      </w:r>
    </w:p>
    <w:p>
      <w:pPr>
        <w:numPr>
          <w:ilvl w:val="0"/>
          <w:numId w:val="1501"/>
        </w:numPr>
        <w:pStyle w:val="Compact"/>
      </w:pPr>
      <w:r>
        <w:t xml:space="preserve">RE, auditor and RBI read-only, time-boxed access to that RE’s data, logs and evidence (OUT paras 34, 74(ii), 81; CYB para 62(2)), as the minimum on the Phase 2 skeleton; the full grant workflow, scope catalogue, masking and access logs are Phase 16c (Part 7H RA2);</w:t>
      </w:r>
    </w:p>
    <w:p>
      <w:pPr>
        <w:numPr>
          <w:ilvl w:val="0"/>
          <w:numId w:val="1501"/>
        </w:numPr>
        <w:pStyle w:val="Compact"/>
      </w:pPr>
      <w:r>
        <w:t xml:space="preserve">vendor assurance pack generation (10.8);</w:t>
      </w:r>
    </w:p>
    <w:p>
      <w:pPr>
        <w:numPr>
          <w:ilvl w:val="0"/>
          <w:numId w:val="1501"/>
        </w:numPr>
        <w:pStyle w:val="Compact"/>
      </w:pPr>
      <w:r>
        <w:t xml:space="preserve">the LawDocsComply bridge (register, evidence and DLA feed);</w:t>
      </w:r>
    </w:p>
    <w:p>
      <w:pPr>
        <w:numPr>
          <w:ilvl w:val="0"/>
          <w:numId w:val="1501"/>
        </w:numPr>
        <w:pStyle w:val="Compact"/>
      </w:pPr>
      <w:r>
        <w:t xml:space="preserve">U24: SIEM feed per RE, anomaly rules, incident runbook with RE notification target ≤ 2 hours and CERT-In 6-hour reporting, fraud and device-risk signals to REs (FRM paras 13–23 as RE inputs), app-integrity verdict monitoring.</w:t>
      </w:r>
    </w:p>
    <w:p>
      <w:pPr>
        <w:pStyle w:val="BlockText"/>
      </w:pPr>
      <w:r>
        <w:t xml:space="preserve">Tests: an incident drill measuring Udofin detection → RE notification time; auditor role cannot see another RE; every REQ-ID has an owner and a control test.”</w:t>
      </w:r>
    </w:p>
    <w:bookmarkEnd w:id="514"/>
    <w:bookmarkStart w:id="515" w:name="phase-16b-ecosystem-integration-v2"/>
    <w:p>
      <w:pPr>
        <w:pStyle w:val="Heading3"/>
      </w:pPr>
      <w:r>
        <w:t xml:space="preserve">Phase 16b — Ecosystem integration v2</w:t>
      </w:r>
    </w:p>
    <w:p>
      <w:pPr>
        <w:pStyle w:val="BlockText"/>
      </w:pPr>
      <w:r>
        <w:rPr>
          <w:bCs/>
          <w:b/>
        </w:rPr>
        <w:t xml:space="preserve">Instruction to Claude:</w:t>
      </w:r>
      <w:r>
        <w:t xml:space="preserve"> </w:t>
      </w:r>
      <w:r>
        <w:t xml:space="preserve">“On branch</w:t>
      </w:r>
      <w:r>
        <w:t xml:space="preserve"> </w:t>
      </w:r>
      <w:r>
        <w:rPr>
          <w:rStyle w:val="VerbatimChar"/>
        </w:rPr>
        <w:t xml:space="preserve">feat/ecosystem-integration-v2</w:t>
      </w:r>
      <w:r>
        <w:t xml:space="preserve">, bring every Udofin connector to the Infrabyx Ecosystem Integration Specification v1.1 (</w:t>
      </w:r>
      <w:r>
        <w:rPr>
          <w:rStyle w:val="VerbatimChar"/>
        </w:rPr>
        <w:t xml:space="preserve">docs/ecosystem/infrabyx-integration-spec.md</w:t>
      </w:r>
      <w:r>
        <w:t xml:space="preserve">):</w:t>
      </w:r>
    </w:p>
    <w:p>
      <w:pPr>
        <w:numPr>
          <w:ilvl w:val="0"/>
          <w:numId w:val="1502"/>
        </w:numPr>
        <w:pStyle w:val="Compact"/>
      </w:pPr>
      <w:r>
        <w:t xml:space="preserve">contracts: CloudEvents 1.0 envelope with the specification’s type and source conventions and the extensions</w:t>
      </w:r>
      <w:r>
        <w:t xml:space="preserve"> </w:t>
      </w:r>
      <w:r>
        <w:rPr>
          <w:rStyle w:val="VerbatimChar"/>
        </w:rPr>
        <w:t xml:space="preserve">tenantid</w:t>
      </w:r>
      <w:r>
        <w:t xml:space="preserve">,</w:t>
      </w:r>
      <w:r>
        <w:t xml:space="preserve"> </w:t>
      </w:r>
      <w:r>
        <w:rPr>
          <w:rStyle w:val="VerbatimChar"/>
        </w:rPr>
        <w:t xml:space="preserve">reid</w:t>
      </w:r>
      <w:r>
        <w:t xml:space="preserve">,</w:t>
      </w:r>
      <w:r>
        <w:t xml:space="preserve"> </w:t>
      </w:r>
      <w:r>
        <w:rPr>
          <w:rStyle w:val="VerbatimChar"/>
        </w:rPr>
        <w:t xml:space="preserve">productfamily</w:t>
      </w:r>
      <w:r>
        <w:t xml:space="preserve">,</w:t>
      </w:r>
      <w:r>
        <w:t xml:space="preserve"> </w:t>
      </w:r>
      <w:r>
        <w:rPr>
          <w:rStyle w:val="VerbatimChar"/>
        </w:rPr>
        <w:t xml:space="preserve">correlationid</w:t>
      </w:r>
      <w:r>
        <w:t xml:space="preserve">,</w:t>
      </w:r>
      <w:r>
        <w:t xml:space="preserve"> </w:t>
      </w:r>
      <w:r>
        <w:rPr>
          <w:rStyle w:val="VerbatimChar"/>
        </w:rPr>
        <w:t xml:space="preserve">causationid</w:t>
      </w:r>
      <w:r>
        <w:t xml:space="preserve">,</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w:t>
      </w:r>
      <w:r>
        <w:t xml:space="preserve"> </w:t>
      </w:r>
      <w:r>
        <w:rPr>
          <w:rStyle w:val="VerbatimChar"/>
        </w:rPr>
        <w:t xml:space="preserve">dataclass</w:t>
      </w:r>
      <w:r>
        <w:t xml:space="preserve">,</w:t>
      </w:r>
      <w:r>
        <w:t xml:space="preserve"> </w:t>
      </w:r>
      <w:r>
        <w:rPr>
          <w:rStyle w:val="VerbatimChar"/>
        </w:rPr>
        <w:t xml:space="preserve">schemaver</w:t>
      </w:r>
      <w:r>
        <w:t xml:space="preserve">,</w:t>
      </w:r>
      <w:r>
        <w:t xml:space="preserve"> </w:t>
      </w:r>
      <w:r>
        <w:rPr>
          <w:rStyle w:val="VerbatimChar"/>
        </w:rPr>
        <w:t xml:space="preserve">seq</w:t>
      </w:r>
      <w:r>
        <w:t xml:space="preserve"> </w:t>
      </w:r>
      <w:r>
        <w:t xml:space="preserve">and</w:t>
      </w:r>
      <w:r>
        <w:t xml:space="preserve"> </w:t>
      </w:r>
      <w:r>
        <w:rPr>
          <w:rStyle w:val="VerbatimChar"/>
        </w:rPr>
        <w:t xml:space="preserve">traceparent</w:t>
      </w:r>
      <w:r>
        <w:t xml:space="preserve"> </w:t>
      </w:r>
      <w:r>
        <w:t xml:space="preserve">(Integration Spec 3.2); AsyncAPI 3.0 and OpenAPI 3.1; JSON Schema 2020-12 registry with backward-compatibility checks and 90-day dual publication of any breaking</w:t>
      </w:r>
      <w:r>
        <w:t xml:space="preserve"> </w:t>
      </w:r>
      <w:r>
        <w:rPr>
          <w:rStyle w:val="VerbatimChar"/>
        </w:rPr>
        <w:t xml:space="preserve">vN</w:t>
      </w:r>
      <w:r>
        <w:t xml:space="preserve">; Pact tests in both pipelines;</w:t>
      </w:r>
    </w:p>
    <w:p>
      <w:pPr>
        <w:numPr>
          <w:ilvl w:val="0"/>
          <w:numId w:val="1502"/>
        </w:numPr>
        <w:pStyle w:val="Compact"/>
      </w:pPr>
      <w:r>
        <w:t xml:space="preserve">security: mTLS everywhere; RFC 9421 HTTP Message Signatures, with a detached JWS for documents and regulated messages; OAuth 2.1 client credentials bound by mTLS; FAPI 2.0 where an API acts for the borrower; Standard Webhooks for external webhooks;</w:t>
      </w:r>
      <w:r>
        <w:t xml:space="preserve"> </w:t>
      </w:r>
      <w:r>
        <w:rPr>
          <w:rStyle w:val="VerbatimChar"/>
        </w:rPr>
        <w:t xml:space="preserve">Idempotency-Key</w:t>
      </w:r>
      <w:r>
        <w:t xml:space="preserve"> </w:t>
      </w:r>
      <w:r>
        <w:t xml:space="preserve">on every POST; outbox, inbox and dead-letter queue;</w:t>
      </w:r>
    </w:p>
    <w:p>
      <w:pPr>
        <w:numPr>
          <w:ilvl w:val="0"/>
          <w:numId w:val="1502"/>
        </w:numPr>
        <w:pStyle w:val="Compact"/>
      </w:pPr>
      <w:r>
        <w:t xml:space="preserve">every product lifecycle (Products 1–15, Part 6.4), including the LAS collateral events (Part 6.5), the co-lending and transfer events, the recovery, ADR and litigation views (Part 7A) and the six events adopted in v1.1 (Part 5.2);</w:t>
      </w:r>
    </w:p>
    <w:p>
      <w:pPr>
        <w:numPr>
          <w:ilvl w:val="0"/>
          <w:numId w:val="1502"/>
        </w:numPr>
        <w:pStyle w:val="Compact"/>
      </w:pPr>
      <w:r>
        <w:t xml:space="preserve">Equator and other ODR providers through one</w:t>
      </w:r>
      <w:r>
        <w:t xml:space="preserve"> </w:t>
      </w:r>
      <w:r>
        <w:rPr>
          <w:rStyle w:val="VerbatimChar"/>
        </w:rPr>
        <w:t xml:space="preserve">OdrProvider</w:t>
      </w:r>
      <w:r>
        <w:t xml:space="preserve"> </w:t>
      </w:r>
      <w:r>
        <w:t xml:space="preserve">contract, with CSV or SFTP where a provider has no API;</w:t>
      </w:r>
    </w:p>
    <w:p>
      <w:pPr>
        <w:numPr>
          <w:ilvl w:val="0"/>
          <w:numId w:val="1502"/>
        </w:numPr>
        <w:pStyle w:val="Compact"/>
      </w:pPr>
      <w:r>
        <w:t xml:space="preserve">LawDocsComply and third-party GRC tools (MetricStream, IBM OpenPages, ServiceNow IRM, Archer) through the generic GRC contract with OSCAL export (U18);</w:t>
      </w:r>
    </w:p>
    <w:p>
      <w:pPr>
        <w:numPr>
          <w:ilvl w:val="0"/>
          <w:numId w:val="1502"/>
        </w:numPr>
        <w:pStyle w:val="Compact"/>
      </w:pPr>
      <w:r>
        <w:t xml:space="preserve">third-party LOS/LMS connectors certified per RE with the same suite; notice-dispatch adapters for RE-issued notices; court-data views only as RE-permitted projections;</w:t>
      </w:r>
    </w:p>
    <w:p>
      <w:pPr>
        <w:numPr>
          <w:ilvl w:val="0"/>
          <w:numId w:val="1502"/>
        </w:numPr>
        <w:pStyle w:val="Compact"/>
      </w:pPr>
      <w:r>
        <w:t xml:space="preserve">module manifests for every attachable module, and a connector certification suite that emits</w:t>
      </w:r>
      <w:r>
        <w:t xml:space="preserve"> </w:t>
      </w:r>
      <w:r>
        <w:rPr>
          <w:rStyle w:val="VerbatimChar"/>
        </w:rPr>
        <w:t xml:space="preserve">ConnectorCertified</w:t>
      </w:r>
      <w:r>
        <w:t xml:space="preserve"> </w:t>
      </w:r>
      <w:r>
        <w:t xml:space="preserve">and stores the report as evidence.</w:t>
      </w:r>
    </w:p>
    <w:p>
      <w:pPr>
        <w:pStyle w:val="BlockText"/>
      </w:pPr>
      <w:r>
        <w:t xml:space="preserve">Never rename a canonical event; raise any gap as a versioned contract change in every affected repository. Tests: contract conformance for every event and API; signature, replay and idempotency rejection; payloads without a consent reference or statutory-basis flag rejected (CF para 13(4)); registry rejects a breaking change without a new version; tenant-isolation and India-residency checks; a certification report per connector.”</w:t>
      </w:r>
    </w:p>
    <w:bookmarkEnd w:id="515"/>
    <w:bookmarkStart w:id="516" w:name="X4b1570c06efcecf74c3f8cde5c288e04b0a66fc"/>
    <w:p>
      <w:pPr>
        <w:pStyle w:val="Heading3"/>
      </w:pPr>
      <w:r>
        <w:t xml:space="preserve">Phase 16c — Risk function, supervisory access, data portability and engineering assurance</w:t>
      </w:r>
    </w:p>
    <w:p>
      <w:pPr>
        <w:pStyle w:val="BlockText"/>
      </w:pPr>
      <w:r>
        <w:rPr>
          <w:bCs/>
          <w:b/>
        </w:rPr>
        <w:t xml:space="preserve">Instruction to Claude:</w:t>
      </w:r>
      <w:r>
        <w:t xml:space="preserve"> </w:t>
      </w:r>
      <w:r>
        <w:t xml:space="preserve">“Before writing the specification, verify: (i) OUT paras 30, 34(ii), (iv), (vii)–(ix), (xii), 38, 61, 74(ii), (vi), (xii), 77, 81, 87 and 97(xvi), CYB paras 46, 57, 105–106 and 121–126, CF paras 20(3), 21(1), 23–28, and the ORM guidance note paras 31–33, 42 and 73 (guidance, not a Direction); (ii) counsel’s opinion on notifying the RE of a direct RBI request and whether RBI Act s.45NAA could ever apply [VERIFY]; (iii) Integration Spec v1.1 risk, audit and portability events (</w:t>
      </w:r>
      <w:r>
        <w:rPr>
          <w:rStyle w:val="VerbatimChar"/>
        </w:rPr>
        <w:t xml:space="preserve">KriBreached</w:t>
      </w:r>
      <w:r>
        <w:t xml:space="preserve">,</w:t>
      </w:r>
      <w:r>
        <w:t xml:space="preserve"> </w:t>
      </w:r>
      <w:r>
        <w:rPr>
          <w:rStyle w:val="VerbatimChar"/>
        </w:rPr>
        <w:t xml:space="preserve">LossEventRecorded</w:t>
      </w:r>
      <w:r>
        <w:t xml:space="preserve">,</w:t>
      </w:r>
      <w:r>
        <w:t xml:space="preserve"> </w:t>
      </w:r>
      <w:r>
        <w:rPr>
          <w:rStyle w:val="VerbatimChar"/>
        </w:rPr>
        <w:t xml:space="preserve">LimitBreached</w:t>
      </w:r>
      <w:r>
        <w:t xml:space="preserve"> </w:t>
      </w:r>
      <w:r>
        <w:t xml:space="preserve">with</w:t>
      </w:r>
      <w:r>
        <w:t xml:space="preserve"> </w:t>
      </w:r>
      <w:r>
        <w:rPr>
          <w:rStyle w:val="VerbatimChar"/>
        </w:rPr>
        <w:t xml:space="preserve">limit_type</w:t>
      </w:r>
      <w:r>
        <w:t xml:space="preserve"> </w:t>
      </w:r>
      <w:r>
        <w:t xml:space="preserve">and</w:t>
      </w:r>
      <w:r>
        <w:t xml:space="preserve"> </w:t>
      </w:r>
      <w:r>
        <w:rPr>
          <w:rStyle w:val="VerbatimChar"/>
        </w:rPr>
        <w:t xml:space="preserve">status</w:t>
      </w:r>
      <w:r>
        <w:t xml:space="preserve"> </w:t>
      </w:r>
      <w:r>
        <w:t xml:space="preserve">OPEN or CURED,</w:t>
      </w:r>
      <w:r>
        <w:t xml:space="preserve"> </w:t>
      </w:r>
      <w:r>
        <w:rPr>
          <w:rStyle w:val="VerbatimChar"/>
        </w:rPr>
        <w:t xml:space="preserve">RiskSnapshotPublished</w:t>
      </w:r>
      <w:r>
        <w:t xml:space="preserve">,</w:t>
      </w:r>
      <w:r>
        <w:t xml:space="preserve"> </w:t>
      </w:r>
      <w:r>
        <w:rPr>
          <w:rStyle w:val="VerbatimChar"/>
        </w:rPr>
        <w:t xml:space="preserve">ExternalAccessGranted</w:t>
      </w:r>
      <w:r>
        <w:t xml:space="preserve">,</w:t>
      </w:r>
      <w:r>
        <w:t xml:space="preserve"> </w:t>
      </w:r>
      <w:r>
        <w:rPr>
          <w:rStyle w:val="VerbatimChar"/>
        </w:rPr>
        <w:t xml:space="preserve">ExternalAccessUsed</w:t>
      </w:r>
      <w:r>
        <w:t xml:space="preserve">,</w:t>
      </w:r>
      <w:r>
        <w:t xml:space="preserve"> </w:t>
      </w:r>
      <w:r>
        <w:rPr>
          <w:rStyle w:val="VerbatimChar"/>
        </w:rPr>
        <w:t xml:space="preserve">ExternalAccessRevoked</w:t>
      </w:r>
      <w:r>
        <w:t xml:space="preserve">,</w:t>
      </w:r>
      <w:r>
        <w:t xml:space="preserve"> </w:t>
      </w:r>
      <w:r>
        <w:rPr>
          <w:rStyle w:val="VerbatimChar"/>
        </w:rPr>
        <w:t xml:space="preserve">StorageTargetConnected</w:t>
      </w:r>
      <w:r>
        <w:t xml:space="preserve">,</w:t>
      </w:r>
      <w:r>
        <w:t xml:space="preserve"> </w:t>
      </w:r>
      <w:r>
        <w:rPr>
          <w:rStyle w:val="VerbatimChar"/>
        </w:rPr>
        <w:t xml:space="preserve">BackupCompleted</w:t>
      </w:r>
      <w:r>
        <w:t xml:space="preserve">,</w:t>
      </w:r>
      <w:r>
        <w:t xml:space="preserve"> </w:t>
      </w:r>
      <w:r>
        <w:rPr>
          <w:rStyle w:val="VerbatimChar"/>
        </w:rPr>
        <w:t xml:space="preserve">RestoreTested</w:t>
      </w:r>
      <w:r>
        <w:t xml:space="preserve">,</w:t>
      </w:r>
      <w:r>
        <w:t xml:space="preserve"> </w:t>
      </w:r>
      <w:r>
        <w:rPr>
          <w:rStyle w:val="VerbatimChar"/>
        </w:rPr>
        <w:t xml:space="preserve">ReleasePublished</w:t>
      </w:r>
      <w:r>
        <w:t xml:space="preserve">,</w:t>
      </w:r>
      <w:r>
        <w:t xml:space="preserve"> </w:t>
      </w:r>
      <w:r>
        <w:rPr>
          <w:rStyle w:val="VerbatimChar"/>
        </w:rPr>
        <w:t xml:space="preserve">ChangeApproved</w:t>
      </w:r>
      <w:r>
        <w:t xml:space="preserve">,</w:t>
      </w:r>
      <w:r>
        <w:t xml:space="preserve"> </w:t>
      </w:r>
      <w:r>
        <w:rPr>
          <w:rStyle w:val="VerbatimChar"/>
        </w:rPr>
        <w:t xml:space="preserve">ControlEvidenceCollected</w:t>
      </w:r>
      <w:r>
        <w:t xml:space="preserve">) and the export-archive standard; (iv) Finbyx Part 7L EO1–EO5 and the Operations Hub OH13 and OH14 contracts (until Hub phase O12 is live, keep evidence in a local store with the same schema); (v) Microsoft 365 data residency for any SharePoint or OneDrive target [VERIFY]. Then, on branch</w:t>
      </w:r>
      <w:r>
        <w:t xml:space="preserve"> </w:t>
      </w:r>
      <w:r>
        <w:rPr>
          <w:rStyle w:val="VerbatimChar"/>
        </w:rPr>
        <w:t xml:space="preserve">feat/risk-access-portability-assurance</w:t>
      </w:r>
      <w:r>
        <w:t xml:space="preserve">, build Part 7H RA1–RA4:</w:t>
      </w:r>
    </w:p>
    <w:p>
      <w:pPr>
        <w:numPr>
          <w:ilvl w:val="0"/>
          <w:numId w:val="1503"/>
        </w:numPr>
        <w:pStyle w:val="Compact"/>
      </w:pPr>
      <w:r>
        <w:rPr>
          <w:bCs/>
          <w:b/>
        </w:rPr>
        <w:t xml:space="preserve">RA1 risk function:</w:t>
      </w:r>
      <w:r>
        <w:t xml:space="preserve"> </w:t>
      </w:r>
      <w:r>
        <w:t xml:space="preserve">register R01–R15 with owner, 5 × 5 ratings, controls with test references, appetite and KRIs; the KRI library with the formulas and Board thresholds of RA1.3, tightened per deal; the DLG cap monitor run daily, on every</w:t>
      </w:r>
      <w:r>
        <w:t xml:space="preserve"> </w:t>
      </w:r>
      <w:r>
        <w:rPr>
          <w:rStyle w:val="VerbatimChar"/>
        </w:rPr>
        <w:t xml:space="preserve">LoanDisbursed</w:t>
      </w:r>
      <w:r>
        <w:t xml:space="preserve"> </w:t>
      </w:r>
      <w:r>
        <w:t xml:space="preserve">and on every cover change (cover ≤ 5% of the total amount disbursed out of each fixed set, CF para 24(1)–(2); repayments never reduce the denominator and invoked cover is never reinstated, para 25(4); permitted forms only, CF para 23; current auditor declaration, CF para 20(3)), refusing any cover that would exceed the cap and sending</w:t>
      </w:r>
      <w:r>
        <w:t xml:space="preserve"> </w:t>
      </w:r>
      <w:r>
        <w:rPr>
          <w:rStyle w:val="VerbatimChar"/>
        </w:rPr>
        <w:t xml:space="preserve">LimitBreached</w:t>
      </w:r>
      <w:r>
        <w:t xml:space="preserve"> </w:t>
      </w:r>
      <w:r>
        <w:t xml:space="preserve">(</w:t>
      </w:r>
      <w:r>
        <w:rPr>
          <w:rStyle w:val="VerbatimChar"/>
        </w:rPr>
        <w:t xml:space="preserve">DLG_CAP</w:t>
      </w:r>
      <w:r>
        <w:t xml:space="preserve">, OPEN then CURED); loss events (ORM para 42), semi-annual RCSA and impact tolerances (ORM para 33); the quarterly pack per RE within 15 days of quarter-end; the LawDocsComply feed with aggregates and HMAC pseudonyms keyed in the tenant’s KMS, no PII; Udofin never computes or displays any RE’s CRAR, NPA or ALM metrics as its own;</w:t>
      </w:r>
    </w:p>
    <w:p>
      <w:pPr>
        <w:numPr>
          <w:ilvl w:val="0"/>
          <w:numId w:val="1503"/>
        </w:numPr>
        <w:pStyle w:val="Compact"/>
      </w:pPr>
      <w:r>
        <w:rPr>
          <w:bCs/>
          <w:b/>
        </w:rPr>
        <w:t xml:space="preserve">RA2 RE auditor and supervisor access:</w:t>
      </w:r>
      <w:r>
        <w:t xml:space="preserve"> </w:t>
      </w:r>
      <w:r>
        <w:t xml:space="preserve">the Integration Spec 4.7 lifecycle (REQUESTED → BASIS_RECORDED → SCOPE_DEFINED → RE_APPROVED → PROVIDER_APPROVED → PROVISIONED → ACTIVE ⇄ EXTENDED → EXPIRED or REVOKED → ARCHIVED) on the Phase 2 role skeleton, including grants federated from the RE’s register through</w:t>
      </w:r>
      <w:r>
        <w:t xml:space="preserve"> </w:t>
      </w:r>
      <w:r>
        <w:rPr>
          <w:rStyle w:val="VerbatimChar"/>
        </w:rPr>
        <w:t xml:space="preserve">POST /v1/external-access/grants</w:t>
      </w:r>
      <w:r>
        <w:t xml:space="preserve">; one RE per scope; grantee types and basis codes from the Spec code tables (OUT paras 34(ii), (vii)–(ix), 74(ii), 81; CYB paras 46, 57); RE maker-checker approval, which cannot narrow an RBI request; RE notice of a direct RBI request within 1 hour unless legally barred; named users, MFA,</w:t>
      </w:r>
      <w:r>
        <w:t xml:space="preserve"> </w:t>
      </w:r>
      <w:r>
        <w:rPr>
          <w:rStyle w:val="VerbatimChar"/>
        </w:rPr>
        <w:t xml:space="preserve">rbi.org.in</w:t>
      </w:r>
      <w:r>
        <w:t xml:space="preserve"> </w:t>
      </w:r>
      <w:r>
        <w:t xml:space="preserve">domain check; default 30 days and a hard maximum of 90 days per grant including extensions; read-only snapshot, SELECT-only grants and</w:t>
      </w:r>
      <w:r>
        <w:t xml:space="preserve"> </w:t>
      </w:r>
      <w:r>
        <w:rPr>
          <w:rStyle w:val="VerbatimChar"/>
        </w:rPr>
        <w:t xml:space="preserve">read:*</w:t>
      </w:r>
      <w:r>
        <w:t xml:space="preserve"> </w:t>
      </w:r>
      <w:r>
        <w:t xml:space="preserve">scopes; masking with logged per-record unmask; watermarked, hashed, capped exports; daily activity report to the RE’s CCO; revocation within 60 seconds;</w:t>
      </w:r>
    </w:p>
    <w:p>
      <w:pPr>
        <w:numPr>
          <w:ilvl w:val="0"/>
          <w:numId w:val="1503"/>
        </w:numPr>
        <w:pStyle w:val="Compact"/>
      </w:pPr>
      <w:r>
        <w:rPr>
          <w:bCs/>
          <w:b/>
        </w:rPr>
        <w:t xml:space="preserve">RA3 export and RE-controlled storage:</w:t>
      </w:r>
      <w:r>
        <w:t xml:space="preserve"> </w:t>
      </w:r>
      <w:r>
        <w:t xml:space="preserve">the data-class rules (wellness and insurance data never in an RE archive); folders 00–17 in the Integration Spec 12.1 archive standard (profile</w:t>
      </w:r>
      <w:r>
        <w:t xml:space="preserve"> </w:t>
      </w:r>
      <w:r>
        <w:rPr>
          <w:rStyle w:val="VerbatimChar"/>
        </w:rPr>
        <w:t xml:space="preserve">udofin_re_v1</w:t>
      </w:r>
      <w:r>
        <w:t xml:space="preserve">:</w:t>
      </w:r>
      <w:r>
        <w:t xml:space="preserve"> </w:t>
      </w:r>
      <w:r>
        <w:rPr>
          <w:rStyle w:val="VerbatimChar"/>
        </w:rPr>
        <w:t xml:space="preserve">00 Start Here</w:t>
      </w:r>
      <w:r>
        <w:t xml:space="preserve"> </w:t>
      </w:r>
      <w:r>
        <w:t xml:space="preserve">with README as PDF, DOCX and TXT,</w:t>
      </w:r>
      <w:r>
        <w:t xml:space="preserve"> </w:t>
      </w:r>
      <w:r>
        <w:rPr>
          <w:rStyle w:val="VerbatimChar"/>
        </w:rPr>
        <w:t xml:space="preserve">[dataset].csv</w:t>
      </w:r>
      <w:r>
        <w:t xml:space="preserve">,</w:t>
      </w:r>
      <w:r>
        <w:t xml:space="preserve"> </w:t>
      </w:r>
      <w:r>
        <w:rPr>
          <w:rStyle w:val="VerbatimChar"/>
        </w:rPr>
        <w:t xml:space="preserve">.xlsx</w:t>
      </w:r>
      <w:r>
        <w:t xml:space="preserve"> </w:t>
      </w:r>
      <w:r>
        <w:t xml:space="preserve">and</w:t>
      </w:r>
      <w:r>
        <w:t xml:space="preserve"> </w:t>
      </w:r>
      <w:r>
        <w:rPr>
          <w:rStyle w:val="VerbatimChar"/>
        </w:rPr>
        <w:t xml:space="preserve">.schema.json</w:t>
      </w:r>
      <w:r>
        <w:t xml:space="preserve">,</w:t>
      </w:r>
      <w:r>
        <w:t xml:space="preserve"> </w:t>
      </w:r>
      <w:r>
        <w:rPr>
          <w:rStyle w:val="VerbatimChar"/>
        </w:rPr>
        <w:t xml:space="preserve">manifest.json</w:t>
      </w:r>
      <w:r>
        <w:t xml:space="preserve"> </w:t>
      </w:r>
      <w:r>
        <w:t xml:space="preserve">with a detached JWS, control totals reconciled before signing, folder 12 as a separately encrypted restricted archive) with the open-source verifier; export jobs with second RE approver for full or exit exports; storage targets under the Integration Spec 12.2</w:t>
      </w:r>
      <w:r>
        <w:t xml:space="preserve"> </w:t>
      </w:r>
      <w:r>
        <w:rPr>
          <w:rStyle w:val="VerbatimChar"/>
        </w:rPr>
        <w:t xml:space="preserve">StorageTarget</w:t>
      </w:r>
      <w:r>
        <w:t xml:space="preserve"> </w:t>
      </w:r>
      <w:r>
        <w:t xml:space="preserve">contract with residency checks at registration, weekly and before every full or exit export (S3 ap-south-1 or ap-south-2, Azure India regions, GCS asia-south1 or asia-south2, SharePoint or OneDrive only with attested India residency, RE data centre in India; Google Drive only for non-regulated data and never borrower data; CF para 14(4); OUT para 74(vi)); optional daily backups to RE storage and quarterly restore tests;</w:t>
      </w:r>
    </w:p>
    <w:p>
      <w:pPr>
        <w:numPr>
          <w:ilvl w:val="0"/>
          <w:numId w:val="1503"/>
        </w:numPr>
        <w:pStyle w:val="Compact"/>
      </w:pPr>
      <w:r>
        <w:rPr>
          <w:bCs/>
          <w:b/>
        </w:rPr>
        <w:t xml:space="preserve">RA4 engineering operations:</w:t>
      </w:r>
      <w:r>
        <w:t xml:space="preserve"> </w:t>
      </w:r>
      <w:r>
        <w:t xml:space="preserve">parity with Finbyx EO1–EO5 (rulesets, CODEOWNERS, signed commits, the EO1.6 platform patch SLAs of 72 hours for critical, 7 days for high, 30 days for medium and 90 days for low, SBOM, VA every 6 months and PT every 12 months, CYB paras 105–106 escrow and certificates where an RE requires them); the app-store release controls of RA4.2 as pipeline gates that Phase 17 applies; the MASVS v2.1.0 programme tested under the MAS-L2 and MAS-R profiles (RA4.3); certification readiness with the claims linter (RA4.4): never claim a certification before the certificate or report is issued;</w:t>
      </w:r>
    </w:p>
    <w:p>
      <w:pPr>
        <w:numPr>
          <w:ilvl w:val="0"/>
          <w:numId w:val="1503"/>
        </w:numPr>
        <w:pStyle w:val="Compact"/>
      </w:pPr>
      <w:r>
        <w:rPr>
          <w:bCs/>
          <w:b/>
        </w:rPr>
        <w:t xml:space="preserve">menus, screens and settings:</w:t>
      </w:r>
      <w:r>
        <w:t xml:space="preserve"> </w:t>
      </w:r>
      <w:r>
        <w:t xml:space="preserve">build every entry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7H RA1–RA4 on the channel and workspace named there (navigation map in Appendix G), including the lender-portal</w:t>
      </w:r>
      <w:r>
        <w:t xml:space="preserve"> </w:t>
      </w:r>
      <w:r>
        <w:rPr>
          <w:rStyle w:val="VerbatimChar"/>
        </w:rPr>
        <w:t xml:space="preserve">Risk</w:t>
      </w:r>
      <w:r>
        <w:t xml:space="preserve">,</w:t>
      </w:r>
      <w:r>
        <w:t xml:space="preserve"> </w:t>
      </w:r>
      <w:r>
        <w:rPr>
          <w:rStyle w:val="VerbatimChar"/>
        </w:rPr>
        <w:t xml:space="preserve">Audit access</w:t>
      </w:r>
      <w:r>
        <w:t xml:space="preserve"> </w:t>
      </w:r>
      <w:r>
        <w:t xml:space="preserve">and</w:t>
      </w:r>
      <w:r>
        <w:t xml:space="preserve"> </w:t>
      </w:r>
      <w:r>
        <w:rPr>
          <w:rStyle w:val="VerbatimChar"/>
        </w:rPr>
        <w:t xml:space="preserve">Exports</w:t>
      </w:r>
      <w:r>
        <w:t xml:space="preserve"> </w:t>
      </w:r>
      <w:r>
        <w:t xml:space="preserve">menus, the auditor and supervisor workspace (channel G) and the operations-portal</w:t>
      </w:r>
      <w:r>
        <w:t xml:space="preserve"> </w:t>
      </w:r>
      <w:r>
        <w:rPr>
          <w:rStyle w:val="VerbatimChar"/>
        </w:rPr>
        <w:t xml:space="preserve">Risk</w:t>
      </w:r>
      <w:r>
        <w:t xml:space="preserve">,</w:t>
      </w:r>
      <w:r>
        <w:t xml:space="preserve"> </w:t>
      </w:r>
      <w:r>
        <w:rPr>
          <w:rStyle w:val="VerbatimChar"/>
        </w:rPr>
        <w:t xml:space="preserve">Compliance › External access</w:t>
      </w:r>
      <w:r>
        <w:t xml:space="preserve">,</w:t>
      </w:r>
      <w:r>
        <w:t xml:space="preserve"> </w:t>
      </w:r>
      <w:r>
        <w:rPr>
          <w:rStyle w:val="VerbatimChar"/>
        </w:rPr>
        <w:t xml:space="preserve">Portability</w:t>
      </w:r>
      <w:r>
        <w:t xml:space="preserve"> </w:t>
      </w:r>
      <w:r>
        <w:t xml:space="preserve">and</w:t>
      </w:r>
      <w:r>
        <w:t xml:space="preserve"> </w:t>
      </w:r>
      <w:r>
        <w:rPr>
          <w:rStyle w:val="VerbatimChar"/>
        </w:rPr>
        <w:t xml:space="preserve">Engineering</w:t>
      </w:r>
      <w:r>
        <w:t xml:space="preserve"> </w:t>
      </w:r>
      <w:r>
        <w:t xml:space="preserve">menus: list, detail, wizard, approval-queue and dashboard screens with their key and bulk actions, filters, exports, empty and error states and role visibility; each setting as a versioned, effective-dated</w:t>
      </w:r>
      <w:r>
        <w:t xml:space="preserve"> </w:t>
      </w:r>
      <w:r>
        <w:rPr>
          <w:rStyle w:val="VerbatimChar"/>
        </w:rPr>
        <w:t xml:space="preserve">module_setting</w:t>
      </w:r>
      <w:r>
        <w:t xml:space="preserve"> </w:t>
      </w:r>
      <w:r>
        <w:t xml:space="preserve">record with its default, where a regulatory floor is enforced server-side and can never be relaxed.</w:t>
      </w:r>
    </w:p>
    <w:p>
      <w:pPr>
        <w:pStyle w:val="BlockText"/>
      </w:pPr>
      <w:r>
        <w:t xml:space="preserve">Tests and acceptance evidence:</w:t>
      </w:r>
    </w:p>
    <w:p>
      <w:pPr>
        <w:numPr>
          <w:ilvl w:val="0"/>
          <w:numId w:val="1504"/>
        </w:numPr>
        <w:pStyle w:val="Compact"/>
      </w:pPr>
      <w:r>
        <w:t xml:space="preserve">every RA1–RA4 acceptance test in Part 7H;</w:t>
      </w:r>
    </w:p>
    <w:p>
      <w:pPr>
        <w:numPr>
          <w:ilvl w:val="0"/>
          <w:numId w:val="1504"/>
        </w:numPr>
        <w:pStyle w:val="Compact"/>
      </w:pPr>
      <w:r>
        <w:t xml:space="preserve">a KFS execution without acknowledgement raises</w:t>
      </w:r>
      <w:r>
        <w:t xml:space="preserve"> </w:t>
      </w:r>
      <w:r>
        <w:rPr>
          <w:rStyle w:val="VerbatimChar"/>
        </w:rPr>
        <w:t xml:space="preserve">KriBreached</w:t>
      </w:r>
      <w:r>
        <w:t xml:space="preserve"> </w:t>
      </w:r>
      <w:r>
        <w:t xml:space="preserve">within 5 minutes; a cover top-up that would take a DLG set above 5% of its total amount disbursed is refused, and a computed ratio above 5% raises</w:t>
      </w:r>
      <w:r>
        <w:t xml:space="preserve"> </w:t>
      </w:r>
      <w:r>
        <w:rPr>
          <w:rStyle w:val="VerbatimChar"/>
        </w:rPr>
        <w:t xml:space="preserve">LimitBreached</w:t>
      </w:r>
      <w:r>
        <w:t xml:space="preserve">;</w:t>
      </w:r>
    </w:p>
    <w:p>
      <w:pPr>
        <w:numPr>
          <w:ilvl w:val="0"/>
          <w:numId w:val="1504"/>
        </w:numPr>
        <w:pStyle w:val="Compact"/>
      </w:pPr>
      <w:r>
        <w:t xml:space="preserve">a quarterly pack for RE A contains nothing about RE B, and no risk payload contains a name, phone, PAN, account number or Aadhaar reference;</w:t>
      </w:r>
    </w:p>
    <w:p>
      <w:pPr>
        <w:numPr>
          <w:ilvl w:val="0"/>
          <w:numId w:val="1504"/>
        </w:numPr>
        <w:pStyle w:val="Compact"/>
      </w:pPr>
      <w:r>
        <w:t xml:space="preserve">a grant without basis, RE approval or expiry cannot be provisioned; an extension beyond 90 days from</w:t>
      </w:r>
      <w:r>
        <w:t xml:space="preserve"> </w:t>
      </w:r>
      <w:r>
        <w:rPr>
          <w:rStyle w:val="VerbatimChar"/>
        </w:rPr>
        <w:t xml:space="preserve">valid_from</w:t>
      </w:r>
      <w:r>
        <w:t xml:space="preserve"> </w:t>
      </w:r>
      <w:r>
        <w:t xml:space="preserve">is refused; a grantee cannot write or read another RE (penetration cases);</w:t>
      </w:r>
    </w:p>
    <w:p>
      <w:pPr>
        <w:numPr>
          <w:ilvl w:val="0"/>
          <w:numId w:val="1504"/>
        </w:numPr>
        <w:pStyle w:val="Compact"/>
      </w:pPr>
      <w:r>
        <w:t xml:space="preserve">a Google Drive target is refused for any borrower data class and a non-India S3, Azure or GCS target is refused; the verifier detects one altered byte; LibreOffice and veraPDF pass every generated XLSX, DOCX and PDF/A file in CI;</w:t>
      </w:r>
    </w:p>
    <w:p>
      <w:pPr>
        <w:numPr>
          <w:ilvl w:val="0"/>
          <w:numId w:val="1504"/>
        </w:numPr>
        <w:pStyle w:val="Compact"/>
      </w:pPr>
      <w:r>
        <w:t xml:space="preserve">a release with a changed Data safety answer cannot be submitted; the copy linter fails</w:t>
      </w:r>
      <w:r>
        <w:t xml:space="preserve"> </w:t>
      </w:r>
      <w:r>
        <w:t xml:space="preserve">‘</w:t>
      </w:r>
      <w:r>
        <w:t xml:space="preserve">ISO 27001 certified</w:t>
      </w:r>
      <w:r>
        <w:t xml:space="preserve">’</w:t>
      </w:r>
      <w:r>
        <w:t xml:space="preserve"> </w:t>
      </w:r>
      <w:r>
        <w:t xml:space="preserve">without an issued-certificate record;</w:t>
      </w:r>
    </w:p>
    <w:p>
      <w:pPr>
        <w:numPr>
          <w:ilvl w:val="0"/>
          <w:numId w:val="1504"/>
        </w:numPr>
        <w:pStyle w:val="Compact"/>
      </w:pPr>
      <w:r>
        <w:t xml:space="preserve">every screen in the RA1–RA4</w:t>
      </w:r>
      <w:r>
        <w:t xml:space="preserve"> </w:t>
      </w:r>
      <w:r>
        <w:rPr>
          <w:rStyle w:val="VerbatimChar"/>
        </w:rPr>
        <w:t xml:space="preserve">Menu and screens</w:t>
      </w:r>
      <w:r>
        <w:t xml:space="preserve"> </w:t>
      </w:r>
      <w:r>
        <w:t xml:space="preserve">lists renders only for the roles named there, and a setting change below its regulatory floor is refused server-side and logged.</w:t>
      </w:r>
    </w:p>
    <w:p>
      <w:pPr>
        <w:pStyle w:val="BlockText"/>
      </w:pPr>
      <w:r>
        <w:t xml:space="preserve">Show me the risk register with KRI formulas and thresholds, the access-grant state machine and scope catalogue, the RE archive folder map, the release-gate list, and the RA1–RA4 menu and settings map for approval before coding.”</w:t>
      </w:r>
    </w:p>
    <w:bookmarkEnd w:id="516"/>
    <w:bookmarkStart w:id="517" w:name="Xbb22883da73e7fd06f7336c66c168d348104e32"/>
    <w:p>
      <w:pPr>
        <w:pStyle w:val="Heading3"/>
      </w:pPr>
      <w:r>
        <w:t xml:space="preserve">Phase 17 — Mobile and web release engineering (Play Store, App Store, PWA)</w:t>
      </w:r>
    </w:p>
    <w:p>
      <w:pPr>
        <w:pStyle w:val="BlockText"/>
      </w:pPr>
      <w:r>
        <w:rPr>
          <w:bCs/>
          <w:b/>
        </w:rPr>
        <w:t xml:space="preserve">Instruction to Claude:</w:t>
      </w:r>
      <w:r>
        <w:t xml:space="preserve"> </w:t>
      </w:r>
      <w:r>
        <w:t xml:space="preserve">“On branch</w:t>
      </w:r>
      <w:r>
        <w:t xml:space="preserve"> </w:t>
      </w:r>
      <w:r>
        <w:rPr>
          <w:rStyle w:val="VerbatimChar"/>
        </w:rPr>
        <w:t xml:space="preserve">feat/release-engineering</w:t>
      </w:r>
      <w:r>
        <w:t xml:space="preserve">, prepare the releases in this order:</w:t>
      </w:r>
      <w:r>
        <w:t xml:space="preserve"> </w:t>
      </w:r>
      <w:r>
        <w:rPr>
          <w:bCs/>
          <w:b/>
        </w:rPr>
        <w:t xml:space="preserve">Google Play first, then the App Store, plus the PWA.</w:t>
      </w:r>
    </w:p>
    <w:p>
      <w:pPr>
        <w:pStyle w:val="BlockText"/>
      </w:pPr>
      <w:r>
        <w:rPr>
          <w:bCs/>
          <w:b/>
        </w:rPr>
        <w:t xml:space="preserve">Google Play:</w:t>
      </w:r>
    </w:p>
    <w:p>
      <w:pPr>
        <w:numPr>
          <w:ilvl w:val="0"/>
          <w:numId w:val="1505"/>
        </w:numPr>
        <w:pStyle w:val="Compact"/>
      </w:pPr>
      <w:r>
        <w:t xml:space="preserve">confirm that each pilot RE has reported the Udofin Android app on CIMS and that it appears on RBI’s public list of DLAs deployed by REs before submission (CF para 18; Google Play India personal-loan requirement);</w:t>
      </w:r>
    </w:p>
    <w:p>
      <w:pPr>
        <w:numPr>
          <w:ilvl w:val="0"/>
          <w:numId w:val="1505"/>
        </w:numPr>
        <w:pStyle w:val="Compact"/>
      </w:pPr>
      <w:r>
        <w:t xml:space="preserve">Financial features declaration as a platform that facilitates loans by registered NBFCs or banks; names of all partner NBFCs and banks prominently in the description;</w:t>
      </w:r>
    </w:p>
    <w:p>
      <w:pPr>
        <w:numPr>
          <w:ilvl w:val="0"/>
          <w:numId w:val="1505"/>
        </w:numPr>
        <w:pStyle w:val="Compact"/>
      </w:pPr>
      <w:r>
        <w:t xml:space="preserve">listing metadata: minimum and maximum repayment period, maximum APR and a representative total-cost example; privacy policy URL; app category Finance;</w:t>
      </w:r>
    </w:p>
    <w:p>
      <w:pPr>
        <w:numPr>
          <w:ilvl w:val="0"/>
          <w:numId w:val="1505"/>
        </w:numPr>
        <w:pStyle w:val="Compact"/>
      </w:pPr>
      <w:r>
        <w:t xml:space="preserve">Data safety form matching the actual data flows and the permission policy; no prohibited permission in the merged manifest;</w:t>
      </w:r>
    </w:p>
    <w:p>
      <w:pPr>
        <w:numPr>
          <w:ilvl w:val="0"/>
          <w:numId w:val="1505"/>
        </w:numPr>
        <w:pStyle w:val="Compact"/>
      </w:pPr>
      <w:r>
        <w:t xml:space="preserve">Play App Signing; internal → closed → production staged rollout; Play Integrity configured;</w:t>
      </w:r>
    </w:p>
    <w:p>
      <w:pPr>
        <w:numPr>
          <w:ilvl w:val="0"/>
          <w:numId w:val="1505"/>
        </w:numPr>
        <w:pStyle w:val="Compact"/>
      </w:pPr>
      <w:r>
        <w:t xml:space="preserve">target API level 36 (Android 16) or higher, required for every new app and update since 31 Aug 2026 (extension to 1 Nov 2026 only on request), and 16 KB memory-page-size support for every native library (required since 1 Nov 2025 for apps targeting Android 15+); CI fails a release build that misses either.</w:t>
      </w:r>
    </w:p>
    <w:p>
      <w:pPr>
        <w:pStyle w:val="BlockText"/>
      </w:pPr>
      <w:r>
        <w:rPr>
          <w:bCs/>
          <w:b/>
        </w:rPr>
        <w:t xml:space="preserve">App Store:</w:t>
      </w:r>
    </w:p>
    <w:p>
      <w:pPr>
        <w:numPr>
          <w:ilvl w:val="0"/>
          <w:numId w:val="1506"/>
        </w:numPr>
        <w:pStyle w:val="Compact"/>
      </w:pPr>
      <w:r>
        <w:t xml:space="preserve">submission by Udofin as a legal entity (Guideline 5.1.1(ix));</w:t>
      </w:r>
    </w:p>
    <w:p>
      <w:pPr>
        <w:numPr>
          <w:ilvl w:val="0"/>
          <w:numId w:val="1506"/>
        </w:numPr>
        <w:pStyle w:val="Compact"/>
      </w:pPr>
      <w:r>
        <w:t xml:space="preserve">maximum equivalent APR and payment due date disclosed; no offer above 36% APR and no loan repayable in full in 60 days or less in the iOS channel (Guideline 3.2.2(ix)); App Privacy labels matching flows; App Attest configured; separate CIMS line for the iOS app;</w:t>
      </w:r>
    </w:p>
    <w:p>
      <w:pPr>
        <w:numPr>
          <w:ilvl w:val="0"/>
          <w:numId w:val="1506"/>
        </w:numPr>
        <w:pStyle w:val="Compact"/>
      </w:pPr>
      <w:r>
        <w:t xml:space="preserve">TestFlight → phased release.</w:t>
      </w:r>
    </w:p>
    <w:p>
      <w:pPr>
        <w:pStyle w:val="BlockText"/>
      </w:pPr>
      <w:r>
        <w:rPr>
          <w:bCs/>
          <w:b/>
        </w:rPr>
        <w:t xml:space="preserve">OTA and versions:</w:t>
      </w:r>
      <w:r>
        <w:t xml:space="preserve"> </w:t>
      </w:r>
      <w:r>
        <w:t xml:space="preserve">EAS Update code signing, runtime-version policy, staged rollout with crash-rate rollback, release register; minimum supported version and six-month sunset (DPS para 68(2)(iii) baseline).</w:t>
      </w:r>
    </w:p>
    <w:p>
      <w:pPr>
        <w:pStyle w:val="BlockText"/>
      </w:pPr>
      <w:r>
        <w:rPr>
          <w:bCs/>
          <w:b/>
        </w:rPr>
        <w:t xml:space="preserve">PWA:</w:t>
      </w:r>
      <w:r>
        <w:t xml:space="preserve"> </w:t>
      </w:r>
      <w:r>
        <w:t xml:space="preserve">manifest, service worker for static assets only, install prompts, Lighthouse and Core Web Vitals checks.</w:t>
      </w:r>
    </w:p>
    <w:p>
      <w:pPr>
        <w:pStyle w:val="BlockText"/>
      </w:pPr>
      <w:r>
        <w:rPr>
          <w:bCs/>
          <w:b/>
        </w:rPr>
        <w:t xml:space="preserve">Release controls (Part 7H RA4.2–RA4.4; gates built in Phase 16c, applied here):</w:t>
      </w:r>
      <w:r>
        <w:t xml:space="preserve"> </w:t>
      </w:r>
      <w:r>
        <w:t xml:space="preserve">production builds only from protected tags with build number, commit, SBOM and permission manifest in the release record; the store-declaration gate comparing the merged manifest, Info.plist, privacy manifest, Data safety form, Financial features declaration and privacy labels with the approved versions; the partner-list check against the DLA register and each RE’s CIMS confirmation; staged rollout with automatic halt below 99.5% crash-free sessions, on Play’s ANR threshold or on a P1 incident; OTA rejection of any change to permissions, data collection, consent, disclosures, payments or security controls; hardware-key MFA, least privilege and a two-person rule on Play Console, App Store Connect and signing keys; an independent assessment of the release candidate against OWASP MASVS v2.1.0 under the MAS-L2 and MAS-R testing profiles using MASTG test cases, with findings tracked under the Finbyx EO1.6 platform SLAs (critical 72 hours, high 7 days, medium 30 days, low 90 days); no certification claim in any listing (RA4.4 copy linter).</w:t>
      </w:r>
    </w:p>
    <w:p>
      <w:pPr>
        <w:pStyle w:val="BlockText"/>
      </w:pPr>
      <w:r>
        <w:t xml:space="preserve">Produce</w:t>
      </w:r>
      <w:r>
        <w:t xml:space="preserve"> </w:t>
      </w:r>
      <w:r>
        <w:rPr>
          <w:rStyle w:val="VerbatimChar"/>
        </w:rPr>
        <w:t xml:space="preserve">docs/compliance/store-policy.md</w:t>
      </w:r>
      <w:r>
        <w:t xml:space="preserve"> </w:t>
      </w:r>
      <w:r>
        <w:t xml:space="preserve">with every requirement, its source URL, check date and evidence. Do not submit to any store without my explicit authorisation.”</w:t>
      </w:r>
    </w:p>
    <w:bookmarkEnd w:id="517"/>
    <w:bookmarkStart w:id="518" w:name="phase-p-mvp-hardening-and-pilot-go-live"/>
    <w:p>
      <w:pPr>
        <w:pStyle w:val="Heading3"/>
      </w:pPr>
      <w:r>
        <w:t xml:space="preserve">Phase P — MVP hardening and pilot go-live</w:t>
      </w:r>
    </w:p>
    <w:p>
      <w:pPr>
        <w:pStyle w:val="BlockText"/>
      </w:pPr>
      <w:r>
        <w:rPr>
          <w:bCs/>
          <w:b/>
        </w:rPr>
        <w:t xml:space="preserve">Instruction to Claude:</w:t>
      </w:r>
      <w:r>
        <w:t xml:space="preserve"> </w:t>
      </w:r>
      <w:r>
        <w:t xml:space="preserve">“On branch</w:t>
      </w:r>
      <w:r>
        <w:t xml:space="preserve"> </w:t>
      </w:r>
      <w:r>
        <w:rPr>
          <w:rStyle w:val="VerbatimChar"/>
        </w:rPr>
        <w:t xml:space="preserve">release/pilot</w:t>
      </w:r>
      <w:r>
        <w:t xml:space="preserve">, for Products 1–2, the Android app, the borrower web app, the operations and lender portals, and the pilot REs, deliver:</w:t>
      </w:r>
    </w:p>
    <w:p>
      <w:pPr>
        <w:numPr>
          <w:ilvl w:val="0"/>
          <w:numId w:val="1507"/>
        </w:numPr>
        <w:pStyle w:val="Compact"/>
      </w:pPr>
      <w:r>
        <w:t xml:space="preserve">full E2E regression on real devices and browsers, including resume, outage and retry scenarios;</w:t>
      </w:r>
    </w:p>
    <w:p>
      <w:pPr>
        <w:numPr>
          <w:ilvl w:val="0"/>
          <w:numId w:val="1507"/>
        </w:numPr>
        <w:pStyle w:val="Compact"/>
      </w:pPr>
      <w:r>
        <w:t xml:space="preserve">independent VA and PT on production by a CERT-In-empanelled firm (Udofin policy; CYB para 122 requires independent, trained experts), CVSS-scored, all Critical/High findings closed and re-tested (CYB paras 121–126), plus a MASVS L2 + R assessment of the release build;</w:t>
      </w:r>
    </w:p>
    <w:p>
      <w:pPr>
        <w:numPr>
          <w:ilvl w:val="0"/>
          <w:numId w:val="1507"/>
        </w:numPr>
        <w:pStyle w:val="Compact"/>
      </w:pPr>
      <w:r>
        <w:t xml:space="preserve">source-code escrow deposit (where a pilot RE requires it) and the vendor security certificate for the release (CYB paras 105–106);</w:t>
      </w:r>
    </w:p>
    <w:p>
      <w:pPr>
        <w:numPr>
          <w:ilvl w:val="0"/>
          <w:numId w:val="1507"/>
        </w:numPr>
        <w:pStyle w:val="Compact"/>
      </w:pPr>
      <w:r>
        <w:t xml:space="preserve">load test at the Part 10.5 targets;</w:t>
      </w:r>
    </w:p>
    <w:p>
      <w:pPr>
        <w:numPr>
          <w:ilvl w:val="0"/>
          <w:numId w:val="1507"/>
        </w:numPr>
        <w:pStyle w:val="Compact"/>
      </w:pPr>
      <w:r>
        <w:t xml:space="preserve">DR switchover drill and restore of database, documents and workflow state, with post-drill reconciliation with each RE;</w:t>
      </w:r>
    </w:p>
    <w:p>
      <w:pPr>
        <w:numPr>
          <w:ilvl w:val="0"/>
          <w:numId w:val="1507"/>
        </w:numPr>
        <w:pStyle w:val="Compact"/>
      </w:pPr>
      <w:r>
        <w:t xml:space="preserve">an incident drill proving RE notification fits a 6-hour DAKSH filing measured from Udofin’s detection (OUT para 61; CYB paras 28, 141) and Udofin’s CERT-In report;</w:t>
      </w:r>
    </w:p>
    <w:p>
      <w:pPr>
        <w:numPr>
          <w:ilvl w:val="0"/>
          <w:numId w:val="1507"/>
        </w:numPr>
        <w:pStyle w:val="Compact"/>
      </w:pPr>
      <w:r>
        <w:t xml:space="preserve">a data-residency check of every environment and sub-processor;</w:t>
      </w:r>
    </w:p>
    <w:p>
      <w:pPr>
        <w:numPr>
          <w:ilvl w:val="0"/>
          <w:numId w:val="1507"/>
        </w:numPr>
        <w:pStyle w:val="Compact"/>
      </w:pPr>
      <w:r>
        <w:t xml:space="preserve">each pilot RE’s sign-off: LSP agreement clause matrix, due-diligence pack, DLA on CIMS and on RBI’s public list, grievance contacts, website links, product approval;</w:t>
      </w:r>
    </w:p>
    <w:p>
      <w:pPr>
        <w:numPr>
          <w:ilvl w:val="0"/>
          <w:numId w:val="1507"/>
        </w:numPr>
        <w:pStyle w:val="Compact"/>
      </w:pPr>
      <w:r>
        <w:t xml:space="preserve">an exit drill: full export for an RE, re-import test and purge certificate;</w:t>
      </w:r>
    </w:p>
    <w:p>
      <w:pPr>
        <w:numPr>
          <w:ilvl w:val="0"/>
          <w:numId w:val="1507"/>
        </w:numPr>
        <w:pStyle w:val="Compact"/>
      </w:pPr>
      <w:r>
        <w:t xml:space="preserve">production runbook and a controlled go-live checklist for my approval.</w:t>
      </w:r>
    </w:p>
    <w:p>
      <w:pPr>
        <w:pStyle w:val="BlockText"/>
      </w:pPr>
      <w:r>
        <w:t xml:space="preserve">Do not deploy to production or publish to any store without my explicit authorisation.”</w:t>
      </w:r>
    </w:p>
    <w:bookmarkEnd w:id="518"/>
    <w:bookmarkStart w:id="519" w:name="X89042e655f0ac5b00b72da60a56201f181bd38c"/>
    <w:p>
      <w:pPr>
        <w:pStyle w:val="Heading3"/>
      </w:pPr>
      <w:r>
        <w:t xml:space="preserve">Phase 18 — Secured products (LAS, Home, LAP, Vehicle)</w:t>
      </w:r>
    </w:p>
    <w:p>
      <w:pPr>
        <w:pStyle w:val="BlockText"/>
      </w:pPr>
      <w:r>
        <w:rPr>
          <w:bCs/>
          <w:b/>
        </w:rPr>
        <w:t xml:space="preserve">Instruction to Claude:</w:t>
      </w:r>
      <w:r>
        <w:t xml:space="preserve"> </w:t>
      </w:r>
      <w:r>
        <w:t xml:space="preserve">“On branch</w:t>
      </w:r>
      <w:r>
        <w:t xml:space="preserve"> </w:t>
      </w:r>
      <w:r>
        <w:rPr>
          <w:rStyle w:val="VerbatimChar"/>
        </w:rPr>
        <w:t xml:space="preserve">feat/secured-products</w:t>
      </w:r>
      <w:r>
        <w:t xml:space="preserve">, for each secured product:</w:t>
      </w:r>
    </w:p>
    <w:p>
      <w:pPr>
        <w:numPr>
          <w:ilvl w:val="0"/>
          <w:numId w:val="1508"/>
        </w:numPr>
        <w:pStyle w:val="Compact"/>
      </w:pPr>
      <w:r>
        <w:t xml:space="preserve">produce the product spec and feasibility note with the RE’s collateral policy;</w:t>
      </w:r>
    </w:p>
    <w:p>
      <w:pPr>
        <w:numPr>
          <w:ilvl w:val="0"/>
          <w:numId w:val="1508"/>
        </w:numPr>
        <w:pStyle w:val="Compact"/>
      </w:pPr>
      <w:r>
        <w:t xml:space="preserve">build the collateral workflows as RE-owned steps orchestrated by Udofin: securities pledge via NSDL/CDSL and mutual-fund lien in favour of the RE; property and vehicle data, valuer and legal-vendor hand-offs; document collection; release-of-security status from the RE;</w:t>
      </w:r>
    </w:p>
    <w:p>
      <w:pPr>
        <w:numPr>
          <w:ilvl w:val="0"/>
          <w:numId w:val="1508"/>
        </w:numPr>
        <w:pStyle w:val="Compact"/>
      </w:pPr>
      <w:r>
        <w:t xml:space="preserve">apply the product’s RE rules received through the catalogue (for example LAS LTV and cure periods set by the RE under CF Ch VIII; the LAS journey follows Part 6.5) and never compute collateral decisions in Udofin.</w:t>
      </w:r>
    </w:p>
    <w:p>
      <w:pPr>
        <w:pStyle w:val="BlockText"/>
      </w:pPr>
      <w:r>
        <w:t xml:space="preserve">Tests: pledge always names the RE as pledgee; collateral status changes only on RE or depository events.”</w:t>
      </w:r>
    </w:p>
    <w:bookmarkEnd w:id="519"/>
    <w:bookmarkStart w:id="520" w:name="phase-18b-additional-product-templates"/>
    <w:p>
      <w:pPr>
        <w:pStyle w:val="Heading3"/>
      </w:pPr>
      <w:r>
        <w:t xml:space="preserve">Phase 18b — Additional product templates</w:t>
      </w:r>
    </w:p>
    <w:p>
      <w:pPr>
        <w:pStyle w:val="BlockText"/>
      </w:pPr>
      <w:r>
        <w:rPr>
          <w:bCs/>
          <w:b/>
        </w:rPr>
        <w:t xml:space="preserve">Instruction to Claude:</w:t>
      </w:r>
      <w:r>
        <w:t xml:space="preserve"> </w:t>
      </w:r>
      <w:r>
        <w:t xml:space="preserve">“For Products 11–15 (Gold, Business/MSME, Microfinance, Supply-chain/TReDS invoice finance, Education; Parts 6.2 and 6.4), on branch</w:t>
      </w:r>
      <w:r>
        <w:t xml:space="preserve"> </w:t>
      </w:r>
      <w:r>
        <w:rPr>
          <w:rStyle w:val="VerbatimChar"/>
        </w:rPr>
        <w:t xml:space="preserve">feat/product-templates-18b</w:t>
      </w:r>
      <w:r>
        <w:t xml:space="preserve">, build each product only after I approve its specification and a partner RE confirms it:</w:t>
      </w:r>
    </w:p>
    <w:p>
      <w:pPr>
        <w:numPr>
          <w:ilvl w:val="0"/>
          <w:numId w:val="1509"/>
        </w:numPr>
        <w:pStyle w:val="Compact"/>
      </w:pPr>
      <w:r>
        <w:t xml:space="preserve">write</w:t>
      </w:r>
      <w:r>
        <w:t xml:space="preserve"> </w:t>
      </w:r>
      <w:r>
        <w:rPr>
          <w:rStyle w:val="VerbatimChar"/>
        </w:rPr>
        <w:t xml:space="preserve">docs/products/[code].md</w:t>
      </w:r>
      <w:r>
        <w:t xml:space="preserve"> </w:t>
      </w:r>
      <w:r>
        <w:t xml:space="preserve">from the 6.3 checklist and the 6.4 table, with the RE’s policy references and the Finbyx R16 playbook code;</w:t>
      </w:r>
    </w:p>
    <w:p>
      <w:pPr>
        <w:numPr>
          <w:ilvl w:val="0"/>
          <w:numId w:val="1509"/>
        </w:numPr>
        <w:pStyle w:val="Compact"/>
      </w:pPr>
      <w:r>
        <w:t xml:space="preserve">build the template on the common engine with its events, documents and disbursement routing;</w:t>
      </w:r>
    </w:p>
    <w:p>
      <w:pPr>
        <w:numPr>
          <w:ilvl w:val="0"/>
          <w:numId w:val="1509"/>
        </w:numPr>
        <w:pStyle w:val="Compact"/>
      </w:pPr>
      <w:r>
        <w:t xml:space="preserve">apply each product’s hard rules:</w:t>
      </w:r>
    </w:p>
    <w:p>
      <w:pPr>
        <w:numPr>
          <w:ilvl w:val="1"/>
          <w:numId w:val="1510"/>
        </w:numPr>
        <w:pStyle w:val="Compact"/>
      </w:pPr>
      <w:r>
        <w:t xml:space="preserve">gold: collateral handled and stored only in RE branches by RE employees, so leads and branch appointments only (RBC paras 53–54); valuation and LTV shown only from RE data (CF paras 40, 43–44);</w:t>
      </w:r>
    </w:p>
    <w:p>
      <w:pPr>
        <w:numPr>
          <w:ilvl w:val="1"/>
          <w:numId w:val="1510"/>
        </w:numPr>
        <w:pStyle w:val="Compact"/>
      </w:pPr>
      <w:r>
        <w:t xml:space="preserve">microfinance: household-income test and 50% cap (CF paras 51–57); loan card and no prepayment charge (RBC paras 78–81); this is the individual-loan template, and its KFS, loan-card and household-income components are reused by the JLG and SHG journeys, CGT and GRT, centre meetings, group collection records and MFIN Guardrails 2.0 display of Phase 18c (Part 7E MG2–MG4);</w:t>
      </w:r>
    </w:p>
    <w:p>
      <w:pPr>
        <w:numPr>
          <w:ilvl w:val="1"/>
          <w:numId w:val="1510"/>
        </w:numPr>
        <w:pStyle w:val="Compact"/>
      </w:pPr>
      <w:r>
        <w:t xml:space="preserve">business/MSME: entity KYC, DIN or PAN of directors and guarantors (WD para 19(1)) and the CGTMSE flag (CF para 21(1));</w:t>
      </w:r>
    </w:p>
    <w:p>
      <w:pPr>
        <w:numPr>
          <w:ilvl w:val="1"/>
          <w:numId w:val="1510"/>
        </w:numPr>
        <w:pStyle w:val="Compact"/>
      </w:pPr>
      <w:r>
        <w:t xml:space="preserve">supply chain: TReDS only as a referral with the RE as registered financier [VERIFY: TReDS Directions, 2026];</w:t>
      </w:r>
    </w:p>
    <w:p>
      <w:pPr>
        <w:numPr>
          <w:ilvl w:val="1"/>
          <w:numId w:val="1510"/>
        </w:numPr>
        <w:pStyle w:val="Compact"/>
      </w:pPr>
      <w:r>
        <w:t xml:space="preserve">education: institution as end-beneficiary (CF para 10(1)).</w:t>
      </w:r>
    </w:p>
    <w:p>
      <w:pPr>
        <w:pStyle w:val="BlockText"/>
      </w:pPr>
      <w:r>
        <w:t xml:space="preserve">Tests: golden journeys per product on app and web; the gold journey has no collateral-handling step in Udofin; the microfinance flag is set on every collateral-free MSME or education loan within the income threshold; the disbursement guard rejects any beneficiary not permitted by CF para 10(1).”</w:t>
      </w:r>
    </w:p>
    <w:bookmarkEnd w:id="520"/>
    <w:bookmarkStart w:id="521" w:name="X7f8de170e663c704411cbc11f0fce31e6ccb06f"/>
    <w:p>
      <w:pPr>
        <w:pStyle w:val="Heading3"/>
      </w:pPr>
      <w:r>
        <w:t xml:space="preserve">Phase 18c — Member and group lending: co-operative societies and microfinance</w:t>
      </w:r>
    </w:p>
    <w:p>
      <w:pPr>
        <w:pStyle w:val="BlockText"/>
      </w:pPr>
      <w:r>
        <w:rPr>
          <w:bCs/>
          <w:b/>
        </w:rPr>
        <w:t xml:space="preserve">Instruction to Claude:</w:t>
      </w:r>
      <w:r>
        <w:t xml:space="preserve"> </w:t>
      </w:r>
      <w:r>
        <w:t xml:space="preserve">“Before writing the specification, verify: (i) MSCS Act ss.25(4), 26, 39(3), 66(1), 67, 84 and 85A and the CRCS norms of 22 Jan 2024; Maharashtra MCS Act ss.24, 48, 49, 91, 101 and 144-5A; Tamil Nadu Act 40 of 2025 s.20 commencement; Karnataka Act 15 of 2025 s.1(3) and its platform limb [VERIFY all]; (ii) whether a credit society can be a CIC member (CICRA) [VERIFY]; (iii) the app-store position for non-RE lenders [VERIFY]: until confirmed, society loans run on web, PWA and assisted channels only; (iv) MFIN Guardrails 2.0 (Directive 14, 25 Nov 2024) still current, DAY-NRLM SHG and grading norms, and NABARD JLG norms [VERIFY]; (v) Integration Spec v1.1:</w:t>
      </w:r>
      <w:r>
        <w:t xml:space="preserve"> </w:t>
      </w:r>
      <w:r>
        <w:rPr>
          <w:rStyle w:val="VerbatimChar"/>
        </w:rPr>
        <w:t xml:space="preserve">GET /v1/societies/{id}/members/{ref}</w:t>
      </w:r>
      <w:r>
        <w:t xml:space="preserve">,</w:t>
      </w:r>
      <w:r>
        <w:t xml:space="preserve"> </w:t>
      </w:r>
      <w:r>
        <w:rPr>
          <w:rStyle w:val="VerbatimChar"/>
        </w:rPr>
        <w:t xml:space="preserve">POST /v1/societies/{id}/membership-applications</w:t>
      </w:r>
      <w:r>
        <w:t xml:space="preserve">,</w:t>
      </w:r>
      <w:r>
        <w:t xml:space="preserve"> </w:t>
      </w:r>
      <w:r>
        <w:rPr>
          <w:rStyle w:val="VerbatimChar"/>
        </w:rPr>
        <w:t xml:space="preserve">lender_type</w:t>
      </w:r>
      <w:r>
        <w:t xml:space="preserve"> </w:t>
      </w:r>
      <w:r>
        <w:t xml:space="preserve">(RE or NON_RE_SOCIETY) on</w:t>
      </w:r>
      <w:r>
        <w:t xml:space="preserve"> </w:t>
      </w:r>
      <w:r>
        <w:rPr>
          <w:rStyle w:val="VerbatimChar"/>
        </w:rPr>
        <w:t xml:space="preserve">ApplicationSubmitted</w:t>
      </w:r>
      <w:r>
        <w:t xml:space="preserve">, and the member and group events produced by the lender’s system (Finbyx Phase 17c or another LOS/LMS); (vi) for each pilot RE, whether its legal opinion permits its own staff to collect regular instalments in cash on DLA-sourced loans (CF para 10(2), 10(5)); default is a per-member UPI QR. Then, on branch</w:t>
      </w:r>
      <w:r>
        <w:t xml:space="preserve"> </w:t>
      </w:r>
      <w:r>
        <w:rPr>
          <w:rStyle w:val="VerbatimChar"/>
        </w:rPr>
        <w:t xml:space="preserve">feat/member-group-lending</w:t>
      </w:r>
      <w:r>
        <w:t xml:space="preserve">, build Part 7B UP4 and Part 7E MG1–MG4:</w:t>
      </w:r>
    </w:p>
    <w:p>
      <w:pPr>
        <w:numPr>
          <w:ilvl w:val="0"/>
          <w:numId w:val="1511"/>
        </w:numPr>
        <w:pStyle w:val="Compact"/>
      </w:pPr>
      <w:r>
        <w:rPr>
          <w:bCs/>
          <w:b/>
        </w:rPr>
        <w:t xml:space="preserve">non-negotiables:</w:t>
      </w:r>
      <w:r>
        <w:t xml:space="preserve"> </w:t>
      </w:r>
      <w:r>
        <w:t xml:space="preserve">no deposit journey, listing, rate, solicitation or display for any lender or member class (MSCS s.67; MH MCS Act s.144-5A; BUDS Act First Schedule items 4(i) and 8); Udofin never holds cash or funds; no borrower-paid Udofin fee (CF para 10(4), mirrored by contract for societies); joint liability as voluntary peer support only;</w:t>
      </w:r>
      <w:r>
        <w:t xml:space="preserve"> </w:t>
      </w:r>
      <w:r>
        <w:rPr>
          <w:bCs/>
          <w:b/>
        </w:rPr>
        <w:t xml:space="preserve">no co-lending, direct assignment or split loans between a society or co-operative bank and an NBFC</w:t>
      </w:r>
      <w:r>
        <w:t xml:space="preserve"> </w:t>
      </w:r>
      <w:r>
        <w:t xml:space="preserve">(TDCR paras 12(4), 97); the lender decides membership, sureties, group recognition, GRT, sanction and posting (OUT para 15; KYC para 13);</w:t>
      </w:r>
    </w:p>
    <w:p>
      <w:pPr>
        <w:numPr>
          <w:ilvl w:val="0"/>
          <w:numId w:val="1511"/>
        </w:numPr>
        <w:pStyle w:val="Compact"/>
      </w:pPr>
      <w:r>
        <w:rPr>
          <w:bCs/>
          <w:b/>
        </w:rPr>
        <w:t xml:space="preserve">UP4:</w:t>
      </w:r>
      <w:r>
        <w:t xml:space="preserve"> </w:t>
      </w:r>
      <w:r>
        <w:t xml:space="preserve">the ten-point eligibility gate including the name check against</w:t>
      </w:r>
      <w:r>
        <w:t xml:space="preserve"> </w:t>
      </w:r>
      <w:r>
        <w:t xml:space="preserve">‘</w:t>
      </w:r>
      <w:r>
        <w:t xml:space="preserve">bank</w:t>
      </w:r>
      <w:r>
        <w:t xml:space="preserve">’</w:t>
      </w:r>
      <w:r>
        <w:t xml:space="preserve">,</w:t>
      </w:r>
      <w:r>
        <w:t xml:space="preserve"> </w:t>
      </w:r>
      <w:r>
        <w:t xml:space="preserve">‘</w:t>
      </w:r>
      <w:r>
        <w:t xml:space="preserve">banker</w:t>
      </w:r>
      <w:r>
        <w:t xml:space="preserve">’</w:t>
      </w:r>
      <w:r>
        <w:t xml:space="preserve">,</w:t>
      </w:r>
      <w:r>
        <w:t xml:space="preserve"> </w:t>
      </w:r>
      <w:r>
        <w:t xml:space="preserve">‘</w:t>
      </w:r>
      <w:r>
        <w:t xml:space="preserve">banking</w:t>
      </w:r>
      <w:r>
        <w:t xml:space="preserve">’</w:t>
      </w:r>
      <w:r>
        <w:t xml:space="preserve"> </w:t>
      </w:r>
      <w:r>
        <w:t xml:space="preserve">and transliterations (BR Act s.7) and the no-deposits-from-non-voting-members confirmation; tenant class NON_RE_COOP with its own RLS; the PILOT gate with registration verification and counsel’s opinion in place of CIMS; packs for the society, its auditor and the Registrar;</w:t>
      </w:r>
    </w:p>
    <w:p>
      <w:pPr>
        <w:numPr>
          <w:ilvl w:val="0"/>
          <w:numId w:val="1511"/>
        </w:numPr>
        <w:pStyle w:val="Compact"/>
      </w:pPr>
      <w:r>
        <w:rPr>
          <w:bCs/>
          <w:b/>
        </w:rPr>
        <w:t xml:space="preserve">MG1:</w:t>
      </w:r>
      <w:r>
        <w:t xml:space="preserve"> </w:t>
      </w:r>
      <w:r>
        <w:t xml:space="preserve">the separate</w:t>
      </w:r>
      <w:r>
        <w:t xml:space="preserve"> </w:t>
      </w:r>
      <w:r>
        <w:t xml:space="preserve">‘</w:t>
      </w:r>
      <w:r>
        <w:t xml:space="preserve">Your co-operative society</w:t>
      </w:r>
      <w:r>
        <w:t xml:space="preserve">’</w:t>
      </w:r>
      <w:r>
        <w:t xml:space="preserve"> </w:t>
      </w:r>
      <w:r>
        <w:t xml:space="preserve">space outside the CF para 7 offer view, with the fixed lender card (</w:t>
      </w:r>
      <w:r>
        <w:t xml:space="preserve">‘</w:t>
      </w:r>
      <w:r>
        <w:t xml:space="preserve">not regulated by the Reserve Bank of India</w:t>
      </w:r>
      <w:r>
        <w:t xml:space="preserve">’</w:t>
      </w:r>
      <w:r>
        <w:t xml:space="preserve">;</w:t>
      </w:r>
      <w:r>
        <w:t xml:space="preserve"> </w:t>
      </w:r>
      <w:r>
        <w:t xml:space="preserve">‘</w:t>
      </w:r>
      <w:r>
        <w:t xml:space="preserve">not insured by DICGC</w:t>
      </w:r>
      <w:r>
        <w:t xml:space="preserve">’</w:t>
      </w:r>
      <w:r>
        <w:t xml:space="preserve">); member verification by API, never a bulk register download; the admission journey with the MSCS 4-month-plus-15-day deemed-refusal timer; share money and repayments only to the society’s account; surety consent on the surety’s own device; the society loan fact sheet with APR; State rule packs (MSCS and Maharashtra first); statutory dispute forums with the Equator gate (conciliation only, never private arbitration); the co-operative grievance route, never RBI;</w:t>
      </w:r>
    </w:p>
    <w:p>
      <w:pPr>
        <w:numPr>
          <w:ilvl w:val="0"/>
          <w:numId w:val="1511"/>
        </w:numPr>
        <w:pStyle w:val="Compact"/>
      </w:pPr>
      <w:r>
        <w:rPr>
          <w:bCs/>
          <w:b/>
        </w:rPr>
        <w:t xml:space="preserve">MG2 and MG3:</w:t>
      </w:r>
      <w:r>
        <w:t xml:space="preserve"> </w:t>
      </w:r>
      <w:r>
        <w:t xml:space="preserve">group states with</w:t>
      </w:r>
      <w:r>
        <w:t xml:space="preserve"> </w:t>
      </w:r>
      <w:r>
        <w:rPr>
          <w:rStyle w:val="VerbatimChar"/>
        </w:rPr>
        <w:t xml:space="preserve">GroupFormed</w:t>
      </w:r>
      <w:r>
        <w:t xml:space="preserve"> </w:t>
      </w:r>
      <w:r>
        <w:t xml:space="preserve">as the recognition trigger; household questionnaire and the indicative 50% ratio labelled</w:t>
      </w:r>
      <w:r>
        <w:t xml:space="preserve"> </w:t>
      </w:r>
      <w:r>
        <w:t xml:space="preserve">‘</w:t>
      </w:r>
      <w:r>
        <w:t xml:space="preserve">[RE name] decides</w:t>
      </w:r>
      <w:r>
        <w:t xml:space="preserve">’</w:t>
      </w:r>
      <w:r>
        <w:t xml:space="preserve"> </w:t>
      </w:r>
      <w:r>
        <w:t xml:space="preserve">(CF paras 51–57); MFIN guardrails surfaced from the RE’s bureau result; CGT and GRT scheduling with GRT by RE staff only; one KFS and loan card per member (RBC paras 29, 78–81); centre meetings as the designated place (RBC para 90); no group-dues button; contact window 09:00–18:00 until 31 Dec 2026, then the RBC Third Amendment rule pack (RBI/2026-27/230) from 1 Jan 2027 [VERIFY]; SHG linkage, CIR para 13 member tables and the SHG book-keeping view with two-office-bearer maker-checker;</w:t>
      </w:r>
    </w:p>
    <w:p>
      <w:pPr>
        <w:numPr>
          <w:ilvl w:val="0"/>
          <w:numId w:val="1511"/>
        </w:numPr>
        <w:pStyle w:val="Compact"/>
      </w:pPr>
      <w:r>
        <w:rPr>
          <w:bCs/>
          <w:b/>
        </w:rPr>
        <w:t xml:space="preserve">MG4:</w:t>
      </w:r>
      <w:r>
        <w:t xml:space="preserve"> </w:t>
      </w:r>
      <w:r>
        <w:t xml:space="preserve">the field app target (</w:t>
      </w:r>
      <w:r>
        <w:rPr>
          <w:rStyle w:val="VerbatimChar"/>
        </w:rPr>
        <w:t xml:space="preserve">apps/field</w:t>
      </w:r>
      <w:r>
        <w:t xml:space="preserve">) for group lending, extended for other assisted journeys in Phase 20: managed devices, the assisted-mode limits (the assistant never sees an OTP, consents, accepts a KFS or signs), offline-first capture with an encrypted 72-hour store and signed, hash-chained sync, low-literacy consent with no biometric template (CF para 14(3)), hash-chained receipts naming the lender, the cash reconciliation view and the field-event checklist; Udofin staff collect cash only as appointed recovery agent on delinquent loans (CF para 10(5); Part 7A UR4);</w:t>
      </w:r>
    </w:p>
    <w:p>
      <w:pPr>
        <w:numPr>
          <w:ilvl w:val="0"/>
          <w:numId w:val="1511"/>
        </w:numPr>
        <w:pStyle w:val="Compact"/>
      </w:pPr>
      <w:r>
        <w:rPr>
          <w:bCs/>
          <w:b/>
        </w:rPr>
        <w:t xml:space="preserve">menus, screens and settings:</w:t>
      </w:r>
      <w:r>
        <w:t xml:space="preserve"> </w:t>
      </w:r>
      <w:r>
        <w:t xml:space="preserve">build every entry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Parts 7B (UP4) and 7E (MG1–MG4), including the separate</w:t>
      </w:r>
      <w:r>
        <w:t xml:space="preserve"> </w:t>
      </w:r>
      <w:r>
        <w:t xml:space="preserve">‘</w:t>
      </w:r>
      <w:r>
        <w:t xml:space="preserve">Your society</w:t>
      </w:r>
      <w:r>
        <w:t xml:space="preserve">’</w:t>
      </w:r>
      <w:r>
        <w:t xml:space="preserve"> </w:t>
      </w:r>
      <w:r>
        <w:t xml:space="preserve">space and the field-app menus on the channel and workspace named there (navigation map in Appendix G): list, detail, wizard, approval-queue and dashboard screens with their key and bulk actions, filters, exports, empty and error states and role visibility; each setting as a versioned, effective-dated</w:t>
      </w:r>
      <w:r>
        <w:t xml:space="preserve"> </w:t>
      </w:r>
      <w:r>
        <w:rPr>
          <w:rStyle w:val="VerbatimChar"/>
        </w:rPr>
        <w:t xml:space="preserve">module_setting</w:t>
      </w:r>
      <w:r>
        <w:t xml:space="preserve"> </w:t>
      </w:r>
      <w:r>
        <w:t xml:space="preserve">record with its default, where a regulatory floor is enforced server-side and can never be relaxed;</w:t>
      </w:r>
    </w:p>
    <w:p>
      <w:pPr>
        <w:pStyle w:val="BlockText"/>
      </w:pPr>
      <w:r>
        <w:t xml:space="preserve">Tests and acceptance evidence:</w:t>
      </w:r>
    </w:p>
    <w:p>
      <w:pPr>
        <w:numPr>
          <w:ilvl w:val="0"/>
          <w:numId w:val="1512"/>
        </w:numPr>
        <w:pStyle w:val="Compact"/>
      </w:pPr>
      <w:r>
        <w:t xml:space="preserve">every UP4 and MG1–MG4 acceptance test in Parts 7B and 7E;</w:t>
      </w:r>
    </w:p>
    <w:p>
      <w:pPr>
        <w:numPr>
          <w:ilvl w:val="0"/>
          <w:numId w:val="1512"/>
        </w:numPr>
        <w:pStyle w:val="Compact"/>
      </w:pPr>
      <w:r>
        <w:t xml:space="preserve">no deposit API, screen or template exists for a NON_RE_COOP tenant (route test) and the template linter rejects</w:t>
      </w:r>
      <w:r>
        <w:t xml:space="preserve"> </w:t>
      </w:r>
      <w:r>
        <w:t xml:space="preserve">‘</w:t>
      </w:r>
      <w:r>
        <w:t xml:space="preserve">FD</w:t>
      </w:r>
      <w:r>
        <w:t xml:space="preserve">’</w:t>
      </w:r>
      <w:r>
        <w:t xml:space="preserve">,</w:t>
      </w:r>
      <w:r>
        <w:t xml:space="preserve"> </w:t>
      </w:r>
      <w:r>
        <w:t xml:space="preserve">‘</w:t>
      </w:r>
      <w:r>
        <w:t xml:space="preserve">RD</w:t>
      </w:r>
      <w:r>
        <w:t xml:space="preserve">’</w:t>
      </w:r>
      <w:r>
        <w:t xml:space="preserve"> </w:t>
      </w:r>
      <w:r>
        <w:t xml:space="preserve">and</w:t>
      </w:r>
      <w:r>
        <w:t xml:space="preserve"> </w:t>
      </w:r>
      <w:r>
        <w:t xml:space="preserve">‘</w:t>
      </w:r>
      <w:r>
        <w:t xml:space="preserve">deposit</w:t>
      </w:r>
      <w:r>
        <w:t xml:space="preserve">’</w:t>
      </w:r>
      <w:r>
        <w:t xml:space="preserve">;</w:t>
      </w:r>
    </w:p>
    <w:p>
      <w:pPr>
        <w:numPr>
          <w:ilvl w:val="0"/>
          <w:numId w:val="1512"/>
        </w:numPr>
        <w:pStyle w:val="Compact"/>
      </w:pPr>
      <w:r>
        <w:t xml:space="preserve">a society–NBFC co-lending configuration fails with the TDCR reference;</w:t>
      </w:r>
    </w:p>
    <w:p>
      <w:pPr>
        <w:numPr>
          <w:ilvl w:val="0"/>
          <w:numId w:val="1512"/>
        </w:numPr>
        <w:pStyle w:val="Compact"/>
      </w:pPr>
      <w:r>
        <w:t xml:space="preserve">a non-member, a non-borrowing nominal member and a defaulter reach no loan screen;</w:t>
      </w:r>
    </w:p>
    <w:p>
      <w:pPr>
        <w:numPr>
          <w:ilvl w:val="0"/>
          <w:numId w:val="1512"/>
        </w:numPr>
        <w:pStyle w:val="Compact"/>
      </w:pPr>
      <w:r>
        <w:t xml:space="preserve">a member above ₹3,00,000 household income never sees a microfinance KFS; a GRT outcome cannot be recorded by a Udofin role;</w:t>
      </w:r>
    </w:p>
    <w:p>
      <w:pPr>
        <w:numPr>
          <w:ilvl w:val="0"/>
          <w:numId w:val="1512"/>
        </w:numPr>
        <w:pStyle w:val="Compact"/>
      </w:pPr>
      <w:r>
        <w:t xml:space="preserve">contact at 08:59 or 18:01 on a microfinance loan is denied; a Tamil Nadu field visit without the s.20 checklist cannot be saved;</w:t>
      </w:r>
    </w:p>
    <w:p>
      <w:pPr>
        <w:numPr>
          <w:ilvl w:val="0"/>
          <w:numId w:val="1512"/>
        </w:numPr>
        <w:pStyle w:val="Compact"/>
      </w:pPr>
      <w:r>
        <w:t xml:space="preserve">receipts are gap-free per device and sync exactly once; a meeting cannot close with an unsynced receipt;</w:t>
      </w:r>
    </w:p>
    <w:p>
      <w:pPr>
        <w:numPr>
          <w:ilvl w:val="0"/>
          <w:numId w:val="1512"/>
        </w:numPr>
        <w:pStyle w:val="Compact"/>
      </w:pPr>
      <w:r>
        <w:t xml:space="preserve">every screen in the module’s</w:t>
      </w:r>
      <w:r>
        <w:t xml:space="preserve"> </w:t>
      </w:r>
      <w:r>
        <w:rPr>
          <w:rStyle w:val="VerbatimChar"/>
        </w:rPr>
        <w:t xml:space="preserve">Menu and screens</w:t>
      </w:r>
      <w:r>
        <w:t xml:space="preserve"> </w:t>
      </w:r>
      <w:r>
        <w:t xml:space="preserve">list renders only for the roles named there, and a setting change below its regulatory floor is refused server-side and logged.</w:t>
      </w:r>
    </w:p>
    <w:p>
      <w:pPr>
        <w:pStyle w:val="BlockText"/>
      </w:pPr>
      <w:r>
        <w:t xml:space="preserve">Show me the UP4 eligibility checklist, the member and group state machines, the society and microfinance rule-pack fields, the field-app offline and receipt design, and the member-space, field-app and lender-portal menu and settings map for approval before coding.”</w:t>
      </w:r>
    </w:p>
    <w:bookmarkEnd w:id="521"/>
    <w:bookmarkStart w:id="522" w:name="X0f746e2e9c59d4a5b0acb2ade599f1ec13976b0"/>
    <w:p>
      <w:pPr>
        <w:pStyle w:val="Heading3"/>
      </w:pPr>
      <w:r>
        <w:t xml:space="preserve">Phase 19 — Specialist products (feasibility-gated)</w:t>
      </w:r>
    </w:p>
    <w:p>
      <w:pPr>
        <w:pStyle w:val="BlockText"/>
      </w:pPr>
      <w:r>
        <w:rPr>
          <w:bCs/>
          <w:b/>
        </w:rPr>
        <w:t xml:space="preserve">Instruction to Claude:</w:t>
      </w:r>
      <w:r>
        <w:t xml:space="preserve"> </w:t>
      </w:r>
      <w:r>
        <w:t xml:space="preserve">“For Products 7–10 (resolution finance, medical and insurance-premium finance, legal-expense and award-enforcement finance, debt reset), do not build until I approve a feasibility note for each. On branch</w:t>
      </w:r>
      <w:r>
        <w:t xml:space="preserve"> </w:t>
      </w:r>
      <w:r>
        <w:rPr>
          <w:rStyle w:val="VerbatimChar"/>
        </w:rPr>
        <w:t xml:space="preserve">feat/specialist-products</w:t>
      </w:r>
      <w:r>
        <w:t xml:space="preserve">, for each approved product:</w:t>
      </w:r>
    </w:p>
    <w:p>
      <w:pPr>
        <w:numPr>
          <w:ilvl w:val="0"/>
          <w:numId w:val="1513"/>
        </w:numPr>
        <w:pStyle w:val="Compact"/>
      </w:pPr>
      <w:r>
        <w:t xml:space="preserve">write the feasibility note: legal structure, RE partner, borrower protection, purpose and end-use verification, affordability model, Equator interaction (for resolution finance and debt reset), referral of non-recourse cases outside lending, and the risks;</w:t>
      </w:r>
    </w:p>
    <w:p>
      <w:pPr>
        <w:numPr>
          <w:ilvl w:val="0"/>
          <w:numId w:val="1513"/>
        </w:numPr>
        <w:pStyle w:val="Compact"/>
      </w:pPr>
      <w:r>
        <w:t xml:space="preserve">build only the approved pilot workflow on the common engine, with product-level delinquency and profitability analytics.”</w:t>
      </w:r>
    </w:p>
    <w:bookmarkEnd w:id="522"/>
    <w:bookmarkStart w:id="523" w:name="X21d7017eb6173a53f31e0e1218e5208eb1a1176"/>
    <w:p>
      <w:pPr>
        <w:pStyle w:val="Heading3"/>
      </w:pPr>
      <w:r>
        <w:t xml:space="preserve">Phase 20 — Field app, analytics, AI and marketing expansion</w:t>
      </w:r>
    </w:p>
    <w:p>
      <w:pPr>
        <w:pStyle w:val="BlockText"/>
      </w:pPr>
      <w:r>
        <w:rPr>
          <w:bCs/>
          <w:b/>
        </w:rPr>
        <w:t xml:space="preserve">Instruction to Claude:</w:t>
      </w:r>
      <w:r>
        <w:t xml:space="preserve"> </w:t>
      </w:r>
      <w:r>
        <w:t xml:space="preserve">“On branch</w:t>
      </w:r>
      <w:r>
        <w:t xml:space="preserve"> </w:t>
      </w:r>
      <w:r>
        <w:rPr>
          <w:rStyle w:val="VerbatimChar"/>
        </w:rPr>
        <w:t xml:space="preserve">feat/field-analytics-ai</w:t>
      </w:r>
      <w:r>
        <w:t xml:space="preserve">, build:</w:t>
      </w:r>
    </w:p>
    <w:p>
      <w:pPr>
        <w:numPr>
          <w:ilvl w:val="0"/>
          <w:numId w:val="1514"/>
        </w:numPr>
        <w:pStyle w:val="Compact"/>
      </w:pPr>
      <w:r>
        <w:t xml:space="preserve">U22 field and assisted-onboarding app (separate Expo target, MDM distribution) only for REs that appoint Udofin for assisted onboarding or recovery; digital KYC under KYC para 24 by the RE’s process; extend the</w:t>
      </w:r>
      <w:r>
        <w:t xml:space="preserve"> </w:t>
      </w:r>
      <w:r>
        <w:rPr>
          <w:rStyle w:val="VerbatimChar"/>
        </w:rPr>
        <w:t xml:space="preserve">apps/field</w:t>
      </w:r>
      <w:r>
        <w:t xml:space="preserve"> </w:t>
      </w:r>
      <w:r>
        <w:t xml:space="preserve">target created in Phase 18c and apply the Part 7E MG4 assisted-mode rules to every assisted journey: the assistant never sees or enters an OTP, gives consent, accepts a KFS, signs, chooses a lender or changes the borrower’s bank or contact details; consent, KFS acceptance and eSign complete on the borrower’s own device; offline-first capture with an encrypted local store purged within 72 hours and signed, hash-chained sync; hash-chained receipts that name the lender, never Udofin; no cash collected by Udofin staff except as appointed recovery agent on delinquent loans (CF para 10(5); Part 7A UR4);</w:t>
      </w:r>
      <w:r>
        <w:t xml:space="preserve"> </w:t>
      </w:r>
      <w:r>
        <w:rPr>
          <w:rStyle w:val="VerbatimChar"/>
        </w:rPr>
        <w:t xml:space="preserve">assisted_session</w:t>
      </w:r>
      <w:r>
        <w:t xml:space="preserve"> </w:t>
      </w:r>
      <w:r>
        <w:t xml:space="preserve">evidence on every session;</w:t>
      </w:r>
    </w:p>
    <w:p>
      <w:pPr>
        <w:numPr>
          <w:ilvl w:val="0"/>
          <w:numId w:val="1514"/>
        </w:numPr>
        <w:pStyle w:val="Compact"/>
      </w:pPr>
      <w:r>
        <w:t xml:space="preserve">U20 governed AI with a model inventory: document classification and extraction with human verification, application completeness checks, internal search, complaint categorisation, summaries; AI never decides credit, prices, moves money or rejects complaints;</w:t>
      </w:r>
    </w:p>
    <w:p>
      <w:pPr>
        <w:numPr>
          <w:ilvl w:val="0"/>
          <w:numId w:val="1514"/>
        </w:numPr>
        <w:pStyle w:val="Compact"/>
      </w:pPr>
      <w:r>
        <w:t xml:space="preserve">analytics with consented, pseudonymised events only;</w:t>
      </w:r>
    </w:p>
    <w:p>
      <w:pPr>
        <w:numPr>
          <w:ilvl w:val="0"/>
          <w:numId w:val="1514"/>
        </w:numPr>
        <w:pStyle w:val="Compact"/>
      </w:pPr>
      <w:r>
        <w:t xml:space="preserve">consented marketing campaigns through U16, using 140-series and promotional DLT categories, with opt-out honoured across channels.”</w:t>
      </w:r>
    </w:p>
    <w:bookmarkEnd w:id="523"/>
    <w:bookmarkStart w:id="524" w:name="Xcd7d1ac5e2e3e6f1be55fb9e2294301f3fe43b6"/>
    <w:p>
      <w:pPr>
        <w:pStyle w:val="Heading3"/>
      </w:pPr>
      <w:r>
        <w:t xml:space="preserve">Phase 20b — Financial wellness add-ons and plans and billing</w:t>
      </w:r>
    </w:p>
    <w:p>
      <w:pPr>
        <w:pStyle w:val="BlockText"/>
      </w:pPr>
      <w:r>
        <w:rPr>
          <w:bCs/>
          <w:b/>
        </w:rPr>
        <w:t xml:space="preserve">Instruction to Claude:</w:t>
      </w:r>
      <w:r>
        <w:t xml:space="preserve"> </w:t>
      </w:r>
      <w:r>
        <w:t xml:space="preserve">“</w:t>
      </w:r>
      <w:r>
        <w:rPr>
          <w:bCs/>
          <w:b/>
        </w:rPr>
        <w:t xml:space="preserve">Gate first.</w:t>
      </w:r>
      <w:r>
        <w:t xml:space="preserve"> </w:t>
      </w:r>
      <w:r>
        <w:t xml:space="preserve">Read</w:t>
      </w:r>
      <w:r>
        <w:t xml:space="preserve"> </w:t>
      </w:r>
      <w:r>
        <w:rPr>
          <w:rStyle w:val="VerbatimChar"/>
        </w:rPr>
        <w:t xml:space="preserve">docs/decisions/</w:t>
      </w:r>
      <w:r>
        <w:t xml:space="preserve"> </w:t>
      </w:r>
      <w:r>
        <w:t xml:space="preserve">and the Part 7D FW4</w:t>
      </w:r>
      <w:r>
        <w:t xml:space="preserve"> </w:t>
      </w:r>
      <w:r>
        <w:rPr>
          <w:rStyle w:val="VerbatimChar"/>
        </w:rPr>
        <w:t xml:space="preserve">addon_legality_decision</w:t>
      </w:r>
      <w:r>
        <w:t xml:space="preserve"> </w:t>
      </w:r>
      <w:r>
        <w:t xml:space="preserve">records: G1 the owner decision to offer the money tools and through which entity or brand; G2 the written legal opinion on CF paras 10(4) and 14(1), CIC partner terms, DPDP, consumer-protection and e-commerce rules; G3 the signed CIC consumer-partner agreement; G4 the separate owner decision to charge, with the G2 pricing addendum; G5 a review date that has not lapsed.</w:t>
      </w:r>
      <w:r>
        <w:t xml:space="preserve"> </w:t>
      </w:r>
      <w:r>
        <w:rPr>
          <w:bCs/>
          <w:b/>
        </w:rPr>
        <w:t xml:space="preserve">If G1 or G2 is absent, stop and tell me: build no Part 7D tool, no borrower plan page and no B2C checkout.</w:t>
      </w:r>
      <w:r>
        <w:t xml:space="preserve"> </w:t>
      </w:r>
      <w:r>
        <w:t xml:space="preserve">I may then authorise the RE-side scope only (RV1 catalogue mirror and legality gate, RV2.2 lender billing pages, usage meters, RV4 policy engine with S10 in DRAFT). If G3 is absent, FW1 and FW2 run only against a CIC sandbox mock; if G4 is absent, S09 stays LEGAL_REVIEW and no paid plan exists. Also verify: the CIC Regulations reg 9 text and each CIC’s partner terms [VERIFY]; the E-mandate Directions 2026 (RBI/DPSS/2026-27/396) paras 4(b), 6(a)–(c), 8(a) and 10(a); PCI DSS v4.0.1 SAQ A eligibility [VERIFY]; the CCPA Dark Patterns Guidelines 2023 Annexure 1 list [VERIFY]; the Integration Spec v1.1 billing domain (6.27): Udofin produces only</w:t>
      </w:r>
      <w:r>
        <w:t xml:space="preserve"> </w:t>
      </w:r>
      <w:r>
        <w:rPr>
          <w:rStyle w:val="VerbatimChar"/>
        </w:rPr>
        <w:t xml:space="preserve">UsageRecorded</w:t>
      </w:r>
      <w:r>
        <w:t xml:space="preserve"> </w:t>
      </w:r>
      <w:r>
        <w:t xml:space="preserve">(</w:t>
      </w:r>
      <w:r>
        <w:rPr>
          <w:rStyle w:val="VerbatimChar"/>
        </w:rPr>
        <w:t xml:space="preserve">meter_kind</w:t>
      </w:r>
      <w:r>
        <w:t xml:space="preserve"> </w:t>
      </w:r>
      <w:r>
        <w:t xml:space="preserve">USAGE for RE meters, REVENUE_AGGREGATE for B2C plan revenue, no subscriber key) and consumes</w:t>
      </w:r>
      <w:r>
        <w:t xml:space="preserve"> </w:t>
      </w:r>
      <w:r>
        <w:rPr>
          <w:rStyle w:val="VerbatimChar"/>
        </w:rPr>
        <w:t xml:space="preserve">PlanChanged</w:t>
      </w:r>
      <w:r>
        <w:t xml:space="preserve">, the signed</w:t>
      </w:r>
      <w:r>
        <w:t xml:space="preserve"> </w:t>
      </w:r>
      <w:r>
        <w:rPr>
          <w:rStyle w:val="VerbatimChar"/>
        </w:rPr>
        <w:t xml:space="preserve">EntitlementChanged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 </w:t>
      </w:r>
      <w:r>
        <w:t xml:space="preserve">and</w:t>
      </w:r>
      <w:r>
        <w:t xml:space="preserve"> </w:t>
      </w:r>
      <w:r>
        <w:rPr>
          <w:rStyle w:val="VerbatimChar"/>
        </w:rPr>
        <w:t xml:space="preserve">SubscriptionCancelled</w:t>
      </w:r>
      <w:r>
        <w:t xml:space="preserve"> </w:t>
      </w:r>
      <w:r>
        <w:t xml:space="preserve">for RE fees, while B2C billing events stay Udofin-internal; and Operations Hub phase O6 for RE invoicing only. Then, on branch</w:t>
      </w:r>
      <w:r>
        <w:t xml:space="preserve"> </w:t>
      </w:r>
      <w:r>
        <w:rPr>
          <w:rStyle w:val="VerbatimChar"/>
        </w:rPr>
        <w:t xml:space="preserve">feat/wellness-plans-billing</w:t>
      </w:r>
      <w:r>
        <w:t xml:space="preserve">, build behind</w:t>
      </w:r>
      <w:r>
        <w:t xml:space="preserve"> </w:t>
      </w:r>
      <w:r>
        <w:rPr>
          <w:rStyle w:val="VerbatimChar"/>
        </w:rPr>
        <w:t xml:space="preserve">addons.wellness</w:t>
      </w:r>
      <w:r>
        <w:t xml:space="preserve"> </w:t>
      </w:r>
      <w:r>
        <w:t xml:space="preserve">(off in production until FW-C13 passes):</w:t>
      </w:r>
    </w:p>
    <w:p>
      <w:pPr>
        <w:numPr>
          <w:ilvl w:val="0"/>
          <w:numId w:val="1515"/>
        </w:numPr>
        <w:pStyle w:val="Compact"/>
      </w:pPr>
      <w:r>
        <w:rPr>
          <w:bCs/>
          <w:b/>
        </w:rPr>
        <w:t xml:space="preserve">FW4 separation:</w:t>
      </w:r>
      <w:r>
        <w:t xml:space="preserve"> </w:t>
      </w:r>
      <w:r>
        <w:t xml:space="preserve">the</w:t>
      </w:r>
      <w:r>
        <w:t xml:space="preserve"> </w:t>
      </w:r>
      <w:r>
        <w:rPr>
          <w:rStyle w:val="VerbatimChar"/>
        </w:rPr>
        <w:t xml:space="preserve">wellness</w:t>
      </w:r>
      <w:r>
        <w:t xml:space="preserve"> </w:t>
      </w:r>
      <w:r>
        <w:t xml:space="preserve">store in its own cluster or schema with its own KMS key, service accounts, backups and retention jobs; stand-alone DPDP notices and consents, every choice default No; the six usage bans hard-coded; no event with a wellness data class (FW-C15); a CI test enumerating database grants for U6, U7, U8, U13, U16, U19, U20, U21, U24 and every RE-facing API (FW-C14); the UI slot allow-list (FW-C17); the quarterly separation audit;</w:t>
      </w:r>
    </w:p>
    <w:p>
      <w:pPr>
        <w:numPr>
          <w:ilvl w:val="0"/>
          <w:numId w:val="1515"/>
        </w:numPr>
        <w:pStyle w:val="Compact"/>
      </w:pPr>
      <w:r>
        <w:rPr>
          <w:bCs/>
          <w:b/>
        </w:rPr>
        <w:t xml:space="preserve">FW1–FW3:</w:t>
      </w:r>
      <w:r>
        <w:t xml:space="preserve"> </w:t>
      </w:r>
      <w:r>
        <w:t xml:space="preserve">credit report and score tracking as the consumer’s agent under a CIC partner programme (never an RE report; CIR para 6), per-CIC display with free annual report links on every screen; the educational simulator with direction and band only and the locked label; the expense tracker fed by manual entry, statement upload through the system picker and CSV only, with SMS, notification-listener, accessibility-service and storage permissions blocked (CF para 13(1)) and no Account Aggregator access in Udofin’s name (AA para 8(12));</w:t>
      </w:r>
    </w:p>
    <w:p>
      <w:pPr>
        <w:numPr>
          <w:ilvl w:val="0"/>
          <w:numId w:val="1515"/>
        </w:numPr>
        <w:pStyle w:val="Compact"/>
      </w:pPr>
      <w:r>
        <w:rPr>
          <w:bCs/>
          <w:b/>
        </w:rPr>
        <w:t xml:space="preserve">RV1:</w:t>
      </w:r>
      <w:r>
        <w:t xml:space="preserve"> </w:t>
      </w:r>
      <w:r>
        <w:t xml:space="preserve">the catalogue mirror of OH8 with S01–S13, the hard-coded deny list and the legality gate; Udofin refuses any entitlement whose stream is not ACTIVE in its own mirror; meters as monthly aggregated</w:t>
      </w:r>
      <w:r>
        <w:t xml:space="preserve"> </w:t>
      </w:r>
      <w:r>
        <w:rPr>
          <w:rStyle w:val="VerbatimChar"/>
        </w:rPr>
        <w:t xml:space="preserve">UsageRecorded</w:t>
      </w:r>
      <w:r>
        <w:t xml:space="preserve"> </w:t>
      </w:r>
      <w:r>
        <w:t xml:space="preserve">statements only, never loan, borrower, member or user IDs; deal switches sent to OH8 and applied only on a verified</w:t>
      </w:r>
      <w:r>
        <w:t xml:space="preserve"> </w:t>
      </w:r>
      <w:r>
        <w:rPr>
          <w:rStyle w:val="VerbatimChar"/>
        </w:rPr>
        <w:t xml:space="preserve">EntitlementChanged</w:t>
      </w:r>
      <w:r>
        <w:t xml:space="preserve">;</w:t>
      </w:r>
    </w:p>
    <w:p>
      <w:pPr>
        <w:numPr>
          <w:ilvl w:val="0"/>
          <w:numId w:val="1515"/>
        </w:numPr>
        <w:pStyle w:val="Compact"/>
      </w:pPr>
      <w:r>
        <w:rPr>
          <w:bCs/>
          <w:b/>
        </w:rPr>
        <w:t xml:space="preserve">RV2 and RV3:</w:t>
      </w:r>
      <w:r>
        <w:t xml:space="preserve"> </w:t>
      </w:r>
      <w:r>
        <w:t xml:space="preserve">lender billing pages with the fixed CF para 10(4) statement; borrower plan pages only while S09 is ACTIVE, using</w:t>
      </w:r>
      <w:r>
        <w:t xml:space="preserve"> </w:t>
      </w:r>
      <w:r>
        <w:t xml:space="preserve">‘</w:t>
      </w:r>
      <w:r>
        <w:t xml:space="preserve">plan</w:t>
      </w:r>
      <w:r>
        <w:t xml:space="preserve">’</w:t>
      </w:r>
      <w:r>
        <w:t xml:space="preserve"> </w:t>
      </w:r>
      <w:r>
        <w:t xml:space="preserve">(never</w:t>
      </w:r>
      <w:r>
        <w:t xml:space="preserve"> </w:t>
      </w:r>
      <w:r>
        <w:t xml:space="preserve">‘</w:t>
      </w:r>
      <w:r>
        <w:t xml:space="preserve">membership</w:t>
      </w:r>
      <w:r>
        <w:t xml:space="preserve">’</w:t>
      </w:r>
      <w:r>
        <w:t xml:space="preserve">), both fixed statements, one-tap cancel, no auto-converting trial; Udofin’s own Razorpay account with hosted checkout (SAQ A), credential purpose tags, HMAC webhook verification, event-ID deduplication and status precedence, mandate cap equal to plan price, GST invoices and credit notes, and B2C dunning that never creates a debt; plan changes with the RV2.5 proration preview, consent or maker-checker, mandate replacement before an upgrade above the cap, and roll-back on failure; RE non-payment never cuts read access or export and ends only in a termination notice leading into the UP5 exit;</w:t>
      </w:r>
    </w:p>
    <w:p>
      <w:pPr>
        <w:numPr>
          <w:ilvl w:val="0"/>
          <w:numId w:val="1515"/>
        </w:numPr>
        <w:pStyle w:val="Compact"/>
      </w:pPr>
      <w:r>
        <w:rPr>
          <w:bCs/>
          <w:b/>
        </w:rPr>
        <w:t xml:space="preserve">RV4:</w:t>
      </w:r>
      <w:r>
        <w:t xml:space="preserve"> </w:t>
      </w:r>
      <w:r>
        <w:t xml:space="preserve">the surface matrix (never in any loan, offer, KFS, payment, overdue, grievance or credit-report screen), labels, contextual targeting by default, no third-party ad SDK, advertiser verification; S10 stays DRAFT until my advertising-policy decision;</w:t>
      </w:r>
    </w:p>
    <w:p>
      <w:pPr>
        <w:numPr>
          <w:ilvl w:val="0"/>
          <w:numId w:val="1515"/>
        </w:numPr>
        <w:pStyle w:val="Compact"/>
      </w:pPr>
      <w:r>
        <w:rPr>
          <w:bCs/>
          <w:b/>
        </w:rPr>
        <w:t xml:space="preserve">menus, screens and settings:</w:t>
      </w:r>
      <w:r>
        <w:t xml:space="preserve"> </w:t>
      </w:r>
      <w:r>
        <w:t xml:space="preserve">build every entry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Parts 7D (FW1–FW4) and 7G (RV1–RV4), including</w:t>
      </w:r>
      <w:r>
        <w:t xml:space="preserve"> </w:t>
      </w:r>
      <w:r>
        <w:rPr>
          <w:rStyle w:val="VerbatimChar"/>
        </w:rPr>
        <w:t xml:space="preserve">Account › Plans and billing</w:t>
      </w:r>
      <w:r>
        <w:t xml:space="preserve">, the lender-portal</w:t>
      </w:r>
      <w:r>
        <w:t xml:space="preserve"> </w:t>
      </w:r>
      <w:r>
        <w:rPr>
          <w:rStyle w:val="VerbatimChar"/>
        </w:rPr>
        <w:t xml:space="preserve">Billing and plan</w:t>
      </w:r>
      <w:r>
        <w:t xml:space="preserve"> </w:t>
      </w:r>
      <w:r>
        <w:t xml:space="preserve">menu and the operations-portal</w:t>
      </w:r>
      <w:r>
        <w:t xml:space="preserve"> </w:t>
      </w:r>
      <w:r>
        <w:rPr>
          <w:rStyle w:val="VerbatimChar"/>
        </w:rPr>
        <w:t xml:space="preserve">Finance</w:t>
      </w:r>
      <w:r>
        <w:t xml:space="preserve"> </w:t>
      </w:r>
      <w:r>
        <w:t xml:space="preserve">and</w:t>
      </w:r>
      <w:r>
        <w:t xml:space="preserve"> </w:t>
      </w:r>
      <w:r>
        <w:rPr>
          <w:rStyle w:val="VerbatimChar"/>
        </w:rPr>
        <w:t xml:space="preserve">Marketing › Advertising</w:t>
      </w:r>
      <w:r>
        <w:t xml:space="preserve"> </w:t>
      </w:r>
      <w:r>
        <w:t xml:space="preserve">menus on the channel and workspace named there (navigation map in Appendix G): list, detail, wizard, approval-queue and dashboard screens with their key and bulk actions, filters, exports, empty and error states and role visibility; each setting as a versioned, effective-dated</w:t>
      </w:r>
      <w:r>
        <w:t xml:space="preserve"> </w:t>
      </w:r>
      <w:r>
        <w:rPr>
          <w:rStyle w:val="VerbatimChar"/>
        </w:rPr>
        <w:t xml:space="preserve">module_setting</w:t>
      </w:r>
      <w:r>
        <w:t xml:space="preserve"> </w:t>
      </w:r>
      <w:r>
        <w:t xml:space="preserve">record with its default, where a regulatory floor is enforced server-side and can never be relaxed.</w:t>
      </w:r>
    </w:p>
    <w:p>
      <w:pPr>
        <w:pStyle w:val="BlockText"/>
      </w:pPr>
      <w:r>
        <w:t xml:space="preserve">Tests and acceptance evidence:</w:t>
      </w:r>
    </w:p>
    <w:p>
      <w:pPr>
        <w:numPr>
          <w:ilvl w:val="0"/>
          <w:numId w:val="1516"/>
        </w:numPr>
        <w:pStyle w:val="Compact"/>
      </w:pPr>
      <w:r>
        <w:t xml:space="preserve">with G2 missing, enabling</w:t>
      </w:r>
      <w:r>
        <w:t xml:space="preserve"> </w:t>
      </w:r>
      <w:r>
        <w:rPr>
          <w:rStyle w:val="VerbatimChar"/>
        </w:rPr>
        <w:t xml:space="preserve">addons.wellness</w:t>
      </w:r>
      <w:r>
        <w:t xml:space="preserve"> </w:t>
      </w:r>
      <w:r>
        <w:t xml:space="preserve">in production fails and logs the reason;</w:t>
      </w:r>
    </w:p>
    <w:p>
      <w:pPr>
        <w:numPr>
          <w:ilvl w:val="0"/>
          <w:numId w:val="1516"/>
        </w:numPr>
        <w:pStyle w:val="Compact"/>
      </w:pPr>
      <w:r>
        <w:t xml:space="preserve">every FW1–FW4 and RV1–RV4 acceptance test in Parts 7D and 7G;</w:t>
      </w:r>
    </w:p>
    <w:p>
      <w:pPr>
        <w:numPr>
          <w:ilvl w:val="0"/>
          <w:numId w:val="1516"/>
        </w:numPr>
        <w:pStyle w:val="Compact"/>
      </w:pPr>
      <w:r>
        <w:t xml:space="preserve">a subscriber and a non-subscriber with identical requests receive identical offer sets and order;</w:t>
      </w:r>
    </w:p>
    <w:p>
      <w:pPr>
        <w:numPr>
          <w:ilvl w:val="0"/>
          <w:numId w:val="1516"/>
        </w:numPr>
        <w:pStyle w:val="Compact"/>
      </w:pPr>
      <w:r>
        <w:t xml:space="preserve">a subscription payment cannot use an RE credential and a repayment cannot use the</w:t>
      </w:r>
      <w:r>
        <w:t xml:space="preserve"> </w:t>
      </w:r>
      <w:r>
        <w:rPr>
          <w:rStyle w:val="VerbatimChar"/>
        </w:rPr>
        <w:t xml:space="preserve">UDOFIN_REVENUE</w:t>
      </w:r>
      <w:r>
        <w:t xml:space="preserve"> </w:t>
      </w:r>
      <w:r>
        <w:t xml:space="preserve">credential;</w:t>
      </w:r>
    </w:p>
    <w:p>
      <w:pPr>
        <w:numPr>
          <w:ilvl w:val="0"/>
          <w:numId w:val="1516"/>
        </w:numPr>
        <w:pStyle w:val="Compact"/>
      </w:pPr>
      <w:r>
        <w:t xml:space="preserve">no card number appears in any log, database or crash report (CI PAN-pattern scan);</w:t>
      </w:r>
    </w:p>
    <w:p>
      <w:pPr>
        <w:numPr>
          <w:ilvl w:val="0"/>
          <w:numId w:val="1516"/>
        </w:numPr>
        <w:pStyle w:val="Compact"/>
      </w:pPr>
      <w:r>
        <w:t xml:space="preserve">no plan, money-tools or ad element renders on any loan route (route scan);</w:t>
      </w:r>
    </w:p>
    <w:p>
      <w:pPr>
        <w:numPr>
          <w:ilvl w:val="0"/>
          <w:numId w:val="1516"/>
        </w:numPr>
        <w:pStyle w:val="Compact"/>
      </w:pPr>
      <w:r>
        <w:t xml:space="preserve">a consumer upgrade previews and charges the prorated amount once, and a failed mandate authorisation leaves the old plan in force;</w:t>
      </w:r>
    </w:p>
    <w:p>
      <w:pPr>
        <w:numPr>
          <w:ilvl w:val="0"/>
          <w:numId w:val="1516"/>
        </w:numPr>
        <w:pStyle w:val="Compact"/>
      </w:pPr>
      <w:r>
        <w:t xml:space="preserve">the Operations Hub sandbox receives only</w:t>
      </w:r>
      <w:r>
        <w:t xml:space="preserve"> </w:t>
      </w:r>
      <w:r>
        <w:rPr>
          <w:rStyle w:val="VerbatimChar"/>
        </w:rPr>
        <w:t xml:space="preserve">UsageRecorded</w:t>
      </w:r>
      <w:r>
        <w:t xml:space="preserve"> </w:t>
      </w:r>
      <w:r>
        <w:t xml:space="preserve">statements from Udofin, and a seeded subscriber or borrower identifier is rejected;</w:t>
      </w:r>
    </w:p>
    <w:p>
      <w:pPr>
        <w:numPr>
          <w:ilvl w:val="0"/>
          <w:numId w:val="1516"/>
        </w:numPr>
        <w:pStyle w:val="Compact"/>
      </w:pPr>
      <w:r>
        <w:t xml:space="preserve">every screen in the module’s</w:t>
      </w:r>
      <w:r>
        <w:t xml:space="preserve"> </w:t>
      </w:r>
      <w:r>
        <w:rPr>
          <w:rStyle w:val="VerbatimChar"/>
        </w:rPr>
        <w:t xml:space="preserve">Menu and screens</w:t>
      </w:r>
      <w:r>
        <w:t xml:space="preserve"> </w:t>
      </w:r>
      <w:r>
        <w:t xml:space="preserve">list renders only for the roles named there, and a setting change below its regulatory floor is refused server-side and logged.</w:t>
      </w:r>
    </w:p>
    <w:p>
      <w:pPr>
        <w:pStyle w:val="BlockText"/>
      </w:pPr>
      <w:r>
        <w:t xml:space="preserve">Show me the gate status table, the wellness store and grant design, the revenue-stream catalogue with gate states, the billing, proration and webhook design, and the</w:t>
      </w:r>
      <w:r>
        <w:t xml:space="preserve"> </w:t>
      </w:r>
      <w:r>
        <w:rPr>
          <w:rStyle w:val="VerbatimChar"/>
        </w:rPr>
        <w:t xml:space="preserve">Account › Money tools</w:t>
      </w:r>
      <w:r>
        <w:t xml:space="preserve">,</w:t>
      </w:r>
      <w:r>
        <w:t xml:space="preserve"> </w:t>
      </w:r>
      <w:r>
        <w:rPr>
          <w:rStyle w:val="VerbatimChar"/>
        </w:rPr>
        <w:t xml:space="preserve">Account › Plans and billing</w:t>
      </w:r>
      <w:r>
        <w:t xml:space="preserve">, lender billing and operations-portal menu and settings map for approval before coding.”</w:t>
      </w:r>
    </w:p>
    <w:bookmarkEnd w:id="524"/>
    <w:bookmarkStart w:id="525" w:name="Xc9ab70644711d57d577d839f44cd579ee7570f3"/>
    <w:p>
      <w:pPr>
        <w:pStyle w:val="Heading3"/>
      </w:pPr>
      <w:r>
        <w:t xml:space="preserve">Phase 20c — Extensible products and insurance distribution</w:t>
      </w:r>
    </w:p>
    <w:p>
      <w:pPr>
        <w:pStyle w:val="BlockText"/>
      </w:pPr>
      <w:r>
        <w:rPr>
          <w:bCs/>
          <w:b/>
        </w:rPr>
        <w:t xml:space="preserve">Instruction to Claude:</w:t>
      </w:r>
      <w:r>
        <w:t xml:space="preserve"> </w:t>
      </w:r>
      <w:r>
        <w:t xml:space="preserve">“</w:t>
      </w:r>
      <w:r>
        <w:rPr>
          <w:bCs/>
          <w:b/>
        </w:rPr>
        <w:t xml:space="preserve">Gate first.</w:t>
      </w:r>
      <w:r>
        <w:t xml:space="preserve"> </w:t>
      </w:r>
      <w:r>
        <w:t xml:space="preserve">Read</w:t>
      </w:r>
      <w:r>
        <w:t xml:space="preserve"> </w:t>
      </w:r>
      <w:r>
        <w:rPr>
          <w:rStyle w:val="VerbatimChar"/>
        </w:rPr>
        <w:t xml:space="preserve">docs/decisions/</w:t>
      </w:r>
      <w:r>
        <w:t xml:space="preserve"> </w:t>
      </w:r>
      <w:r>
        <w:t xml:space="preserve">for the IRDAI licence-model decision (Part 7F XP2.1, Appendix B): model A (Udofin composite Corporate Agent) or B (Insurance Web Aggregator) needs Udofin’s own IRDAI registration certificate recorded with number, permitted lines, validity, principal officer and tie-up list; model C (unpaid technology provider to an RE that is a Corporate Agent) needs the RE’s registration and counsel’s note confirming no solicitation or remuneration by Udofin [VERIFY: Insurance Act ss.40 and 42D(8) after the 2025 amendment]; model D is display in the RE’s KFS only.</w:t>
      </w:r>
      <w:r>
        <w:t xml:space="preserve"> </w:t>
      </w:r>
      <w:r>
        <w:rPr>
          <w:bCs/>
          <w:b/>
        </w:rPr>
        <w:t xml:space="preserve">If no model is recorded, or the required registration or note is missing, stop and tell me: build no insurance screen, route, adapter or API, and keep every</w:t>
      </w:r>
      <w:r>
        <w:rPr>
          <w:bCs/>
          <w:b/>
        </w:rPr>
        <w:t xml:space="preserve"> </w:t>
      </w:r>
      <w:r>
        <w:rPr>
          <w:rStyle w:val="VerbatimChar"/>
          <w:bCs/>
          <w:b/>
        </w:rPr>
        <w:t xml:space="preserve">xp.insurance.*</w:t>
      </w:r>
      <w:r>
        <w:rPr>
          <w:bCs/>
          <w:b/>
        </w:rPr>
        <w:t xml:space="preserve"> </w:t>
      </w:r>
      <w:r>
        <w:rPr>
          <w:bCs/>
          <w:b/>
        </w:rPr>
        <w:t xml:space="preserve">module LICENCE_PENDING.</w:t>
      </w:r>
      <w:r>
        <w:t xml:space="preserve"> </w:t>
      </w:r>
      <w:r>
        <w:t xml:space="preserve">I may then authorise the XP1 framework and the XP3 registry records only. Also verify: the IRDAI intermediary amendment of 30 Jul 2026, including the fresh-certificate deadline of 31 Jan 2027 and seller tagging from 1 Jan 2027 [VERIFY: notification text]; the RBC Second Amendment Directions (15 Jun 2026, effective 1 Jan 2027) paras 101G, 101I, 101M, 101Q, 101V, 101W, 101X and 101Y–Z for NBFCs [VERIFY: final numbering]; the IRDAI policyholder-protection regulations 2024 free-look periods, the Insurance Ombudsman Rules, 2017 and the E-mandate Directions 2026 paras 6 and 8(b) [VERIFY]; and that the insurance events (</w:t>
      </w:r>
      <w:r>
        <w:rPr>
          <w:rStyle w:val="VerbatimChar"/>
        </w:rPr>
        <w:t xml:space="preserve">InsuranceQuoteRequested</w:t>
      </w:r>
      <w:r>
        <w:t xml:space="preserve">,</w:t>
      </w:r>
      <w:r>
        <w:t xml:space="preserve"> </w:t>
      </w:r>
      <w:r>
        <w:rPr>
          <w:rStyle w:val="VerbatimChar"/>
        </w:rPr>
        <w:t xml:space="preserve">PolicyIssued</w:t>
      </w:r>
      <w:r>
        <w:t xml:space="preserve">,</w:t>
      </w:r>
      <w:r>
        <w:t xml:space="preserve"> </w:t>
      </w:r>
      <w:r>
        <w:rPr>
          <w:rStyle w:val="VerbatimChar"/>
        </w:rPr>
        <w:t xml:space="preserve">ClaimAssistanceRequested</w:t>
      </w:r>
      <w:r>
        <w:t xml:space="preserve">) flow Udofin ↔ insurer only under separate consent. Then, on branch</w:t>
      </w:r>
      <w:r>
        <w:t xml:space="preserve"> </w:t>
      </w:r>
      <w:r>
        <w:rPr>
          <w:rStyle w:val="VerbatimChar"/>
        </w:rPr>
        <w:t xml:space="preserve">feat/product-framework-insurance</w:t>
      </w:r>
      <w:r>
        <w:t xml:space="preserve">, build Part 7F:</w:t>
      </w:r>
    </w:p>
    <w:p>
      <w:pPr>
        <w:numPr>
          <w:ilvl w:val="0"/>
          <w:numId w:val="1517"/>
        </w:numPr>
        <w:pStyle w:val="Compact"/>
      </w:pPr>
      <w:r>
        <w:rPr>
          <w:bCs/>
          <w:b/>
        </w:rPr>
        <w:t xml:space="preserve">XP1:</w:t>
      </w:r>
      <w:r>
        <w:t xml:space="preserve"> </w:t>
      </w:r>
      <w:r>
        <w:t xml:space="preserve">the product-type registry as</w:t>
      </w:r>
      <w:r>
        <w:t xml:space="preserve"> </w:t>
      </w:r>
      <w:r>
        <w:rPr>
          <w:rStyle w:val="VerbatimChar"/>
        </w:rPr>
        <w:t xml:space="preserve">module.yaml</w:t>
      </w:r>
      <w:r>
        <w:t xml:space="preserve"> </w:t>
      </w:r>
      <w:r>
        <w:t xml:space="preserve">with the</w:t>
      </w:r>
      <w:r>
        <w:t xml:space="preserve"> </w:t>
      </w:r>
      <w:r>
        <w:rPr>
          <w:rStyle w:val="VerbatimChar"/>
        </w:rPr>
        <w:t xml:space="preserve">product</w:t>
      </w:r>
      <w:r>
        <w:t xml:space="preserve"> </w:t>
      </w:r>
      <w:r>
        <w:t xml:space="preserve">block; the regulator map; the lifecycle from PROPOSED to RETIRED; ENABLED only with a valid licence held by the named holder for that line, an active partner agreement within the tie-up limit (at most 9 insurers per line for a Corporate Agent), compliance and legal sign-off, complete disclosures and summary sheet in every active language, an ACTIVE RV1 stream and a passed UI audit; the nightly licence job; a 60-second kill-switch; new modules only by store release, never OTA; the separate</w:t>
      </w:r>
      <w:r>
        <w:t xml:space="preserve"> </w:t>
      </w:r>
      <w:r>
        <w:rPr>
          <w:rStyle w:val="VerbatimChar"/>
        </w:rPr>
        <w:t xml:space="preserve">product_vault</w:t>
      </w:r>
      <w:r>
        <w:t xml:space="preserve">; partner adapters with a certification suite and India processing by contract;</w:t>
      </w:r>
    </w:p>
    <w:p>
      <w:pPr>
        <w:numPr>
          <w:ilvl w:val="0"/>
          <w:numId w:val="1517"/>
        </w:numPr>
        <w:pStyle w:val="Compact"/>
      </w:pPr>
      <w:r>
        <w:rPr>
          <w:bCs/>
          <w:b/>
        </w:rPr>
        <w:t xml:space="preserve">XP2:</w:t>
      </w:r>
      <w:r>
        <w:t xml:space="preserve"> </w:t>
      </w:r>
      <w:r>
        <w:t xml:space="preserve">insurance in its own area under Account (</w:t>
      </w:r>
      <w:r>
        <w:rPr>
          <w:rStyle w:val="VerbatimChar"/>
        </w:rPr>
        <w:t xml:space="preserve">Account › Protect › Quotes</w:t>
      </w:r>
      <w:r>
        <w:t xml:space="preserve">,</w:t>
      </w:r>
      <w:r>
        <w:t xml:space="preserve"> </w:t>
      </w:r>
      <w:r>
        <w:rPr>
          <w:rStyle w:val="VerbatimChar"/>
        </w:rPr>
        <w:t xml:space="preserve">My policies</w:t>
      </w:r>
      <w:r>
        <w:t xml:space="preserve">,</w:t>
      </w:r>
      <w:r>
        <w:t xml:space="preserve"> </w:t>
      </w:r>
      <w:r>
        <w:rPr>
          <w:rStyle w:val="VerbatimChar"/>
        </w:rPr>
        <w:t xml:space="preserve">Claims help</w:t>
      </w:r>
      <w:r>
        <w:t xml:space="preserve">,</w:t>
      </w:r>
      <w:r>
        <w:t xml:space="preserve"> </w:t>
      </w:r>
      <w:r>
        <w:rPr>
          <w:rStyle w:val="VerbatimChar"/>
        </w:rPr>
        <w:t xml:space="preserve">Complaints</w:t>
      </w:r>
      <w:r>
        <w:t xml:space="preserve">; never a bottom tab: the app keeps Home, Loans, Pay, Help and Account) with the XP2.3 journey state table (needs check with explain-why lines, separate consent before the insurer’s proposal, payment only on the insurer’s gateway, the 48-hour issuance watch, free-look clock from the policy document), never in the loan chooser, offer view, KFS, signing, mandate, payment, loan dashboard, recovery or grievance screens (CF para 7(4));</w:t>
      </w:r>
      <w:r>
        <w:t xml:space="preserve"> </w:t>
      </w:r>
      <w:r>
        <w:rPr>
          <w:bCs/>
          <w:b/>
        </w:rPr>
        <w:t xml:space="preserve">no bundling</w:t>
      </w:r>
      <w:r>
        <w:t xml:space="preserve">: no loan conditional on, priced against or faster because of insurance (RBC Second Amendment para 101V); no premium financed from a loan (101W); no prompt in any cooling-off period or within 30 days of a microfinance disbursal (MFIN Guardrails 2.0; RBC para 80); quotes with equal weight and no default; the insurer’s proposal form; premium paid directly to the insurer; seller tagging checked on issue; free-look reminders; the 30-day feedback contact; claim-support intake and tracking where the insurer decides; the insurance complaint route (insurer GRO, Bima Bharosa, Insurance Ombudsman), never the RBI route unless a model D loan complaint;</w:t>
      </w:r>
    </w:p>
    <w:p>
      <w:pPr>
        <w:numPr>
          <w:ilvl w:val="0"/>
          <w:numId w:val="1517"/>
        </w:numPr>
        <w:pStyle w:val="Compact"/>
      </w:pPr>
      <w:r>
        <w:rPr>
          <w:bCs/>
          <w:b/>
        </w:rPr>
        <w:t xml:space="preserve">XP3:</w:t>
      </w:r>
      <w:r>
        <w:t xml:space="preserve"> </w:t>
      </w:r>
      <w:r>
        <w:t xml:space="preserve">candidate products only as PROPOSED records with no route, adapter or screen until a feasibility note is approved; co-operative society deposits and digital gold are never valid;</w:t>
      </w:r>
    </w:p>
    <w:p>
      <w:pPr>
        <w:numPr>
          <w:ilvl w:val="0"/>
          <w:numId w:val="1517"/>
        </w:numPr>
        <w:pStyle w:val="Compact"/>
      </w:pPr>
      <w:r>
        <w:rPr>
          <w:bCs/>
          <w:b/>
        </w:rPr>
        <w:t xml:space="preserve">XP4:</w:t>
      </w:r>
      <w:r>
        <w:t xml:space="preserve"> </w:t>
      </w:r>
      <w:r>
        <w:t xml:space="preserve">product-specific consents, default No and kept at least one year after the contract (101G, 101I, 101Q); one-tap withdrawal (101M); promotional contact only with consent, 140-series numbers and within the window, enforced by the Phase 3b contact-policy engine until the Phase 20d routing engine is live (no outbound voice for non-loan products before then); the mis-selling review workflow; no cross-sell to overdue, hardship, grievance or bereavement cases; the dark-pattern UI audit before ENABLED; mis-selling reviews with refunds through the insurer;</w:t>
      </w:r>
    </w:p>
    <w:p>
      <w:pPr>
        <w:numPr>
          <w:ilvl w:val="0"/>
          <w:numId w:val="1517"/>
        </w:numPr>
        <w:pStyle w:val="Compact"/>
      </w:pPr>
      <w:r>
        <w:rPr>
          <w:bCs/>
          <w:b/>
        </w:rPr>
        <w:t xml:space="preserve">menus, screens and settings:</w:t>
      </w:r>
      <w:r>
        <w:t xml:space="preserve"> </w:t>
      </w:r>
      <w:r>
        <w:t xml:space="preserve">build every entry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7F (XP1–XP4), including</w:t>
      </w:r>
      <w:r>
        <w:t xml:space="preserve"> </w:t>
      </w:r>
      <w:r>
        <w:rPr>
          <w:rStyle w:val="VerbatimChar"/>
        </w:rPr>
        <w:t xml:space="preserve">Account › Protect</w:t>
      </w:r>
      <w:r>
        <w:t xml:space="preserve"> </w:t>
      </w:r>
      <w:r>
        <w:t xml:space="preserve">and the operations-portal</w:t>
      </w:r>
      <w:r>
        <w:t xml:space="preserve"> </w:t>
      </w:r>
      <w:r>
        <w:rPr>
          <w:rStyle w:val="VerbatimChar"/>
        </w:rPr>
        <w:t xml:space="preserve">Products</w:t>
      </w:r>
      <w:r>
        <w:t xml:space="preserve">,</w:t>
      </w:r>
      <w:r>
        <w:t xml:space="preserve"> </w:t>
      </w:r>
      <w:r>
        <w:rPr>
          <w:rStyle w:val="VerbatimChar"/>
        </w:rPr>
        <w:t xml:space="preserve">Insurance</w:t>
      </w:r>
      <w:r>
        <w:t xml:space="preserve"> </w:t>
      </w:r>
      <w:r>
        <w:t xml:space="preserve">and</w:t>
      </w:r>
      <w:r>
        <w:t xml:space="preserve"> </w:t>
      </w:r>
      <w:r>
        <w:rPr>
          <w:rStyle w:val="VerbatimChar"/>
        </w:rPr>
        <w:t xml:space="preserve">Compliance › Sales practice</w:t>
      </w:r>
      <w:r>
        <w:t xml:space="preserve"> </w:t>
      </w:r>
      <w:r>
        <w:t xml:space="preserve">menus on the channel and workspace named there (navigation map in Appendix G): list, detail, wizard, approval-queue and dashboard screens with their key and bulk actions, filters, exports, empty and error states and role visibility; each setting as a versioned, effective-dated</w:t>
      </w:r>
      <w:r>
        <w:t xml:space="preserve"> </w:t>
      </w:r>
      <w:r>
        <w:rPr>
          <w:rStyle w:val="VerbatimChar"/>
        </w:rPr>
        <w:t xml:space="preserve">module_setting</w:t>
      </w:r>
      <w:r>
        <w:t xml:space="preserve"> </w:t>
      </w:r>
      <w:r>
        <w:t xml:space="preserve">record with its default, where a regulatory floor is enforced server-side and can never be relaxed.</w:t>
      </w:r>
    </w:p>
    <w:p>
      <w:pPr>
        <w:pStyle w:val="BlockText"/>
      </w:pPr>
      <w:r>
        <w:t xml:space="preserve">Tests and acceptance evidence:</w:t>
      </w:r>
    </w:p>
    <w:p>
      <w:pPr>
        <w:numPr>
          <w:ilvl w:val="0"/>
          <w:numId w:val="1518"/>
        </w:numPr>
        <w:pStyle w:val="Compact"/>
      </w:pPr>
      <w:r>
        <w:t xml:space="preserve">with no approved licence model, no insurance screen, route or API is reachable;</w:t>
      </w:r>
    </w:p>
    <w:p>
      <w:pPr>
        <w:numPr>
          <w:ilvl w:val="0"/>
          <w:numId w:val="1518"/>
        </w:numPr>
        <w:pStyle w:val="Compact"/>
      </w:pPr>
      <w:r>
        <w:t xml:space="preserve">every XP1–XP4 acceptance test in Part 7F;</w:t>
      </w:r>
    </w:p>
    <w:p>
      <w:pPr>
        <w:numPr>
          <w:ilvl w:val="0"/>
          <w:numId w:val="1518"/>
        </w:numPr>
        <w:pStyle w:val="Compact"/>
      </w:pPr>
      <w:r>
        <w:t xml:space="preserve">a module with an expired licence, a 10th insurer on one line or no RV1 stream cannot reach ENABLED; the kill-switch disables it on app and web within 60 seconds;</w:t>
      </w:r>
    </w:p>
    <w:p>
      <w:pPr>
        <w:numPr>
          <w:ilvl w:val="0"/>
          <w:numId w:val="1518"/>
        </w:numPr>
        <w:pStyle w:val="Compact"/>
      </w:pPr>
      <w:r>
        <w:t xml:space="preserve">an automated UI scan finds no insurance component on any loan route;</w:t>
      </w:r>
    </w:p>
    <w:p>
      <w:pPr>
        <w:numPr>
          <w:ilvl w:val="0"/>
          <w:numId w:val="1518"/>
        </w:numPr>
        <w:pStyle w:val="Compact"/>
      </w:pPr>
      <w:r>
        <w:t xml:space="preserve">a premium can be initiated only to the insurer’s gateway; a claim ticket cannot be set approved or rejected by any Udofin role;</w:t>
      </w:r>
    </w:p>
    <w:p>
      <w:pPr>
        <w:numPr>
          <w:ilvl w:val="0"/>
          <w:numId w:val="1518"/>
        </w:numPr>
        <w:pStyle w:val="Compact"/>
      </w:pPr>
      <w:r>
        <w:t xml:space="preserve">from 1 Jan 2027 an issued policy without the seller’s name and functional ID raises a compliance issue within one hour;</w:t>
      </w:r>
    </w:p>
    <w:p>
      <w:pPr>
        <w:numPr>
          <w:ilvl w:val="0"/>
          <w:numId w:val="1518"/>
        </w:numPr>
        <w:pStyle w:val="Compact"/>
      </w:pPr>
      <w:r>
        <w:t xml:space="preserve">an expired quote cannot be submitted, and a paid journey without</w:t>
      </w:r>
      <w:r>
        <w:t xml:space="preserve"> </w:t>
      </w:r>
      <w:r>
        <w:rPr>
          <w:rStyle w:val="VerbatimChar"/>
        </w:rPr>
        <w:t xml:space="preserve">PolicyIssued</w:t>
      </w:r>
      <w:r>
        <w:t xml:space="preserve"> </w:t>
      </w:r>
      <w:r>
        <w:t xml:space="preserve">after 48 hours opens an insurer task;</w:t>
      </w:r>
    </w:p>
    <w:p>
      <w:pPr>
        <w:numPr>
          <w:ilvl w:val="0"/>
          <w:numId w:val="1518"/>
        </w:numPr>
        <w:pStyle w:val="Compact"/>
      </w:pPr>
      <w:r>
        <w:t xml:space="preserve">every screen in the module’s</w:t>
      </w:r>
      <w:r>
        <w:t xml:space="preserve"> </w:t>
      </w:r>
      <w:r>
        <w:rPr>
          <w:rStyle w:val="VerbatimChar"/>
        </w:rPr>
        <w:t xml:space="preserve">Menu and screens</w:t>
      </w:r>
      <w:r>
        <w:t xml:space="preserve"> </w:t>
      </w:r>
      <w:r>
        <w:t xml:space="preserve">list renders only for the roles named there, and a setting change below its regulatory floor is refused server-side and logged.</w:t>
      </w:r>
    </w:p>
    <w:p>
      <w:pPr>
        <w:pStyle w:val="BlockText"/>
      </w:pPr>
      <w:r>
        <w:t xml:space="preserve">Show me the licence-model record, the registry manifest schema, the insurance journey state table, the UI-audit checklist, and the</w:t>
      </w:r>
      <w:r>
        <w:t xml:space="preserve"> </w:t>
      </w:r>
      <w:r>
        <w:rPr>
          <w:rStyle w:val="VerbatimChar"/>
        </w:rPr>
        <w:t xml:space="preserve">Account › Protect</w:t>
      </w:r>
      <w:r>
        <w:t xml:space="preserve"> </w:t>
      </w:r>
      <w:r>
        <w:t xml:space="preserve">and operations-portal menu and settings map for approval before coding.”</w:t>
      </w:r>
    </w:p>
    <w:bookmarkEnd w:id="525"/>
    <w:bookmarkStart w:id="526" w:name="Xf2bbc9cf03e2375bf4428428c11e42105565237"/>
    <w:p>
      <w:pPr>
        <w:pStyle w:val="Heading3"/>
      </w:pPr>
      <w:r>
        <w:t xml:space="preserve">Phase 20d — Voice, AI contact-centre and Jio adapters</w:t>
      </w:r>
    </w:p>
    <w:p>
      <w:pPr>
        <w:pStyle w:val="BlockText"/>
      </w:pPr>
      <w:r>
        <w:rPr>
          <w:bCs/>
          <w:b/>
        </w:rPr>
        <w:t xml:space="preserve">Instruction to Claude:</w:t>
      </w:r>
      <w:r>
        <w:t xml:space="preserve"> </w:t>
      </w:r>
      <w:r>
        <w:t xml:space="preserve">“Before writing the specification, verify: (i) the TRAI series: the Direction of 19 Nov 2025 on 1600-series numbers for RBI-regulated entities (NBFCs above ₹5,000 crore from 1 Feb 2026; other NBFCs and co-operative banks from 1 Mar 2026), the clarification of 10 Jul 2026, the 1601 sub-series, and whether an LSP may hold 1600-series numbers or originate calls on an RE’s number [VERIFY]; the TCCCPR 2018 as amended on 12 Feb 2025 (140-series for promotional calls, consent categories, 90 days before re-seeking consent after an opt-out, advance notice of robo-calls and auto-diallers under reg 4) [VERIFY]; (ii) the RBC calling rules: para 100 (08:00–19:00), para 91(2) (microfinance 09:00–18:00 until 31 Dec 2026), the Third Amendment pack from 1 Jan 2027 (paras 100P, 100Y(4)) and the RBC Second Amendment draft paras 101L and 101O [VERIFY: official texts]; (iii) the JioCX (Jio Things Ltd) API documentation, DPA, India residency, DLT and 1600 or 140 support, AI voice roadmap and rates, and the owner’s contract decision (Appendix B) [VERIFY]; (iv) Bhashini and Sarvam AI terms and residency [VERIFY]. Udofin’s own outbound service calls stay disabled until 1600-series eligibility is confirmed. Then, on branch</w:t>
      </w:r>
      <w:r>
        <w:t xml:space="preserve"> </w:t>
      </w:r>
      <w:r>
        <w:rPr>
          <w:rStyle w:val="VerbatimChar"/>
        </w:rPr>
        <w:t xml:space="preserve">feat/voice-ai-contact-centre</w:t>
      </w:r>
      <w:r>
        <w:t xml:space="preserve">, build Part 7H RA5 on U16, U20 and Part 7A UR4:</w:t>
      </w:r>
    </w:p>
    <w:p>
      <w:pPr>
        <w:numPr>
          <w:ilvl w:val="0"/>
          <w:numId w:val="1519"/>
        </w:numPr>
        <w:pStyle w:val="Compact"/>
      </w:pPr>
      <w:r>
        <w:rPr>
          <w:bCs/>
          <w:b/>
        </w:rPr>
        <w:t xml:space="preserve">adapters:</w:t>
      </w:r>
      <w:r>
        <w:t xml:space="preserve"> </w:t>
      </w:r>
      <w:r>
        <w:rPr>
          <w:rStyle w:val="VerbatimChar"/>
        </w:rPr>
        <w:t xml:space="preserve">NotificationProvider</w:t>
      </w:r>
      <w:r>
        <w:t xml:space="preserve"> </w:t>
      </w:r>
      <w:r>
        <w:t xml:space="preserve">and</w:t>
      </w:r>
      <w:r>
        <w:t xml:space="preserve"> </w:t>
      </w:r>
      <w:r>
        <w:rPr>
          <w:rStyle w:val="VerbatimChar"/>
        </w:rPr>
        <w:t xml:space="preserve">LlmProvider</w:t>
      </w:r>
      <w:r>
        <w:t xml:space="preserve"> </w:t>
      </w:r>
      <w:r>
        <w:t xml:space="preserve">(existing, Part 9.1),</w:t>
      </w:r>
      <w:r>
        <w:t xml:space="preserve"> </w:t>
      </w:r>
      <w:r>
        <w:rPr>
          <w:rStyle w:val="VerbatimChar"/>
        </w:rPr>
        <w:t xml:space="preserve">VoiceProvider</w:t>
      </w:r>
      <w:r>
        <w:t xml:space="preserve">,</w:t>
      </w:r>
      <w:r>
        <w:t xml:space="preserve"> </w:t>
      </w:r>
      <w:r>
        <w:rPr>
          <w:rStyle w:val="VerbatimChar"/>
        </w:rPr>
        <w:t xml:space="preserve">SpeechProvider</w:t>
      </w:r>
      <w:r>
        <w:t xml:space="preserve"> </w:t>
      </w:r>
      <w:r>
        <w:t xml:space="preserve">and</w:t>
      </w:r>
      <w:r>
        <w:t xml:space="preserve"> </w:t>
      </w:r>
      <w:r>
        <w:rPr>
          <w:rStyle w:val="VerbatimChar"/>
        </w:rPr>
        <w:t xml:space="preserve">ConversationAgent</w:t>
      </w:r>
      <w:r>
        <w:t xml:space="preserve"> </w:t>
      </w:r>
      <w:r>
        <w:t xml:space="preserve">as provider-neutral ports with a mock and one certified implementation; a provider is enabled only with an India-residency attestation for recordings, transcripts and inference, a DPA and sub-processor list, DLT and series support, and zero retention and no training on Udofin data (CF para 14(4)); Jio is one implementation behind the ports, built only after the contract and documents above; Exotel, Ozonetel, Knowlarity and Gupshup are evaluated behind the same ports [VERIFY];</w:t>
      </w:r>
    </w:p>
    <w:p>
      <w:pPr>
        <w:numPr>
          <w:ilvl w:val="0"/>
          <w:numId w:val="1519"/>
        </w:numPr>
        <w:pStyle w:val="Compact"/>
      </w:pPr>
      <w:r>
        <w:rPr>
          <w:bCs/>
          <w:b/>
        </w:rPr>
        <w:t xml:space="preserve">routing engine:</w:t>
      </w:r>
      <w:r>
        <w:t xml:space="preserve"> </w:t>
      </w:r>
      <w:r>
        <w:t xml:space="preserve">every outbound communication computes</w:t>
      </w:r>
      <w:r>
        <w:t xml:space="preserve"> </w:t>
      </w:r>
      <w:r>
        <w:rPr>
          <w:rStyle w:val="VerbatimChar"/>
        </w:rPr>
        <w:t xml:space="preserve">purpose</w:t>
      </w:r>
      <w:r>
        <w:t xml:space="preserve">,</w:t>
      </w:r>
      <w:r>
        <w:t xml:space="preserve"> </w:t>
      </w:r>
      <w:r>
        <w:rPr>
          <w:rStyle w:val="VerbatimChar"/>
        </w:rPr>
        <w:t xml:space="preserve">principal_entity</w:t>
      </w:r>
      <w:r>
        <w:t xml:space="preserve">,</w:t>
      </w:r>
      <w:r>
        <w:t xml:space="preserve"> </w:t>
      </w:r>
      <w:r>
        <w:rPr>
          <w:rStyle w:val="VerbatimChar"/>
        </w:rPr>
        <w:t xml:space="preserve">number_series</w:t>
      </w:r>
      <w:r>
        <w:t xml:space="preserve">,</w:t>
      </w:r>
      <w:r>
        <w:t xml:space="preserve"> </w:t>
      </w:r>
      <w:r>
        <w:rPr>
          <w:rStyle w:val="VerbatimChar"/>
        </w:rPr>
        <w:t xml:space="preserve">consent_check</w:t>
      </w:r>
      <w:r>
        <w:t xml:space="preserve">,</w:t>
      </w:r>
      <w:r>
        <w:t xml:space="preserve"> </w:t>
      </w:r>
      <w:r>
        <w:rPr>
          <w:rStyle w:val="VerbatimChar"/>
        </w:rPr>
        <w:t xml:space="preserve">time_window</w:t>
      </w:r>
      <w:r>
        <w:t xml:space="preserve">,</w:t>
      </w:r>
      <w:r>
        <w:t xml:space="preserve"> </w:t>
      </w:r>
      <w:r>
        <w:rPr>
          <w:rStyle w:val="VerbatimChar"/>
        </w:rPr>
        <w:t xml:space="preserve">frequency_cap</w:t>
      </w:r>
      <w:r>
        <w:t xml:space="preserve">,</w:t>
      </w:r>
      <w:r>
        <w:t xml:space="preserve"> </w:t>
      </w:r>
      <w:r>
        <w:rPr>
          <w:rStyle w:val="VerbatimChar"/>
        </w:rPr>
        <w:t xml:space="preserve">language</w:t>
      </w:r>
      <w:r>
        <w:t xml:space="preserve"> </w:t>
      </w:r>
      <w:r>
        <w:t xml:space="preserve">and</w:t>
      </w:r>
      <w:r>
        <w:t xml:space="preserve"> </w:t>
      </w:r>
      <w:r>
        <w:rPr>
          <w:rStyle w:val="VerbatimChar"/>
        </w:rPr>
        <w:t xml:space="preserve">auto_dialler</w:t>
      </w:r>
      <w:r>
        <w:t xml:space="preserve">; RE service, transactional and recovery calls only from the RE’s 1600-series numbers through the RE’s trunk or an RE-authorised provider; Udofin promotional calls only from 140-series numbers through a registered telemarketer with promotional consent and DND scrubbing; never an ordinary 10-digit number for telemarketing or RE service calls; denials logged with the rule; a call from an unregistered number is an incident;</w:t>
      </w:r>
    </w:p>
    <w:p>
      <w:pPr>
        <w:numPr>
          <w:ilvl w:val="0"/>
          <w:numId w:val="1519"/>
        </w:numPr>
        <w:pStyle w:val="Compact"/>
      </w:pPr>
      <w:r>
        <w:rPr>
          <w:bCs/>
          <w:b/>
        </w:rPr>
        <w:t xml:space="preserve">AI contact-centre rules:</w:t>
      </w:r>
      <w:r>
        <w:t xml:space="preserve"> </w:t>
      </w:r>
      <w:r>
        <w:t xml:space="preserve">disclosure first in the borrower’s language, not configurable off; human handover at any turn under the RA5.5 workflow (triggers, warm transfer with a context summary, service level, callback ticket inside the permitted window when no agent is free, never a silent end); no threats, misstatement or third-party contact (RBC paras 91, 100); no settlement, waiver, credit, claim or complaint decision and figures only from RE-issued offers; scripts and prompts approved by the RE’s compliance team or Udofin compliance, with versions logged; model, prompt version, transcript and outcome stored in India; QA sampling feeding KRI R15;</w:t>
      </w:r>
    </w:p>
    <w:p>
      <w:pPr>
        <w:numPr>
          <w:ilvl w:val="0"/>
          <w:numId w:val="1519"/>
        </w:numPr>
        <w:pStyle w:val="Compact"/>
      </w:pPr>
      <w:r>
        <w:rPr>
          <w:bCs/>
          <w:b/>
        </w:rPr>
        <w:t xml:space="preserve">recording:</w:t>
      </w:r>
      <w:r>
        <w:t xml:space="preserve"> </w:t>
      </w:r>
      <w:r>
        <w:t xml:space="preserve">announcement and DPDP notice link, repeated by the human after a transfer; for a service-call objection, unrecorded mode or a written channel; recovery calls always recorded, with a written channel offered to an objecting borrower; recovery recordings kept at least 6 months and until disposal if sub judice (pack B para 100P from 1 Jan 2027) with a Udofin default of 12 months; an unrecorded written or callback channel for objecting borrowers where the RE’s policy allows; restricted RE-archive folder only;</w:t>
      </w:r>
    </w:p>
    <w:p>
      <w:pPr>
        <w:numPr>
          <w:ilvl w:val="0"/>
          <w:numId w:val="1519"/>
        </w:numPr>
        <w:pStyle w:val="Compact"/>
      </w:pPr>
      <w:r>
        <w:rPr>
          <w:bCs/>
          <w:b/>
        </w:rPr>
        <w:t xml:space="preserve">Indian languages:</w:t>
      </w:r>
      <w:r>
        <w:t xml:space="preserve"> </w:t>
      </w:r>
      <w:r>
        <w:t xml:space="preserve">per-language acceptance tests by native reviewers before go-live; regulatory text only as text-to-speech of the RE-approved translation, never generated by an LLM;</w:t>
      </w:r>
    </w:p>
    <w:p>
      <w:pPr>
        <w:numPr>
          <w:ilvl w:val="0"/>
          <w:numId w:val="1519"/>
        </w:numPr>
        <w:pStyle w:val="Compact"/>
      </w:pPr>
      <w:r>
        <w:rPr>
          <w:bCs/>
          <w:b/>
        </w:rPr>
        <w:t xml:space="preserve">lifecycles:</w:t>
      </w:r>
      <w:r>
        <w:t xml:space="preserve"> </w:t>
      </w:r>
      <w:r>
        <w:t xml:space="preserve">provider, number and script lifecycles of RA5.7;</w:t>
      </w:r>
    </w:p>
    <w:p>
      <w:pPr>
        <w:numPr>
          <w:ilvl w:val="0"/>
          <w:numId w:val="1519"/>
        </w:numPr>
        <w:pStyle w:val="Compact"/>
      </w:pPr>
      <w:r>
        <w:rPr>
          <w:bCs/>
          <w:b/>
        </w:rPr>
        <w:t xml:space="preserve">menus, screens and settings:</w:t>
      </w:r>
      <w:r>
        <w:t xml:space="preserve"> </w:t>
      </w:r>
      <w:r>
        <w:t xml:space="preserve">build every entry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7H RA5, including the operations-portal</w:t>
      </w:r>
      <w:r>
        <w:t xml:space="preserve"> </w:t>
      </w:r>
      <w:r>
        <w:rPr>
          <w:rStyle w:val="VerbatimChar"/>
        </w:rPr>
        <w:t xml:space="preserve">Communications</w:t>
      </w:r>
      <w:r>
        <w:t xml:space="preserve"> </w:t>
      </w:r>
      <w:r>
        <w:t xml:space="preserve">menu, the lender-portal</w:t>
      </w:r>
      <w:r>
        <w:t xml:space="preserve"> </w:t>
      </w:r>
      <w:r>
        <w:rPr>
          <w:rStyle w:val="VerbatimChar"/>
        </w:rPr>
        <w:t xml:space="preserve">Settings › Communications</w:t>
      </w:r>
      <w:r>
        <w:t xml:space="preserve"> </w:t>
      </w:r>
      <w:r>
        <w:t xml:space="preserve">and the borrower’s</w:t>
      </w:r>
      <w:r>
        <w:t xml:space="preserve"> </w:t>
      </w:r>
      <w:r>
        <w:rPr>
          <w:rStyle w:val="VerbatimChar"/>
        </w:rPr>
        <w:t xml:space="preserve">Account › Settings › Contact preferences</w:t>
      </w:r>
      <w:r>
        <w:t xml:space="preserve"> </w:t>
      </w:r>
      <w:r>
        <w:t xml:space="preserve">on the channel and workspace named there (navigation map in Appendix G): list, detail, wizard, approval-queue and dashboard screens with their key and bulk actions, filters, exports, empty and error states and role visibility; each setting as a versioned, effective-dated</w:t>
      </w:r>
      <w:r>
        <w:t xml:space="preserve"> </w:t>
      </w:r>
      <w:r>
        <w:rPr>
          <w:rStyle w:val="VerbatimChar"/>
        </w:rPr>
        <w:t xml:space="preserve">module_setting</w:t>
      </w:r>
      <w:r>
        <w:t xml:space="preserve"> </w:t>
      </w:r>
      <w:r>
        <w:t xml:space="preserve">record with its default, where a regulatory floor is enforced server-side and can never be relaxed.</w:t>
      </w:r>
    </w:p>
    <w:p>
      <w:pPr>
        <w:pStyle w:val="BlockText"/>
      </w:pPr>
      <w:r>
        <w:t xml:space="preserve">Tests and acceptance evidence:</w:t>
      </w:r>
    </w:p>
    <w:p>
      <w:pPr>
        <w:numPr>
          <w:ilvl w:val="0"/>
          <w:numId w:val="1520"/>
        </w:numPr>
        <w:pStyle w:val="Compact"/>
      </w:pPr>
      <w:r>
        <w:t xml:space="preserve">every RA5 acceptance test in Part 7H;</w:t>
      </w:r>
    </w:p>
    <w:p>
      <w:pPr>
        <w:numPr>
          <w:ilvl w:val="0"/>
          <w:numId w:val="1520"/>
        </w:numPr>
        <w:pStyle w:val="Compact"/>
      </w:pPr>
      <w:r>
        <w:t xml:space="preserve">an RE service call without a configured RE 1600-series number is blocked; a Udofin promotional call without consent, from a non-140 number or outside 09:00–18:00 is blocked;</w:t>
      </w:r>
    </w:p>
    <w:p>
      <w:pPr>
        <w:numPr>
          <w:ilvl w:val="0"/>
          <w:numId w:val="1520"/>
        </w:numPr>
        <w:pStyle w:val="Compact"/>
      </w:pPr>
      <w:r>
        <w:t xml:space="preserve">recovery calls at 07:59 and 19:01 and microfinance calls at 08:59 and 18:01 are denied and logged; after 1 Jan 2027 the Third Amendment pack applies;</w:t>
      </w:r>
    </w:p>
    <w:p>
      <w:pPr>
        <w:numPr>
          <w:ilvl w:val="0"/>
          <w:numId w:val="1520"/>
        </w:numPr>
        <w:pStyle w:val="Compact"/>
      </w:pPr>
      <w:r>
        <w:t xml:space="preserve">a bot call without the opening disclosure fails the conversation suite; a request for a settlement figure not in an RE offer is declined with a human handover;</w:t>
      </w:r>
    </w:p>
    <w:p>
      <w:pPr>
        <w:numPr>
          <w:ilvl w:val="0"/>
          <w:numId w:val="1520"/>
        </w:numPr>
        <w:pStyle w:val="Compact"/>
      </w:pPr>
      <w:r>
        <w:t xml:space="preserve">a provider without India residency cannot be enabled for recordings, transcripts or inference; a language cannot go live without its acceptance record;</w:t>
      </w:r>
    </w:p>
    <w:p>
      <w:pPr>
        <w:numPr>
          <w:ilvl w:val="0"/>
          <w:numId w:val="1520"/>
        </w:numPr>
        <w:pStyle w:val="Compact"/>
      </w:pPr>
      <w:r>
        <w:t xml:space="preserve">‘</w:t>
      </w:r>
      <w:r>
        <w:t xml:space="preserve">talk to a person</w:t>
      </w:r>
      <w:r>
        <w:t xml:space="preserve">’</w:t>
      </w:r>
      <w:r>
        <w:t xml:space="preserve"> </w:t>
      </w:r>
      <w:r>
        <w:t xml:space="preserve">with no agent free creates a callback inside the permitted window; a recovery-call recording objection never stops recording;</w:t>
      </w:r>
    </w:p>
    <w:p>
      <w:pPr>
        <w:numPr>
          <w:ilvl w:val="0"/>
          <w:numId w:val="1520"/>
        </w:numPr>
        <w:pStyle w:val="Compact"/>
      </w:pPr>
      <w:r>
        <w:t xml:space="preserve">every screen in the module’s</w:t>
      </w:r>
      <w:r>
        <w:t xml:space="preserve"> </w:t>
      </w:r>
      <w:r>
        <w:rPr>
          <w:rStyle w:val="VerbatimChar"/>
        </w:rPr>
        <w:t xml:space="preserve">Menu and screens</w:t>
      </w:r>
      <w:r>
        <w:t xml:space="preserve"> </w:t>
      </w:r>
      <w:r>
        <w:t xml:space="preserve">list renders only for the roles named there, and a setting change below its regulatory floor is refused server-side and logged.</w:t>
      </w:r>
    </w:p>
    <w:p>
      <w:pPr>
        <w:pStyle w:val="BlockText"/>
      </w:pPr>
      <w:r>
        <w:t xml:space="preserve">Show me the port interfaces, the routing decision table with the number-series rules, the provider evaluation matrix including Jio, the handover workflow, the conversation test suite, and the communications menu and settings map for approval before coding.”</w:t>
      </w:r>
    </w:p>
    <w:bookmarkEnd w:id="526"/>
    <w:bookmarkStart w:id="527" w:name="X98562135d036b9587e180ce63e018dcf088e84d"/>
    <w:p>
      <w:pPr>
        <w:pStyle w:val="Heading3"/>
      </w:pPr>
      <w:r>
        <w:t xml:space="preserve">Phase 21 — Scale hardening and AWS migration</w:t>
      </w:r>
    </w:p>
    <w:p>
      <w:pPr>
        <w:pStyle w:val="BlockText"/>
      </w:pPr>
      <w:r>
        <w:rPr>
          <w:bCs/>
          <w:b/>
        </w:rPr>
        <w:t xml:space="preserve">Instruction to Claude:</w:t>
      </w:r>
      <w:r>
        <w:t xml:space="preserve"> </w:t>
      </w:r>
      <w:r>
        <w:t xml:space="preserve">“On branch</w:t>
      </w:r>
      <w:r>
        <w:t xml:space="preserve"> </w:t>
      </w:r>
      <w:r>
        <w:rPr>
          <w:rStyle w:val="VerbatimChar"/>
        </w:rPr>
        <w:t xml:space="preserve">feat/scale-aws</w:t>
      </w:r>
      <w:r>
        <w:t xml:space="preserve">, run multi-tenant scale tests at 1 million+ borrowers and 100+ REs. Then:</w:t>
      </w:r>
    </w:p>
    <w:p>
      <w:pPr>
        <w:numPr>
          <w:ilvl w:val="0"/>
          <w:numId w:val="1521"/>
        </w:numPr>
        <w:pStyle w:val="Compact"/>
      </w:pPr>
      <w:r>
        <w:t xml:space="preserve">write and rehearse the AWS ap-south-1 / ap-south-2 migration runbook;</w:t>
      </w:r>
    </w:p>
    <w:p>
      <w:pPr>
        <w:numPr>
          <w:ilvl w:val="0"/>
          <w:numId w:val="1521"/>
        </w:numPr>
        <w:pStyle w:val="Compact"/>
      </w:pPr>
      <w:r>
        <w:t xml:space="preserve">run DR at scale;</w:t>
      </w:r>
    </w:p>
    <w:p>
      <w:pPr>
        <w:numPr>
          <w:ilvl w:val="0"/>
          <w:numId w:val="1521"/>
        </w:numPr>
        <w:pStyle w:val="Compact"/>
      </w:pPr>
      <w:r>
        <w:t xml:space="preserve">tune performance and mobile app size and start-up;</w:t>
      </w:r>
    </w:p>
    <w:p>
      <w:pPr>
        <w:numPr>
          <w:ilvl w:val="0"/>
          <w:numId w:val="1521"/>
        </w:numPr>
        <w:pStyle w:val="Compact"/>
      </w:pPr>
      <w:r>
        <w:t xml:space="preserve">repeat independent VAPT and the MASVS assessment.</w:t>
      </w:r>
    </w:p>
    <w:p>
      <w:pPr>
        <w:pStyle w:val="BlockText"/>
      </w:pPr>
      <w:r>
        <w:t xml:space="preserve">Present a controlled migration plan for my approval.”</w:t>
      </w:r>
    </w:p>
    <w:p>
      <w:r>
        <w:pict>
          <v:rect style="width:0;height:1.5pt" o:hralign="center" o:hrstd="t" o:hr="t"/>
        </w:pict>
      </w:r>
    </w:p>
    <w:bookmarkEnd w:id="527"/>
    <w:bookmarkEnd w:id="528"/>
    <w:bookmarkStart w:id="529" w:name="part-13-start-now"/>
    <w:p>
      <w:pPr>
        <w:pStyle w:val="Heading1"/>
      </w:pPr>
      <w:r>
        <w:t xml:space="preserve">PART 13 — START NOW</w:t>
      </w:r>
    </w:p>
    <w:p>
      <w:pPr>
        <w:pStyle w:val="FirstParagraph"/>
      </w:pPr>
      <w:r>
        <w:t xml:space="preserve">I have connected my GitHub repository for Udofin, and this file is committed at</w:t>
      </w:r>
      <w:r>
        <w:t xml:space="preserve"> </w:t>
      </w:r>
      <w:r>
        <w:rPr>
          <w:rStyle w:val="VerbatimChar"/>
        </w:rPr>
        <w:t xml:space="preserve">docs/00-master-prompt.md</w:t>
      </w:r>
      <w:r>
        <w:t xml:space="preserve">. Do</w:t>
      </w:r>
      <w:r>
        <w:t xml:space="preserve"> </w:t>
      </w:r>
      <w:r>
        <w:rPr>
          <w:bCs/>
          <w:b/>
        </w:rPr>
        <w:t xml:space="preserve">not</w:t>
      </w:r>
      <w:r>
        <w:t xml:space="preserve"> </w:t>
      </w:r>
      <w:r>
        <w:t xml:space="preserve">begin by implementing the complete lending application.</w:t>
      </w:r>
    </w:p>
    <w:p>
      <w:pPr>
        <w:pStyle w:val="BodyText"/>
      </w:pPr>
      <w:r>
        <w:t xml:space="preserve">First, execute</w:t>
      </w:r>
      <w:r>
        <w:t xml:space="preserve"> </w:t>
      </w:r>
      <w:r>
        <w:rPr>
          <w:bCs/>
          <w:b/>
        </w:rPr>
        <w:t xml:space="preserve">Phase 0 only</w:t>
      </w:r>
      <w:r>
        <w:t xml:space="preserve">:</w:t>
      </w:r>
    </w:p>
    <w:p>
      <w:pPr>
        <w:numPr>
          <w:ilvl w:val="0"/>
          <w:numId w:val="1522"/>
        </w:numPr>
        <w:pStyle w:val="Compact"/>
      </w:pPr>
      <w:r>
        <w:t xml:space="preserve">Read this whole file, including Parts 7A–7H (Parts 7B–7H are new in v1.2) and the appendices.</w:t>
      </w:r>
    </w:p>
    <w:p>
      <w:pPr>
        <w:numPr>
          <w:ilvl w:val="0"/>
          <w:numId w:val="1522"/>
        </w:numPr>
        <w:pStyle w:val="Compact"/>
      </w:pPr>
      <w:r>
        <w:t xml:space="preserve">Inspect the repository and report its current state: files, branch, tooling and constraints.</w:t>
      </w:r>
    </w:p>
    <w:p>
      <w:pPr>
        <w:numPr>
          <w:ilvl w:val="0"/>
          <w:numId w:val="1522"/>
        </w:numPr>
        <w:pStyle w:val="Compact"/>
      </w:pPr>
      <w:r>
        <w:t xml:space="preserve">Identify missing business decisions and the major architecture, regulatory, app-store, data-residency and security risks.</w:t>
      </w:r>
    </w:p>
    <w:p>
      <w:pPr>
        <w:numPr>
          <w:ilvl w:val="0"/>
          <w:numId w:val="1522"/>
        </w:numPr>
        <w:pStyle w:val="Compact"/>
      </w:pPr>
      <w:r>
        <w:t xml:space="preserve">Propose, as ADRs:</w:t>
      </w:r>
    </w:p>
    <w:p>
      <w:pPr>
        <w:numPr>
          <w:ilvl w:val="1"/>
          <w:numId w:val="1523"/>
        </w:numPr>
        <w:pStyle w:val="Compact"/>
      </w:pPr>
      <w:r>
        <w:t xml:space="preserve">the repository structure;</w:t>
      </w:r>
    </w:p>
    <w:p>
      <w:pPr>
        <w:numPr>
          <w:ilvl w:val="1"/>
          <w:numId w:val="1523"/>
        </w:numPr>
        <w:pStyle w:val="Compact"/>
      </w:pPr>
      <w:r>
        <w:t xml:space="preserve">the RE-tenancy and authorisation strategy;</w:t>
      </w:r>
    </w:p>
    <w:p>
      <w:pPr>
        <w:numPr>
          <w:ilvl w:val="1"/>
          <w:numId w:val="1523"/>
        </w:numPr>
        <w:pStyle w:val="Compact"/>
      </w:pPr>
      <w:r>
        <w:t xml:space="preserve">the mobile and web architecture (Expo, EAS, OTA policy, PWA);</w:t>
      </w:r>
    </w:p>
    <w:p>
      <w:pPr>
        <w:numPr>
          <w:ilvl w:val="1"/>
          <w:numId w:val="1523"/>
        </w:numPr>
        <w:pStyle w:val="Compact"/>
      </w:pPr>
      <w:r>
        <w:t xml:space="preserve">the loan-mirror design (no Fineract; Udofin is not an LMS);</w:t>
      </w:r>
    </w:p>
    <w:p>
      <w:pPr>
        <w:numPr>
          <w:ilvl w:val="1"/>
          <w:numId w:val="1523"/>
        </w:numPr>
        <w:pStyle w:val="Compact"/>
      </w:pPr>
      <w:r>
        <w:t xml:space="preserve">the RE-scoped vault and Aadhaar approach;</w:t>
      </w:r>
    </w:p>
    <w:p>
      <w:pPr>
        <w:numPr>
          <w:ilvl w:val="1"/>
          <w:numId w:val="1523"/>
        </w:numPr>
        <w:pStyle w:val="Compact"/>
      </w:pPr>
      <w:r>
        <w:t xml:space="preserve">the technology choices, with current versions.</w:t>
      </w:r>
    </w:p>
    <w:p>
      <w:pPr>
        <w:numPr>
          <w:ilvl w:val="0"/>
          <w:numId w:val="1522"/>
        </w:numPr>
        <w:pStyle w:val="Compact"/>
      </w:pPr>
      <w:r>
        <w:t xml:space="preserve">Prepare the initial entity model and the API/integration boundaries, including the lender connector contract based on Finbyx Part 5 and the Integration Specification v1.1 domains used by Parts 7B–7H (partner deals, billing, portability, risk, external access, member and group lending, insurance).</w:t>
      </w:r>
    </w:p>
    <w:p>
      <w:pPr>
        <w:numPr>
          <w:ilvl w:val="0"/>
          <w:numId w:val="1522"/>
        </w:numPr>
        <w:pStyle w:val="Compact"/>
      </w:pPr>
      <w:r>
        <w:t xml:space="preserve">Prepare regulatory register v1, the DLA register design, the permission policy and the app-store policy check, as described in the Phase 0 instruction.</w:t>
      </w:r>
    </w:p>
    <w:p>
      <w:pPr>
        <w:numPr>
          <w:ilvl w:val="0"/>
          <w:numId w:val="1522"/>
        </w:numPr>
        <w:pStyle w:val="Compact"/>
      </w:pPr>
      <w:r>
        <w:t xml:space="preserve">Prepare:</w:t>
      </w:r>
    </w:p>
    <w:p>
      <w:pPr>
        <w:numPr>
          <w:ilvl w:val="1"/>
          <w:numId w:val="1524"/>
        </w:numPr>
        <w:pStyle w:val="Compact"/>
      </w:pPr>
      <w:r>
        <w:t xml:space="preserve">the phased roadmap, with dependencies and acceptance criteria;</w:t>
      </w:r>
    </w:p>
    <w:p>
      <w:pPr>
        <w:numPr>
          <w:ilvl w:val="1"/>
          <w:numId w:val="1524"/>
        </w:numPr>
        <w:pStyle w:val="Compact"/>
      </w:pPr>
      <w:r>
        <w:t xml:space="preserve">the minimum security, testing and review gates;</w:t>
      </w:r>
    </w:p>
    <w:p>
      <w:pPr>
        <w:numPr>
          <w:ilvl w:val="1"/>
          <w:numId w:val="1524"/>
        </w:numPr>
        <w:pStyle w:val="Compact"/>
      </w:pPr>
      <w:r>
        <w:t xml:space="preserve">the competitor benchmark.</w:t>
      </w:r>
    </w:p>
    <w:p>
      <w:pPr>
        <w:numPr>
          <w:ilvl w:val="0"/>
          <w:numId w:val="1522"/>
        </w:numPr>
        <w:pStyle w:val="Compact"/>
      </w:pPr>
      <w:r>
        <w:t xml:space="preserve">Present the proposed baseline and your questions for my approval</w:t>
      </w:r>
      <w:r>
        <w:t xml:space="preserve"> </w:t>
      </w:r>
      <w:r>
        <w:rPr>
          <w:bCs/>
          <w:b/>
        </w:rPr>
        <w:t xml:space="preserve">before</w:t>
      </w:r>
      <w:r>
        <w:t xml:space="preserve"> </w:t>
      </w:r>
      <w:r>
        <w:t xml:space="preserve">modifying the repository.</w:t>
      </w:r>
    </w:p>
    <w:p>
      <w:pPr>
        <w:pStyle w:val="FirstParagraph"/>
      </w:pPr>
      <w:r>
        <w:t xml:space="preserve">After approval:</w:t>
      </w:r>
    </w:p>
    <w:p>
      <w:pPr>
        <w:numPr>
          <w:ilvl w:val="0"/>
          <w:numId w:val="1525"/>
        </w:numPr>
        <w:pStyle w:val="Compact"/>
      </w:pPr>
      <w:r>
        <w:t xml:space="preserve">Create the</w:t>
      </w:r>
      <w:r>
        <w:t xml:space="preserve"> </w:t>
      </w:r>
      <w:r>
        <w:rPr>
          <w:rStyle w:val="VerbatimChar"/>
        </w:rPr>
        <w:t xml:space="preserve">feat/repo-baseline</w:t>
      </w:r>
      <w:r>
        <w:t xml:space="preserve"> </w:t>
      </w:r>
      <w:r>
        <w:t xml:space="preserve">branch. (The original prompt asked for the initial structure to be committed directly to</w:t>
      </w:r>
      <w:r>
        <w:t xml:space="preserve"> </w:t>
      </w:r>
      <w:r>
        <w:rPr>
          <w:rStyle w:val="VerbatimChar"/>
        </w:rPr>
        <w:t xml:space="preserve">main</w:t>
      </w:r>
      <w:r>
        <w:t xml:space="preserve">; that is replaced by this branch and a pull request.)</w:t>
      </w:r>
    </w:p>
    <w:p>
      <w:pPr>
        <w:numPr>
          <w:ilvl w:val="0"/>
          <w:numId w:val="1525"/>
        </w:numPr>
        <w:pStyle w:val="Compact"/>
      </w:pPr>
      <w:r>
        <w:t xml:space="preserve">Commit only</w:t>
      </w:r>
      <w:r>
        <w:t xml:space="preserve"> </w:t>
      </w:r>
      <w:r>
        <w:rPr>
          <w:rStyle w:val="VerbatimChar"/>
        </w:rPr>
        <w:t xml:space="preserve">CLAUDE.md</w:t>
      </w:r>
      <w:r>
        <w:t xml:space="preserve"> </w:t>
      </w:r>
      <w:r>
        <w:t xml:space="preserve">(from Appendix A), the ADRs,</w:t>
      </w:r>
      <w:r>
        <w:t xml:space="preserve"> </w:t>
      </w:r>
      <w:r>
        <w:rPr>
          <w:rStyle w:val="VerbatimChar"/>
        </w:rPr>
        <w:t xml:space="preserve">docs/</w:t>
      </w:r>
      <w:r>
        <w:t xml:space="preserve">, the registers and</w:t>
      </w:r>
      <w:r>
        <w:t xml:space="preserve"> </w:t>
      </w:r>
      <w:r>
        <w:rPr>
          <w:rStyle w:val="VerbatimChar"/>
        </w:rPr>
        <w:t xml:space="preserve">docs/regulations/errata.md</w:t>
      </w:r>
      <w:r>
        <w:t xml:space="preserve"> </w:t>
      </w:r>
      <w:r>
        <w:t xml:space="preserve">(seeded from Appendix F). Application scaffolding (</w:t>
      </w:r>
      <w:r>
        <w:rPr>
          <w:rStyle w:val="VerbatimChar"/>
        </w:rPr>
        <w:t xml:space="preserve">package.json</w:t>
      </w:r>
      <w:r>
        <w:t xml:space="preserve">,</w:t>
      </w:r>
      <w:r>
        <w:t xml:space="preserve"> </w:t>
      </w:r>
      <w:r>
        <w:rPr>
          <w:rStyle w:val="VerbatimChar"/>
        </w:rPr>
        <w:t xml:space="preserve">tsconfig.json</w:t>
      </w:r>
      <w:r>
        <w:t xml:space="preserve">,</w:t>
      </w:r>
      <w:r>
        <w:t xml:space="preserve"> </w:t>
      </w:r>
      <w:r>
        <w:rPr>
          <w:rStyle w:val="VerbatimChar"/>
        </w:rPr>
        <w:t xml:space="preserve">app.json</w:t>
      </w:r>
      <w:r>
        <w:t xml:space="preserve"> </w:t>
      </w:r>
      <w:r>
        <w:t xml:space="preserve">and the app skeletons) belongs to Phase 1.</w:t>
      </w:r>
    </w:p>
    <w:p>
      <w:pPr>
        <w:numPr>
          <w:ilvl w:val="0"/>
          <w:numId w:val="1525"/>
        </w:numPr>
        <w:pStyle w:val="Compact"/>
      </w:pPr>
      <w:r>
        <w:t xml:space="preserve">Open a pull request.</w:t>
      </w:r>
    </w:p>
    <w:p>
      <w:pPr>
        <w:pStyle w:val="FirstParagraph"/>
      </w:pPr>
      <w:r>
        <w:t xml:space="preserve">Throughout development you may ask me as many questions as you need. I will act as project manager; you will architect and build Udofin.</w:t>
      </w:r>
    </w:p>
    <w:p>
      <w:r>
        <w:pict>
          <v:rect style="width:0;height:1.5pt" o:hralign="center" o:hrstd="t" o:hr="t"/>
        </w:pict>
      </w:r>
    </w:p>
    <w:bookmarkEnd w:id="529"/>
    <w:bookmarkStart w:id="530" w:name="X11b3f370b9f93ad9156339ef3d6d9bb1687f372"/>
    <w:p>
      <w:pPr>
        <w:pStyle w:val="Heading1"/>
      </w:pPr>
      <w:r>
        <w:t xml:space="preserve">APPENDIX A — CLAUDE.md SEED (keep concise and stable)</w:t>
      </w:r>
    </w:p>
    <w:p>
      <w:pPr>
        <w:pStyle w:val="SourceCode"/>
      </w:pPr>
      <w:r>
        <w:rPr>
          <w:rStyle w:val="FunctionTok"/>
        </w:rPr>
        <w:t xml:space="preserve"># Udofin — Claude Code Project Instructions</w:t>
      </w:r>
      <w:r>
        <w:br/>
      </w:r>
      <w:r>
        <w:br/>
      </w:r>
      <w:r>
        <w:rPr>
          <w:rStyle w:val="FunctionTok"/>
        </w:rPr>
        <w:t xml:space="preserve">## What this is</w:t>
      </w:r>
      <w:r>
        <w:br/>
      </w:r>
      <w:r>
        <w:rPr>
          <w:rStyle w:val="NormalTok"/>
        </w:rPr>
        <w:t xml:space="preserve">Udofin: multi-lender Lending Service Provider (LSP) platform for Indian regulated lenders (REs:</w:t>
      </w:r>
      <w:r>
        <w:br/>
      </w:r>
      <w:r>
        <w:rPr>
          <w:rStyle w:val="NormalTok"/>
        </w:rPr>
        <w:t xml:space="preserve">NBFCs, HFCs, banks). Borrower Android/iOS app (Expo) + borrower web app/PWA (Next.js) + one</w:t>
      </w:r>
      <w:r>
        <w:br/>
      </w:r>
      <w:r>
        <w:rPr>
          <w:rStyle w:val="NormalTok"/>
        </w:rPr>
        <w:t xml:space="preserve">portal app (operations, lender, admin workspaces) + NestJS API + workers. Part of the Infrabyx</w:t>
      </w:r>
      <w:r>
        <w:br/>
      </w:r>
      <w:r>
        <w:rPr>
          <w:rStyle w:val="NormalTok"/>
        </w:rPr>
        <w:t xml:space="preserve">ecosystem (Finbyx LOS/LMS, LawDocsComply GRC, Equator ODR) — integrate only via versioned</w:t>
      </w:r>
      <w:r>
        <w:br/>
      </w:r>
      <w:r>
        <w:rPr>
          <w:rStyle w:val="NormalTok"/>
        </w:rPr>
        <w:t xml:space="preserve">contracts (canonical: docs/ecosystem/infrabyx-integration-spec.md). Full brief: docs/00-master-prompt.md.</w:t>
      </w:r>
      <w:r>
        <w:br/>
      </w:r>
      <w:r>
        <w:br/>
      </w:r>
      <w:r>
        <w:rPr>
          <w:rStyle w:val="FunctionTok"/>
        </w:rPr>
        <w:t xml:space="preserve">## Non-negotiables</w:t>
      </w:r>
      <w:r>
        <w:br/>
      </w:r>
      <w:r>
        <w:rPr>
          <w:rStyle w:val="SpecialStringTok"/>
        </w:rPr>
        <w:t xml:space="preserve">- </w:t>
      </w:r>
      <w:r>
        <w:rPr>
          <w:rStyle w:val="NormalTok"/>
        </w:rPr>
        <w:t xml:space="preserve">Udofin is an LSP. It never lends, never sanctions, never holds or routes money. Disbursal</w:t>
      </w:r>
      <w:r>
        <w:br/>
      </w:r>
      <w:r>
        <w:rPr>
          <w:rStyle w:val="NormalTok"/>
        </w:rPr>
        <w:t xml:space="preserve">  RE → borrower account; repayment borrower → RE account (or co-lending escrow). No Udofin</w:t>
      </w:r>
      <w:r>
        <w:br/>
      </w:r>
      <w:r>
        <w:rPr>
          <w:rStyle w:val="NormalTok"/>
        </w:rPr>
        <w:t xml:space="preserve">  pool, escrow, wallet, virtual or merchant account in any loan money flow (CF para 10).</w:t>
      </w:r>
      <w:r>
        <w:br/>
      </w:r>
      <w:r>
        <w:rPr>
          <w:rStyle w:val="NormalTok"/>
        </w:rPr>
        <w:t xml:space="preserve">  LSP fees are paid by the RE. Never charge a borrower for anything loan-related (CF 10(4)):</w:t>
      </w:r>
      <w:r>
        <w:br/>
      </w:r>
      <w:r>
        <w:rPr>
          <w:rStyle w:val="NormalTok"/>
        </w:rPr>
        <w:t xml:space="preserve">  no processing, priority, "membership", mandate or payment fee; nothing netted from a</w:t>
      </w:r>
      <w:r>
        <w:br/>
      </w:r>
      <w:r>
        <w:rPr>
          <w:rStyle w:val="NormalTok"/>
        </w:rPr>
        <w:t xml:space="preserve">  disbursal or recovery. Optional non-loan plans only after the Part 7D FW4 and 7G RV1 gates.</w:t>
      </w:r>
      <w:r>
        <w:br/>
      </w:r>
      <w:r>
        <w:rPr>
          <w:rStyle w:val="SpecialStringTok"/>
        </w:rPr>
        <w:t xml:space="preserve">- </w:t>
      </w:r>
      <w:r>
        <w:rPr>
          <w:rStyle w:val="NormalTok"/>
        </w:rPr>
        <w:t xml:space="preserve">The RE decides: KYC compliance, credit, sanction, pricing, KFS, disbursement, classification,</w:t>
      </w:r>
      <w:r>
        <w:br/>
      </w:r>
      <w:r>
        <w:rPr>
          <w:rStyle w:val="NormalTok"/>
        </w:rPr>
        <w:t xml:space="preserve">  CIC reporting, complaint closure. Udofin pre-filters only on RE-approved rule versions.</w:t>
      </w:r>
      <w:r>
        <w:br/>
      </w:r>
      <w:r>
        <w:rPr>
          <w:rStyle w:val="SpecialStringTok"/>
        </w:rPr>
        <w:t xml:space="preserve">- </w:t>
      </w:r>
      <w:r>
        <w:rPr>
          <w:rStyle w:val="NormalTok"/>
        </w:rPr>
        <w:t xml:space="preserve">Server decides: app and browser hold no secrets (public config only) and compute no eligibility,</w:t>
      </w:r>
      <w:r>
        <w:br/>
      </w:r>
      <w:r>
        <w:rPr>
          <w:rStyle w:val="NormalTok"/>
        </w:rPr>
        <w:t xml:space="preserve">  routing, pricing or DLG. Every external side effect is idempotent (stored idempotency keys).</w:t>
      </w:r>
      <w:r>
        <w:br/>
      </w:r>
      <w:r>
        <w:rPr>
          <w:rStyle w:val="SpecialStringTok"/>
        </w:rPr>
        <w:t xml:space="preserve">- </w:t>
      </w:r>
      <w:r>
        <w:rPr>
          <w:rStyle w:val="NormalTok"/>
        </w:rPr>
        <w:t xml:space="preserve">Minimal permissions: never contacts, call logs, SMS, telephony, files/media, installed-app</w:t>
      </w:r>
      <w:r>
        <w:br/>
      </w:r>
      <w:r>
        <w:rPr>
          <w:rStyle w:val="NormalTok"/>
        </w:rPr>
        <w:t xml:space="preserve">  lists, precise location. Camera/mic/coarse location one-time at onboarding/KYC with explicit</w:t>
      </w:r>
      <w:r>
        <w:br/>
      </w:r>
      <w:r>
        <w:rPr>
          <w:rStyle w:val="NormalTok"/>
        </w:rPr>
        <w:t xml:space="preserve">  consent. CI permission audit must pass (docs/compliance/permission-policy.md).</w:t>
      </w:r>
      <w:r>
        <w:br/>
      </w:r>
      <w:r>
        <w:rPr>
          <w:rStyle w:val="SpecialStringTok"/>
        </w:rPr>
        <w:t xml:space="preserve">- </w:t>
      </w:r>
      <w:r>
        <w:rPr>
          <w:rStyle w:val="NormalTok"/>
        </w:rPr>
        <w:t xml:space="preserve">Minimal storage: basic data only; KYC docs, bureau and bank data in the RE-scoped vault.</w:t>
      </w:r>
      <w:r>
        <w:br/>
      </w:r>
      <w:r>
        <w:rPr>
          <w:rStyle w:val="NormalTok"/>
        </w:rPr>
        <w:t xml:space="preserve">  No Aadhaar number, UID token or biometric template stored by Udofin.</w:t>
      </w:r>
      <w:r>
        <w:br/>
      </w:r>
      <w:r>
        <w:rPr>
          <w:rStyle w:val="SpecialStringTok"/>
        </w:rPr>
        <w:t xml:space="preserve">- </w:t>
      </w:r>
      <w:r>
        <w:rPr>
          <w:rStyle w:val="NormalTok"/>
        </w:rPr>
        <w:t xml:space="preserve">Data in India: prod data, backups, logs, sub-processors. Railway or any non-India host:</w:t>
      </w:r>
      <w:r>
        <w:br/>
      </w:r>
      <w:r>
        <w:rPr>
          <w:rStyle w:val="NormalTok"/>
        </w:rPr>
        <w:t xml:space="preserve">  synthetic data only.</w:t>
      </w:r>
      <w:r>
        <w:br/>
      </w:r>
      <w:r>
        <w:rPr>
          <w:rStyle w:val="SpecialStringTok"/>
        </w:rPr>
        <w:t xml:space="preserve">- </w:t>
      </w:r>
      <w:r>
        <w:rPr>
          <w:rStyle w:val="NormalTok"/>
        </w:rPr>
        <w:t xml:space="preserve">No Aadhaar/PAN/OTP/account numbers/bureau data/document images in logs, analytics, crash</w:t>
      </w:r>
      <w:r>
        <w:br/>
      </w:r>
      <w:r>
        <w:rPr>
          <w:rStyle w:val="NormalTok"/>
        </w:rPr>
        <w:t xml:space="preserve">  reports, push payloads, fixtures or code.</w:t>
      </w:r>
      <w:r>
        <w:br/>
      </w:r>
      <w:r>
        <w:rPr>
          <w:rStyle w:val="SpecialStringTok"/>
        </w:rPr>
        <w:t xml:space="preserve">- </w:t>
      </w:r>
      <w:r>
        <w:rPr>
          <w:rStyle w:val="NormalTok"/>
        </w:rPr>
        <w:t xml:space="preserve">Consent before data: purpose, RE(s), notice version recorded in U4 for every collection/share.</w:t>
      </w:r>
      <w:r>
        <w:br/>
      </w:r>
      <w:r>
        <w:rPr>
          <w:rStyle w:val="SpecialStringTok"/>
        </w:rPr>
        <w:t xml:space="preserve">- </w:t>
      </w:r>
      <w:r>
        <w:rPr>
          <w:rStyle w:val="NormalTok"/>
        </w:rPr>
        <w:t xml:space="preserve">Offer view is lender-neutral: documented matching, pre-disclosed ranking metric, unmatched</w:t>
      </w:r>
      <w:r>
        <w:br/>
      </w:r>
      <w:r>
        <w:rPr>
          <w:rStyle w:val="NormalTok"/>
        </w:rPr>
        <w:t xml:space="preserve">  lenders shown, no dark patterns (CF para 7).</w:t>
      </w:r>
      <w:r>
        <w:br/>
      </w:r>
      <w:r>
        <w:rPr>
          <w:rStyle w:val="SpecialStringTok"/>
        </w:rPr>
        <w:t xml:space="preserve">- </w:t>
      </w:r>
      <w:r>
        <w:rPr>
          <w:rStyle w:val="NormalTok"/>
        </w:rPr>
        <w:t xml:space="preserve">Each borrower channel is a DLA of each RE (one CIMS line per platform); never claim RBI</w:t>
      </w:r>
      <w:r>
        <w:br/>
      </w:r>
      <w:r>
        <w:rPr>
          <w:rStyle w:val="NormalTok"/>
        </w:rPr>
        <w:t xml:space="preserve">  registration or approval (CF para 18(6)).</w:t>
      </w:r>
      <w:r>
        <w:br/>
      </w:r>
      <w:r>
        <w:rPr>
          <w:rStyle w:val="SpecialStringTok"/>
        </w:rPr>
        <w:t xml:space="preserve">- </w:t>
      </w:r>
      <w:r>
        <w:rPr>
          <w:rStyle w:val="NormalTok"/>
        </w:rPr>
        <w:t xml:space="preserve">Collateral-free loan to a household with income ≤ ₹3 lakh = microfinance loan (CF para 51),</w:t>
      </w:r>
      <w:r>
        <w:br/>
      </w:r>
      <w:r>
        <w:rPr>
          <w:rStyle w:val="NormalTok"/>
        </w:rPr>
        <w:t xml:space="preserve">  whatever the product: 50% obligation cap (CF para 55), 09:00–18:00 contact window (RBC 91(2))</w:t>
      </w:r>
      <w:r>
        <w:br/>
      </w:r>
      <w:r>
        <w:rPr>
          <w:rStyle w:val="NormalTok"/>
        </w:rPr>
        <w:t xml:space="preserve">  until 31 Dec 2026, then the RBC Third Amendment rule pack (RBI/2026-27/230).</w:t>
      </w:r>
      <w:r>
        <w:br/>
      </w:r>
      <w:r>
        <w:rPr>
          <w:rStyle w:val="SpecialStringTok"/>
        </w:rPr>
        <w:t xml:space="preserve">- </w:t>
      </w:r>
      <w:r>
        <w:rPr>
          <w:rStyle w:val="NormalTok"/>
        </w:rPr>
        <w:t xml:space="preserve">DLG ≠ collections. DLG never feeds pre-filters and never grants collection rights; recovery</w:t>
      </w:r>
      <w:r>
        <w:br/>
      </w:r>
      <w:r>
        <w:rPr>
          <w:rStyle w:val="NormalTok"/>
        </w:rPr>
        <w:t xml:space="preserve">  work only under an explicit recovery-agent contract recorded in U1.</w:t>
      </w:r>
      <w:r>
        <w:br/>
      </w:r>
      <w:r>
        <w:rPr>
          <w:rStyle w:val="SpecialStringTok"/>
        </w:rPr>
        <w:t xml:space="preserve">- </w:t>
      </w:r>
      <w:r>
        <w:rPr>
          <w:rStyle w:val="NormalTok"/>
        </w:rPr>
        <w:t xml:space="preserve">Recovery (Part 7A, attachable per RE): Udofin never approves, prices or promises a settlement,</w:t>
      </w:r>
      <w:r>
        <w:br/>
      </w:r>
      <w:r>
        <w:rPr>
          <w:rStyle w:val="NormalTok"/>
        </w:rPr>
        <w:t xml:space="preserve">  never refers a dispute to arbitration or any ADR (the RE refers), never issues a legal notice</w:t>
      </w:r>
      <w:r>
        <w:br/>
      </w:r>
      <w:r>
        <w:rPr>
          <w:rStyle w:val="NormalTok"/>
        </w:rPr>
        <w:t xml:space="preserve">  in its own name or marks one served, never holds or nets recovery money, never repossesses or</w:t>
      </w:r>
      <w:r>
        <w:br/>
      </w:r>
      <w:r>
        <w:rPr>
          <w:rStyle w:val="NormalTok"/>
        </w:rPr>
        <w:t xml:space="preserve">  invokes collateral or DLG, and shows legal, ADR and litigation status only as the RE permits.</w:t>
      </w:r>
      <w:r>
        <w:br/>
      </w:r>
      <w:r>
        <w:rPr>
          <w:rStyle w:val="NormalTok"/>
        </w:rPr>
        <w:t xml:space="preserve">  Agent work only where appointed: particulars to the borrower before contact (CF 9(6));</w:t>
      </w:r>
      <w:r>
        <w:br/>
      </w:r>
      <w:r>
        <w:rPr>
          <w:rStyle w:val="NormalTok"/>
        </w:rPr>
        <w:t xml:space="preserve">  RBC Third Amendment pack from 1 Jan 2027. No WhatsApp in recovery.</w:t>
      </w:r>
      <w:r>
        <w:br/>
      </w:r>
      <w:r>
        <w:rPr>
          <w:rStyle w:val="SpecialStringTok"/>
        </w:rPr>
        <w:t xml:space="preserve">- </w:t>
      </w:r>
      <w:r>
        <w:rPr>
          <w:rStyle w:val="NormalTok"/>
        </w:rPr>
        <w:t xml:space="preserve">Detach = read-only + export; no recovery record deleted before its retention date or under hold.</w:t>
      </w:r>
      <w:r>
        <w:br/>
      </w:r>
      <w:r>
        <w:rPr>
          <w:rStyle w:val="SpecialStringTok"/>
        </w:rPr>
        <w:t xml:space="preserve">- </w:t>
      </w:r>
      <w:r>
        <w:rPr>
          <w:rStyle w:val="NormalTok"/>
        </w:rPr>
        <w:t xml:space="preserve">No ads, sponsored ranking, paid placement, badges or cross-sell in the offer view or any loan</w:t>
      </w:r>
      <w:r>
        <w:br/>
      </w:r>
      <w:r>
        <w:rPr>
          <w:rStyle w:val="NormalTok"/>
        </w:rPr>
        <w:t xml:space="preserve">  screen; fee, DLG, plan and ad data never reach matching or ranking (CF 7(4); RV4).</w:t>
      </w:r>
      <w:r>
        <w:br/>
      </w:r>
      <w:r>
        <w:rPr>
          <w:rStyle w:val="SpecialStringTok"/>
        </w:rPr>
        <w:t xml:space="preserve">- </w:t>
      </w:r>
      <w:r>
        <w:rPr>
          <w:rStyle w:val="NormalTok"/>
        </w:rPr>
        <w:t xml:space="preserve">No SMS, contacts, call-log, notification or inbox reading anywhere, the expense tracker</w:t>
      </w:r>
      <w:r>
        <w:br/>
      </w:r>
      <w:r>
        <w:rPr>
          <w:rStyle w:val="NormalTok"/>
        </w:rPr>
        <w:t xml:space="preserve">  included (CF 13(1)); wellness data (credit reports, expenses) stays in the separate wellness</w:t>
      </w:r>
      <w:r>
        <w:br/>
      </w:r>
      <w:r>
        <w:rPr>
          <w:rStyle w:val="NormalTok"/>
        </w:rPr>
        <w:t xml:space="preserve">  store, is never used for credit, routing, collections or ads, and is never shared with an</w:t>
      </w:r>
      <w:r>
        <w:br/>
      </w:r>
      <w:r>
        <w:rPr>
          <w:rStyle w:val="NormalTok"/>
        </w:rPr>
        <w:t xml:space="preserve">  RE or the Operations Hub (FW4).</w:t>
      </w:r>
      <w:r>
        <w:br/>
      </w:r>
      <w:r>
        <w:rPr>
          <w:rStyle w:val="SpecialStringTok"/>
        </w:rPr>
        <w:t xml:space="preserve">- </w:t>
      </w:r>
      <w:r>
        <w:rPr>
          <w:rStyle w:val="NormalTok"/>
        </w:rPr>
        <w:t xml:space="preserve">No deposits: never list, quote, solicit or collect deposits for any lender, society or member</w:t>
      </w:r>
      <w:r>
        <w:br/>
      </w:r>
      <w:r>
        <w:rPr>
          <w:rStyle w:val="NormalTok"/>
        </w:rPr>
        <w:t xml:space="preserve">  class. Societies are not REs: no co-lending, loan sale or split routing with NBFCs (UP4).</w:t>
      </w:r>
      <w:r>
        <w:br/>
      </w:r>
      <w:r>
        <w:rPr>
          <w:rStyle w:val="SpecialStringTok"/>
        </w:rPr>
        <w:t xml:space="preserve">- </w:t>
      </w:r>
      <w:r>
        <w:rPr>
          <w:rStyle w:val="NormalTok"/>
        </w:rPr>
        <w:t xml:space="preserve">Insurance and other regulated products only behind the XP1 licence gate (Udofin's own IRDAI</w:t>
      </w:r>
      <w:r>
        <w:br/>
      </w:r>
      <w:r>
        <w:rPr>
          <w:rStyle w:val="NormalTok"/>
        </w:rPr>
        <w:t xml:space="preserve">  registration, or unpaid tech provider to a licensed RE); product-specific consent, default No;</w:t>
      </w:r>
      <w:r>
        <w:br/>
      </w:r>
      <w:r>
        <w:rPr>
          <w:rStyle w:val="NormalTok"/>
        </w:rPr>
        <w:t xml:space="preserve">  no bundling; premiums go to the insurer, never through Udofin.</w:t>
      </w:r>
      <w:r>
        <w:br/>
      </w:r>
      <w:r>
        <w:rPr>
          <w:rStyle w:val="SpecialStringTok"/>
        </w:rPr>
        <w:t xml:space="preserve">- </w:t>
      </w:r>
      <w:r>
        <w:rPr>
          <w:rStyle w:val="NormalTok"/>
        </w:rPr>
        <w:t xml:space="preserve">Udofin billing uses Udofin's own Razorpay account for Udofin revenue only; never loan money.</w:t>
      </w:r>
      <w:r>
        <w:br/>
      </w:r>
      <w:r>
        <w:rPr>
          <w:rStyle w:val="SpecialStringTok"/>
        </w:rPr>
        <w:t xml:space="preserve">- </w:t>
      </w:r>
      <w:r>
        <w:rPr>
          <w:rStyle w:val="NormalTok"/>
        </w:rPr>
        <w:t xml:space="preserve">RE service calls only on the RE's 1600 numbers; promotions only on 140 with consent; Udofin's</w:t>
      </w:r>
      <w:r>
        <w:br/>
      </w:r>
      <w:r>
        <w:rPr>
          <w:rStyle w:val="NormalTok"/>
        </w:rPr>
        <w:t xml:space="preserve">  own outbound service calls stay off until its 1600 eligibility is confirmed (RA5).</w:t>
      </w:r>
      <w:r>
        <w:br/>
      </w:r>
      <w:r>
        <w:rPr>
          <w:rStyle w:val="SpecialStringTok"/>
        </w:rPr>
        <w:t xml:space="preserve">- </w:t>
      </w:r>
      <w:r>
        <w:rPr>
          <w:rStyle w:val="NormalTok"/>
        </w:rPr>
        <w:t xml:space="preserve">Auditor and supervisor access: read-only, one RE, 30 days by default and never more than</w:t>
      </w:r>
      <w:r>
        <w:br/>
      </w:r>
      <w:r>
        <w:rPr>
          <w:rStyle w:val="NormalTok"/>
        </w:rPr>
        <w:t xml:space="preserve">  90 days per grant, every action logged and reported to the RE (RA2).</w:t>
      </w:r>
      <w:r>
        <w:br/>
      </w:r>
      <w:r>
        <w:rPr>
          <w:rStyle w:val="SpecialStringTok"/>
        </w:rPr>
        <w:t xml:space="preserve">- </w:t>
      </w:r>
      <w:r>
        <w:rPr>
          <w:rStyle w:val="NormalTok"/>
        </w:rPr>
        <w:t xml:space="preserve">Never claim a certification (ISO, SOC 2, PCI DSS), report or RBI approval before it exists;</w:t>
      </w:r>
      <w:r>
        <w:br/>
      </w:r>
      <w:r>
        <w:rPr>
          <w:rStyle w:val="NormalTok"/>
        </w:rPr>
        <w:t xml:space="preserve">  "aligned to" or "in progress" only (RA4.4).</w:t>
      </w:r>
      <w:r>
        <w:br/>
      </w:r>
      <w:r>
        <w:rPr>
          <w:rStyle w:val="SpecialStringTok"/>
        </w:rPr>
        <w:t xml:space="preserve">- </w:t>
      </w:r>
      <w:r>
        <w:rPr>
          <w:rStyle w:val="NormalTok"/>
        </w:rPr>
        <w:t xml:space="preserve">Event names are canonical: never rename; raise gaps as versioned contract changes.</w:t>
      </w:r>
      <w:r>
        <w:br/>
      </w:r>
      <w:r>
        <w:rPr>
          <w:rStyle w:val="SpecialStringTok"/>
        </w:rPr>
        <w:t xml:space="preserve">- </w:t>
      </w:r>
      <w:r>
        <w:rPr>
          <w:rStyle w:val="NormalTok"/>
        </w:rPr>
        <w:t xml:space="preserve">AI never approves, rejects, prices or routes a loan, moves money, alters terms, or rejects</w:t>
      </w:r>
      <w:r>
        <w:br/>
      </w:r>
      <w:r>
        <w:rPr>
          <w:rStyle w:val="NormalTok"/>
        </w:rPr>
        <w:t xml:space="preserve">  or closes a complaint. Complaints are owned and closed by the RE.</w:t>
      </w:r>
      <w:r>
        <w:br/>
      </w:r>
      <w:r>
        <w:rPr>
          <w:rStyle w:val="SpecialStringTok"/>
        </w:rPr>
        <w:t xml:space="preserve">- </w:t>
      </w:r>
      <w:r>
        <w:rPr>
          <w:rStyle w:val="NormalTok"/>
        </w:rPr>
        <w:t xml:space="preserve">Store policy is enforced server-side per channel (Play/App Store personal-loan rules).</w:t>
      </w:r>
      <w:r>
        <w:br/>
      </w:r>
      <w:r>
        <w:rPr>
          <w:rStyle w:val="NormalTok"/>
        </w:rPr>
        <w:t xml:space="preserve">  OTA updates: JS/asset fixes only; never consent, disclosure, payment, permission or</w:t>
      </w:r>
      <w:r>
        <w:br/>
      </w:r>
      <w:r>
        <w:rPr>
          <w:rStyle w:val="NormalTok"/>
        </w:rPr>
        <w:t xml:space="preserve">  security changes.</w:t>
      </w:r>
      <w:r>
        <w:br/>
      </w:r>
      <w:r>
        <w:rPr>
          <w:rStyle w:val="SpecialStringTok"/>
        </w:rPr>
        <w:t xml:space="preserve">- </w:t>
      </w:r>
      <w:r>
        <w:rPr>
          <w:rStyle w:val="NormalTok"/>
        </w:rPr>
        <w:t xml:space="preserve">Money: NUMERIC in DB, decimal.js in TS, strings in APIs. Never floats.</w:t>
      </w:r>
      <w:r>
        <w:br/>
      </w:r>
      <w:r>
        <w:rPr>
          <w:rStyle w:val="SpecialStringTok"/>
        </w:rPr>
        <w:t xml:space="preserve">- </w:t>
      </w:r>
      <w:r>
        <w:rPr>
          <w:rStyle w:val="NormalTok"/>
        </w:rPr>
        <w:t xml:space="preserve">RE and borrower isolation in API, services AND Postgres RLS (forced) — and tested.</w:t>
      </w:r>
      <w:r>
        <w:br/>
      </w:r>
      <w:r>
        <w:rPr>
          <w:rStyle w:val="SpecialStringTok"/>
        </w:rPr>
        <w:t xml:space="preserve">- </w:t>
      </w:r>
      <w:r>
        <w:rPr>
          <w:rStyle w:val="NormalTok"/>
        </w:rPr>
        <w:t xml:space="preserve">Part 8A citations (verified against docs/regulations/rbi/) win over any other citation.</w:t>
      </w:r>
      <w:r>
        <w:br/>
      </w:r>
      <w:r>
        <w:rPr>
          <w:rStyle w:val="NormalTok"/>
        </w:rPr>
        <w:t xml:space="preserve">  ORM IDs are guidance. Before any regulated workflow: verify the current source and update</w:t>
      </w:r>
      <w:r>
        <w:br/>
      </w:r>
      <w:r>
        <w:rPr>
          <w:rStyle w:val="NormalTok"/>
        </w:rPr>
        <w:t xml:space="preserve">  docs/compliance/requirements-to-controls.md. Distinguish law, interpretation, recommendation.</w:t>
      </w:r>
      <w:r>
        <w:br/>
      </w:r>
      <w:r>
        <w:rPr>
          <w:rStyle w:val="SpecialStringTok"/>
        </w:rPr>
        <w:t xml:space="preserve">- </w:t>
      </w:r>
      <w:r>
        <w:rPr>
          <w:rStyle w:val="NormalTok"/>
        </w:rPr>
        <w:t xml:space="preserve">Feature branches + PRs only. Never push to main, deploy to prod, submit to a store, touch</w:t>
      </w:r>
      <w:r>
        <w:br/>
      </w:r>
      <w:r>
        <w:rPr>
          <w:rStyle w:val="NormalTok"/>
        </w:rPr>
        <w:t xml:space="preserve">  prod data or rotate live credentials without explicit owner approval.</w:t>
      </w:r>
      <w:r>
        <w:br/>
      </w:r>
      <w:r>
        <w:rPr>
          <w:rStyle w:val="SpecialStringTok"/>
        </w:rPr>
        <w:t xml:space="preserve">- </w:t>
      </w:r>
      <w:r>
        <w:rPr>
          <w:rStyle w:val="NormalTok"/>
        </w:rPr>
        <w:t xml:space="preserve">Spec → approval → code. Explain logic in plain English first. Small commits. Never claim a</w:t>
      </w:r>
      <w:r>
        <w:br/>
      </w:r>
      <w:r>
        <w:rPr>
          <w:rStyle w:val="NormalTok"/>
        </w:rPr>
        <w:t xml:space="preserve">  test passed unless run; paste results. Mark mock vs sandbox vs live clearly.</w:t>
      </w:r>
      <w:r>
        <w:br/>
      </w:r>
      <w:r>
        <w:br/>
      </w:r>
      <w:r>
        <w:rPr>
          <w:rStyle w:val="FunctionTok"/>
        </w:rPr>
        <w:t xml:space="preserve">## Commands</w:t>
      </w:r>
      <w:r>
        <w:br/>
      </w:r>
      <w:r>
        <w:rPr>
          <w:rStyle w:val="NormalTok"/>
        </w:rPr>
        <w:t xml:space="preserve">(pnpm install / dev / test / lint / typecheck / db:migrate / db:test / eas build --profile</w:t>
      </w:r>
      <w:r>
        <w:br/>
      </w:r>
      <w:r>
        <w:rPr>
          <w:rStyle w:val="NormalTok"/>
        </w:rPr>
        <w:t xml:space="preserve">preview — fill in Phase 1)</w:t>
      </w:r>
      <w:r>
        <w:br/>
      </w:r>
      <w:r>
        <w:br/>
      </w:r>
      <w:r>
        <w:rPr>
          <w:rStyle w:val="FunctionTok"/>
        </w:rPr>
        <w:t xml:space="preserve">## Where things live</w:t>
      </w:r>
      <w:r>
        <w:br/>
      </w:r>
      <w:r>
        <w:rPr>
          <w:rStyle w:val="NormalTok"/>
        </w:rPr>
        <w:t xml:space="preserve">docs/00-master-prompt.md, docs/architecture, docs/adr, docs/specs, docs/products,</w:t>
      </w:r>
      <w:r>
        <w:br/>
      </w:r>
      <w:r>
        <w:rPr>
          <w:rStyle w:val="NormalTok"/>
        </w:rPr>
        <w:t xml:space="preserve">docs/data-model, docs/api, docs/integrations, docs/compliance (register, DLA register,</w:t>
      </w:r>
      <w:r>
        <w:br/>
      </w:r>
      <w:r>
        <w:rPr>
          <w:rStyle w:val="NormalTok"/>
        </w:rPr>
        <w:t xml:space="preserve">permission policy, store policy), docs/security (threat model, MASVS matrix), docs/testing</w:t>
      </w:r>
      <w:r>
        <w:br/>
      </w:r>
      <w:r>
        <w:rPr>
          <w:rStyle w:val="NormalTok"/>
        </w:rPr>
        <w:t xml:space="preserve">(golden-cases), docs/ops (OTA release register, DR, incidents), docs/economics, docs/status, docs/partners,</w:t>
      </w:r>
      <w:r>
        <w:br/>
      </w:r>
      <w:r>
        <w:rPr>
          <w:rStyle w:val="NormalTok"/>
        </w:rPr>
        <w:t xml:space="preserve">docs/risk, docs/portability, docs/help-centre, docs/tax, docs/certification,</w:t>
      </w:r>
      <w:r>
        <w:br/>
      </w:r>
      <w:r>
        <w:rPr>
          <w:rStyle w:val="NormalTok"/>
        </w:rPr>
        <w:t xml:space="preserve">docs/ux (navigation, menus, screens and settings map; Appendix G).</w:t>
      </w:r>
      <w:r>
        <w:br/>
      </w:r>
      <w:r>
        <w:br/>
      </w:r>
      <w:r>
        <w:rPr>
          <w:rStyle w:val="FunctionTok"/>
        </w:rPr>
        <w:t xml:space="preserve">## Definition of done</w:t>
      </w:r>
      <w:r>
        <w:br/>
      </w:r>
      <w:r>
        <w:rPr>
          <w:rStyle w:val="NormalTok"/>
        </w:rPr>
        <w:t xml:space="preserve">Acceptance criteria met on every channel in scope; unit/integration/contract/E2E (device and</w:t>
      </w:r>
      <w:r>
        <w:br/>
      </w:r>
      <w:r>
        <w:rPr>
          <w:rStyle w:val="NormalTok"/>
        </w:rPr>
        <w:t xml:space="preserve">web)/isolation/security tests run and passed; no new permission or tracker; consent and audit</w:t>
      </w:r>
      <w:r>
        <w:br/>
      </w:r>
      <w:r>
        <w:rPr>
          <w:rStyle w:val="NormalTok"/>
        </w:rPr>
        <w:t xml:space="preserve">events emitted; docs and registers updated; diff reviewed for secrets/PII/unrelated changes.</w:t>
      </w:r>
    </w:p>
    <w:p>
      <w:r>
        <w:pict>
          <v:rect style="width:0;height:1.5pt" o:hralign="center" o:hrstd="t" o:hr="t"/>
        </w:pict>
      </w:r>
    </w:p>
    <w:bookmarkEnd w:id="530"/>
    <w:bookmarkStart w:id="531" w:name="X38ee4b5d407247791d42e1805a1fbd38f0215e2"/>
    <w:p>
      <w:pPr>
        <w:pStyle w:val="Heading1"/>
      </w:pPr>
      <w:r>
        <w:t xml:space="preserve">APPENDIX B — BUSINESS DECISIONS THE PROJECT OWNER MUST TAKE</w:t>
      </w:r>
    </w:p>
    <w:p>
      <w:pPr>
        <w:pStyle w:val="FirstParagraph"/>
      </w:pPr>
      <w:r>
        <w:t xml:space="preserve">Claude Code should confirm these in Phase 0:</w:t>
      </w:r>
    </w:p>
    <w:p>
      <w:pPr>
        <w:numPr>
          <w:ilvl w:val="0"/>
          <w:numId w:val="1526"/>
        </w:numPr>
      </w:pPr>
      <w:r>
        <w:rPr>
          <w:bCs/>
          <w:b/>
        </w:rPr>
        <w:t xml:space="preserve">Pilot REs:</w:t>
      </w:r>
      <w:r>
        <w:t xml:space="preserve"> </w:t>
      </w:r>
      <w:r>
        <w:t xml:space="preserve">names, entity type, layer and asset size (drives CYB chapter and OUT Chapter IV scope), s.11A PML Act notification status, LMS (Finbyx or other), products, states of operation, and confirmation that each RE reports the Udofin DLAs on CIMS before the store submission (Google Play publishes a new personal-loan app in India only if it is already on the RBI DLA list).</w:t>
      </w:r>
    </w:p>
    <w:p>
      <w:pPr>
        <w:numPr>
          <w:ilvl w:val="0"/>
          <w:numId w:val="1526"/>
        </w:numPr>
      </w:pPr>
      <w:r>
        <w:rPr>
          <w:bCs/>
          <w:b/>
        </w:rPr>
        <w:t xml:space="preserve">Product 2 (payday / short-tenure) design:</w:t>
      </w:r>
      <w:r>
        <w:t xml:space="preserve"> </w:t>
      </w:r>
      <w:r>
        <w:t xml:space="preserve">Google Play and the App Store do not allow apps that promote personal loans repayable in full in 60 days or less, and the App Store caps APR at 36%. Choose: web-only short tenor; minimum tenor above 60 days in the apps; or drop the product from the MVP.</w:t>
      </w:r>
    </w:p>
    <w:p>
      <w:pPr>
        <w:numPr>
          <w:ilvl w:val="0"/>
          <w:numId w:val="1526"/>
        </w:numPr>
      </w:pPr>
      <w:r>
        <w:rPr>
          <w:bCs/>
          <w:b/>
        </w:rPr>
        <w:t xml:space="preserve">App identity:</w:t>
      </w:r>
      <w:r>
        <w:t xml:space="preserve"> </w:t>
      </w:r>
      <w:r>
        <w:t xml:space="preserve">one Udofin-branded multi-lender app, or also RE-branded white-label apps (each a separate store listing, store declaration and CIMS line).</w:t>
      </w:r>
    </w:p>
    <w:p>
      <w:pPr>
        <w:numPr>
          <w:ilvl w:val="0"/>
          <w:numId w:val="1526"/>
        </w:numPr>
      </w:pPr>
      <w:r>
        <w:rPr>
          <w:bCs/>
          <w:b/>
        </w:rPr>
        <w:t xml:space="preserve">Legal entity and accounts:</w:t>
      </w:r>
      <w:r>
        <w:t xml:space="preserve"> </w:t>
      </w:r>
      <w:r>
        <w:t xml:space="preserve">the company that publishes the apps (Apple requires a legal entity; Google requires the financial features declaration), owns the DLT entity and headers, and signs LSP agreements; D-U-N-S number and developer accounts.</w:t>
      </w:r>
    </w:p>
    <w:p>
      <w:pPr>
        <w:numPr>
          <w:ilvl w:val="0"/>
          <w:numId w:val="1526"/>
        </w:numPr>
      </w:pPr>
      <w:r>
        <w:rPr>
          <w:bCs/>
          <w:b/>
        </w:rPr>
        <w:t xml:space="preserve">Udofin’s roles per RE:</w:t>
      </w:r>
      <w:r>
        <w:t xml:space="preserve"> </w:t>
      </w:r>
      <w:r>
        <w:t xml:space="preserve">sourcing only; sourcing and servicing; recovery agent (explicit contract); DLG provider; and the fee model for each (paid by the RE).</w:t>
      </w:r>
    </w:p>
    <w:p>
      <w:pPr>
        <w:numPr>
          <w:ilvl w:val="0"/>
          <w:numId w:val="1526"/>
        </w:numPr>
      </w:pPr>
      <w:r>
        <w:rPr>
          <w:bCs/>
          <w:b/>
        </w:rPr>
        <w:t xml:space="preserve">DLG appetite:</w:t>
      </w:r>
      <w:r>
        <w:t xml:space="preserve"> </w:t>
      </w:r>
      <w:r>
        <w:t xml:space="preserve">whether Udofin will offer DLG at launch; capital earmarked; form (cash, FD with lien, bank guarantee); statutory auditor engaged for the CF para 20(3) declaration; the website page for monthly disclosure.</w:t>
      </w:r>
    </w:p>
    <w:p>
      <w:pPr>
        <w:numPr>
          <w:ilvl w:val="0"/>
          <w:numId w:val="1526"/>
        </w:numPr>
      </w:pPr>
      <w:r>
        <w:rPr>
          <w:bCs/>
          <w:b/>
        </w:rPr>
        <w:t xml:space="preserve">Data model with REs:</w:t>
      </w:r>
      <w:r>
        <w:t xml:space="preserve"> </w:t>
      </w:r>
      <w:r>
        <w:t xml:space="preserve">what Udofin may retain after hand-off (CF para 14(1)); RE-controlled keys for ML/UL REs; retention periods by data class from each RE’s policy.</w:t>
      </w:r>
    </w:p>
    <w:p>
      <w:pPr>
        <w:numPr>
          <w:ilvl w:val="0"/>
          <w:numId w:val="1526"/>
        </w:numPr>
      </w:pPr>
      <w:r>
        <w:rPr>
          <w:bCs/>
          <w:b/>
        </w:rPr>
        <w:t xml:space="preserve">KYC routes:</w:t>
      </w:r>
      <w:r>
        <w:t xml:space="preserve"> </w:t>
      </w:r>
      <w:r>
        <w:t xml:space="preserve">OKYC/DigiLocker as default; Aadhaar OTP e-KYC only via notified REs; V-CIP vendor and hosting of each RE; whether any RE requires app-attested devices for KYC or mandates.</w:t>
      </w:r>
    </w:p>
    <w:p>
      <w:pPr>
        <w:numPr>
          <w:ilvl w:val="0"/>
          <w:numId w:val="1526"/>
        </w:numPr>
      </w:pPr>
      <w:r>
        <w:rPr>
          <w:bCs/>
          <w:b/>
        </w:rPr>
        <w:t xml:space="preserve">Bureau and AA access:</w:t>
      </w:r>
      <w:r>
        <w:t xml:space="preserve"> </w:t>
      </w:r>
      <w:r>
        <w:t xml:space="preserve">each RE’s CIC memberships and consent to Udofin acting as its technology service provider; AA FIU registration of each RE and the FIU gateway; whether to offer a borrower own-report path.</w:t>
      </w:r>
    </w:p>
    <w:p>
      <w:pPr>
        <w:numPr>
          <w:ilvl w:val="0"/>
          <w:numId w:val="1526"/>
        </w:numPr>
      </w:pPr>
      <w:r>
        <w:rPr>
          <w:bCs/>
          <w:b/>
        </w:rPr>
        <w:t xml:space="preserve">Payments:</w:t>
      </w:r>
      <w:r>
        <w:t xml:space="preserve"> </w:t>
      </w:r>
      <w:r>
        <w:t xml:space="preserve">each RE’s payment gateway merchant account, eNACH sponsor bank or aggregator, UPI AutoPay merchant; confirmation that Stripe and PayPal are out of scope for domestic repayments.</w:t>
      </w:r>
    </w:p>
    <w:p>
      <w:pPr>
        <w:numPr>
          <w:ilvl w:val="0"/>
          <w:numId w:val="1526"/>
        </w:numPr>
      </w:pPr>
      <w:r>
        <w:rPr>
          <w:bCs/>
          <w:b/>
        </w:rPr>
        <w:t xml:space="preserve">Hosting:</w:t>
      </w:r>
      <w:r>
        <w:t xml:space="preserve"> </w:t>
      </w:r>
      <w:r>
        <w:t xml:space="preserve">India-region host for real data (Supabase ap-south-1 with India compute, or AWS ap-south-1 / ap-south-2 from the pilot); AWS timeline; self-hosted vs SaaS observability.</w:t>
      </w:r>
    </w:p>
    <w:p>
      <w:pPr>
        <w:numPr>
          <w:ilvl w:val="0"/>
          <w:numId w:val="1526"/>
        </w:numPr>
      </w:pPr>
      <w:r>
        <w:rPr>
          <w:bCs/>
          <w:b/>
        </w:rPr>
        <w:t xml:space="preserve">Messaging vendors:</w:t>
      </w:r>
      <w:r>
        <w:t xml:space="preserve"> </w:t>
      </w:r>
      <w:r>
        <w:t xml:space="preserve">SMS gateway and whether lending messages go on each RE’s DLT header; WhatsApp BSP (no collections, no payday promotion on WhatsApp); 1600-series numbers for service calls through each RE (Udofin’s own eligibility: item 36).</w:t>
      </w:r>
    </w:p>
    <w:p>
      <w:pPr>
        <w:numPr>
          <w:ilvl w:val="0"/>
          <w:numId w:val="1526"/>
        </w:numPr>
      </w:pPr>
      <w:r>
        <w:rPr>
          <w:bCs/>
          <w:b/>
        </w:rPr>
        <w:t xml:space="preserve">iOS timing:</w:t>
      </w:r>
      <w:r>
        <w:t xml:space="preserve"> </w:t>
      </w:r>
      <w:r>
        <w:t xml:space="preserve">App Store submission after how many weeks of stable Android pilot.</w:t>
      </w:r>
    </w:p>
    <w:p>
      <w:pPr>
        <w:numPr>
          <w:ilvl w:val="0"/>
          <w:numId w:val="1526"/>
        </w:numPr>
      </w:pPr>
      <w:r>
        <w:rPr>
          <w:bCs/>
          <w:b/>
        </w:rPr>
        <w:t xml:space="preserve">Field app (U22):</w:t>
      </w:r>
      <w:r>
        <w:t xml:space="preserve"> </w:t>
      </w:r>
      <w:r>
        <w:t xml:space="preserve">needed at all, and only for REs that appoint Udofin for assisted onboarding or recovery.</w:t>
      </w:r>
    </w:p>
    <w:p>
      <w:pPr>
        <w:numPr>
          <w:ilvl w:val="0"/>
          <w:numId w:val="1526"/>
        </w:numPr>
      </w:pPr>
      <w:r>
        <w:rPr>
          <w:bCs/>
          <w:b/>
        </w:rPr>
        <w:t xml:space="preserve">Specialist products (7–10):</w:t>
      </w:r>
      <w:r>
        <w:t xml:space="preserve"> </w:t>
      </w:r>
      <w:r>
        <w:t xml:space="preserve">owner of each feasibility note and the legal-review budget.</w:t>
      </w:r>
    </w:p>
    <w:p>
      <w:pPr>
        <w:numPr>
          <w:ilvl w:val="0"/>
          <w:numId w:val="1526"/>
        </w:numPr>
      </w:pPr>
      <w:r>
        <w:rPr>
          <w:bCs/>
          <w:b/>
        </w:rPr>
        <w:t xml:space="preserve">Reviewers:</w:t>
      </w:r>
      <w:r>
        <w:t xml:space="preserve"> </w:t>
      </w:r>
      <w:r>
        <w:t xml:space="preserve">compliance reviewer for the regulatory register; CA for Udofin’s ledger and DLG golden cases; CERT-In-empanelled VAPT firm; mobile security assessor (MASVS).</w:t>
      </w:r>
    </w:p>
    <w:p>
      <w:pPr>
        <w:numPr>
          <w:ilvl w:val="0"/>
          <w:numId w:val="1526"/>
        </w:numPr>
      </w:pPr>
      <w:r>
        <w:rPr>
          <w:bCs/>
          <w:b/>
        </w:rPr>
        <w:t xml:space="preserve">Certifications:</w:t>
      </w:r>
      <w:r>
        <w:t xml:space="preserve"> </w:t>
      </w:r>
      <w:r>
        <w:t xml:space="preserve">order, scope and auditors per Part 7H RA4.4 (ISO/IEC 27001, SOC 2 Type 1 then Type 2, ISO/IEC 27701:2025, PCI DSS SAQ A for Udofin billing); REs may rely on issued certificates (OUT para 79); nothing is claimed before issue.</w:t>
      </w:r>
    </w:p>
    <w:p>
      <w:pPr>
        <w:numPr>
          <w:ilvl w:val="0"/>
          <w:numId w:val="1526"/>
        </w:numPr>
      </w:pPr>
      <w:r>
        <w:rPr>
          <w:bCs/>
          <w:b/>
        </w:rPr>
        <w:t xml:space="preserve">Languages at launch:</w:t>
      </w:r>
      <w:r>
        <w:t xml:space="preserve"> </w:t>
      </w:r>
      <w:r>
        <w:t xml:space="preserve">English and Hindi, plus which regional languages for KFS and key communications.</w:t>
      </w:r>
    </w:p>
    <w:p>
      <w:pPr>
        <w:numPr>
          <w:ilvl w:val="0"/>
          <w:numId w:val="1526"/>
        </w:numPr>
      </w:pPr>
      <w:r>
        <w:rPr>
          <w:bCs/>
          <w:b/>
        </w:rPr>
        <w:t xml:space="preserve">Recovery support (Part 7A):</w:t>
      </w:r>
      <w:r>
        <w:t xml:space="preserve"> </w:t>
      </w:r>
      <w:r>
        <w:t xml:space="preserve">which REs attach which capabilities (UR1–UR6), the licence SKU and fees (always paid by the RE), and each RE’s visibility policy for notices and litigation status (off by default).</w:t>
      </w:r>
    </w:p>
    <w:p>
      <w:pPr>
        <w:numPr>
          <w:ilvl w:val="0"/>
          <w:numId w:val="1526"/>
        </w:numPr>
      </w:pPr>
      <w:r>
        <w:rPr>
          <w:bCs/>
          <w:b/>
        </w:rPr>
        <w:t xml:space="preserve">Recovery-agent role:</w:t>
      </w:r>
      <w:r>
        <w:t xml:space="preserve"> </w:t>
      </w:r>
      <w:r>
        <w:t xml:space="preserve">whether Udofin accepts appointments at all; agent IIBF DRA certification plan (new agents from 1 Jan 2027, existing agents by 31 Dec 2027); call-recording vendor and retention; cash collection or digital only.</w:t>
      </w:r>
    </w:p>
    <w:p>
      <w:pPr>
        <w:numPr>
          <w:ilvl w:val="0"/>
          <w:numId w:val="1526"/>
        </w:numPr>
      </w:pPr>
      <w:r>
        <w:rPr>
          <w:bCs/>
          <w:b/>
        </w:rPr>
        <w:t xml:space="preserve">Equator and ADR:</w:t>
      </w:r>
      <w:r>
        <w:t xml:space="preserve"> </w:t>
      </w:r>
      <w:r>
        <w:t xml:space="preserve">each RE’s clause position (Equator or another institution pre-named, or none); the post-dispute consent journey hosted by Equator; the borrower-facing disclosure that Equator and Udofin are both Infrabyx products; other ODR providers to support.</w:t>
      </w:r>
    </w:p>
    <w:p>
      <w:pPr>
        <w:numPr>
          <w:ilvl w:val="0"/>
          <w:numId w:val="1526"/>
        </w:numPr>
      </w:pPr>
      <w:r>
        <w:rPr>
          <w:bCs/>
          <w:b/>
        </w:rPr>
        <w:t xml:space="preserve">Products 11–15:</w:t>
      </w:r>
      <w:r>
        <w:t xml:space="preserve"> </w:t>
      </w:r>
      <w:r>
        <w:t xml:space="preserve">which to pursue, in what order, with which partner REs; Udofin’s role in TReDS (referral only).</w:t>
      </w:r>
    </w:p>
    <w:p>
      <w:pPr>
        <w:numPr>
          <w:ilvl w:val="0"/>
          <w:numId w:val="1526"/>
        </w:numPr>
      </w:pPr>
      <w:r>
        <w:rPr>
          <w:bCs/>
          <w:b/>
        </w:rPr>
        <w:t xml:space="preserve">LAS operating model:</w:t>
      </w:r>
      <w:r>
        <w:t xml:space="preserve"> </w:t>
      </w:r>
      <w:r>
        <w:t xml:space="preserve">term loan or OD (pending the revolving-credit draft); who contracts with CDSL, NSDL and the RTAs or MF Central; publication of each RE’s eligible list and haircuts.</w:t>
      </w:r>
    </w:p>
    <w:p>
      <w:pPr>
        <w:numPr>
          <w:ilvl w:val="0"/>
          <w:numId w:val="1526"/>
        </w:numPr>
      </w:pPr>
      <w:r>
        <w:rPr>
          <w:bCs/>
          <w:b/>
        </w:rPr>
        <w:t xml:space="preserve">GRC connectors:</w:t>
      </w:r>
      <w:r>
        <w:t xml:space="preserve"> </w:t>
      </w:r>
      <w:r>
        <w:t xml:space="preserve">which third-party GRC tools partner REs use; OSCAL export scope and frequency.</w:t>
      </w:r>
    </w:p>
    <w:p>
      <w:pPr>
        <w:numPr>
          <w:ilvl w:val="0"/>
          <w:numId w:val="1526"/>
        </w:numPr>
      </w:pPr>
      <w:r>
        <w:rPr>
          <w:bCs/>
          <w:b/>
        </w:rPr>
        <w:t xml:space="preserve">Retention after detach:</w:t>
      </w:r>
      <w:r>
        <w:t xml:space="preserve"> </w:t>
      </w:r>
      <w:r>
        <w:t xml:space="preserve">per-RE schedule reconciling RBC para 100P, PMLA and KYC records, limitation periods and DPDP erasure.</w:t>
      </w:r>
    </w:p>
    <w:p>
      <w:pPr>
        <w:numPr>
          <w:ilvl w:val="0"/>
          <w:numId w:val="1526"/>
        </w:numPr>
      </w:pPr>
      <w:r>
        <w:rPr>
          <w:bCs/>
          <w:b/>
        </w:rPr>
        <w:t xml:space="preserve">Wellness add-ons (Part 7D):</w:t>
      </w:r>
      <w:r>
        <w:t xml:space="preserve"> </w:t>
      </w:r>
      <w:r>
        <w:t xml:space="preserve">whether to offer the money tools at all (gate G1) and through which entity or brand (Udofin, or a separate group entity to keep the LSP clean); the legal counsel for the G2 opinion on CF paras 10(4) and 14(1); whether and when to charge (gate G4) and at what price, the same for borrowers and non-borrowers. Until G1–G3 are recorded the flag</w:t>
      </w:r>
      <w:r>
        <w:t xml:space="preserve"> </w:t>
      </w:r>
      <w:r>
        <w:rPr>
          <w:rStyle w:val="VerbatimChar"/>
        </w:rPr>
        <w:t xml:space="preserve">addons.wellness</w:t>
      </w:r>
      <w:r>
        <w:t xml:space="preserve"> </w:t>
      </w:r>
      <w:r>
        <w:t xml:space="preserve">stays off in production.</w:t>
      </w:r>
    </w:p>
    <w:p>
      <w:pPr>
        <w:numPr>
          <w:ilvl w:val="0"/>
          <w:numId w:val="1526"/>
        </w:numPr>
      </w:pPr>
      <w:r>
        <w:rPr>
          <w:bCs/>
          <w:b/>
        </w:rPr>
        <w:t xml:space="preserve">CIC consumer partner(s):</w:t>
      </w:r>
      <w:r>
        <w:t xml:space="preserve"> </w:t>
      </w:r>
      <w:r>
        <w:t xml:space="preserve">which credit information companies to contract through their consumer-partner channels (for example TransUnion CIBIL DTC Consumer Connect, and the Experian, Equifax and CRIF High Mark equivalents); partner eligibility, audit, refresh, storage and price terms; free-tier refresh frequency (default one a quarter).</w:t>
      </w:r>
    </w:p>
    <w:p>
      <w:pPr>
        <w:numPr>
          <w:ilvl w:val="0"/>
          <w:numId w:val="1526"/>
        </w:numPr>
      </w:pPr>
      <w:r>
        <w:rPr>
          <w:bCs/>
          <w:b/>
        </w:rPr>
        <w:t xml:space="preserve">Revenue streams and plans (Part 7G):</w:t>
      </w:r>
      <w:r>
        <w:t xml:space="preserve"> </w:t>
      </w:r>
      <w:r>
        <w:t xml:space="preserve">which of streams S01–S13 to activate and when; the pricing models allowed per stream and per RE deal; borrower plan tiers and prices if gate G4 passes; the legal entity that holds Udofin’s own Razorpay merchant account (Udofin revenue only, never loan money), its GSTIN and e-invoicing status; confirmation that borrower plans are billed by Udofin’s own billing service and RE invoices by the Operations Hub (OH8).</w:t>
      </w:r>
    </w:p>
    <w:p>
      <w:pPr>
        <w:numPr>
          <w:ilvl w:val="0"/>
          <w:numId w:val="1526"/>
        </w:numPr>
      </w:pPr>
      <w:r>
        <w:rPr>
          <w:bCs/>
          <w:b/>
        </w:rPr>
        <w:t xml:space="preserve">Advertising policy (Part 7G RV4):</w:t>
      </w:r>
      <w:r>
        <w:t xml:space="preserve"> </w:t>
      </w:r>
      <w:r>
        <w:t xml:space="preserve">whether to sell advertising at all (S10); permitted and prohibited categories; minimum reporting cohort (default 100); no ads on wellness pages at launch; who approves creatives; whether lender ads outside the offer journey are accepted.</w:t>
      </w:r>
    </w:p>
    <w:p>
      <w:pPr>
        <w:numPr>
          <w:ilvl w:val="0"/>
          <w:numId w:val="1526"/>
        </w:numPr>
      </w:pPr>
      <w:r>
        <w:rPr>
          <w:bCs/>
          <w:b/>
        </w:rPr>
        <w:t xml:space="preserve">Insurance licence model (Part 7F XP2.1):</w:t>
      </w:r>
      <w:r>
        <w:t xml:space="preserve"> </w:t>
      </w:r>
      <w:r>
        <w:t xml:space="preserve">model A (Udofin as composite Corporate Agent), B (web aggregator), C (unpaid technology provider to a licensed RE, fixed technology fee) or D (display of an RE’s optional group cover only); principal officer and specified persons; insurers per line; timing against the IRDAI amendment of 30 Jul 2026 (fresh certificate by 31 Jan 2027 for any existing registration; seller tagging from 1 Jan 2027). No insurance screen exists until this is recorded.</w:t>
      </w:r>
    </w:p>
    <w:p>
      <w:pPr>
        <w:numPr>
          <w:ilvl w:val="0"/>
          <w:numId w:val="1526"/>
        </w:numPr>
      </w:pPr>
      <w:r>
        <w:rPr>
          <w:bCs/>
          <w:b/>
        </w:rPr>
        <w:t xml:space="preserve">Future products (Part 7F XP3):</w:t>
      </w:r>
      <w:r>
        <w:t xml:space="preserve"> </w:t>
      </w:r>
      <w:r>
        <w:t xml:space="preserve">which candidates to study (MF distribution, BBPS agent, deposit marketplace), the owner of each feasibility note and the legal-review budget.</w:t>
      </w:r>
    </w:p>
    <w:p>
      <w:pPr>
        <w:numPr>
          <w:ilvl w:val="0"/>
          <w:numId w:val="1526"/>
        </w:numPr>
      </w:pPr>
      <w:r>
        <w:rPr>
          <w:bCs/>
          <w:b/>
        </w:rPr>
        <w:t xml:space="preserve">Co-operative track and pilot societies (Part 7B UP4; Part 7E MG1):</w:t>
      </w:r>
      <w:r>
        <w:t xml:space="preserve"> </w:t>
      </w:r>
      <w:r>
        <w:t xml:space="preserve">whether to serve credit co-operative societies at all; pilot societies (name, Act, Registrar and registration number, State); States to pack after MSCS and Maharashtra; State counsel; acceptance that society loans stay on web and assisted channels until app-store policy for non-RE lenders is confirmed.</w:t>
      </w:r>
    </w:p>
    <w:p>
      <w:pPr>
        <w:numPr>
          <w:ilvl w:val="0"/>
          <w:numId w:val="1526"/>
        </w:numPr>
      </w:pPr>
      <w:r>
        <w:rPr>
          <w:bCs/>
          <w:b/>
        </w:rPr>
        <w:t xml:space="preserve">Microfinance and assisted mode (Part 7E MG2–MG4):</w:t>
      </w:r>
      <w:r>
        <w:t xml:space="preserve"> </w:t>
      </w:r>
      <w:r>
        <w:t xml:space="preserve">which REs use JLG and SHG journeys; whether Udofin provides assisted-onboarding staff; centre-meeting repayment policy (default a UPI QR per member to the lender’s account; RE staff cash on loans sourced through the DLA only with the RE’s legal opinion; Udofin cash only as appointed recovery agent on delinquent loans).</w:t>
      </w:r>
    </w:p>
    <w:p>
      <w:pPr>
        <w:numPr>
          <w:ilvl w:val="0"/>
          <w:numId w:val="1526"/>
        </w:numPr>
      </w:pPr>
      <w:r>
        <w:rPr>
          <w:bCs/>
          <w:b/>
        </w:rPr>
        <w:t xml:space="preserve">Grievance receipt-date basis (Part 7C UB3):</w:t>
      </w:r>
      <w:r>
        <w:t xml:space="preserve"> </w:t>
      </w:r>
      <w:r>
        <w:t xml:space="preserve">the clause in each LSP agreement that, if the RE does not acknowledge a forwarded complaint within 1 business day, Udofin’s forwarding time is the RE’s receipt date; Udofin’s own resolution target (default 7 days) and the reminder days to the RE (defaults day 20 and day 25).</w:t>
      </w:r>
    </w:p>
    <w:p>
      <w:pPr>
        <w:numPr>
          <w:ilvl w:val="0"/>
          <w:numId w:val="1526"/>
        </w:numPr>
      </w:pPr>
      <w:r>
        <w:rPr>
          <w:bCs/>
          <w:b/>
        </w:rPr>
        <w:t xml:space="preserve">Tax documents (Part 7C UB2):</w:t>
      </w:r>
      <w:r>
        <w:t xml:space="preserve"> </w:t>
      </w:r>
      <w:r>
        <w:t xml:space="preserve">which certificates each RE issues through Udofin; whether to enable s.131 of the Income-tax Act, 2025 as the successor of old s.80EEA once the official concordance confirms it (disabled until then); counsel-approved wording of the regime notice.</w:t>
      </w:r>
    </w:p>
    <w:p>
      <w:pPr>
        <w:numPr>
          <w:ilvl w:val="0"/>
          <w:numId w:val="1526"/>
        </w:numPr>
      </w:pPr>
      <w:r>
        <w:rPr>
          <w:bCs/>
          <w:b/>
        </w:rPr>
        <w:t xml:space="preserve">1600-series eligibility (Part 7H RA5):</w:t>
      </w:r>
      <w:r>
        <w:t xml:space="preserve"> </w:t>
      </w:r>
      <w:r>
        <w:t xml:space="preserve">obtain the DoT and TRAI position on whether Udofin may hold 1600 or 1601 numbers or must call on each RE’s numbers; until then Udofin’s own outbound service calls stay disabled; telemarketer registration and 140-series numbers for promotional calls; DLT entity and headers.</w:t>
      </w:r>
    </w:p>
    <w:p>
      <w:pPr>
        <w:numPr>
          <w:ilvl w:val="0"/>
          <w:numId w:val="1526"/>
        </w:numPr>
      </w:pPr>
      <w:r>
        <w:rPr>
          <w:bCs/>
          <w:b/>
        </w:rPr>
        <w:t xml:space="preserve">Voice and AI contact-centre vendor (Part 7H RA5):</w:t>
      </w:r>
      <w:r>
        <w:t xml:space="preserve"> </w:t>
      </w:r>
      <w:r>
        <w:t xml:space="preserve">whether to engage JioCX or Jio Business; before any contract obtain API documentation, DPA, India-residency proof, DLT and 1600/140 support, AI voice roadmap and rates; alternatives to evaluate (Exotel, Ozonetel, Knowlarity, Gupshup; Bhashini and Sarvam AI for Indian-language speech).</w:t>
      </w:r>
    </w:p>
    <w:p>
      <w:pPr>
        <w:numPr>
          <w:ilvl w:val="0"/>
          <w:numId w:val="1526"/>
        </w:numPr>
      </w:pPr>
      <w:r>
        <w:rPr>
          <w:bCs/>
          <w:b/>
        </w:rPr>
        <w:t xml:space="preserve">External access policy (Part 7H RA2):</w:t>
      </w:r>
      <w:r>
        <w:t xml:space="preserve"> </w:t>
      </w:r>
      <w:r>
        <w:t xml:space="preserve">default grant length (30 days; hard maximum 90 days per grant including extensions, after which a fresh grant is needed); retention of grants and access logs (default inspection cycle plus 8 years); policy and counsel’s opinion on notifying the RE of a direct RBI request unless legally barred.</w:t>
      </w:r>
    </w:p>
    <w:p>
      <w:pPr>
        <w:numPr>
          <w:ilvl w:val="0"/>
          <w:numId w:val="1526"/>
        </w:numPr>
      </w:pPr>
      <w:r>
        <w:rPr>
          <w:bCs/>
          <w:b/>
        </w:rPr>
        <w:t xml:space="preserve">Exit and portability defaults (Part 7B UP5; Part 7H RA3):</w:t>
      </w:r>
      <w:r>
        <w:t xml:space="preserve"> </w:t>
      </w:r>
      <w:r>
        <w:t xml:space="preserve">borrower download access after the servicing view closes (default 90 days); annual exit dry-run per RE; storage targets offered to REs (India-region S3, Azure, Google Cloud Storage, SharePoint or OneDrive and RE data centres; Google Drive only for non-regulated data, never borrower data); restore-test frequency (default quarterly).</w:t>
      </w:r>
    </w:p>
    <w:p>
      <w:pPr>
        <w:numPr>
          <w:ilvl w:val="0"/>
          <w:numId w:val="1526"/>
        </w:numPr>
      </w:pPr>
      <w:r>
        <w:rPr>
          <w:bCs/>
          <w:b/>
        </w:rPr>
        <w:t xml:space="preserve">Bank and co-operative-bank REs:</w:t>
      </w:r>
      <w:r>
        <w:t xml:space="preserve"> </w:t>
      </w:r>
      <w:r>
        <w:t xml:space="preserve">whether to pursue them in v1.2; onboarding stays blocked until the bank rule pack is mapped to the bank digital-lending and outsourcing Directions.</w:t>
      </w:r>
    </w:p>
    <w:p>
      <w:pPr>
        <w:numPr>
          <w:ilvl w:val="0"/>
          <w:numId w:val="1526"/>
        </w:numPr>
      </w:pPr>
      <w:r>
        <w:rPr>
          <w:bCs/>
          <w:b/>
        </w:rPr>
        <w:t xml:space="preserve">Group boundaries with the Operations Hub (Part 2):</w:t>
      </w:r>
      <w:r>
        <w:t xml:space="preserve"> </w:t>
      </w:r>
      <w:r>
        <w:t xml:space="preserve">confirm that Udofin sends the Hub only monthly</w:t>
      </w:r>
      <w:r>
        <w:t xml:space="preserve"> </w:t>
      </w:r>
      <w:r>
        <w:rPr>
          <w:rStyle w:val="VerbatimChar"/>
        </w:rPr>
        <w:t xml:space="preserve">UsageRecorded</w:t>
      </w:r>
      <w:r>
        <w:t xml:space="preserve"> </w:t>
      </w:r>
      <w:r>
        <w:t xml:space="preserve">statements (RE usage, and borrower-plan revenue as</w:t>
      </w:r>
      <w:r>
        <w:t xml:space="preserve"> </w:t>
      </w:r>
      <w:r>
        <w:rPr>
          <w:rStyle w:val="VerbatimChar"/>
        </w:rPr>
        <w:t xml:space="preserve">REVENUE_AGGREGATE</w:t>
      </w:r>
      <w:r>
        <w:t xml:space="preserve"> </w:t>
      </w:r>
      <w:r>
        <w:t xml:space="preserve">with no subscriber key); that Infrabyx staff working in Udofin hold Udofin roles only; and which office suite Udofin staff use (Microsoft 365 Business Basic, Standard or Premium, or Google Workspace Business Starter), with Google Workspace and Google Drive holding non-regulated data only (no personal data, books of account, returns, loan or HR data).</w:t>
      </w:r>
    </w:p>
    <w:p>
      <w:pPr>
        <w:numPr>
          <w:ilvl w:val="0"/>
          <w:numId w:val="1526"/>
        </w:numPr>
      </w:pPr>
      <w:r>
        <w:rPr>
          <w:bCs/>
          <w:b/>
        </w:rPr>
        <w:t xml:space="preserve">Navigation and settings map (Appendix G):</w:t>
      </w:r>
      <w:r>
        <w:t xml:space="preserve"> </w:t>
      </w:r>
      <w:r>
        <w:t xml:space="preserve">approve, in Phase 0, the menu tree and main screens per channel (A–G) and the default of every setting marked as a commercial choice in the Part 7B–7H</w:t>
      </w:r>
      <w:r>
        <w:t xml:space="preserve"> </w:t>
      </w:r>
      <w:r>
        <w:rPr>
          <w:rStyle w:val="VerbatimChar"/>
        </w:rPr>
        <w:t xml:space="preserve">Settings and options</w:t>
      </w:r>
      <w:r>
        <w:t xml:space="preserve"> </w:t>
      </w:r>
      <w:r>
        <w:t xml:space="preserve">subsections; settings marked as regulatory floors are not open for decision.</w:t>
      </w:r>
    </w:p>
    <w:p>
      <w:r>
        <w:pict>
          <v:rect style="width:0;height:1.5pt" o:hralign="center" o:hrstd="t" o:hr="t"/>
        </w:pict>
      </w:r>
    </w:p>
    <w:bookmarkEnd w:id="531"/>
    <w:bookmarkStart w:id="532" w:name="Xc14ccfce25d3236708c426a0fc4cfab528ea011"/>
    <w:p>
      <w:pPr>
        <w:pStyle w:val="Heading1"/>
      </w:pPr>
      <w:r>
        <w:t xml:space="preserve">APPENDIX C — STARTING REPOSITORY STRUCTURE (to be refined in Phase 0)</w:t>
      </w:r>
    </w:p>
    <w:p>
      <w:pPr>
        <w:pStyle w:val="FirstParagraph"/>
      </w:pPr>
      <w:r>
        <w:t xml:space="preserve">Recommendation:</w:t>
      </w:r>
      <w:r>
        <w:t xml:space="preserve"> </w:t>
      </w:r>
      <w:r>
        <w:rPr>
          <w:bCs/>
          <w:b/>
        </w:rPr>
        <w:t xml:space="preserve">one portal app with three workspaces</w:t>
      </w:r>
      <w:r>
        <w:t xml:space="preserve"> </w:t>
      </w:r>
      <w:r>
        <w:t xml:space="preserve">(operations, lender, admin) rather than three separate Next.js apps. It shares authentication, design system, tables and audit tooling, and keeps one deployment to harden. Isolation is enforced by workspace-scoped routes, server-side authorisation and RLS, not by separate builds. Split a workspace into its own app later only if an RE contract requires a dedicated deployment or domain.</w:t>
      </w:r>
    </w:p>
    <w:p>
      <w:pPr>
        <w:pStyle w:val="SourceCode"/>
      </w:pPr>
      <w:r>
        <w:rPr>
          <w:rStyle w:val="VerbatimChar"/>
        </w:rPr>
        <w:t xml:space="preserve">udofin/</w:t>
      </w:r>
      <w:r>
        <w:br/>
      </w:r>
      <w:r>
        <w:rPr>
          <w:rStyle w:val="VerbatimChar"/>
        </w:rPr>
        <w:t xml:space="preserve">├─ apps/</w:t>
      </w:r>
      <w:r>
        <w:br/>
      </w:r>
      <w:r>
        <w:rPr>
          <w:rStyle w:val="VerbatimChar"/>
        </w:rPr>
        <w:t xml:space="preserve">│  ├─ mobile/            # Expo React Native borrower app (Android first, then iOS); EAS profiles</w:t>
      </w:r>
      <w:r>
        <w:br/>
      </w:r>
      <w:r>
        <w:rPr>
          <w:rStyle w:val="VerbatimChar"/>
        </w:rPr>
        <w:t xml:space="preserve">│  ├─ borrower-web/      # Next.js borrower web app + PWA + public site pages</w:t>
      </w:r>
      <w:r>
        <w:br/>
      </w:r>
      <w:r>
        <w:rPr>
          <w:rStyle w:val="VerbatimChar"/>
        </w:rPr>
        <w:t xml:space="preserve">│  ├─ portal/            # Next.js: workspaces ops/, lender/, admin/ (recommended single app)</w:t>
      </w:r>
      <w:r>
        <w:br/>
      </w:r>
      <w:r>
        <w:rPr>
          <w:rStyle w:val="VerbatimChar"/>
        </w:rPr>
        <w:t xml:space="preserve">│  ├─ api/               # NestJS modular monolith (HTTP, webhooks, connector endpoints)</w:t>
      </w:r>
      <w:r>
        <w:br/>
      </w:r>
      <w:r>
        <w:rPr>
          <w:rStyle w:val="VerbatimChar"/>
        </w:rPr>
        <w:t xml:space="preserve">│  ├─ worker/            # Temporal workers, schedulers, outbox relay, report jobs</w:t>
      </w:r>
      <w:r>
        <w:br/>
      </w:r>
      <w:r>
        <w:rPr>
          <w:rStyle w:val="VerbatimChar"/>
        </w:rPr>
        <w:t xml:space="preserve">│  └─ field/             # (Phase 20, optional) Expo field and assisted-onboarding app</w:t>
      </w:r>
      <w:r>
        <w:br/>
      </w:r>
      <w:r>
        <w:rPr>
          <w:rStyle w:val="VerbatimChar"/>
        </w:rPr>
        <w:t xml:space="preserve">├─ modules/              # domain modules (each: domain/, application/, infra/, api/, tests/)</w:t>
      </w:r>
      <w:r>
        <w:br/>
      </w:r>
      <w:r>
        <w:rPr>
          <w:rStyle w:val="VerbatimChar"/>
        </w:rPr>
        <w:t xml:space="preserve">│  ├─ u01-tenancy-lender-onboarding/   ├─ u02-product-catalogue/</w:t>
      </w:r>
      <w:r>
        <w:br/>
      </w:r>
      <w:r>
        <w:rPr>
          <w:rStyle w:val="VerbatimChar"/>
        </w:rPr>
        <w:t xml:space="preserve">│  ├─ u03-borrower-identity/           ├─ u04-consent-privacy/</w:t>
      </w:r>
      <w:r>
        <w:br/>
      </w:r>
      <w:r>
        <w:rPr>
          <w:rStyle w:val="VerbatimChar"/>
        </w:rPr>
        <w:t xml:space="preserve">│  ├─ u05-kyc-verification/            ├─ u06-credit-affordability/</w:t>
      </w:r>
      <w:r>
        <w:br/>
      </w:r>
      <w:r>
        <w:rPr>
          <w:rStyle w:val="VerbatimChar"/>
        </w:rPr>
        <w:t xml:space="preserve">│  ├─ u07-eligibility-routing/         ├─ u08-offers-kfs-cooling-off/</w:t>
      </w:r>
      <w:r>
        <w:br/>
      </w:r>
      <w:r>
        <w:rPr>
          <w:rStyle w:val="VerbatimChar"/>
        </w:rPr>
        <w:t xml:space="preserve">│  ├─ u09-documents-esign-dms/         ├─ u10-disbursement-orchestration/</w:t>
      </w:r>
      <w:r>
        <w:br/>
      </w:r>
      <w:r>
        <w:rPr>
          <w:rStyle w:val="VerbatimChar"/>
        </w:rPr>
        <w:t xml:space="preserve">│  ├─ u11-repayments-mandates/         ├─ u12-loan-mirror-servicing/</w:t>
      </w:r>
      <w:r>
        <w:br/>
      </w:r>
      <w:r>
        <w:rPr>
          <w:rStyle w:val="VerbatimChar"/>
        </w:rPr>
        <w:t xml:space="preserve">│  ├─ u13-collections-support/         ├─ u14-dlg/</w:t>
      </w:r>
      <w:r>
        <w:br/>
      </w:r>
      <w:r>
        <w:rPr>
          <w:rStyle w:val="VerbatimChar"/>
        </w:rPr>
        <w:t xml:space="preserve">│  ├─ u15-grievance-equator/           ├─ u16-communications/</w:t>
      </w:r>
      <w:r>
        <w:br/>
      </w:r>
      <w:r>
        <w:rPr>
          <w:rStyle w:val="VerbatimChar"/>
        </w:rPr>
        <w:t xml:space="preserve">│  ├─ u17-udofin-finance/              ├─ u18-compliance-audit/</w:t>
      </w:r>
      <w:r>
        <w:br/>
      </w:r>
      <w:r>
        <w:rPr>
          <w:rStyle w:val="VerbatimChar"/>
        </w:rPr>
        <w:t xml:space="preserve">│  ├─ u19-reports-mis/                 ├─ u20-ai-governed/</w:t>
      </w:r>
      <w:r>
        <w:br/>
      </w:r>
      <w:r>
        <w:rPr>
          <w:rStyle w:val="VerbatimChar"/>
        </w:rPr>
        <w:t xml:space="preserve">│  ├─ u21-integration-hub/             ├─ u22-field/</w:t>
      </w:r>
      <w:r>
        <w:br/>
      </w:r>
      <w:r>
        <w:rPr>
          <w:rStyle w:val="VerbatimChar"/>
        </w:rPr>
        <w:t xml:space="preserve">│  ├─ u23-admin-white-label/           ├─ u24-secops-fraud/</w:t>
      </w:r>
      <w:r>
        <w:br/>
      </w:r>
      <w:r>
        <w:rPr>
          <w:rStyle w:val="VerbatimChar"/>
        </w:rPr>
        <w:t xml:space="preserve">│  ├─ u25-borrower-dashboard/</w:t>
      </w:r>
      <w:r>
        <w:br/>
      </w:r>
      <w:r>
        <w:rPr>
          <w:rStyle w:val="VerbatimChar"/>
        </w:rPr>
        <w:t xml:space="preserve">│  ├─ ur-recovery-support/          # Part 7A UR1–UR6 (attachable; module.yaml)</w:t>
      </w:r>
      <w:r>
        <w:br/>
      </w:r>
      <w:r>
        <w:rPr>
          <w:rStyle w:val="VerbatimChar"/>
        </w:rPr>
        <w:t xml:space="preserve">│  ├─ up-lender-partnerships/       # Part 7B UP1–UP5 (v1.2)</w:t>
      </w:r>
      <w:r>
        <w:br/>
      </w:r>
      <w:r>
        <w:rPr>
          <w:rStyle w:val="VerbatimChar"/>
        </w:rPr>
        <w:t xml:space="preserve">│  ├─ ub-documents-grievance/       # Part 7C UB1–UB4</w:t>
      </w:r>
      <w:r>
        <w:br/>
      </w:r>
      <w:r>
        <w:rPr>
          <w:rStyle w:val="VerbatimChar"/>
        </w:rPr>
        <w:t xml:space="preserve">│  ├─ fw-wellness-addons/           # Part 7D FW1–FW4 (flag addons.wellness; separate DB)</w:t>
      </w:r>
      <w:r>
        <w:br/>
      </w:r>
      <w:r>
        <w:rPr>
          <w:rStyle w:val="VerbatimChar"/>
        </w:rPr>
        <w:t xml:space="preserve">│  ├─ mg-member-group-lending/      # Part 7E MG1–MG4 (attachable; module.yaml)</w:t>
      </w:r>
      <w:r>
        <w:br/>
      </w:r>
      <w:r>
        <w:rPr>
          <w:rStyle w:val="VerbatimChar"/>
        </w:rPr>
        <w:t xml:space="preserve">│  ├─ xp-product-plugins/           # Part 7F XP1–XP4 (licence-gated)</w:t>
      </w:r>
      <w:r>
        <w:br/>
      </w:r>
      <w:r>
        <w:rPr>
          <w:rStyle w:val="VerbatimChar"/>
        </w:rPr>
        <w:t xml:space="preserve">│  ├─ rv-plans-billing/             # Part 7G RV1–RV4</w:t>
      </w:r>
      <w:r>
        <w:br/>
      </w:r>
      <w:r>
        <w:rPr>
          <w:rStyle w:val="VerbatimChar"/>
        </w:rPr>
        <w:t xml:space="preserve">│  └─ ra-risk-access-portability/   # Part 7H RA1–RA5</w:t>
      </w:r>
      <w:r>
        <w:br/>
      </w:r>
      <w:r>
        <w:rPr>
          <w:rStyle w:val="VerbatimChar"/>
        </w:rPr>
        <w:t xml:space="preserve">├─ packages/</w:t>
      </w:r>
      <w:r>
        <w:br/>
      </w:r>
      <w:r>
        <w:rPr>
          <w:rStyle w:val="VerbatimChar"/>
        </w:rPr>
        <w:t xml:space="preserve">│  ├─ contracts/      # OpenAPI 3.1, AsyncAPI, Zod schemas, Finbyx Part 5 event catalogue</w:t>
      </w:r>
      <w:r>
        <w:br/>
      </w:r>
      <w:r>
        <w:rPr>
          <w:rStyle w:val="VerbatimChar"/>
        </w:rPr>
        <w:t xml:space="preserve">│  ├─ domain-kernel/  # Money, Rate, Percentage, BusinessDate, IDs, Result types</w:t>
      </w:r>
      <w:r>
        <w:br/>
      </w:r>
      <w:r>
        <w:rPr>
          <w:rStyle w:val="VerbatimChar"/>
        </w:rPr>
        <w:t xml:space="preserve">│  ├─ journey/        # shared step definitions, validation and copy keys (app + web)</w:t>
      </w:r>
      <w:r>
        <w:br/>
      </w:r>
      <w:r>
        <w:rPr>
          <w:rStyle w:val="VerbatimChar"/>
        </w:rPr>
        <w:t xml:space="preserve">│  ├─ adapters/       # kyc, digilocker, ckyc, vcip, bureau, aa, bank-verify, esign, estamp,</w:t>
      </w:r>
      <w:r>
        <w:br/>
      </w:r>
      <w:r>
        <w:rPr>
          <w:rStyle w:val="VerbatimChar"/>
        </w:rPr>
        <w:t xml:space="preserve">│  │                  # mandate, pg, depository, lms-finbyx, lms-generic, tally, sap, sms,</w:t>
      </w:r>
      <w:r>
        <w:br/>
      </w:r>
      <w:r>
        <w:rPr>
          <w:rStyle w:val="VerbatimChar"/>
        </w:rPr>
        <w:t xml:space="preserve">│  │                  # whatsapp, email, push, odr-equator, grc-lawdocscomply, ocr, llm, integrity</w:t>
      </w:r>
      <w:r>
        <w:br/>
      </w:r>
      <w:r>
        <w:rPr>
          <w:rStyle w:val="VerbatimChar"/>
        </w:rPr>
        <w:t xml:space="preserve">│  ├─ rule-packs/     # regulatory and store-policy guard-rails, versioned</w:t>
      </w:r>
      <w:r>
        <w:br/>
      </w:r>
      <w:r>
        <w:rPr>
          <w:rStyle w:val="VerbatimChar"/>
        </w:rPr>
        <w:t xml:space="preserve">│  ├─ ui-tokens/      # design tokens → React Native + Tailwind</w:t>
      </w:r>
      <w:r>
        <w:br/>
      </w:r>
      <w:r>
        <w:rPr>
          <w:rStyle w:val="VerbatimChar"/>
        </w:rPr>
        <w:t xml:space="preserve">│  ├─ ui-web/         # web components (shadcn), Storybook</w:t>
      </w:r>
      <w:r>
        <w:br/>
      </w:r>
      <w:r>
        <w:rPr>
          <w:rStyle w:val="VerbatimChar"/>
        </w:rPr>
        <w:t xml:space="preserve">│  ├─ ui-native/      # native components, catalogue</w:t>
      </w:r>
      <w:r>
        <w:br/>
      </w:r>
      <w:r>
        <w:rPr>
          <w:rStyle w:val="VerbatimChar"/>
        </w:rPr>
        <w:t xml:space="preserve">│  ├─ partners/       # v1.2: deal model, DD packs, deal-config schema (no ranking keys), export packs</w:t>
      </w:r>
      <w:r>
        <w:br/>
      </w:r>
      <w:r>
        <w:rPr>
          <w:rStyle w:val="VerbatimChar"/>
        </w:rPr>
        <w:t xml:space="preserve">│  ├─ wellness/       # separate-store clients, stand-alone consents, CIC consumer channel</w:t>
      </w:r>
      <w:r>
        <w:br/>
      </w:r>
      <w:r>
        <w:rPr>
          <w:rStyle w:val="VerbatimChar"/>
        </w:rPr>
        <w:t xml:space="preserve">│  ├─ member-lending/ # society and JLG/SHG journey steps; MSCS, SCS-[State] and MFIN rule packs</w:t>
      </w:r>
      <w:r>
        <w:br/>
      </w:r>
      <w:r>
        <w:rPr>
          <w:rStyle w:val="VerbatimChar"/>
        </w:rPr>
        <w:t xml:space="preserve">│  ├─ products-plugins/ # product-type registry, licence gate, insurer and distribution adapters</w:t>
      </w:r>
      <w:r>
        <w:br/>
      </w:r>
      <w:r>
        <w:rPr>
          <w:rStyle w:val="VerbatimChar"/>
        </w:rPr>
        <w:t xml:space="preserve">│  ├─ billing-client/ # OH8 catalogue client, entitlements, Razorpay (Udofin revenue only)</w:t>
      </w:r>
      <w:r>
        <w:br/>
      </w:r>
      <w:r>
        <w:rPr>
          <w:rStyle w:val="VerbatimChar"/>
        </w:rPr>
        <w:t xml:space="preserve">│  ├─ voice/          # messaging, voice, speech and conversation-agent interfaces (RA5)</w:t>
      </w:r>
      <w:r>
        <w:br/>
      </w:r>
      <w:r>
        <w:rPr>
          <w:rStyle w:val="VerbatimChar"/>
        </w:rPr>
        <w:t xml:space="preserve">│  ├─ portability/    # archive writer and verifier, storage-target connectors (RA3)</w:t>
      </w:r>
      <w:r>
        <w:br/>
      </w:r>
      <w:r>
        <w:rPr>
          <w:rStyle w:val="VerbatimChar"/>
        </w:rPr>
        <w:t xml:space="preserve">│  ├─ config/  ├─ observability/ (PII redaction)  └─ testing/ (synthetic data, device farm, Pact)</w:t>
      </w:r>
      <w:r>
        <w:br/>
      </w:r>
      <w:r>
        <w:rPr>
          <w:rStyle w:val="VerbatimChar"/>
        </w:rPr>
        <w:t xml:space="preserve">├─ db/</w:t>
      </w:r>
      <w:r>
        <w:br/>
      </w:r>
      <w:r>
        <w:rPr>
          <w:rStyle w:val="VerbatimChar"/>
        </w:rPr>
        <w:t xml:space="preserve">│  ├─ migrations/  ├─ rls-policies/  ├─ seeds/ (synthetic only)</w:t>
      </w:r>
      <w:r>
        <w:br/>
      </w:r>
      <w:r>
        <w:rPr>
          <w:rStyle w:val="VerbatimChar"/>
        </w:rPr>
        <w:t xml:space="preserve">│  └─ wellness/     # separate database for Part 7D: own migrations, KMS key, backups, retention</w:t>
      </w:r>
      <w:r>
        <w:br/>
      </w:r>
      <w:r>
        <w:rPr>
          <w:rStyle w:val="VerbatimChar"/>
        </w:rPr>
        <w:t xml:space="preserve">├─ infra/            # docker, compose, opentofu/terraform, railway (synthetic), aws (eas.json lives in apps/mobile/)</w:t>
      </w:r>
      <w:r>
        <w:br/>
      </w:r>
      <w:r>
        <w:rPr>
          <w:rStyle w:val="VerbatimChar"/>
        </w:rPr>
        <w:t xml:space="preserve">├─ docs/             # see Part 11.4 (incl. compliance/dla-register.md, permission-policy.md,</w:t>
      </w:r>
      <w:r>
        <w:br/>
      </w:r>
      <w:r>
        <w:rPr>
          <w:rStyle w:val="VerbatimChar"/>
        </w:rPr>
        <w:t xml:space="preserve">│                    # store-policy.md; security/masvs-matrix.md; regulations/rbi/, errata.md)</w:t>
      </w:r>
      <w:r>
        <w:br/>
      </w:r>
      <w:r>
        <w:rPr>
          <w:rStyle w:val="VerbatimChar"/>
        </w:rPr>
        <w:t xml:space="preserve">└─ CLAUDE.md</w:t>
      </w:r>
    </w:p>
    <w:p>
      <w:r>
        <w:pict>
          <v:rect style="width:0;height:1.5pt" o:hralign="center" o:hrstd="t" o:hr="t"/>
        </w:pict>
      </w:r>
    </w:p>
    <w:bookmarkEnd w:id="532"/>
    <w:bookmarkStart w:id="533" w:name="Xbada43b0de9df090e749b472cbf40f00d4fa911"/>
    <w:p>
      <w:pPr>
        <w:pStyle w:val="Heading1"/>
      </w:pPr>
      <w:r>
        <w:t xml:space="preserve">APPENDIX D — INITIAL ENTITY MODEL (starting list)</w:t>
      </w:r>
    </w:p>
    <w:p>
      <w:pPr>
        <w:pStyle w:val="FirstParagraph"/>
      </w:pPr>
      <w:r>
        <w:t xml:space="preserve">Every RE-scoped table carries</w:t>
      </w:r>
      <w:r>
        <w:t xml:space="preserve"> </w:t>
      </w:r>
      <w:r>
        <w:rPr>
          <w:rStyle w:val="VerbatimChar"/>
        </w:rPr>
        <w:t xml:space="preserve">lender_tenant_id</w:t>
      </w:r>
      <w:r>
        <w:t xml:space="preserve"> </w:t>
      </w:r>
      <w:r>
        <w:t xml:space="preserve">and is protected by server-side authorisation plus Postgres RLS. Money columns are</w:t>
      </w:r>
      <w:r>
        <w:t xml:space="preserve"> </w:t>
      </w:r>
      <w:r>
        <w:rPr>
          <w:rStyle w:val="VerbatimChar"/>
        </w:rPr>
        <w:t xml:space="preserve">NUMERIC</w:t>
      </w:r>
      <w:r>
        <w:t xml:space="preserve">. Event and audit tables are append-only. Refine in Phase 0 and record ownership (Udofin, RE mirror or provider evidence) for each entity.</w:t>
      </w:r>
    </w:p>
    <w:p>
      <w:pPr>
        <w:numPr>
          <w:ilvl w:val="0"/>
          <w:numId w:val="1527"/>
        </w:numPr>
      </w:pPr>
      <w:r>
        <w:rPr>
          <w:bCs/>
          <w:b/>
        </w:rPr>
        <w:t xml:space="preserve">Platform, tenancy and agreements (U1, U23):</w:t>
      </w:r>
    </w:p>
    <w:p>
      <w:pPr>
        <w:numPr>
          <w:ilvl w:val="1"/>
          <w:numId w:val="1528"/>
        </w:numPr>
        <w:pStyle w:val="Compact"/>
      </w:pPr>
      <w:r>
        <w:t xml:space="preserve">platform_setting, lender_tenant (RE type, layer, CoR, CIC memberships, FIU status, website disclosure URL, IO applicability), lender_legal_entity, lender_contact (GRO, nodal officer, incident, operations);</w:t>
      </w:r>
    </w:p>
    <w:p>
      <w:pPr>
        <w:numPr>
          <w:ilvl w:val="1"/>
          <w:numId w:val="1528"/>
        </w:numPr>
        <w:pStyle w:val="Compact"/>
      </w:pPr>
      <w:r>
        <w:t xml:space="preserve">lsp_agreement (version, effective dates, activities, fees and payer, data shared, approved sub-contractors, audit and RBI access, incident timelines, exit), lsp_agreement_activity, recovery_agent_contract (scope, territory, effective dates), due_diligence_pack;</w:t>
      </w:r>
    </w:p>
    <w:p>
      <w:pPr>
        <w:numPr>
          <w:ilvl w:val="1"/>
          <w:numId w:val="1528"/>
        </w:numPr>
        <w:pStyle w:val="Compact"/>
      </w:pPr>
      <w:r>
        <w:t xml:space="preserve">staff_user, role, permission, user_scope, maker_checker_request, break_glass_session, feature_flag, theme_config (design tokens per platform, RE and white-label), config_version, audit_event (hash-chained).</w:t>
      </w:r>
    </w:p>
    <w:p>
      <w:pPr>
        <w:numPr>
          <w:ilvl w:val="0"/>
          <w:numId w:val="1527"/>
        </w:numPr>
      </w:pPr>
      <w:r>
        <w:rPr>
          <w:bCs/>
          <w:b/>
        </w:rPr>
        <w:t xml:space="preserve">Products and catalogue (U2, Part 6):</w:t>
      </w:r>
      <w:r>
        <w:t xml:space="preserve"> </w:t>
      </w:r>
      <w:r>
        <w:t xml:space="preserve">product_template, product_offer_version (immutable copy of</w:t>
      </w:r>
      <w:r>
        <w:t xml:space="preserve"> </w:t>
      </w:r>
      <w:r>
        <w:rPr>
          <w:rStyle w:val="VerbatimChar"/>
        </w:rPr>
        <w:t xml:space="preserve">ProductCatalogPublished</w:t>
      </w:r>
      <w:r>
        <w:t xml:space="preserve">: eligibility parameters, pricing grid, charges, penal charges, KFS template version, cooling-off period, grievance contacts, DLA disclosures), journey_template, document_checklist, verification_plan, consent_set, routing_rule_version (GoRules JDM), store_policy_gate, product_approval, feasibility_note.</w:t>
      </w:r>
    </w:p>
    <w:p>
      <w:pPr>
        <w:numPr>
          <w:ilvl w:val="0"/>
          <w:numId w:val="1527"/>
        </w:numPr>
      </w:pPr>
      <w:r>
        <w:rPr>
          <w:bCs/>
          <w:b/>
        </w:rPr>
        <w:t xml:space="preserve">Borrower identity and devices (U3):</w:t>
      </w:r>
      <w:r>
        <w:t xml:space="preserve"> </w:t>
      </w:r>
      <w:r>
        <w:t xml:space="preserve">borrower_account, borrower_profile (minimal data), contact_point (mobile, email, verification status), auth_session, device_binding (public key, attestation result, platform, app version, status), device_event, passkey_credential, app_version_policy, mobile_number_change_request, account_closure_request.</w:t>
      </w:r>
    </w:p>
    <w:p>
      <w:pPr>
        <w:numPr>
          <w:ilvl w:val="0"/>
          <w:numId w:val="1527"/>
        </w:numPr>
      </w:pPr>
      <w:r>
        <w:rPr>
          <w:bCs/>
          <w:b/>
        </w:rPr>
        <w:t xml:space="preserve">Consent and privacy (U4):</w:t>
      </w:r>
      <w:r>
        <w:t xml:space="preserve"> </w:t>
      </w:r>
      <w:r>
        <w:t xml:space="preserve">notice_version, consent_artefact (purpose, data items, recipient, legal basis, notice version, language, channel, timestamp, device, IP, expiry, screen version), consent_event (give, deny, restrict, revoke), data_principal_request (access, correction, erasure, grievance) with clocks, data_map_entry (field, owner, purpose, recipients, location, retention, sensitivity), retention_rule, destruction_certificate, privacy_policy_version, third_party_disclosure.</w:t>
      </w:r>
    </w:p>
    <w:p>
      <w:pPr>
        <w:numPr>
          <w:ilvl w:val="0"/>
          <w:numId w:val="1527"/>
        </w:numPr>
      </w:pPr>
      <w:r>
        <w:rPr>
          <w:bCs/>
          <w:b/>
        </w:rPr>
        <w:t xml:space="preserve">KYC and verification (U5):</w:t>
      </w:r>
      <w:r>
        <w:t xml:space="preserve"> </w:t>
      </w:r>
      <w:r>
        <w:t xml:space="preserve">kyc_session (route, RE, step version), kyc_evidence (provider, request and response hashes, document hashes, liveness score, timestamps, consent reference), ckyc_identifier_capture, okyc_evidence (masked, no full Aadhaar), digilocker_fetch, pan_verification, otp_ekyc_declaration, vcip_session_reference (RE-held recording reference only), document_capture (quality metrics, redaction flag), face_match_result (score only; no template retained).</w:t>
      </w:r>
    </w:p>
    <w:p>
      <w:pPr>
        <w:numPr>
          <w:ilvl w:val="0"/>
          <w:numId w:val="1527"/>
        </w:numPr>
      </w:pPr>
      <w:r>
        <w:rPr>
          <w:bCs/>
          <w:b/>
        </w:rPr>
        <w:t xml:space="preserve">Credit data (U6):</w:t>
      </w:r>
      <w:r>
        <w:t xml:space="preserve"> </w:t>
      </w:r>
      <w:r>
        <w:t xml:space="preserve">bureau_consent (RE, purpose, mode), bureau_pull_reference (RE, CIC, enquiry type, response reference, cost), aa_consent_reference (AA handle, consent ID, FIU = RE, purpose, status), income_declaration, household_profile (composition, annual household income, source), affordability_snapshot (RE-approved inputs and outputs), microfinance_flag.</w:t>
      </w:r>
    </w:p>
    <w:p>
      <w:pPr>
        <w:numPr>
          <w:ilvl w:val="0"/>
          <w:numId w:val="1527"/>
        </w:numPr>
      </w:pPr>
      <w:r>
        <w:rPr>
          <w:bCs/>
          <w:b/>
        </w:rPr>
        <w:t xml:space="preserve">Application and routing (U7):</w:t>
      </w:r>
      <w:r>
        <w:t xml:space="preserve"> </w:t>
      </w:r>
      <w:r>
        <w:t xml:space="preserve">application (state machine), application_state_transition, applicant_data_version, eligibility_request, eligibility_response (RE rule-version reference, outcome, timestamps), matching_mechanism_version (description, rules, effective dates), offer_set, unmatched_lender_entry (reason category), information_request, borrower_task.</w:t>
      </w:r>
    </w:p>
    <w:p>
      <w:pPr>
        <w:numPr>
          <w:ilvl w:val="0"/>
          <w:numId w:val="1527"/>
        </w:numPr>
      </w:pPr>
      <w:r>
        <w:rPr>
          <w:bCs/>
          <w:b/>
        </w:rPr>
        <w:t xml:space="preserve">Offers, KFS and cooling-off (U8):</w:t>
      </w:r>
      <w:r>
        <w:t xml:space="preserve"> </w:t>
      </w:r>
      <w:r>
        <w:t xml:space="preserve">offer (lender, amount, tenor, APR, monthly repayment obligation, penal charges, KFS link, rank, ranking metric version), apr_check (recomputed APR, tolerance, result), kfs_document (proposal number, validity expiry, language, hash), kfs_view_event (view, scroll completion, duration, explanation acknowledgement), borrower_acceptance, sanction_document, cooling_off_window, cooling_off_exit (request time, RE payable amount, status).</w:t>
      </w:r>
    </w:p>
    <w:p>
      <w:pPr>
        <w:numPr>
          <w:ilvl w:val="0"/>
          <w:numId w:val="1527"/>
        </w:numPr>
      </w:pPr>
      <w:r>
        <w:rPr>
          <w:bCs/>
          <w:b/>
        </w:rPr>
        <w:t xml:space="preserve">Documents and execution (U9):</w:t>
      </w:r>
      <w:r>
        <w:t xml:space="preserve"> </w:t>
      </w:r>
      <w:r>
        <w:t xml:space="preserve">document (type, owner RE, version, SHA-256, storage key, retention class, verification status), document_access_log, esign_request, esign_evidence (ESP, transaction ID, certificate, signed hash, timestamp, signer name match, IP), estamp_certificate (number, state, value, parties, vendor, linked document), physical_execution_task, document_delivery (channel, recipient, timestamp, status).</w:t>
      </w:r>
    </w:p>
    <w:p>
      <w:pPr>
        <w:numPr>
          <w:ilvl w:val="0"/>
          <w:numId w:val="1527"/>
        </w:numPr>
      </w:pPr>
      <w:r>
        <w:rPr>
          <w:bCs/>
          <w:b/>
        </w:rPr>
        <w:t xml:space="preserve">Disbursement and payments (U10, U11):</w:t>
      </w:r>
      <w:r>
        <w:t xml:space="preserve"> </w:t>
      </w:r>
      <w:r>
        <w:t xml:space="preserve">beneficiary_account (borrower or end-beneficiary, penny-drop result), disbursement_status (from</w:t>
      </w:r>
      <w:r>
        <w:t xml:space="preserve"> </w:t>
      </w:r>
      <w:r>
        <w:rPr>
          <w:rStyle w:val="VerbatimChar"/>
        </w:rPr>
        <w:t xml:space="preserve">LoanDisbursed</w:t>
      </w:r>
      <w:r>
        <w:t xml:space="preserve">/</w:t>
      </w:r>
      <w:r>
        <w:rPr>
          <w:rStyle w:val="VerbatimChar"/>
        </w:rPr>
        <w:t xml:space="preserve">DisbursementFailed</w:t>
      </w:r>
      <w:r>
        <w:t xml:space="preserve">; UTR), mandate (type, UMRN, sponsor bank, RE utility code, limits, validity, status), mandate_event, payment_intent (RE merchant account, channel, amount, idempotency key, status), payment_status_event, gateway_settlement_record, refund_request, rail_config_validation.</w:t>
      </w:r>
    </w:p>
    <w:p>
      <w:pPr>
        <w:numPr>
          <w:ilvl w:val="0"/>
          <w:numId w:val="1527"/>
        </w:numPr>
      </w:pPr>
      <w:r>
        <w:rPr>
          <w:bCs/>
          <w:b/>
        </w:rPr>
        <w:t xml:space="preserve">Loan mirror and servicing (U12, U25):</w:t>
      </w:r>
      <w:r>
        <w:t xml:space="preserve"> </w:t>
      </w:r>
      <w:r>
        <w:t xml:space="preserve">loan_mirror (RE loan reference, product, sanctioned and disbursed amounts, rate, tenor, status, as-at sequence), mirror_schedule_line, mirror_transaction (payment, charge, penal charge, reversal), mirror_dpd_snapshot, service_request (type, RE reference, SLA, status), noc_record, document_release_tracker, borrower_ledger_view (materialised per loan), expense_entry (optional, borrower-entered, separate consent).</w:t>
      </w:r>
    </w:p>
    <w:p>
      <w:pPr>
        <w:numPr>
          <w:ilvl w:val="0"/>
          <w:numId w:val="1527"/>
        </w:numPr>
      </w:pPr>
      <w:r>
        <w:rPr>
          <w:bCs/>
          <w:b/>
        </w:rPr>
        <w:t xml:space="preserve">Collections (U13):</w:t>
      </w:r>
      <w:r>
        <w:t xml:space="preserve"> </w:t>
      </w:r>
      <w:r>
        <w:t xml:space="preserve">collection_allocation (from</w:t>
      </w:r>
      <w:r>
        <w:t xml:space="preserve"> </w:t>
      </w:r>
      <w:r>
        <w:rPr>
          <w:rStyle w:val="VerbatimChar"/>
        </w:rPr>
        <w:t xml:space="preserve">CollectionAllocated</w:t>
      </w:r>
      <w:r>
        <w:t xml:space="preserve">; contract reference, scope, contact-policy pack), agent_particulars_notice (sent before first contact), recovery_agent (identity, verification, certification, authorisation per RE, status), contact_policy_pack (effective-dated), contact_attempt (channel, time, outcome, recording reference), ptp, field_visit (agent-device geo-tag), cash_receipt (same-day posting proof), collection_fee_claim.</w:t>
      </w:r>
    </w:p>
    <w:p>
      <w:pPr>
        <w:numPr>
          <w:ilvl w:val="0"/>
          <w:numId w:val="1527"/>
        </w:numPr>
      </w:pPr>
      <w:r>
        <w:rPr>
          <w:bCs/>
          <w:b/>
        </w:rPr>
        <w:t xml:space="preserve">DLG (U14):</w:t>
      </w:r>
      <w:r>
        <w:t xml:space="preserve"> </w:t>
      </w:r>
      <w:r>
        <w:t xml:space="preserve">dlg_arrangement (RE, contract, form, extent, invocation timeline, term, disclosure clause), dlg_instrument (cash deposit, FD with lien, bank guarantee; amounts, dates, bank), dlg_set (fixed loan list, sanctioned amount), dlg_set_loan, dlg_cover_snapshot (disbursed amount, cap, active cover, headroom), dlg_provider_declaration (auditor certificate, aggregate outstanding, number of lenders and portfolios, past default rates), dlg_invocation (loan, overdue days, amount, settlement), dlg_recovery_share, dlg_disclosure (month, portfolios, amounts, publication time, maker-checker).</w:t>
      </w:r>
    </w:p>
    <w:p>
      <w:pPr>
        <w:numPr>
          <w:ilvl w:val="0"/>
          <w:numId w:val="1527"/>
        </w:numPr>
      </w:pPr>
      <w:r>
        <w:rPr>
          <w:bCs/>
          <w:b/>
        </w:rPr>
        <w:t xml:space="preserve">Grievance and Equator (U15):</w:t>
      </w:r>
      <w:r>
        <w:t xml:space="preserve"> </w:t>
      </w:r>
      <w:r>
        <w:t xml:space="preserve">grievance (reference, category, against RE or LSP, channel, status, clocks), grievance_event, grievance_attachment, grievance_routing (host switch, GRO, nodal officer), escalation_info_shown (CMS/CRPC route, timestamp), ai_conversation (redacted), ai_answer_source, equator_referral (consent, data set, Equator case ID, status, outcome), feedback.</w:t>
      </w:r>
    </w:p>
    <w:p>
      <w:pPr>
        <w:numPr>
          <w:ilvl w:val="0"/>
          <w:numId w:val="1527"/>
        </w:numPr>
      </w:pPr>
      <w:r>
        <w:rPr>
          <w:bCs/>
          <w:b/>
        </w:rPr>
        <w:t xml:space="preserve">Communications and marketing (U16):</w:t>
      </w:r>
      <w:r>
        <w:t xml:space="preserve"> </w:t>
      </w:r>
      <w:r>
        <w:t xml:space="preserve">template_version (channel, language, owner, approval, DLT IDs), notification (channel, purpose class, template, status; no PII in push payload), marketing_consent (purpose, channel, default no, timestamps), preference_setting, campaign, campaign_audience_rule, suppression_entry, push_token.</w:t>
      </w:r>
    </w:p>
    <w:p>
      <w:pPr>
        <w:numPr>
          <w:ilvl w:val="0"/>
          <w:numId w:val="1527"/>
        </w:numPr>
      </w:pPr>
      <w:r>
        <w:rPr>
          <w:bCs/>
          <w:b/>
        </w:rPr>
        <w:t xml:space="preserve">Udofin finance (U17):</w:t>
      </w:r>
      <w:r>
        <w:t xml:space="preserve"> </w:t>
      </w:r>
      <w:r>
        <w:t xml:space="preserve">udofin_ledger tables: gl_account, journal, posting, accounting_period, cost_centre; fee_invoice (RE, type, GST), tds_receivable, vendor_cost_record (per provider call), dlg_accounting_entry, bank_reconciliation_run, tally_export_job, sap_export_job.</w:t>
      </w:r>
    </w:p>
    <w:p>
      <w:pPr>
        <w:numPr>
          <w:ilvl w:val="0"/>
          <w:numId w:val="1527"/>
        </w:numPr>
      </w:pPr>
      <w:r>
        <w:rPr>
          <w:bCs/>
          <w:b/>
        </w:rPr>
        <w:t xml:space="preserve">Compliance and audit (U18):</w:t>
      </w:r>
      <w:r>
        <w:t xml:space="preserve"> </w:t>
      </w:r>
      <w:r>
        <w:t xml:space="preserve">dla_register (one line per DLA per platform per RE, with Annex-I fields and change history), cims_extract, certification_evidence_pack, regulatory_requirement (REQ-ID shared with Finbyx), control, control_test, evidence, permission_manifest (per build and platform), store_declaration (Play data-safety, App Store privacy, India personal-loan declaration), policy_document_version, auditor_access_grant.</w:t>
      </w:r>
    </w:p>
    <w:p>
      <w:pPr>
        <w:numPr>
          <w:ilvl w:val="0"/>
          <w:numId w:val="1527"/>
        </w:numPr>
      </w:pPr>
      <w:r>
        <w:rPr>
          <w:bCs/>
          <w:b/>
        </w:rPr>
        <w:t xml:space="preserve">Reports (U19):</w:t>
      </w:r>
      <w:r>
        <w:t xml:space="preserve"> </w:t>
      </w:r>
      <w:r>
        <w:t xml:space="preserve">report_definition, report_run, dashboard, conduct_metric (offer-rank selection shares, dark-pattern audit results).</w:t>
      </w:r>
    </w:p>
    <w:p>
      <w:pPr>
        <w:numPr>
          <w:ilvl w:val="0"/>
          <w:numId w:val="1527"/>
        </w:numPr>
      </w:pPr>
      <w:r>
        <w:rPr>
          <w:bCs/>
          <w:b/>
        </w:rPr>
        <w:t xml:space="preserve">AI (U20):</w:t>
      </w:r>
      <w:r>
        <w:t xml:space="preserve"> </w:t>
      </w:r>
      <w:r>
        <w:t xml:space="preserve">ai_model_inventory, prompt_log (redacted), ai_output_review, knowledge_source_version.</w:t>
      </w:r>
    </w:p>
    <w:p>
      <w:pPr>
        <w:numPr>
          <w:ilvl w:val="0"/>
          <w:numId w:val="1527"/>
        </w:numPr>
      </w:pPr>
      <w:r>
        <w:rPr>
          <w:bCs/>
          <w:b/>
        </w:rPr>
        <w:t xml:space="preserve">Integration (U21, Part 5):</w:t>
      </w:r>
      <w:r>
        <w:t xml:space="preserve"> </w:t>
      </w:r>
      <w:r>
        <w:t xml:space="preserve">connector (RE, type, capabilities, version, certification status), connector_mapping_version, connector_certification_run, integration_credential (vault reference only), outbox_event, inbox_event, idempotency_key, webhook_delivery, provider_call_log (redacted, with cost and latency), dead_letter_item, reconciliation_run, reconciliation_break (</w:t>
      </w:r>
      <w:r>
        <w:rPr>
          <w:rStyle w:val="VerbatimChar"/>
        </w:rPr>
        <w:t xml:space="preserve">DailyReconciliationFile</w:t>
      </w:r>
      <w:r>
        <w:t xml:space="preserve">).</w:t>
      </w:r>
    </w:p>
    <w:p>
      <w:pPr>
        <w:numPr>
          <w:ilvl w:val="0"/>
          <w:numId w:val="1527"/>
        </w:numPr>
      </w:pPr>
      <w:r>
        <w:rPr>
          <w:bCs/>
          <w:b/>
        </w:rPr>
        <w:t xml:space="preserve">Field app (U22):</w:t>
      </w:r>
      <w:r>
        <w:t xml:space="preserve"> </w:t>
      </w:r>
      <w:r>
        <w:t xml:space="preserve">field_agent, field_device, assisted_session (borrower consent channel), offline_sync_batch.</w:t>
      </w:r>
    </w:p>
    <w:p>
      <w:pPr>
        <w:numPr>
          <w:ilvl w:val="0"/>
          <w:numId w:val="1527"/>
        </w:numPr>
      </w:pPr>
      <w:r>
        <w:rPr>
          <w:bCs/>
          <w:b/>
        </w:rPr>
        <w:t xml:space="preserve">Security and fraud (U24):</w:t>
      </w:r>
      <w:r>
        <w:t xml:space="preserve"> </w:t>
      </w:r>
      <w:r>
        <w:t xml:space="preserve">risk_signal, fraud_case, security_incident (severity, detection time, RE notification times), incident_notification, vapt_report, app_integrity_event.</w:t>
      </w:r>
    </w:p>
    <w:p>
      <w:pPr>
        <w:numPr>
          <w:ilvl w:val="0"/>
          <w:numId w:val="1527"/>
        </w:numPr>
      </w:pPr>
      <w:r>
        <w:rPr>
          <w:bCs/>
          <w:b/>
        </w:rPr>
        <w:t xml:space="preserve">Added from the Part 8A review</w:t>
      </w:r>
      <w:r>
        <w:t xml:space="preserve"> </w:t>
      </w:r>
      <w:r>
        <w:t xml:space="preserve">(where a name below repeats or renames an entity above, for example</w:t>
      </w:r>
      <w:r>
        <w:t xml:space="preserve"> </w:t>
      </w:r>
      <w:r>
        <w:rPr>
          <w:rStyle w:val="VerbatimChar"/>
        </w:rPr>
        <w:t xml:space="preserve">dla_register_entry</w:t>
      </w:r>
      <w:r>
        <w:t xml:space="preserve"> </w:t>
      </w:r>
      <w:r>
        <w:t xml:space="preserve">and</w:t>
      </w:r>
      <w:r>
        <w:t xml:space="preserve"> </w:t>
      </w:r>
      <w:r>
        <w:rPr>
          <w:rStyle w:val="VerbatimChar"/>
        </w:rPr>
        <w:t xml:space="preserve">dla_register</w:t>
      </w:r>
      <w:r>
        <w:t xml:space="preserve">,</w:t>
      </w:r>
      <w:r>
        <w:t xml:space="preserve"> </w:t>
      </w:r>
      <w:r>
        <w:rPr>
          <w:rStyle w:val="VerbatimChar"/>
        </w:rPr>
        <w:t xml:space="preserve">offer_card</w:t>
      </w:r>
      <w:r>
        <w:t xml:space="preserve"> </w:t>
      </w:r>
      <w:r>
        <w:t xml:space="preserve">and</w:t>
      </w:r>
      <w:r>
        <w:t xml:space="preserve"> </w:t>
      </w:r>
      <w:r>
        <w:rPr>
          <w:rStyle w:val="VerbatimChar"/>
        </w:rPr>
        <w:t xml:space="preserve">offer</w:t>
      </w:r>
      <w:r>
        <w:t xml:space="preserve">,</w:t>
      </w:r>
      <w:r>
        <w:t xml:space="preserve"> </w:t>
      </w:r>
      <w:r>
        <w:rPr>
          <w:rStyle w:val="VerbatimChar"/>
        </w:rPr>
        <w:t xml:space="preserve">dlg_monthly_disclosure</w:t>
      </w:r>
      <w:r>
        <w:t xml:space="preserve"> </w:t>
      </w:r>
      <w:r>
        <w:t xml:space="preserve">and</w:t>
      </w:r>
      <w:r>
        <w:t xml:space="preserve"> </w:t>
      </w:r>
      <w:r>
        <w:rPr>
          <w:rStyle w:val="VerbatimChar"/>
        </w:rPr>
        <w:t xml:space="preserve">dlg_disclosure</w:t>
      </w:r>
      <w:r>
        <w:t xml:space="preserve">,</w:t>
      </w:r>
      <w:r>
        <w:t xml:space="preserve"> </w:t>
      </w:r>
      <w:r>
        <w:rPr>
          <w:rStyle w:val="VerbatimChar"/>
        </w:rPr>
        <w:t xml:space="preserve">aa_consent_mirror</w:t>
      </w:r>
      <w:r>
        <w:t xml:space="preserve"> </w:t>
      </w:r>
      <w:r>
        <w:t xml:space="preserve">and</w:t>
      </w:r>
      <w:r>
        <w:t xml:space="preserve"> </w:t>
      </w:r>
      <w:r>
        <w:rPr>
          <w:rStyle w:val="VerbatimChar"/>
        </w:rPr>
        <w:t xml:space="preserve">aa_consent_reference</w:t>
      </w:r>
      <w:r>
        <w:t xml:space="preserve">, merge them in Phase 0 under the name above and add the listed fields):</w:t>
      </w:r>
    </w:p>
    <w:p>
      <w:pPr>
        <w:numPr>
          <w:ilvl w:val="1"/>
          <w:numId w:val="1529"/>
        </w:numPr>
        <w:pStyle w:val="Compact"/>
      </w:pPr>
      <w:r>
        <w:rPr>
          <w:rStyle w:val="VerbatimChar"/>
        </w:rPr>
        <w:t xml:space="preserve">lsp_agreement</w:t>
      </w:r>
      <w:r>
        <w:t xml:space="preserve"> </w:t>
      </w:r>
      <w:r>
        <w:t xml:space="preserve">(RE, version, scope of functions, recovery_agent_appointed, dlg_enabled, minimal_data_set, retention_schedule, effective dates)</w:t>
      </w:r>
    </w:p>
    <w:p>
      <w:pPr>
        <w:numPr>
          <w:ilvl w:val="1"/>
          <w:numId w:val="1529"/>
        </w:numPr>
        <w:pStyle w:val="Compact"/>
      </w:pPr>
      <w:r>
        <w:rPr>
          <w:rStyle w:val="VerbatimChar"/>
        </w:rPr>
        <w:t xml:space="preserve">dla_register_entry</w:t>
      </w:r>
      <w:r>
        <w:t xml:space="preserve"> </w:t>
      </w:r>
      <w:r>
        <w:t xml:space="preserve">(RE, DLA name, owner, available_on, link, GRO name, email, telephone, mobile, RE website, activated_at, ceased_at)</w:t>
      </w:r>
    </w:p>
    <w:p>
      <w:pPr>
        <w:numPr>
          <w:ilvl w:val="1"/>
          <w:numId w:val="1529"/>
        </w:numPr>
        <w:pStyle w:val="Compact"/>
      </w:pPr>
      <w:r>
        <w:rPr>
          <w:rStyle w:val="VerbatimChar"/>
        </w:rPr>
        <w:t xml:space="preserve">cims_certification_pack</w:t>
      </w:r>
    </w:p>
    <w:p>
      <w:pPr>
        <w:numPr>
          <w:ilvl w:val="1"/>
          <w:numId w:val="1529"/>
        </w:numPr>
        <w:pStyle w:val="Compact"/>
      </w:pPr>
      <w:r>
        <w:rPr>
          <w:rStyle w:val="VerbatimChar"/>
        </w:rPr>
        <w:t xml:space="preserve">lender_matching_model_version</w:t>
      </w:r>
      <w:r>
        <w:t xml:space="preserve"> </w:t>
      </w:r>
      <w:r>
        <w:t xml:space="preserve">and</w:t>
      </w:r>
      <w:r>
        <w:t xml:space="preserve"> </w:t>
      </w:r>
      <w:r>
        <w:rPr>
          <w:rStyle w:val="VerbatimChar"/>
        </w:rPr>
        <w:t xml:space="preserve">lender_match_result</w:t>
      </w:r>
      <w:r>
        <w:t xml:space="preserve"> </w:t>
      </w:r>
      <w:r>
        <w:t xml:space="preserve">(matched and unmatched lenders per request)</w:t>
      </w:r>
    </w:p>
    <w:p>
      <w:pPr>
        <w:numPr>
          <w:ilvl w:val="1"/>
          <w:numId w:val="1529"/>
        </w:numPr>
        <w:pStyle w:val="Compact"/>
      </w:pPr>
      <w:r>
        <w:rPr>
          <w:rStyle w:val="VerbatimChar"/>
        </w:rPr>
        <w:t xml:space="preserve">ranking_metric_publication</w:t>
      </w:r>
    </w:p>
    <w:p>
      <w:pPr>
        <w:numPr>
          <w:ilvl w:val="1"/>
          <w:numId w:val="1529"/>
        </w:numPr>
        <w:pStyle w:val="Compact"/>
      </w:pPr>
      <w:r>
        <w:rPr>
          <w:rStyle w:val="VerbatimChar"/>
        </w:rPr>
        <w:t xml:space="preserve">offer_card</w:t>
      </w:r>
    </w:p>
    <w:p>
      <w:pPr>
        <w:numPr>
          <w:ilvl w:val="1"/>
          <w:numId w:val="1529"/>
        </w:numPr>
        <w:pStyle w:val="Compact"/>
      </w:pPr>
      <w:r>
        <w:rPr>
          <w:rStyle w:val="VerbatimChar"/>
        </w:rPr>
        <w:t xml:space="preserve">consent_artefact</w:t>
      </w:r>
      <w:r>
        <w:t xml:space="preserve"> </w:t>
      </w:r>
      <w:r>
        <w:t xml:space="preserve">(purpose, data items, recipient, expiry, status) and</w:t>
      </w:r>
      <w:r>
        <w:t xml:space="preserve"> </w:t>
      </w:r>
      <w:r>
        <w:rPr>
          <w:rStyle w:val="VerbatimChar"/>
        </w:rPr>
        <w:t xml:space="preserve">consent_event</w:t>
      </w:r>
    </w:p>
    <w:p>
      <w:pPr>
        <w:numPr>
          <w:ilvl w:val="1"/>
          <w:numId w:val="1529"/>
        </w:numPr>
        <w:pStyle w:val="Compact"/>
      </w:pPr>
      <w:r>
        <w:rPr>
          <w:rStyle w:val="VerbatimChar"/>
        </w:rPr>
        <w:t xml:space="preserve">data_classification_item</w:t>
      </w:r>
      <w:r>
        <w:t xml:space="preserve">,</w:t>
      </w:r>
      <w:r>
        <w:t xml:space="preserve"> </w:t>
      </w:r>
      <w:r>
        <w:rPr>
          <w:rStyle w:val="VerbatimChar"/>
        </w:rPr>
        <w:t xml:space="preserve">retention_rule</w:t>
      </w:r>
      <w:r>
        <w:t xml:space="preserve"> </w:t>
      </w:r>
      <w:r>
        <w:t xml:space="preserve">and</w:t>
      </w:r>
      <w:r>
        <w:t xml:space="preserve"> </w:t>
      </w:r>
      <w:r>
        <w:rPr>
          <w:rStyle w:val="VerbatimChar"/>
        </w:rPr>
        <w:t xml:space="preserve">purge_evidence</w:t>
      </w:r>
    </w:p>
    <w:p>
      <w:pPr>
        <w:numPr>
          <w:ilvl w:val="1"/>
          <w:numId w:val="1529"/>
        </w:numPr>
        <w:pStyle w:val="Compact"/>
      </w:pPr>
      <w:r>
        <w:rPr>
          <w:rStyle w:val="VerbatimChar"/>
        </w:rPr>
        <w:t xml:space="preserve">subprocessor</w:t>
      </w:r>
      <w:r>
        <w:t xml:space="preserve"> </w:t>
      </w:r>
      <w:r>
        <w:t xml:space="preserve">(processing location) and</w:t>
      </w:r>
      <w:r>
        <w:t xml:space="preserve"> </w:t>
      </w:r>
      <w:r>
        <w:rPr>
          <w:rStyle w:val="VerbatimChar"/>
        </w:rPr>
        <w:t xml:space="preserve">sdk_inventory_item</w:t>
      </w:r>
    </w:p>
    <w:p>
      <w:pPr>
        <w:numPr>
          <w:ilvl w:val="1"/>
          <w:numId w:val="1529"/>
        </w:numPr>
        <w:pStyle w:val="Compact"/>
      </w:pPr>
      <w:r>
        <w:rPr>
          <w:rStyle w:val="VerbatimChar"/>
        </w:rPr>
        <w:t xml:space="preserve">privacy_policy_version</w:t>
      </w:r>
      <w:r>
        <w:t xml:space="preserve"> </w:t>
      </w:r>
      <w:r>
        <w:t xml:space="preserve">and</w:t>
      </w:r>
      <w:r>
        <w:t xml:space="preserve"> </w:t>
      </w:r>
      <w:r>
        <w:rPr>
          <w:rStyle w:val="VerbatimChar"/>
        </w:rPr>
        <w:t xml:space="preserve">storage_policy_version</w:t>
      </w:r>
    </w:p>
    <w:p>
      <w:pPr>
        <w:numPr>
          <w:ilvl w:val="1"/>
          <w:numId w:val="1529"/>
        </w:numPr>
        <w:pStyle w:val="Compact"/>
      </w:pPr>
      <w:r>
        <w:rPr>
          <w:rStyle w:val="VerbatimChar"/>
        </w:rPr>
        <w:t xml:space="preserve">borrower_re_link</w:t>
      </w:r>
      <w:r>
        <w:t xml:space="preserve"> </w:t>
      </w:r>
      <w:r>
        <w:t xml:space="preserve">(borrower to RE UCIC and KYC level)</w:t>
      </w:r>
    </w:p>
    <w:p>
      <w:pPr>
        <w:numPr>
          <w:ilvl w:val="1"/>
          <w:numId w:val="1529"/>
        </w:numPr>
        <w:pStyle w:val="Compact"/>
      </w:pPr>
      <w:r>
        <w:rPr>
          <w:rStyle w:val="VerbatimChar"/>
        </w:rPr>
        <w:t xml:space="preserve">kyc_evidence</w:t>
      </w:r>
      <w:r>
        <w:t xml:space="preserve"> </w:t>
      </w:r>
      <w:r>
        <w:t xml:space="preserve">(vendor, request ID, response hash) and</w:t>
      </w:r>
      <w:r>
        <w:t xml:space="preserve"> </w:t>
      </w:r>
      <w:r>
        <w:rPr>
          <w:rStyle w:val="VerbatimChar"/>
        </w:rPr>
        <w:t xml:space="preserve">kyc_decision_mirror</w:t>
      </w:r>
      <w:r>
        <w:t xml:space="preserve"> </w:t>
      </w:r>
      <w:r>
        <w:t xml:space="preserve">(RE actor)</w:t>
      </w:r>
    </w:p>
    <w:p>
      <w:pPr>
        <w:numPr>
          <w:ilvl w:val="1"/>
          <w:numId w:val="1529"/>
        </w:numPr>
        <w:pStyle w:val="Compact"/>
      </w:pPr>
      <w:r>
        <w:rPr>
          <w:rStyle w:val="VerbatimChar"/>
        </w:rPr>
        <w:t xml:space="preserve">otp_ekyc_exposure</w:t>
      </w:r>
      <w:r>
        <w:t xml:space="preserve"> </w:t>
      </w:r>
      <w:r>
        <w:t xml:space="preserve">(RE, financial year, sanctioned total)</w:t>
      </w:r>
    </w:p>
    <w:p>
      <w:pPr>
        <w:numPr>
          <w:ilvl w:val="1"/>
          <w:numId w:val="1529"/>
        </w:numPr>
        <w:pStyle w:val="Compact"/>
      </w:pPr>
      <w:r>
        <w:rPr>
          <w:rStyle w:val="VerbatimChar"/>
        </w:rPr>
        <w:t xml:space="preserve">vcip_session_reference</w:t>
      </w:r>
      <w:r>
        <w:t xml:space="preserve"> </w:t>
      </w:r>
      <w:r>
        <w:t xml:space="preserve">(RE storage pointer, deletion evidence)</w:t>
      </w:r>
    </w:p>
    <w:p>
      <w:pPr>
        <w:numPr>
          <w:ilvl w:val="1"/>
          <w:numId w:val="1529"/>
        </w:numPr>
        <w:pStyle w:val="Compact"/>
      </w:pPr>
      <w:r>
        <w:rPr>
          <w:rStyle w:val="VerbatimChar"/>
        </w:rPr>
        <w:t xml:space="preserve">bureau_enquiry</w:t>
      </w:r>
      <w:r>
        <w:t xml:space="preserve"> </w:t>
      </w:r>
      <w:r>
        <w:t xml:space="preserve">(RE, CIC, consent ID)</w:t>
      </w:r>
    </w:p>
    <w:p>
      <w:pPr>
        <w:numPr>
          <w:ilvl w:val="1"/>
          <w:numId w:val="1529"/>
        </w:numPr>
        <w:pStyle w:val="Compact"/>
      </w:pPr>
      <w:r>
        <w:rPr>
          <w:rStyle w:val="VerbatimChar"/>
        </w:rPr>
        <w:t xml:space="preserve">household_profile</w:t>
      </w:r>
      <w:r>
        <w:t xml:space="preserve">,</w:t>
      </w:r>
      <w:r>
        <w:t xml:space="preserve"> </w:t>
      </w:r>
      <w:r>
        <w:rPr>
          <w:rStyle w:val="VerbatimChar"/>
        </w:rPr>
        <w:t xml:space="preserve">household_member_income</w:t>
      </w:r>
      <w:r>
        <w:t xml:space="preserve"> </w:t>
      </w:r>
      <w:r>
        <w:t xml:space="preserve">and</w:t>
      </w:r>
      <w:r>
        <w:t xml:space="preserve"> </w:t>
      </w:r>
      <w:r>
        <w:rPr>
          <w:rStyle w:val="VerbatimChar"/>
        </w:rPr>
        <w:t xml:space="preserve">household_obligation_estimate</w:t>
      </w:r>
    </w:p>
    <w:p>
      <w:pPr>
        <w:numPr>
          <w:ilvl w:val="1"/>
          <w:numId w:val="1529"/>
        </w:numPr>
        <w:pStyle w:val="Compact"/>
      </w:pPr>
      <w:r>
        <w:rPr>
          <w:rStyle w:val="VerbatimChar"/>
        </w:rPr>
        <w:t xml:space="preserve">aa_consent_mirror</w:t>
      </w:r>
    </w:p>
    <w:p>
      <w:pPr>
        <w:numPr>
          <w:ilvl w:val="1"/>
          <w:numId w:val="1529"/>
        </w:numPr>
        <w:pStyle w:val="Compact"/>
      </w:pPr>
      <w:r>
        <w:rPr>
          <w:rStyle w:val="VerbatimChar"/>
        </w:rPr>
        <w:t xml:space="preserve">cooling_off_window</w:t>
      </w:r>
      <w:r>
        <w:t xml:space="preserve"> </w:t>
      </w:r>
      <w:r>
        <w:t xml:space="preserve">and</w:t>
      </w:r>
      <w:r>
        <w:t xml:space="preserve"> </w:t>
      </w:r>
      <w:r>
        <w:rPr>
          <w:rStyle w:val="VerbatimChar"/>
        </w:rPr>
        <w:t xml:space="preserve">cooling_off_exit_request</w:t>
      </w:r>
    </w:p>
    <w:p>
      <w:pPr>
        <w:numPr>
          <w:ilvl w:val="1"/>
          <w:numId w:val="1529"/>
        </w:numPr>
        <w:pStyle w:val="Compact"/>
      </w:pPr>
      <w:r>
        <w:rPr>
          <w:rStyle w:val="VerbatimChar"/>
        </w:rPr>
        <w:t xml:space="preserve">nodal_officer</w:t>
      </w:r>
      <w:r>
        <w:t xml:space="preserve"> </w:t>
      </w:r>
      <w:r>
        <w:t xml:space="preserve">and</w:t>
      </w:r>
      <w:r>
        <w:t xml:space="preserve"> </w:t>
      </w:r>
      <w:r>
        <w:rPr>
          <w:rStyle w:val="VerbatimChar"/>
        </w:rPr>
        <w:t xml:space="preserve">grievance_forwarding_receipt</w:t>
      </w:r>
    </w:p>
    <w:p>
      <w:pPr>
        <w:numPr>
          <w:ilvl w:val="1"/>
          <w:numId w:val="1529"/>
        </w:numPr>
        <w:pStyle w:val="Compact"/>
      </w:pPr>
      <w:r>
        <w:rPr>
          <w:rStyle w:val="VerbatimChar"/>
        </w:rPr>
        <w:t xml:space="preserve">recovery_agent_notice</w:t>
      </w:r>
      <w:r>
        <w:t xml:space="preserve"> </w:t>
      </w:r>
      <w:r>
        <w:t xml:space="preserve">(agent, loan, channel, delivered_at)</w:t>
      </w:r>
    </w:p>
    <w:p>
      <w:pPr>
        <w:numPr>
          <w:ilvl w:val="1"/>
          <w:numId w:val="1529"/>
        </w:numPr>
        <w:pStyle w:val="Compact"/>
      </w:pPr>
      <w:r>
        <w:rPr>
          <w:rStyle w:val="VerbatimChar"/>
        </w:rPr>
        <w:t xml:space="preserve">cash_receipt</w:t>
      </w:r>
      <w:r>
        <w:t xml:space="preserve"> </w:t>
      </w:r>
      <w:r>
        <w:t xml:space="preserve">and</w:t>
      </w:r>
      <w:r>
        <w:t xml:space="preserve"> </w:t>
      </w:r>
      <w:r>
        <w:rPr>
          <w:rStyle w:val="VerbatimChar"/>
        </w:rPr>
        <w:t xml:space="preserve">cash_in_transit_entry</w:t>
      </w:r>
    </w:p>
    <w:p>
      <w:pPr>
        <w:numPr>
          <w:ilvl w:val="1"/>
          <w:numId w:val="1529"/>
        </w:numPr>
        <w:pStyle w:val="Compact"/>
      </w:pPr>
      <w:r>
        <w:rPr>
          <w:rStyle w:val="VerbatimChar"/>
        </w:rPr>
        <w:t xml:space="preserve">dlg_arrangement</w:t>
      </w:r>
      <w:r>
        <w:t xml:space="preserve">,</w:t>
      </w:r>
      <w:r>
        <w:t xml:space="preserve"> </w:t>
      </w:r>
      <w:r>
        <w:rPr>
          <w:rStyle w:val="VerbatimChar"/>
        </w:rPr>
        <w:t xml:space="preserve">dlg_instrument</w:t>
      </w:r>
      <w:r>
        <w:t xml:space="preserve">,</w:t>
      </w:r>
      <w:r>
        <w:t xml:space="preserve"> </w:t>
      </w:r>
      <w:r>
        <w:rPr>
          <w:rStyle w:val="VerbatimChar"/>
        </w:rPr>
        <w:t xml:space="preserve">dlg_set</w:t>
      </w:r>
      <w:r>
        <w:t xml:space="preserve">,</w:t>
      </w:r>
      <w:r>
        <w:t xml:space="preserve"> </w:t>
      </w:r>
      <w:r>
        <w:rPr>
          <w:rStyle w:val="VerbatimChar"/>
        </w:rPr>
        <w:t xml:space="preserve">dlg_set_loan</w:t>
      </w:r>
      <w:r>
        <w:t xml:space="preserve">,</w:t>
      </w:r>
      <w:r>
        <w:t xml:space="preserve"> </w:t>
      </w:r>
      <w:r>
        <w:rPr>
          <w:rStyle w:val="VerbatimChar"/>
        </w:rPr>
        <w:t xml:space="preserve">dlg_ledger_entry</w:t>
      </w:r>
      <w:r>
        <w:t xml:space="preserve"> </w:t>
      </w:r>
      <w:r>
        <w:t xml:space="preserve">(no reinstatement type),</w:t>
      </w:r>
      <w:r>
        <w:t xml:space="preserve"> </w:t>
      </w:r>
      <w:r>
        <w:rPr>
          <w:rStyle w:val="VerbatimChar"/>
        </w:rPr>
        <w:t xml:space="preserve">dlg_invocation</w:t>
      </w:r>
      <w:r>
        <w:t xml:space="preserve">,</w:t>
      </w:r>
      <w:r>
        <w:t xml:space="preserve"> </w:t>
      </w:r>
      <w:r>
        <w:rPr>
          <w:rStyle w:val="VerbatimChar"/>
        </w:rPr>
        <w:t xml:space="preserve">dlg_recovery_share</w:t>
      </w:r>
      <w:r>
        <w:t xml:space="preserve">,</w:t>
      </w:r>
      <w:r>
        <w:t xml:space="preserve"> </w:t>
      </w:r>
      <w:r>
        <w:rPr>
          <w:rStyle w:val="VerbatimChar"/>
        </w:rPr>
        <w:t xml:space="preserve">dlg_monthly_disclosure</w:t>
      </w:r>
      <w:r>
        <w:t xml:space="preserve"> </w:t>
      </w:r>
      <w:r>
        <w:t xml:space="preserve">and</w:t>
      </w:r>
      <w:r>
        <w:t xml:space="preserve"> </w:t>
      </w:r>
      <w:r>
        <w:rPr>
          <w:rStyle w:val="VerbatimChar"/>
        </w:rPr>
        <w:t xml:space="preserve">dlg_auditor_declaration</w:t>
      </w:r>
    </w:p>
    <w:p>
      <w:pPr>
        <w:numPr>
          <w:ilvl w:val="1"/>
          <w:numId w:val="1529"/>
        </w:numPr>
        <w:pStyle w:val="Compact"/>
      </w:pPr>
      <w:r>
        <w:rPr>
          <w:rStyle w:val="VerbatimChar"/>
        </w:rPr>
        <w:t xml:space="preserve">channel_risk_pack</w:t>
      </w:r>
    </w:p>
    <w:p>
      <w:pPr>
        <w:numPr>
          <w:ilvl w:val="1"/>
          <w:numId w:val="1529"/>
        </w:numPr>
        <w:pStyle w:val="Compact"/>
      </w:pPr>
      <w:r>
        <w:rPr>
          <w:rStyle w:val="VerbatimChar"/>
        </w:rPr>
        <w:t xml:space="preserve">app_version_registry</w:t>
      </w:r>
      <w:r>
        <w:t xml:space="preserve"> </w:t>
      </w:r>
      <w:r>
        <w:t xml:space="preserve">and</w:t>
      </w:r>
      <w:r>
        <w:t xml:space="preserve"> </w:t>
      </w:r>
      <w:r>
        <w:rPr>
          <w:rStyle w:val="VerbatimChar"/>
        </w:rPr>
        <w:t xml:space="preserve">device_registration</w:t>
      </w:r>
    </w:p>
    <w:p>
      <w:pPr>
        <w:numPr>
          <w:ilvl w:val="1"/>
          <w:numId w:val="1529"/>
        </w:numPr>
        <w:pStyle w:val="Compact"/>
      </w:pPr>
      <w:r>
        <w:rPr>
          <w:rStyle w:val="VerbatimChar"/>
        </w:rPr>
        <w:t xml:space="preserve">re_regulatory_profile</w:t>
      </w:r>
      <w:r>
        <w:t xml:space="preserve"> </w:t>
      </w:r>
      <w:r>
        <w:t xml:space="preserve">(re_id, re_type, nbfc_category, layer, layer_source, asset_size, asset_size_date, deposit_taking, effective_from, effective_to)</w:t>
      </w:r>
    </w:p>
    <w:p>
      <w:pPr>
        <w:numPr>
          <w:ilvl w:val="1"/>
          <w:numId w:val="1529"/>
        </w:numPr>
        <w:pStyle w:val="Compact"/>
      </w:pPr>
      <w:r>
        <w:rPr>
          <w:rStyle w:val="VerbatimChar"/>
        </w:rPr>
        <w:t xml:space="preserve">outsourcing_clause_check</w:t>
      </w:r>
      <w:r>
        <w:t xml:space="preserve"> </w:t>
      </w:r>
      <w:r>
        <w:t xml:space="preserve">(re_id, agreement_version, clause_id, status, evidence_ref, reviewed_at)</w:t>
      </w:r>
    </w:p>
    <w:p>
      <w:pPr>
        <w:numPr>
          <w:ilvl w:val="1"/>
          <w:numId w:val="1529"/>
        </w:numPr>
        <w:pStyle w:val="Compact"/>
      </w:pPr>
      <w:r>
        <w:rPr>
          <w:rStyle w:val="VerbatimChar"/>
        </w:rPr>
        <w:t xml:space="preserve">conflict_declaration</w:t>
      </w:r>
      <w:r>
        <w:t xml:space="preserve"> </w:t>
      </w:r>
      <w:r>
        <w:t xml:space="preserve">(re_id, declared_at, persons, outcome, board_exception_ref)</w:t>
      </w:r>
    </w:p>
    <w:p>
      <w:pPr>
        <w:numPr>
          <w:ilvl w:val="1"/>
          <w:numId w:val="1529"/>
        </w:numPr>
        <w:pStyle w:val="Compact"/>
      </w:pPr>
      <w:r>
        <w:rPr>
          <w:rStyle w:val="VerbatimChar"/>
        </w:rPr>
        <w:t xml:space="preserve">re_change_approval</w:t>
      </w:r>
      <w:r>
        <w:t xml:space="preserve"> </w:t>
      </w:r>
      <w:r>
        <w:t xml:space="preserve">(re_id, change_type, artefact_ref, version_hash, approver_name, approver_role, approved_at, scope)</w:t>
      </w:r>
    </w:p>
    <w:p>
      <w:pPr>
        <w:numPr>
          <w:ilvl w:val="1"/>
          <w:numId w:val="1529"/>
        </w:numPr>
        <w:pStyle w:val="Compact"/>
      </w:pPr>
      <w:r>
        <w:rPr>
          <w:rStyle w:val="VerbatimChar"/>
        </w:rPr>
        <w:t xml:space="preserve">subprocessor</w:t>
      </w:r>
      <w:r>
        <w:t xml:space="preserve"> </w:t>
      </w:r>
      <w:r>
        <w:t xml:space="preserve">and</w:t>
      </w:r>
      <w:r>
        <w:t xml:space="preserve"> </w:t>
      </w:r>
      <w:r>
        <w:rPr>
          <w:rStyle w:val="VerbatimChar"/>
        </w:rPr>
        <w:t xml:space="preserve">subprocessor_consent</w:t>
      </w:r>
      <w:r>
        <w:t xml:space="preserve"> </w:t>
      </w:r>
      <w:r>
        <w:t xml:space="preserve">(re_id, subprocessor_id, consent_ref, consented_at)</w:t>
      </w:r>
    </w:p>
    <w:p>
      <w:pPr>
        <w:numPr>
          <w:ilvl w:val="1"/>
          <w:numId w:val="1529"/>
        </w:numPr>
        <w:pStyle w:val="Compact"/>
      </w:pPr>
      <w:r>
        <w:rPr>
          <w:rStyle w:val="VerbatimChar"/>
        </w:rPr>
        <w:t xml:space="preserve">communication_template</w:t>
      </w:r>
      <w:r>
        <w:t xml:space="preserve"> </w:t>
      </w:r>
      <w:r>
        <w:t xml:space="preserve">(re_id, event_code, language, version, approved_by_re_ref)</w:t>
      </w:r>
    </w:p>
    <w:p>
      <w:pPr>
        <w:numPr>
          <w:ilvl w:val="1"/>
          <w:numId w:val="1529"/>
        </w:numPr>
        <w:pStyle w:val="Compact"/>
      </w:pPr>
      <w:r>
        <w:rPr>
          <w:rStyle w:val="VerbatimChar"/>
        </w:rPr>
        <w:t xml:space="preserve">contact_policy</w:t>
      </w:r>
      <w:r>
        <w:t xml:space="preserve"> </w:t>
      </w:r>
      <w:r>
        <w:t xml:space="preserve">(re_id, product_id, microfinance_flag, window_start, window_end, daily_cap, weekly_cap) and</w:t>
      </w:r>
      <w:r>
        <w:t xml:space="preserve"> </w:t>
      </w:r>
      <w:r>
        <w:rPr>
          <w:rStyle w:val="VerbatimChar"/>
        </w:rPr>
        <w:t xml:space="preserve">contact_attempt</w:t>
      </w:r>
      <w:r>
        <w:t xml:space="preserve"> </w:t>
      </w:r>
      <w:r>
        <w:t xml:space="preserve">(case_id, channel, attempted_at, caller_id, recording_ref, outcome)</w:t>
      </w:r>
    </w:p>
    <w:p>
      <w:pPr>
        <w:numPr>
          <w:ilvl w:val="1"/>
          <w:numId w:val="1529"/>
        </w:numPr>
        <w:pStyle w:val="Compact"/>
      </w:pPr>
      <w:r>
        <w:rPr>
          <w:rStyle w:val="VerbatimChar"/>
        </w:rPr>
        <w:t xml:space="preserve">recovery_agent</w:t>
      </w:r>
      <w:r>
        <w:t xml:space="preserve"> </w:t>
      </w:r>
      <w:r>
        <w:t xml:space="preserve">(agency_id, person_id, police_verification_ref, verified_at, reverify_due, training_ref, undertaking_ref, status) and</w:t>
      </w:r>
      <w:r>
        <w:t xml:space="preserve"> </w:t>
      </w:r>
      <w:r>
        <w:rPr>
          <w:rStyle w:val="VerbatimChar"/>
        </w:rPr>
        <w:t xml:space="preserve">agent_authorisation</w:t>
      </w:r>
      <w:r>
        <w:t xml:space="preserve"> </w:t>
      </w:r>
      <w:r>
        <w:t xml:space="preserve">(case_id, agent_id, notice_ref, letter_ref, notified_at)</w:t>
      </w:r>
    </w:p>
    <w:p>
      <w:pPr>
        <w:numPr>
          <w:ilvl w:val="1"/>
          <w:numId w:val="1529"/>
        </w:numPr>
        <w:pStyle w:val="Compact"/>
      </w:pPr>
      <w:r>
        <w:rPr>
          <w:rStyle w:val="VerbatimChar"/>
        </w:rPr>
        <w:t xml:space="preserve">telemarketer_registration</w:t>
      </w:r>
      <w:r>
        <w:t xml:space="preserve"> </w:t>
      </w:r>
      <w:r>
        <w:t xml:space="preserve">(number_or_header, registration_ref, valid_to)</w:t>
      </w:r>
    </w:p>
    <w:p>
      <w:pPr>
        <w:numPr>
          <w:ilvl w:val="1"/>
          <w:numId w:val="1529"/>
        </w:numPr>
        <w:pStyle w:val="Compact"/>
      </w:pPr>
      <w:r>
        <w:rPr>
          <w:rStyle w:val="VerbatimChar"/>
        </w:rPr>
        <w:t xml:space="preserve">kfs_acknowledgement</w:t>
      </w:r>
      <w:r>
        <w:t xml:space="preserve"> </w:t>
      </w:r>
      <w:r>
        <w:t xml:space="preserve">(application_id, kfs_version_hash, validity_expires_at, acknowledged_at, device_ref)</w:t>
      </w:r>
    </w:p>
    <w:p>
      <w:pPr>
        <w:numPr>
          <w:ilvl w:val="1"/>
          <w:numId w:val="1529"/>
        </w:numPr>
        <w:pStyle w:val="Compact"/>
      </w:pPr>
      <w:r>
        <w:rPr>
          <w:rStyle w:val="VerbatimChar"/>
        </w:rPr>
        <w:t xml:space="preserve">service_request</w:t>
      </w:r>
      <w:r>
        <w:t xml:space="preserve"> </w:t>
      </w:r>
      <w:r>
        <w:t xml:space="preserve">(type such as account_transfer, hardship, settlement, document_release; sla_due_at; re_status)</w:t>
      </w:r>
    </w:p>
    <w:p>
      <w:pPr>
        <w:numPr>
          <w:ilvl w:val="1"/>
          <w:numId w:val="1529"/>
        </w:numPr>
        <w:pStyle w:val="Compact"/>
      </w:pPr>
      <w:r>
        <w:rPr>
          <w:rStyle w:val="VerbatimChar"/>
        </w:rPr>
        <w:t xml:space="preserve">security_incident</w:t>
      </w:r>
      <w:r>
        <w:t xml:space="preserve"> </w:t>
      </w:r>
      <w:r>
        <w:t xml:space="preserve">and</w:t>
      </w:r>
      <w:r>
        <w:t xml:space="preserve"> </w:t>
      </w:r>
      <w:r>
        <w:rPr>
          <w:rStyle w:val="VerbatimChar"/>
        </w:rPr>
        <w:t xml:space="preserve">incident_re_notification</w:t>
      </w:r>
      <w:r>
        <w:t xml:space="preserve"> </w:t>
      </w:r>
      <w:r>
        <w:t xml:space="preserve">(incident_id, re_id, detected_at, notified_at, severity, report_ref)</w:t>
      </w:r>
    </w:p>
    <w:p>
      <w:pPr>
        <w:numPr>
          <w:ilvl w:val="1"/>
          <w:numId w:val="1529"/>
        </w:numPr>
        <w:pStyle w:val="Compact"/>
      </w:pPr>
      <w:r>
        <w:rPr>
          <w:rStyle w:val="VerbatimChar"/>
        </w:rPr>
        <w:t xml:space="preserve">vapt_engagement</w:t>
      </w:r>
      <w:r>
        <w:t xml:space="preserve"> </w:t>
      </w:r>
      <w:r>
        <w:t xml:space="preserve">(scope, tester, type, performed_at, report_ref, open_findings)</w:t>
      </w:r>
    </w:p>
    <w:p>
      <w:pPr>
        <w:numPr>
          <w:ilvl w:val="1"/>
          <w:numId w:val="1529"/>
        </w:numPr>
        <w:pStyle w:val="Compact"/>
      </w:pPr>
      <w:r>
        <w:rPr>
          <w:rStyle w:val="VerbatimChar"/>
        </w:rPr>
        <w:t xml:space="preserve">vendor_assurance_pack</w:t>
      </w:r>
      <w:r>
        <w:t xml:space="preserve"> </w:t>
      </w:r>
      <w:r>
        <w:t xml:space="preserve">(version, published_at, contents_index)</w:t>
      </w:r>
    </w:p>
    <w:p>
      <w:pPr>
        <w:numPr>
          <w:ilvl w:val="1"/>
          <w:numId w:val="1529"/>
        </w:numPr>
        <w:pStyle w:val="Compact"/>
      </w:pPr>
      <w:r>
        <w:rPr>
          <w:rStyle w:val="VerbatimChar"/>
        </w:rPr>
        <w:t xml:space="preserve">risk_signal</w:t>
      </w:r>
      <w:r>
        <w:t xml:space="preserve"> </w:t>
      </w:r>
      <w:r>
        <w:t xml:space="preserve">(subject_ref, signal_type, score, evidence_ref, sent_to_re_at)</w:t>
      </w:r>
    </w:p>
    <w:p>
      <w:pPr>
        <w:numPr>
          <w:ilvl w:val="1"/>
          <w:numId w:val="1529"/>
        </w:numPr>
        <w:pStyle w:val="Compact"/>
      </w:pPr>
      <w:r>
        <w:rPr>
          <w:rStyle w:val="VerbatimChar"/>
        </w:rPr>
        <w:t xml:space="preserve">fraud_evidence_request</w:t>
      </w:r>
      <w:r>
        <w:t xml:space="preserve"> </w:t>
      </w:r>
      <w:r>
        <w:t xml:space="preserve">and</w:t>
      </w:r>
      <w:r>
        <w:t xml:space="preserve"> </w:t>
      </w:r>
      <w:r>
        <w:rPr>
          <w:rStyle w:val="VerbatimChar"/>
        </w:rPr>
        <w:t xml:space="preserve">scn_received</w:t>
      </w:r>
      <w:r>
        <w:t xml:space="preserve"> </w:t>
      </w:r>
      <w:r>
        <w:t xml:space="preserve">(re_id, received_at, response_due_at)</w:t>
      </w:r>
    </w:p>
    <w:p>
      <w:pPr>
        <w:numPr>
          <w:ilvl w:val="1"/>
          <w:numId w:val="1529"/>
        </w:numPr>
        <w:pStyle w:val="Compact"/>
      </w:pPr>
      <w:r>
        <w:rPr>
          <w:rStyle w:val="VerbatimChar"/>
        </w:rPr>
        <w:t xml:space="preserve">party_identifier</w:t>
      </w:r>
      <w:r>
        <w:t xml:space="preserve"> </w:t>
      </w:r>
      <w:r>
        <w:t xml:space="preserve">(party_id, pan_verified_ref, din, source)</w:t>
      </w:r>
    </w:p>
    <w:p>
      <w:pPr>
        <w:numPr>
          <w:ilvl w:val="1"/>
          <w:numId w:val="1529"/>
        </w:numPr>
        <w:pStyle w:val="Compact"/>
      </w:pPr>
      <w:r>
        <w:rPr>
          <w:rStyle w:val="VerbatimChar"/>
        </w:rPr>
        <w:t xml:space="preserve">end_use_certificate</w:t>
      </w:r>
      <w:r>
        <w:t xml:space="preserve"> </w:t>
      </w:r>
      <w:r>
        <w:t xml:space="preserve">(loan_ref, requested_at, submitted_at, document_ref)</w:t>
      </w:r>
    </w:p>
    <w:p>
      <w:pPr>
        <w:numPr>
          <w:ilvl w:val="1"/>
          <w:numId w:val="1529"/>
        </w:numPr>
        <w:pStyle w:val="Compact"/>
      </w:pPr>
      <w:r>
        <w:rPr>
          <w:rStyle w:val="VerbatimChar"/>
        </w:rPr>
        <w:t xml:space="preserve">re_suppression</w:t>
      </w:r>
      <w:r>
        <w:t xml:space="preserve"> </w:t>
      </w:r>
      <w:r>
        <w:t xml:space="preserve">(re_id, borrower_id, reason_code, until)</w:t>
      </w:r>
    </w:p>
    <w:p>
      <w:pPr>
        <w:numPr>
          <w:ilvl w:val="1"/>
          <w:numId w:val="1529"/>
        </w:numPr>
        <w:pStyle w:val="Compact"/>
      </w:pPr>
      <w:r>
        <w:rPr>
          <w:rStyle w:val="VerbatimChar"/>
        </w:rPr>
        <w:t xml:space="preserve">co_lending_arrangement</w:t>
      </w:r>
      <w:r>
        <w:t xml:space="preserve"> </w:t>
      </w:r>
      <w:r>
        <w:t xml:space="preserve">(originating_re_id, partner_re_id, shares, escrow_account_ref, interface_entity)</w:t>
      </w:r>
    </w:p>
    <w:p>
      <w:pPr>
        <w:numPr>
          <w:ilvl w:val="1"/>
          <w:numId w:val="1529"/>
        </w:numPr>
        <w:pStyle w:val="Compact"/>
      </w:pPr>
      <w:r>
        <w:rPr>
          <w:rStyle w:val="VerbatimChar"/>
        </w:rPr>
        <w:t xml:space="preserve">audit_access_grant</w:t>
      </w:r>
      <w:r>
        <w:t xml:space="preserve"> </w:t>
      </w:r>
      <w:r>
        <w:t xml:space="preserve">(re_id, grantee_type, scope, valid_from, valid_to)</w:t>
      </w:r>
    </w:p>
    <w:p>
      <w:pPr>
        <w:numPr>
          <w:ilvl w:val="1"/>
          <w:numId w:val="1529"/>
        </w:numPr>
        <w:pStyle w:val="Compact"/>
      </w:pPr>
      <w:r>
        <w:rPr>
          <w:rStyle w:val="VerbatimChar"/>
        </w:rPr>
        <w:t xml:space="preserve">re_exit_plan</w:t>
      </w:r>
      <w:r>
        <w:t xml:space="preserve"> </w:t>
      </w:r>
      <w:r>
        <w:t xml:space="preserve">and</w:t>
      </w:r>
      <w:r>
        <w:t xml:space="preserve"> </w:t>
      </w:r>
      <w:r>
        <w:rPr>
          <w:rStyle w:val="VerbatimChar"/>
        </w:rPr>
        <w:t xml:space="preserve">data_export_job</w:t>
      </w:r>
      <w:r>
        <w:t xml:space="preserve"> </w:t>
      </w:r>
      <w:r>
        <w:t xml:space="preserve">(re_id, scope, started_at, completed_at, checksum)</w:t>
      </w:r>
    </w:p>
    <w:p>
      <w:pPr>
        <w:numPr>
          <w:ilvl w:val="0"/>
          <w:numId w:val="1527"/>
        </w:numPr>
      </w:pPr>
      <w:r>
        <w:rPr>
          <w:bCs/>
          <w:b/>
        </w:rPr>
        <w:t xml:space="preserve">Added in v1.1</w:t>
      </w:r>
      <w:r>
        <w:t xml:space="preserve"> </w:t>
      </w:r>
      <w:r>
        <w:t xml:space="preserve">(Part 7A recovery support, Parts 6.4–6.5 product workflows and LAS, Phase 16b ecosystem integration). Where a name repeats an entity above (for example</w:t>
      </w:r>
      <w:r>
        <w:t xml:space="preserve"> </w:t>
      </w:r>
      <w:r>
        <w:rPr>
          <w:rStyle w:val="VerbatimChar"/>
        </w:rPr>
        <w:t xml:space="preserve">ptp</w:t>
      </w:r>
      <w:r>
        <w:t xml:space="preserve">,</w:t>
      </w:r>
      <w:r>
        <w:t xml:space="preserve"> </w:t>
      </w:r>
      <w:r>
        <w:rPr>
          <w:rStyle w:val="VerbatimChar"/>
        </w:rPr>
        <w:t xml:space="preserve">recovery_agent</w:t>
      </w:r>
      <w:r>
        <w:t xml:space="preserve">,</w:t>
      </w:r>
      <w:r>
        <w:t xml:space="preserve"> </w:t>
      </w:r>
      <w:r>
        <w:rPr>
          <w:rStyle w:val="VerbatimChar"/>
        </w:rPr>
        <w:t xml:space="preserve">contact_attempt</w:t>
      </w:r>
      <w:r>
        <w:t xml:space="preserve">,</w:t>
      </w:r>
      <w:r>
        <w:t xml:space="preserve"> </w:t>
      </w:r>
      <w:r>
        <w:rPr>
          <w:rStyle w:val="VerbatimChar"/>
        </w:rPr>
        <w:t xml:space="preserve">equator_referral</w:t>
      </w:r>
      <w:r>
        <w:t xml:space="preserve">,</w:t>
      </w:r>
      <w:r>
        <w:t xml:space="preserve"> </w:t>
      </w:r>
      <w:r>
        <w:rPr>
          <w:rStyle w:val="VerbatimChar"/>
        </w:rPr>
        <w:t xml:space="preserve">connector_certification_run</w:t>
      </w:r>
      <w:r>
        <w:t xml:space="preserve">), merge it in Phase 0 under the earlier name and add the listed fields:</w:t>
      </w:r>
    </w:p>
    <w:p>
      <w:pPr>
        <w:numPr>
          <w:ilvl w:val="1"/>
          <w:numId w:val="1530"/>
        </w:numPr>
        <w:pStyle w:val="Compact"/>
      </w:pPr>
      <w:r>
        <w:rPr>
          <w:bCs/>
          <w:b/>
        </w:rPr>
        <w:t xml:space="preserve">Module attachment (7A.0):</w:t>
      </w:r>
      <w:r>
        <w:t xml:space="preserve"> </w:t>
      </w:r>
      <w:r>
        <w:rPr>
          <w:rStyle w:val="VerbatimChar"/>
        </w:rPr>
        <w:t xml:space="preserve">module_manifest</w:t>
      </w:r>
      <w:r>
        <w:t xml:space="preserve"> </w:t>
      </w:r>
      <w:r>
        <w:t xml:space="preserve">(module_id, version, requires, capabilities, events_produced, events_consumed, regulatory_refs, retention_class, licence_sku, ui_slots);</w:t>
      </w:r>
      <w:r>
        <w:t xml:space="preserve"> </w:t>
      </w:r>
      <w:r>
        <w:rPr>
          <w:rStyle w:val="VerbatimChar"/>
        </w:rPr>
        <w:t xml:space="preserve">module_entitlement</w:t>
      </w:r>
      <w:r>
        <w:t xml:space="preserve"> </w:t>
      </w:r>
      <w:r>
        <w:t xml:space="preserve">(re_id, product_id, capability, licence_sku, flag_key, state, effective_from, effective_to);</w:t>
      </w:r>
      <w:r>
        <w:t xml:space="preserve"> </w:t>
      </w:r>
      <w:r>
        <w:rPr>
          <w:rStyle w:val="VerbatimChar"/>
        </w:rPr>
        <w:t xml:space="preserve">module_lifecycle_event</w:t>
      </w:r>
      <w:r>
        <w:t xml:space="preserve"> </w:t>
      </w:r>
      <w:r>
        <w:t xml:space="preserve">(module_id, re_id, from_state, to_state, actor, maker_checker_ref, event_ref for</w:t>
      </w:r>
      <w:r>
        <w:t xml:space="preserve"> </w:t>
      </w:r>
      <w:r>
        <w:rPr>
          <w:rStyle w:val="VerbatimChar"/>
        </w:rPr>
        <w:t xml:space="preserve">ModuleAttached</w:t>
      </w:r>
      <w:r>
        <w:t xml:space="preserve"> </w:t>
      </w:r>
      <w:r>
        <w:t xml:space="preserve">or</w:t>
      </w:r>
      <w:r>
        <w:t xml:space="preserve"> </w:t>
      </w:r>
      <w:r>
        <w:rPr>
          <w:rStyle w:val="VerbatimChar"/>
        </w:rPr>
        <w:t xml:space="preserve">ModuleDetached</w:t>
      </w:r>
      <w:r>
        <w:t xml:space="preserve">);</w:t>
      </w:r>
      <w:r>
        <w:t xml:space="preserve"> </w:t>
      </w:r>
      <w:r>
        <w:rPr>
          <w:rStyle w:val="VerbatimChar"/>
        </w:rPr>
        <w:t xml:space="preserve">detach_export_job</w:t>
      </w:r>
      <w:r>
        <w:t xml:space="preserve"> </w:t>
      </w:r>
      <w:r>
        <w:t xml:space="preserve">(re_id, module_id, scope, manifest_sha256, delivered_at, acknowledged_at);</w:t>
      </w:r>
      <w:r>
        <w:t xml:space="preserve"> </w:t>
      </w:r>
      <w:r>
        <w:rPr>
          <w:rStyle w:val="VerbatimChar"/>
        </w:rPr>
        <w:t xml:space="preserve">retention_class</w:t>
      </w:r>
      <w:r>
        <w:t xml:space="preserve"> </w:t>
      </w:r>
      <w:r>
        <w:t xml:space="preserve">(class, minimum_period, basis, trigger);</w:t>
      </w:r>
      <w:r>
        <w:t xml:space="preserve"> </w:t>
      </w:r>
      <w:r>
        <w:rPr>
          <w:rStyle w:val="VerbatimChar"/>
        </w:rPr>
        <w:t xml:space="preserve">legal_hold</w:t>
      </w:r>
      <w:r>
        <w:t xml:space="preserve"> </w:t>
      </w:r>
      <w:r>
        <w:t xml:space="preserve">(record_ref, reason, placed_by, placed_at, released_at)</w:t>
      </w:r>
    </w:p>
    <w:p>
      <w:pPr>
        <w:numPr>
          <w:ilvl w:val="1"/>
          <w:numId w:val="1530"/>
        </w:numPr>
        <w:pStyle w:val="Compact"/>
      </w:pPr>
      <w:r>
        <w:rPr>
          <w:bCs/>
          <w:b/>
        </w:rPr>
        <w:t xml:space="preserve">Rule packs (7A.0.4):</w:t>
      </w:r>
      <w:r>
        <w:t xml:space="preserve"> </w:t>
      </w:r>
      <w:r>
        <w:rPr>
          <w:rStyle w:val="VerbatimChar"/>
        </w:rPr>
        <w:t xml:space="preserve">contact_policy_pack</w:t>
      </w:r>
      <w:r>
        <w:t xml:space="preserve"> </w:t>
      </w:r>
      <w:r>
        <w:t xml:space="preserve">(re_id, pack A or B, state overlay, microfinance_window, window_start, window_end, frequency caps from the RE’s Board policy, blackout calendar, version, effective_from, effective_to);</w:t>
      </w:r>
      <w:r>
        <w:t xml:space="preserve"> </w:t>
      </w:r>
      <w:r>
        <w:rPr>
          <w:rStyle w:val="VerbatimChar"/>
        </w:rPr>
        <w:t xml:space="preserve">borrower_contact_preference</w:t>
      </w:r>
      <w:r>
        <w:t xml:space="preserve"> </w:t>
      </w:r>
      <w:r>
        <w:t xml:space="preserve">(borrower_id, re_id, preferred times and places, captured_at)</w:t>
      </w:r>
    </w:p>
    <w:p>
      <w:pPr>
        <w:numPr>
          <w:ilvl w:val="1"/>
          <w:numId w:val="1530"/>
        </w:numPr>
        <w:pStyle w:val="Compact"/>
      </w:pPr>
      <w:r>
        <w:rPr>
          <w:bCs/>
          <w:b/>
        </w:rPr>
        <w:t xml:space="preserve">UR1 overdue and settlement centre:</w:t>
      </w:r>
      <w:r>
        <w:t xml:space="preserve"> </w:t>
      </w:r>
      <w:r>
        <w:rPr>
          <w:rStyle w:val="VerbatimChar"/>
        </w:rPr>
        <w:t xml:space="preserve">settlement_request</w:t>
      </w:r>
      <w:r>
        <w:t xml:space="preserve"> </w:t>
      </w:r>
      <w:r>
        <w:t xml:space="preserve">(re_id, loan_ref, proposal, schedule, reason, documents, status, offer_ref);</w:t>
      </w:r>
      <w:r>
        <w:t xml:space="preserve"> </w:t>
      </w:r>
      <w:r>
        <w:rPr>
          <w:rStyle w:val="VerbatimChar"/>
        </w:rPr>
        <w:t xml:space="preserve">settlement_offer_mirror</w:t>
      </w:r>
      <w:r>
        <w:t xml:space="preserve"> </w:t>
      </w:r>
      <w:r>
        <w:t xml:space="preserve">(re_ref, terms, validity_until, characterisation block: restructuring flag, CIC status, cooling period, consent-decree flag, fraud or wilful-defaulter note; sha256);</w:t>
      </w:r>
      <w:r>
        <w:t xml:space="preserve"> </w:t>
      </w:r>
      <w:r>
        <w:rPr>
          <w:rStyle w:val="VerbatimChar"/>
        </w:rPr>
        <w:t xml:space="preserve">settlement_acceptance_evidence</w:t>
      </w:r>
      <w:r>
        <w:t xml:space="preserve"> </w:t>
      </w:r>
      <w:r>
        <w:t xml:space="preserve">(offer_ref, method, provider transaction ID, offer_sha256, timestamp, device_ref);</w:t>
      </w:r>
      <w:r>
        <w:t xml:space="preserve"> </w:t>
      </w:r>
      <w:r>
        <w:rPr>
          <w:rStyle w:val="VerbatimChar"/>
        </w:rPr>
        <w:t xml:space="preserve">hardship_request</w:t>
      </w:r>
      <w:r>
        <w:t xml:space="preserve"> </w:t>
      </w:r>
      <w:r>
        <w:t xml:space="preserve">(loan_ref, reason, submitted_at, re_status);</w:t>
      </w:r>
      <w:r>
        <w:t xml:space="preserve"> </w:t>
      </w:r>
      <w:r>
        <w:rPr>
          <w:rStyle w:val="VerbatimChar"/>
        </w:rPr>
        <w:t xml:space="preserve">ptp</w:t>
      </w:r>
      <w:r>
        <w:t xml:space="preserve"> </w:t>
      </w:r>
      <w:r>
        <w:t xml:space="preserve">(adds promised_amount, channel, captured_by, outcome from RE events)</w:t>
      </w:r>
    </w:p>
    <w:p>
      <w:pPr>
        <w:numPr>
          <w:ilvl w:val="1"/>
          <w:numId w:val="1530"/>
        </w:numPr>
        <w:pStyle w:val="Compact"/>
      </w:pPr>
      <w:r>
        <w:rPr>
          <w:bCs/>
          <w:b/>
        </w:rPr>
        <w:t xml:space="preserve">UR2 ADR access:</w:t>
      </w:r>
      <w:r>
        <w:t xml:space="preserve"> </w:t>
      </w:r>
      <w:r>
        <w:rPr>
          <w:rStyle w:val="VerbatimChar"/>
        </w:rPr>
        <w:t xml:space="preserve">adr_case_view</w:t>
      </w:r>
      <w:r>
        <w:t xml:space="preserve"> </w:t>
      </w:r>
      <w:r>
        <w:t xml:space="preserve">(re_id, loan_ref, provider, provider_case_id, track, basis type and reference, status, last_seq, hold_flag);</w:t>
      </w:r>
      <w:r>
        <w:t xml:space="preserve"> </w:t>
      </w:r>
      <w:r>
        <w:rPr>
          <w:rStyle w:val="VerbatimChar"/>
        </w:rPr>
        <w:t xml:space="preserve">adr_link_issue</w:t>
      </w:r>
      <w:r>
        <w:t xml:space="preserve"> </w:t>
      </w:r>
      <w:r>
        <w:t xml:space="preserve">(case_view_id, token_hash, expires_at, used_at);</w:t>
      </w:r>
      <w:r>
        <w:t xml:space="preserve"> </w:t>
      </w:r>
      <w:r>
        <w:rPr>
          <w:rStyle w:val="VerbatimChar"/>
        </w:rPr>
        <w:t xml:space="preserve">adr_request</w:t>
      </w:r>
      <w:r>
        <w:t xml:space="preserve"> </w:t>
      </w:r>
      <w:r>
        <w:t xml:space="preserve">(borrower-initiated; grievance_ref, requested track, re_response, responded_at);</w:t>
      </w:r>
      <w:r>
        <w:t xml:space="preserve"> </w:t>
      </w:r>
      <w:r>
        <w:rPr>
          <w:rStyle w:val="VerbatimChar"/>
        </w:rPr>
        <w:t xml:space="preserve">adr_info_view_event</w:t>
      </w:r>
    </w:p>
    <w:p>
      <w:pPr>
        <w:numPr>
          <w:ilvl w:val="1"/>
          <w:numId w:val="1530"/>
        </w:numPr>
        <w:pStyle w:val="Compact"/>
      </w:pPr>
      <w:r>
        <w:rPr>
          <w:bCs/>
          <w:b/>
        </w:rPr>
        <w:t xml:space="preserve">UR3 notices and case visibility:</w:t>
      </w:r>
      <w:r>
        <w:t xml:space="preserve"> </w:t>
      </w:r>
      <w:r>
        <w:rPr>
          <w:rStyle w:val="VerbatimChar"/>
        </w:rPr>
        <w:t xml:space="preserve">notice_mirror</w:t>
      </w:r>
      <w:r>
        <w:t xml:space="preserve"> </w:t>
      </w:r>
      <w:r>
        <w:t xml:space="preserve">(re_ref, instrument, statute_ref, language, sha256, template_version, re_statutory_mode, visibility_policy_version, withdrawn_at);</w:t>
      </w:r>
      <w:r>
        <w:t xml:space="preserve"> </w:t>
      </w:r>
      <w:r>
        <w:rPr>
          <w:rStyle w:val="VerbatimChar"/>
        </w:rPr>
        <w:t xml:space="preserve">notice_delivery_event</w:t>
      </w:r>
      <w:r>
        <w:t xml:space="preserve"> </w:t>
      </w:r>
      <w:r>
        <w:t xml:space="preserve">(notice_id, channel, delivered_at, opened_at, read_fully_at, failure_reason);</w:t>
      </w:r>
      <w:r>
        <w:t xml:space="preserve"> </w:t>
      </w:r>
      <w:r>
        <w:rPr>
          <w:rStyle w:val="VerbatimChar"/>
        </w:rPr>
        <w:t xml:space="preserve">case_status_projection</w:t>
      </w:r>
      <w:r>
        <w:t xml:space="preserve"> </w:t>
      </w:r>
      <w:r>
        <w:t xml:space="preserve">(loan_ref, source event, approved_string_id, as_of);</w:t>
      </w:r>
      <w:r>
        <w:t xml:space="preserve"> </w:t>
      </w:r>
      <w:r>
        <w:rPr>
          <w:rStyle w:val="VerbatimChar"/>
        </w:rPr>
        <w:t xml:space="preserve">visibility_policy</w:t>
      </w:r>
      <w:r>
        <w:t xml:space="preserve"> </w:t>
      </w:r>
      <w:r>
        <w:t xml:space="preserve">(re_id, product_id, instrument, stage, approved_string_id, approved_by_re_ref, version)</w:t>
      </w:r>
    </w:p>
    <w:p>
      <w:pPr>
        <w:numPr>
          <w:ilvl w:val="1"/>
          <w:numId w:val="1530"/>
        </w:numPr>
        <w:pStyle w:val="Compact"/>
      </w:pPr>
      <w:r>
        <w:rPr>
          <w:bCs/>
          <w:b/>
        </w:rPr>
        <w:t xml:space="preserve">UR4 recovery-agent operations:</w:t>
      </w:r>
      <w:r>
        <w:t xml:space="preserve"> </w:t>
      </w:r>
      <w:r>
        <w:rPr>
          <w:rStyle w:val="VerbatimChar"/>
        </w:rPr>
        <w:t xml:space="preserve">recovery_agent_contract</w:t>
      </w:r>
      <w:r>
        <w:t xml:space="preserve"> </w:t>
      </w:r>
      <w:r>
        <w:t xml:space="preserve">(adds buckets, territories, channels, cash_allowed, cash limits, effective dates);</w:t>
      </w:r>
      <w:r>
        <w:t xml:space="preserve"> </w:t>
      </w:r>
      <w:r>
        <w:rPr>
          <w:rStyle w:val="VerbatimChar"/>
        </w:rPr>
        <w:t xml:space="preserve">agent_certification</w:t>
      </w:r>
      <w:r>
        <w:t xml:space="preserve"> </w:t>
      </w:r>
      <w:r>
        <w:t xml:space="preserve">(agent_id, IIBF DRA reference, issued_at, expires_at, grace_until);</w:t>
      </w:r>
      <w:r>
        <w:t xml:space="preserve"> </w:t>
      </w:r>
      <w:r>
        <w:rPr>
          <w:rStyle w:val="VerbatimChar"/>
        </w:rPr>
        <w:t xml:space="preserve">contact_evaluation</w:t>
      </w:r>
      <w:r>
        <w:t xml:space="preserve"> </w:t>
      </w:r>
      <w:r>
        <w:t xml:space="preserve">(allocation_id, party_id, channel, purpose, attempted_for, pack_version, inputs_sha256, decision, denial_reason);</w:t>
      </w:r>
      <w:r>
        <w:t xml:space="preserve"> </w:t>
      </w:r>
      <w:r>
        <w:rPr>
          <w:rStyle w:val="VerbatimChar"/>
        </w:rPr>
        <w:t xml:space="preserve">call_recording</w:t>
      </w:r>
      <w:r>
        <w:t xml:space="preserve"> </w:t>
      </w:r>
      <w:r>
        <w:t xml:space="preserve">(attempt_id, storage_ref, disclosure_played, retention_until, legal_hold_id);</w:t>
      </w:r>
      <w:r>
        <w:t xml:space="preserve"> </w:t>
      </w:r>
      <w:r>
        <w:rPr>
          <w:rStyle w:val="VerbatimChar"/>
        </w:rPr>
        <w:t xml:space="preserve">agent_scorecard</w:t>
      </w:r>
      <w:r>
        <w:t xml:space="preserve"> </w:t>
      </w:r>
      <w:r>
        <w:t xml:space="preserve">(agent_id, period, outcome and conduct metrics);</w:t>
      </w:r>
      <w:r>
        <w:t xml:space="preserve"> </w:t>
      </w:r>
      <w:r>
        <w:rPr>
          <w:rStyle w:val="VerbatimChar"/>
        </w:rPr>
        <w:t xml:space="preserve">agency_list_publication</w:t>
      </w:r>
      <w:r>
        <w:t xml:space="preserve"> </w:t>
      </w:r>
      <w:r>
        <w:t xml:space="preserve">(re_id, published_at, version, delivered_to_re_at)</w:t>
      </w:r>
    </w:p>
    <w:p>
      <w:pPr>
        <w:numPr>
          <w:ilvl w:val="1"/>
          <w:numId w:val="1530"/>
        </w:numPr>
        <w:pStyle w:val="Compact"/>
      </w:pPr>
      <w:r>
        <w:rPr>
          <w:bCs/>
          <w:b/>
        </w:rPr>
        <w:t xml:space="preserve">UR5 feeds:</w:t>
      </w:r>
      <w:r>
        <w:t xml:space="preserve"> </w:t>
      </w:r>
      <w:r>
        <w:rPr>
          <w:rStyle w:val="VerbatimChar"/>
        </w:rPr>
        <w:t xml:space="preserve">feed_delivery</w:t>
      </w:r>
      <w:r>
        <w:t xml:space="preserve"> </w:t>
      </w:r>
      <w:r>
        <w:t xml:space="preserve">(event_id, re_id, type, consentref or basis flag, status, acked_at, reconciliation_run_id)</w:t>
      </w:r>
    </w:p>
    <w:p>
      <w:pPr>
        <w:numPr>
          <w:ilvl w:val="1"/>
          <w:numId w:val="1530"/>
        </w:numPr>
        <w:pStyle w:val="Compact"/>
      </w:pPr>
      <w:r>
        <w:rPr>
          <w:bCs/>
          <w:b/>
        </w:rPr>
        <w:t xml:space="preserve">UR6 controls:</w:t>
      </w:r>
      <w:r>
        <w:t xml:space="preserve"> </w:t>
      </w:r>
      <w:r>
        <w:rPr>
          <w:rStyle w:val="VerbatimChar"/>
        </w:rPr>
        <w:t xml:space="preserve">control_definition</w:t>
      </w:r>
      <w:r>
        <w:t xml:space="preserve"> </w:t>
      </w:r>
      <w:r>
        <w:t xml:space="preserve">(control_id UR6-C01 to C16, rule refs, owner, frequency);</w:t>
      </w:r>
      <w:r>
        <w:t xml:space="preserve"> </w:t>
      </w:r>
      <w:r>
        <w:rPr>
          <w:rStyle w:val="VerbatimChar"/>
        </w:rPr>
        <w:t xml:space="preserve">control_test_run</w:t>
      </w:r>
      <w:r>
        <w:t xml:space="preserve"> </w:t>
      </w:r>
      <w:r>
        <w:t xml:space="preserve">(control_id, period, result, population, sample_masked_ids, evidence_sha256);</w:t>
      </w:r>
      <w:r>
        <w:t xml:space="preserve"> </w:t>
      </w:r>
      <w:r>
        <w:rPr>
          <w:rStyle w:val="VerbatimChar"/>
        </w:rPr>
        <w:t xml:space="preserve">grc_export_job</w:t>
      </w:r>
      <w:r>
        <w:t xml:space="preserve"> </w:t>
      </w:r>
      <w:r>
        <w:t xml:space="preserve">(target tool, contract version, OSCAL version, period, package_sha256, delivered_at)</w:t>
      </w:r>
    </w:p>
    <w:p>
      <w:pPr>
        <w:numPr>
          <w:ilvl w:val="1"/>
          <w:numId w:val="1530"/>
        </w:numPr>
        <w:pStyle w:val="Compact"/>
      </w:pPr>
      <w:r>
        <w:rPr>
          <w:bCs/>
          <w:b/>
        </w:rPr>
        <w:t xml:space="preserve">Products and LAS (Parts 6.4–6.5):</w:t>
      </w:r>
      <w:r>
        <w:t xml:space="preserve"> </w:t>
      </w:r>
      <w:r>
        <w:rPr>
          <w:rStyle w:val="VerbatimChar"/>
        </w:rPr>
        <w:t xml:space="preserve">product_playbook_link</w:t>
      </w:r>
      <w:r>
        <w:t xml:space="preserve"> </w:t>
      </w:r>
      <w:r>
        <w:t xml:space="preserve">(product_code, finbyx_r16_code, version);</w:t>
      </w:r>
      <w:r>
        <w:t xml:space="preserve"> </w:t>
      </w:r>
      <w:r>
        <w:rPr>
          <w:rStyle w:val="VerbatimChar"/>
        </w:rPr>
        <w:t xml:space="preserve">las_eligible_security_list</w:t>
      </w:r>
      <w:r>
        <w:t xml:space="preserve"> </w:t>
      </w:r>
      <w:r>
        <w:t xml:space="preserve">(re_id, version, ISIN or scheme, haircut, group_1_flag, excluded_reason);</w:t>
      </w:r>
      <w:r>
        <w:t xml:space="preserve"> </w:t>
      </w:r>
      <w:r>
        <w:rPr>
          <w:rStyle w:val="VerbatimChar"/>
        </w:rPr>
        <w:t xml:space="preserve">collateral_position_mirror</w:t>
      </w:r>
      <w:r>
        <w:t xml:space="preserve"> </w:t>
      </w:r>
      <w:r>
        <w:t xml:space="preserve">(loan_ref, rail, ISIN or scheme, quantity, pledge_or_lien_ref, pledgee, status, as_of);</w:t>
      </w:r>
      <w:r>
        <w:t xml:space="preserve"> </w:t>
      </w:r>
      <w:r>
        <w:rPr>
          <w:rStyle w:val="VerbatimChar"/>
        </w:rPr>
        <w:t xml:space="preserve">pledge_request</w:t>
      </w:r>
      <w:r>
        <w:t xml:space="preserve"> </w:t>
      </w:r>
      <w:r>
        <w:t xml:space="preserve">(loan_ref, rail, quantity, provider_request_id, authorisation_evidence_ref, status);</w:t>
      </w:r>
      <w:r>
        <w:t xml:space="preserve"> </w:t>
      </w:r>
      <w:r>
        <w:rPr>
          <w:rStyle w:val="VerbatimChar"/>
        </w:rPr>
        <w:t xml:space="preserve">valuation_snapshot_mirror</w:t>
      </w:r>
      <w:r>
        <w:t xml:space="preserve"> </w:t>
      </w:r>
      <w:r>
        <w:t xml:space="preserve">(loan_ref, eligible_value, drawing_power, ltv, price_source, as_of, frozen_flag);</w:t>
      </w:r>
      <w:r>
        <w:t xml:space="preserve"> </w:t>
      </w:r>
      <w:r>
        <w:rPr>
          <w:rStyle w:val="VerbatimChar"/>
        </w:rPr>
        <w:t xml:space="preserve">margin_call_mirror</w:t>
      </w:r>
      <w:r>
        <w:t xml:space="preserve"> </w:t>
      </w:r>
      <w:r>
        <w:t xml:space="preserve">(loan_ref, shortfall, options, deadline, working_day_calendar_ref, status);</w:t>
      </w:r>
      <w:r>
        <w:t xml:space="preserve"> </w:t>
      </w:r>
      <w:r>
        <w:rPr>
          <w:rStyle w:val="VerbatimChar"/>
        </w:rPr>
        <w:t xml:space="preserve">drawdown_request</w:t>
      </w:r>
      <w:r>
        <w:t xml:space="preserve"> </w:t>
      </w:r>
      <w:r>
        <w:t xml:space="preserve">(facility_ref, amount, idempotency_key, status, re_ref, utr);</w:t>
      </w:r>
      <w:r>
        <w:t xml:space="preserve"> </w:t>
      </w:r>
      <w:r>
        <w:rPr>
          <w:rStyle w:val="VerbatimChar"/>
        </w:rPr>
        <w:t xml:space="preserve">gold_branch_appointment</w:t>
      </w:r>
      <w:r>
        <w:t xml:space="preserve"> </w:t>
      </w:r>
      <w:r>
        <w:t xml:space="preserve">(re_id, branch_ref, slot, status);</w:t>
      </w:r>
      <w:r>
        <w:t xml:space="preserve"> </w:t>
      </w:r>
      <w:r>
        <w:rPr>
          <w:rStyle w:val="VerbatimChar"/>
        </w:rPr>
        <w:t xml:space="preserve">institution_beneficiary</w:t>
      </w:r>
      <w:r>
        <w:t xml:space="preserve"> </w:t>
      </w:r>
      <w:r>
        <w:t xml:space="preserve">(institution, account verification, fee schedule);</w:t>
      </w:r>
      <w:r>
        <w:t xml:space="preserve"> </w:t>
      </w:r>
      <w:r>
        <w:rPr>
          <w:rStyle w:val="VerbatimChar"/>
        </w:rPr>
        <w:t xml:space="preserve">invoice_reference</w:t>
      </w:r>
      <w:r>
        <w:t xml:space="preserve"> </w:t>
      </w:r>
      <w:r>
        <w:t xml:space="preserve">(anchor, invoice number, factoring_unit_id, platform, due_date)</w:t>
      </w:r>
    </w:p>
    <w:p>
      <w:pPr>
        <w:numPr>
          <w:ilvl w:val="1"/>
          <w:numId w:val="1530"/>
        </w:numPr>
        <w:pStyle w:val="Compact"/>
      </w:pPr>
      <w:r>
        <w:rPr>
          <w:bCs/>
          <w:b/>
        </w:rPr>
        <w:t xml:space="preserve">Ecosystem integration v2 (Phase 16b):</w:t>
      </w:r>
      <w:r>
        <w:t xml:space="preserve"> </w:t>
      </w:r>
      <w:r>
        <w:rPr>
          <w:rStyle w:val="VerbatimChar"/>
        </w:rPr>
        <w:t xml:space="preserve">event_schema_version</w:t>
      </w:r>
      <w:r>
        <w:t xml:space="preserve"> </w:t>
      </w:r>
      <w:r>
        <w:t xml:space="preserve">(type, version, registry_url, compatibility, dual_publish_until);</w:t>
      </w:r>
      <w:r>
        <w:t xml:space="preserve"> </w:t>
      </w:r>
      <w:r>
        <w:rPr>
          <w:rStyle w:val="VerbatimChar"/>
        </w:rPr>
        <w:t xml:space="preserve">signing_key</w:t>
      </w:r>
      <w:r>
        <w:t xml:space="preserve"> </w:t>
      </w:r>
      <w:r>
        <w:t xml:space="preserve">(kid, algorithm, purpose, rotated_at, retired_at);</w:t>
      </w:r>
      <w:r>
        <w:t xml:space="preserve"> </w:t>
      </w:r>
      <w:r>
        <w:rPr>
          <w:rStyle w:val="VerbatimChar"/>
        </w:rPr>
        <w:t xml:space="preserve">webhook_endpoint</w:t>
      </w:r>
      <w:r>
        <w:t xml:space="preserve"> </w:t>
      </w:r>
      <w:r>
        <w:t xml:space="preserve">(counterparty, url, secret vault reference, tolerance);</w:t>
      </w:r>
      <w:r>
        <w:t xml:space="preserve"> </w:t>
      </w:r>
      <w:r>
        <w:rPr>
          <w:rStyle w:val="VerbatimChar"/>
        </w:rPr>
        <w:t xml:space="preserve">odr_provider_connector</w:t>
      </w:r>
      <w:r>
        <w:t xml:space="preserve"> </w:t>
      </w:r>
      <w:r>
        <w:t xml:space="preserve">(provider, transport, mapping version, certification status);</w:t>
      </w:r>
      <w:r>
        <w:t xml:space="preserve"> </w:t>
      </w:r>
      <w:r>
        <w:rPr>
          <w:rStyle w:val="VerbatimChar"/>
        </w:rPr>
        <w:t xml:space="preserve">grc_connector</w:t>
      </w:r>
      <w:r>
        <w:t xml:space="preserve"> </w:t>
      </w:r>
      <w:r>
        <w:t xml:space="preserve">(tool, field_map_version, OSCAL support, certification status);</w:t>
      </w:r>
      <w:r>
        <w:t xml:space="preserve"> </w:t>
      </w:r>
      <w:r>
        <w:rPr>
          <w:rStyle w:val="VerbatimChar"/>
        </w:rPr>
        <w:t xml:space="preserve">co_lending_split_mirror</w:t>
      </w:r>
      <w:r>
        <w:t xml:space="preserve"> </w:t>
      </w:r>
      <w:r>
        <w:t xml:space="preserve">(loan_ref, originating_re, partner_re, shares, escrow_ref, interface_entity);</w:t>
      </w:r>
      <w:r>
        <w:t xml:space="preserve"> </w:t>
      </w:r>
      <w:r>
        <w:rPr>
          <w:rStyle w:val="VerbatimChar"/>
        </w:rPr>
        <w:t xml:space="preserve">loan_transfer_mirror</w:t>
      </w:r>
      <w:r>
        <w:t xml:space="preserve"> </w:t>
      </w:r>
      <w:r>
        <w:t xml:space="preserve">(loan_ref, mode, transferee, servicer, effective_date, payment_instruction, notice_ref)</w:t>
      </w:r>
    </w:p>
    <w:p>
      <w:pPr>
        <w:numPr>
          <w:ilvl w:val="0"/>
          <w:numId w:val="1527"/>
        </w:numPr>
      </w:pPr>
      <w:r>
        <w:rPr>
          <w:bCs/>
          <w:b/>
        </w:rPr>
        <w:t xml:space="preserve">Added in v1.2 (Part 7B lender partnerships, deal configuration and RE audit exports).</w:t>
      </w:r>
      <w:r>
        <w:t xml:space="preserve"> </w:t>
      </w:r>
      <w:r>
        <w:t xml:space="preserve">Where a name below repeats or extends an entity above (for example</w:t>
      </w:r>
      <w:r>
        <w:t xml:space="preserve"> </w:t>
      </w:r>
      <w:r>
        <w:rPr>
          <w:rStyle w:val="VerbatimChar"/>
        </w:rPr>
        <w:t xml:space="preserve">lsp_agreement</w:t>
      </w:r>
      <w:r>
        <w:t xml:space="preserve">,</w:t>
      </w:r>
      <w:r>
        <w:t xml:space="preserve"> </w:t>
      </w:r>
      <w:r>
        <w:rPr>
          <w:rStyle w:val="VerbatimChar"/>
        </w:rPr>
        <w:t xml:space="preserve">due_diligence_pack</w:t>
      </w:r>
      <w:r>
        <w:t xml:space="preserve">,</w:t>
      </w:r>
      <w:r>
        <w:t xml:space="preserve"> </w:t>
      </w:r>
      <w:r>
        <w:rPr>
          <w:rStyle w:val="VerbatimChar"/>
        </w:rPr>
        <w:t xml:space="preserve">re_change_approval</w:t>
      </w:r>
      <w:r>
        <w:t xml:space="preserve">,</w:t>
      </w:r>
      <w:r>
        <w:t xml:space="preserve"> </w:t>
      </w:r>
      <w:r>
        <w:rPr>
          <w:rStyle w:val="VerbatimChar"/>
        </w:rPr>
        <w:t xml:space="preserve">outsourcing_clause_check</w:t>
      </w:r>
      <w:r>
        <w:t xml:space="preserve">,</w:t>
      </w:r>
      <w:r>
        <w:t xml:space="preserve"> </w:t>
      </w:r>
      <w:r>
        <w:rPr>
          <w:rStyle w:val="VerbatimChar"/>
        </w:rPr>
        <w:t xml:space="preserve">conflict_declaration</w:t>
      </w:r>
      <w:r>
        <w:t xml:space="preserve">,</w:t>
      </w:r>
      <w:r>
        <w:t xml:space="preserve"> </w:t>
      </w:r>
      <w:r>
        <w:rPr>
          <w:rStyle w:val="VerbatimChar"/>
        </w:rPr>
        <w:t xml:space="preserve">re_exit_plan</w:t>
      </w:r>
      <w:r>
        <w:t xml:space="preserve">,</w:t>
      </w:r>
      <w:r>
        <w:t xml:space="preserve"> </w:t>
      </w:r>
      <w:r>
        <w:rPr>
          <w:rStyle w:val="VerbatimChar"/>
        </w:rPr>
        <w:t xml:space="preserve">data_export_job</w:t>
      </w:r>
      <w:r>
        <w:t xml:space="preserve">,</w:t>
      </w:r>
      <w:r>
        <w:t xml:space="preserve"> </w:t>
      </w:r>
      <w:r>
        <w:rPr>
          <w:rStyle w:val="VerbatimChar"/>
        </w:rPr>
        <w:t xml:space="preserve">audit_access_grant</w:t>
      </w:r>
      <w:r>
        <w:t xml:space="preserve">), merge it in Phase 0 under the earlier name and add the listed fields. Every RE-scoped table carries</w:t>
      </w:r>
      <w:r>
        <w:t xml:space="preserve"> </w:t>
      </w:r>
      <w:r>
        <w:rPr>
          <w:rStyle w:val="VerbatimChar"/>
        </w:rPr>
        <w:t xml:space="preserve">lender_tenant_id</w:t>
      </w:r>
      <w:r>
        <w:t xml:space="preserve"> </w:t>
      </w:r>
      <w:r>
        <w:t xml:space="preserve">and RLS;</w:t>
      </w:r>
      <w:r>
        <w:t xml:space="preserve"> </w:t>
      </w:r>
      <w:r>
        <w:rPr>
          <w:rStyle w:val="VerbatimChar"/>
        </w:rPr>
        <w:t xml:space="preserve">deal_commercials</w:t>
      </w:r>
      <w:r>
        <w:t xml:space="preserve"> </w:t>
      </w:r>
      <w:r>
        <w:t xml:space="preserve">sits in its own schema with its own key and no grant to matching, ranking, routing, offer, AI or marketing roles:</w:t>
      </w:r>
    </w:p>
    <w:p>
      <w:pPr>
        <w:numPr>
          <w:ilvl w:val="1"/>
          <w:numId w:val="1531"/>
        </w:numPr>
        <w:pStyle w:val="Compact"/>
      </w:pPr>
      <w:r>
        <w:rPr>
          <w:bCs/>
          <w:b/>
        </w:rPr>
        <w:t xml:space="preserve">UP1 deal lifecycle:</w:t>
      </w:r>
      <w:r>
        <w:t xml:space="preserve"> </w:t>
      </w:r>
      <w:r>
        <w:rPr>
          <w:rStyle w:val="VerbatimChar"/>
        </w:rPr>
        <w:t xml:space="preserve">lender_deal</w:t>
      </w:r>
      <w:r>
        <w:t xml:space="preserve"> </w:t>
      </w:r>
      <w:r>
        <w:t xml:space="preserve">(lender_tenant_id, lender_legal_entity_id, lender_class RE or NON_RE_COOP (published on events as</w:t>
      </w:r>
      <w:r>
        <w:t xml:space="preserve"> </w:t>
      </w:r>
      <w:r>
        <w:rPr>
          <w:rStyle w:val="VerbatimChar"/>
        </w:rPr>
        <w:t xml:space="preserve">lender_type</w:t>
      </w:r>
      <w:r>
        <w:t xml:space="preserve"> </w:t>
      </w:r>
      <w:r>
        <w:t xml:space="preserve">RE or NON_RE_SOCIETY), state PROPOSED to TERMINATED, state_before_suspension, under_review flag, mode PILOT or GENERAL, pilot_end_at, current_config_version_id, opened_at, activated_at, terminated_at);</w:t>
      </w:r>
      <w:r>
        <w:t xml:space="preserve"> </w:t>
      </w:r>
      <w:r>
        <w:rPr>
          <w:rStyle w:val="VerbatimChar"/>
        </w:rPr>
        <w:t xml:space="preserve">lender_deal_transition</w:t>
      </w:r>
      <w:r>
        <w:t xml:space="preserve"> </w:t>
      </w:r>
      <w:r>
        <w:t xml:space="preserve">(deal_id, from_state, to_state, gate_results, evidence_refs, maker, checker, re_approver_ref, event_id for</w:t>
      </w:r>
      <w:r>
        <w:t xml:space="preserve"> </w:t>
      </w:r>
      <w:r>
        <w:rPr>
          <w:rStyle w:val="VerbatimChar"/>
        </w:rPr>
        <w:t xml:space="preserve">LenderDealProposed</w:t>
      </w:r>
      <w:r>
        <w:t xml:space="preserve">,</w:t>
      </w:r>
      <w:r>
        <w:t xml:space="preserve"> </w:t>
      </w:r>
      <w:r>
        <w:rPr>
          <w:rStyle w:val="VerbatimChar"/>
        </w:rPr>
        <w:t xml:space="preserve">LenderDealApproved</w:t>
      </w:r>
      <w:r>
        <w:t xml:space="preserve">,</w:t>
      </w:r>
      <w:r>
        <w:t xml:space="preserve"> </w:t>
      </w:r>
      <w:r>
        <w:rPr>
          <w:rStyle w:val="VerbatimChar"/>
        </w:rPr>
        <w:t xml:space="preserve">LenderDealActivated</w:t>
      </w:r>
      <w:r>
        <w:t xml:space="preserve">,</w:t>
      </w:r>
      <w:r>
        <w:t xml:space="preserve"> </w:t>
      </w:r>
      <w:r>
        <w:rPr>
          <w:rStyle w:val="VerbatimChar"/>
        </w:rPr>
        <w:t xml:space="preserve">LenderDealSuspended</w:t>
      </w:r>
      <w:r>
        <w:t xml:space="preserve"> </w:t>
      </w:r>
      <w:r>
        <w:t xml:space="preserve">or</w:t>
      </w:r>
      <w:r>
        <w:t xml:space="preserve"> </w:t>
      </w:r>
      <w:r>
        <w:rPr>
          <w:rStyle w:val="VerbatimChar"/>
        </w:rPr>
        <w:t xml:space="preserve">LenderDealTerminated</w:t>
      </w:r>
      <w:r>
        <w:t xml:space="preserve">);</w:t>
      </w:r>
      <w:r>
        <w:t xml:space="preserve"> </w:t>
      </w:r>
      <w:r>
        <w:rPr>
          <w:rStyle w:val="VerbatimChar"/>
        </w:rPr>
        <w:t xml:space="preserve">deal_gate_check</w:t>
      </w:r>
      <w:r>
        <w:t xml:space="preserve"> </w:t>
      </w:r>
      <w:r>
        <w:t xml:space="preserve">(deal_id, gate_code such as CIMS_ACK, RE_WEBSITE_DISCLOSURE, STORE_LISTING, CONNECTOR_CERTIFIED, CLAUSE_MATRIX, REDRESS_PROFILE; status, evidence_ref, checked_at);</w:t>
      </w:r>
      <w:r>
        <w:t xml:space="preserve"> </w:t>
      </w:r>
      <w:r>
        <w:rPr>
          <w:rStyle w:val="VerbatimChar"/>
        </w:rPr>
        <w:t xml:space="preserve">dd_pack_version</w:t>
      </w:r>
      <w:r>
        <w:t xml:space="preserve"> </w:t>
      </w:r>
      <w:r>
        <w:t xml:space="preserve">(adds version, published_at, items_index, sha256, delivered_to_re_at);</w:t>
      </w:r>
      <w:r>
        <w:t xml:space="preserve"> </w:t>
      </w:r>
      <w:r>
        <w:rPr>
          <w:rStyle w:val="VerbatimChar"/>
        </w:rPr>
        <w:t xml:space="preserve">dd_item</w:t>
      </w:r>
      <w:r>
        <w:t xml:space="preserve"> </w:t>
      </w:r>
      <w:r>
        <w:t xml:space="preserve">(pack_version_id, item_code, source_requirement, evidence_ref, valid_until);</w:t>
      </w:r>
      <w:r>
        <w:t xml:space="preserve"> </w:t>
      </w:r>
      <w:r>
        <w:rPr>
          <w:rStyle w:val="VerbatimChar"/>
        </w:rPr>
        <w:t xml:space="preserve">re_dd_questionnaire</w:t>
      </w:r>
      <w:r>
        <w:t xml:space="preserve"> </w:t>
      </w:r>
      <w:r>
        <w:t xml:space="preserve">(deal_id, received_at, responses_ref, re_completion_letter_ref, materiality_assessment, approving_authority);</w:t>
      </w:r>
      <w:r>
        <w:t xml:space="preserve"> </w:t>
      </w:r>
      <w:r>
        <w:rPr>
          <w:rStyle w:val="VerbatimChar"/>
        </w:rPr>
        <w:t xml:space="preserve">counterparty_dd_check</w:t>
      </w:r>
      <w:r>
        <w:t xml:space="preserve"> </w:t>
      </w:r>
      <w:r>
        <w:t xml:space="preserve">(deal_id, check_code, result, evidence_ref, exception_approval_ref);</w:t>
      </w:r>
      <w:r>
        <w:t xml:space="preserve"> </w:t>
      </w:r>
      <w:r>
        <w:rPr>
          <w:rStyle w:val="VerbatimChar"/>
        </w:rPr>
        <w:t xml:space="preserve">re_board_policy_evidence</w:t>
      </w:r>
      <w:r>
        <w:t xml:space="preserve"> </w:t>
      </w:r>
      <w:r>
        <w:t xml:space="preserve">(re_id, policy_type such as OUTSOURCING, FPC, GRIEVANCE, INTEREST_RATE, RECOVERY, DLG, CIR, DIGITAL_LENDING, KYC, LSP_MONITORING; version, approved_by Board or committee, approved_on, review_due, document_ref, sha256);</w:t>
      </w:r>
      <w:r>
        <w:t xml:space="preserve"> </w:t>
      </w:r>
      <w:r>
        <w:rPr>
          <w:rStyle w:val="VerbatimChar"/>
        </w:rPr>
        <w:t xml:space="preserve">lsp_declaration</w:t>
      </w:r>
      <w:r>
        <w:t xml:space="preserve"> </w:t>
      </w:r>
      <w:r>
        <w:t xml:space="preserve">(re_id, declaration_code, text_version, signed_by, signature_ref, signed_at, valid_until, sha256);</w:t>
      </w:r>
      <w:r>
        <w:t xml:space="preserve"> </w:t>
      </w:r>
      <w:r>
        <w:rPr>
          <w:rStyle w:val="VerbatimChar"/>
        </w:rPr>
        <w:t xml:space="preserve">deal_pilot_plan</w:t>
      </w:r>
      <w:r>
        <w:t xml:space="preserve"> </w:t>
      </w:r>
      <w:r>
        <w:t xml:space="preserve">(deal_id, products, channels, states, max_applications, max_disbursals, start_at, end_at, owners, exit_criteria_results);</w:t>
      </w:r>
      <w:r>
        <w:t xml:space="preserve"> </w:t>
      </w:r>
      <w:r>
        <w:rPr>
          <w:rStyle w:val="VerbatimChar"/>
        </w:rPr>
        <w:t xml:space="preserve">deal_review</w:t>
      </w:r>
      <w:r>
        <w:t xml:space="preserve"> </w:t>
      </w:r>
      <w:r>
        <w:t xml:space="preserve">(deal_id, type ANNUAL, HALF_YEARLY or TRIGGERED, trigger_reason, started_at, findings, closed_at)</w:t>
      </w:r>
    </w:p>
    <w:p>
      <w:pPr>
        <w:numPr>
          <w:ilvl w:val="1"/>
          <w:numId w:val="1531"/>
        </w:numPr>
        <w:pStyle w:val="Compact"/>
      </w:pPr>
      <w:r>
        <w:rPr>
          <w:bCs/>
          <w:b/>
        </w:rPr>
        <w:t xml:space="preserve">UP2 per-deal configurator:</w:t>
      </w:r>
      <w:r>
        <w:t xml:space="preserve"> </w:t>
      </w:r>
      <w:r>
        <w:rPr>
          <w:rStyle w:val="VerbatimChar"/>
        </w:rPr>
        <w:t xml:space="preserve">deal_config_version</w:t>
      </w:r>
      <w:r>
        <w:t xml:space="preserve"> </w:t>
      </w:r>
      <w:r>
        <w:t xml:space="preserve">(deal_id, version, effective_from, sections_json without commercials, diff_ref, impact_analysis_ref, maker, checker, legal_signoff_ref, re_change_approval_id, re_countersigned_at, countersign_due_at, emergency flag, rollback_of_version, sealed_summary_sha256, status DRAFT, VALIDATED, UDOFIN_APPROVED, SENT_TO_RE, RE_COUNTERSIGNED, SCHEDULED, EFFECTIVE, SUPERSEDED, REJECTED_BY_RE, WITHDRAWN or EXPIRED);</w:t>
      </w:r>
      <w:r>
        <w:t xml:space="preserve"> </w:t>
      </w:r>
      <w:r>
        <w:rPr>
          <w:rStyle w:val="VerbatimChar"/>
        </w:rPr>
        <w:t xml:space="preserve">deal_commercials</w:t>
      </w:r>
      <w:r>
        <w:t xml:space="preserve"> </w:t>
      </w:r>
      <w:r>
        <w:t xml:space="preserve">(config_version_id, fee_type SOURCING, PLATFORM, SERVICING, RECOVERY, DLG or MODULE_LICENCE; basis, rate_or_amount, gst_treatment, tds_expected, invoicing_cycle, payer fixed to RE);</w:t>
      </w:r>
      <w:r>
        <w:t xml:space="preserve"> </w:t>
      </w:r>
      <w:r>
        <w:rPr>
          <w:rStyle w:val="VerbatimChar"/>
        </w:rPr>
        <w:t xml:space="preserve">deal_product_scope</w:t>
      </w:r>
      <w:r>
        <w:t xml:space="preserve"> </w:t>
      </w:r>
      <w:r>
        <w:t xml:space="preserve">(config_version_id, product_offer_version_id, channels, states, pin_exclusions, store_policy_gate_ref);</w:t>
      </w:r>
      <w:r>
        <w:t xml:space="preserve"> </w:t>
      </w:r>
      <w:r>
        <w:rPr>
          <w:rStyle w:val="VerbatimChar"/>
        </w:rPr>
        <w:t xml:space="preserve">deal_bre_hook</w:t>
      </w:r>
      <w:r>
        <w:t xml:space="preserve"> </w:t>
      </w:r>
      <w:r>
        <w:t xml:space="preserve">(config_version_id, re_rule_model_ref, rule_version, cic_preference_order, ntc_accepted, aa_usage, household_questionnaire_ref, owner fixed to RE);</w:t>
      </w:r>
      <w:r>
        <w:t xml:space="preserve"> </w:t>
      </w:r>
      <w:r>
        <w:rPr>
          <w:rStyle w:val="VerbatimChar"/>
        </w:rPr>
        <w:t xml:space="preserve">deal_kfs_template_ref</w:t>
      </w:r>
      <w:r>
        <w:t xml:space="preserve"> </w:t>
      </w:r>
      <w:r>
        <w:t xml:space="preserve">(config_version_id, template_version, languages, annex1_part2_check_result, enclosure_list_ref);</w:t>
      </w:r>
      <w:r>
        <w:t xml:space="preserve"> </w:t>
      </w:r>
      <w:r>
        <w:rPr>
          <w:rStyle w:val="VerbatimChar"/>
        </w:rPr>
        <w:t xml:space="preserve">deal_data_sharing_scope</w:t>
      </w:r>
      <w:r>
        <w:t xml:space="preserve"> </w:t>
      </w:r>
      <w:r>
        <w:t xml:space="preserve">(config_version_id, stage, field_allow_list, minimal_data_set, retention_by_class, purge_on_ack, re_managed_key flag, offshore_allowed fixed false unless RE consent ref);</w:t>
      </w:r>
      <w:r>
        <w:t xml:space="preserve"> </w:t>
      </w:r>
      <w:r>
        <w:rPr>
          <w:rStyle w:val="VerbatimChar"/>
        </w:rPr>
        <w:t xml:space="preserve">deal_sla</w:t>
      </w:r>
      <w:r>
        <w:t xml:space="preserve"> </w:t>
      </w:r>
      <w:r>
        <w:t xml:space="preserve">(config_version_id, metric, target, measurement_rule);</w:t>
      </w:r>
      <w:r>
        <w:t xml:space="preserve"> </w:t>
      </w:r>
      <w:r>
        <w:rPr>
          <w:rStyle w:val="VerbatimChar"/>
        </w:rPr>
        <w:t xml:space="preserve">deal_branding_rule</w:t>
      </w:r>
      <w:r>
        <w:t xml:space="preserve"> </w:t>
      </w:r>
      <w:r>
        <w:t xml:space="preserve">(config_version_id, logo_ref, legal_name, co_brand_assets, white_label flag, approval_ref);</w:t>
      </w:r>
      <w:r>
        <w:t xml:space="preserve"> </w:t>
      </w:r>
      <w:r>
        <w:rPr>
          <w:rStyle w:val="VerbatimChar"/>
        </w:rPr>
        <w:t xml:space="preserve">deal_recovery_option</w:t>
      </w:r>
      <w:r>
        <w:t xml:space="preserve"> </w:t>
      </w:r>
      <w:r>
        <w:t xml:space="preserve">(config_version_id, scope NONE, REMINDERS, TELE, FIELD or CASH; recovery_agent_contract_id; rule_pack);</w:t>
      </w:r>
      <w:r>
        <w:t xml:space="preserve"> </w:t>
      </w:r>
      <w:r>
        <w:rPr>
          <w:rStyle w:val="VerbatimChar"/>
        </w:rPr>
        <w:t xml:space="preserve">deal_dlg_option</w:t>
      </w:r>
      <w:r>
        <w:t xml:space="preserve"> </w:t>
      </w:r>
      <w:r>
        <w:t xml:space="preserve">(config_version_id, form, cap_pct, set_definition_ref, term, invocation_timeline, dlg_arrangement_id);</w:t>
      </w:r>
      <w:r>
        <w:t xml:space="preserve"> </w:t>
      </w:r>
      <w:r>
        <w:rPr>
          <w:rStyle w:val="VerbatimChar"/>
        </w:rPr>
        <w:t xml:space="preserve">deal_grievance_contact</w:t>
      </w:r>
      <w:r>
        <w:t xml:space="preserve"> </w:t>
      </w:r>
      <w:r>
        <w:t xml:space="preserve">(config_version_id, role GRO, NODAL_OFFICER, PNO, IO, CIC_NODAL or RECOVERY_GRIEVANCE; name, phone, email, published_url);</w:t>
      </w:r>
      <w:r>
        <w:t xml:space="preserve"> </w:t>
      </w:r>
      <w:r>
        <w:rPr>
          <w:rStyle w:val="VerbatimChar"/>
        </w:rPr>
        <w:t xml:space="preserve">deal_dla_listing</w:t>
      </w:r>
      <w:r>
        <w:t xml:space="preserve"> </w:t>
      </w:r>
      <w:r>
        <w:t xml:space="preserve">(config_version_id, dla_register_entry_id, included flag, cims_line_ref);</w:t>
      </w:r>
      <w:r>
        <w:t xml:space="preserve"> </w:t>
      </w:r>
      <w:r>
        <w:rPr>
          <w:rStyle w:val="VerbatimChar"/>
        </w:rPr>
        <w:t xml:space="preserve">neutrality_check_run</w:t>
      </w:r>
      <w:r>
        <w:t xml:space="preserve"> </w:t>
      </w:r>
      <w:r>
        <w:t xml:space="preserve">(config_version_id, before_after_metrics, result)</w:t>
      </w:r>
    </w:p>
    <w:p>
      <w:pPr>
        <w:numPr>
          <w:ilvl w:val="1"/>
          <w:numId w:val="1531"/>
        </w:numPr>
        <w:pStyle w:val="Compact"/>
      </w:pPr>
      <w:r>
        <w:rPr>
          <w:bCs/>
          <w:b/>
        </w:rPr>
        <w:t xml:space="preserve">UP3 export packs:</w:t>
      </w:r>
      <w:r>
        <w:t xml:space="preserve"> </w:t>
      </w:r>
      <w:r>
        <w:rPr>
          <w:rStyle w:val="VerbatimChar"/>
        </w:rPr>
        <w:t xml:space="preserve">re_export_pack</w:t>
      </w:r>
      <w:r>
        <w:t xml:space="preserve"> </w:t>
      </w:r>
      <w:r>
        <w:t xml:space="preserve">(re_id, deal_id, pack_type P1 to P10, folder_profile re_audit_pack_v1, period, scope_filters, masking_level, requested_by, approved_by, supervisory_reference, snapshot_at, state, retry_count, failure_reason,</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event IDs);</w:t>
      </w:r>
      <w:r>
        <w:t xml:space="preserve"> </w:t>
      </w:r>
      <w:r>
        <w:rPr>
          <w:rStyle w:val="VerbatimChar"/>
        </w:rPr>
        <w:t xml:space="preserve">re_export_pack_file</w:t>
      </w:r>
      <w:r>
        <w:t xml:space="preserve"> </w:t>
      </w:r>
      <w:r>
        <w:t xml:space="preserve">(pack_id, path, format, record_count, control_total, sha256);</w:t>
      </w:r>
      <w:r>
        <w:t xml:space="preserve"> </w:t>
      </w:r>
      <w:r>
        <w:rPr>
          <w:rStyle w:val="VerbatimChar"/>
        </w:rPr>
        <w:t xml:space="preserve">export_manifest</w:t>
      </w:r>
      <w:r>
        <w:t xml:space="preserve"> </w:t>
      </w:r>
      <w:r>
        <w:t xml:space="preserve">(pack_id, pack_sha256, jws_ref, signing_key_id, previous_pack_id);</w:t>
      </w:r>
      <w:r>
        <w:t xml:space="preserve"> </w:t>
      </w:r>
      <w:r>
        <w:rPr>
          <w:rStyle w:val="VerbatimChar"/>
        </w:rPr>
        <w:t xml:space="preserve">export_delivery</w:t>
      </w:r>
      <w:r>
        <w:t xml:space="preserve"> </w:t>
      </w:r>
      <w:r>
        <w:t xml:space="preserve">(pack_id, channel PORTAL, SFTP or RE_STORAGE; delivered_at, acknowledged_at, ack_sha256);</w:t>
      </w:r>
      <w:r>
        <w:t xml:space="preserve"> </w:t>
      </w:r>
      <w:r>
        <w:rPr>
          <w:rStyle w:val="VerbatimChar"/>
        </w:rPr>
        <w:t xml:space="preserve">export_schedule</w:t>
      </w:r>
      <w:r>
        <w:t xml:space="preserve"> </w:t>
      </w:r>
      <w:r>
        <w:t xml:space="preserve">(re_id, pack_type, cadence, next_run_at)</w:t>
      </w:r>
    </w:p>
    <w:p>
      <w:pPr>
        <w:numPr>
          <w:ilvl w:val="1"/>
          <w:numId w:val="1531"/>
        </w:numPr>
        <w:pStyle w:val="Compact"/>
      </w:pPr>
      <w:r>
        <w:rPr>
          <w:bCs/>
          <w:b/>
        </w:rPr>
        <w:t xml:space="preserve">UP4 non-RE lender track:</w:t>
      </w:r>
      <w:r>
        <w:t xml:space="preserve"> </w:t>
      </w:r>
      <w:r>
        <w:rPr>
          <w:rStyle w:val="VerbatimChar"/>
        </w:rPr>
        <w:t xml:space="preserve">non_re_lender_profile</w:t>
      </w:r>
      <w:r>
        <w:t xml:space="preserve"> </w:t>
      </w:r>
      <w:r>
        <w:t xml:space="preserve">(lender_tenant_id, act MSCS or State Act, registrar, registration_number, registration_date, area_of_operation, bye_law_version_ref, audit_class_history, returns_status, prudential_snapshot, no_nonvoting_deposit_certificate_ref, counsel_opinion_ref, rule_pack_ref, name_check_result);</w:t>
      </w:r>
      <w:r>
        <w:t xml:space="preserve"> </w:t>
      </w:r>
      <w:r>
        <w:rPr>
          <w:rStyle w:val="VerbatimChar"/>
        </w:rPr>
        <w:t xml:space="preserve">coop_eligibility_check</w:t>
      </w:r>
      <w:r>
        <w:t xml:space="preserve"> </w:t>
      </w:r>
      <w:r>
        <w:t xml:space="preserve">(lender_tenant_id, item 1 to 10, result, evidence_ref, valid_until);</w:t>
      </w:r>
      <w:r>
        <w:t xml:space="preserve"> </w:t>
      </w:r>
      <w:r>
        <w:rPr>
          <w:rStyle w:val="VerbatimChar"/>
        </w:rPr>
        <w:t xml:space="preserve">coop_member_verification</w:t>
      </w:r>
      <w:r>
        <w:t xml:space="preserve"> </w:t>
      </w:r>
      <w:r>
        <w:t xml:space="preserve">(borrower_id, lender_tenant_id, member_ref, member_status ACTIVE, DEFAULTER, RESIGNED, EXPELLED, DECEASED or NOT_FOUND; member_class ORDINARY_VOTING, NOMINAL, ASSOCIATE, NON_VOTING_SHAREHOLDER or INSTITUTIONAL; can_borrow, can_stand_surety, verified_via API, PORTAL_QUEUE or FILE, consent_ref, response_sha256, verified_at);</w:t>
      </w:r>
      <w:r>
        <w:t xml:space="preserve"> </w:t>
      </w:r>
      <w:r>
        <w:rPr>
          <w:rStyle w:val="VerbatimChar"/>
        </w:rPr>
        <w:t xml:space="preserve">coop_channel_gate</w:t>
      </w:r>
      <w:r>
        <w:t xml:space="preserve"> </w:t>
      </w:r>
      <w:r>
        <w:t xml:space="preserve">(lender_tenant_id, channel, enabled, policy_confirmation_ref)</w:t>
      </w:r>
    </w:p>
    <w:p>
      <w:pPr>
        <w:numPr>
          <w:ilvl w:val="1"/>
          <w:numId w:val="1531"/>
        </w:numPr>
        <w:pStyle w:val="Compact"/>
      </w:pPr>
      <w:r>
        <w:rPr>
          <w:bCs/>
          <w:b/>
        </w:rPr>
        <w:t xml:space="preserve">UP5 suspension and exit:</w:t>
      </w:r>
      <w:r>
        <w:t xml:space="preserve"> </w:t>
      </w:r>
      <w:r>
        <w:rPr>
          <w:rStyle w:val="VerbatimChar"/>
        </w:rPr>
        <w:t xml:space="preserve">deal_suspension</w:t>
      </w:r>
      <w:r>
        <w:t xml:space="preserve"> </w:t>
      </w:r>
      <w:r>
        <w:t xml:space="preserve">(deal_id, type NEW_SOURCING_PAUSED, RECOVERY_PAUSED, CONNECTOR_PAUSED or FULL; event_scope NEW_BUSINESS or ALL; trigger, initiated_by, started_at, ended_at);</w:t>
      </w:r>
      <w:r>
        <w:t xml:space="preserve"> </w:t>
      </w:r>
      <w:r>
        <w:rPr>
          <w:rStyle w:val="VerbatimChar"/>
        </w:rPr>
        <w:t xml:space="preserve">deal_exit</w:t>
      </w:r>
      <w:r>
        <w:t xml:space="preserve"> </w:t>
      </w:r>
      <w:r>
        <w:t xml:space="preserve">(adds to</w:t>
      </w:r>
      <w:r>
        <w:t xml:space="preserve"> </w:t>
      </w:r>
      <w:r>
        <w:rPr>
          <w:rStyle w:val="VerbatimChar"/>
        </w:rPr>
        <w:t xml:space="preserve">re_exit_plan</w:t>
      </w:r>
      <w:r>
        <w:t xml:space="preserve">: state NOTICE_RECEIVED to CLOSED, borrower_position_counts, treatment_by_position, freeze_flag, freeze_set_at, notices_sent, cims_final_pack_id, data_return_pack_id, re_ack_sha256, destruction_certificate_ref);</w:t>
      </w:r>
      <w:r>
        <w:t xml:space="preserve"> </w:t>
      </w:r>
      <w:r>
        <w:rPr>
          <w:rStyle w:val="VerbatimChar"/>
        </w:rPr>
        <w:t xml:space="preserve">borrower_continuity_notice</w:t>
      </w:r>
      <w:r>
        <w:t xml:space="preserve"> </w:t>
      </w:r>
      <w:r>
        <w:t xml:space="preserve">(deal_id, borrower_id, position, template_ref, re_approval_ref, delivered_at);</w:t>
      </w:r>
      <w:r>
        <w:t xml:space="preserve"> </w:t>
      </w:r>
      <w:r>
        <w:rPr>
          <w:rStyle w:val="VerbatimChar"/>
        </w:rPr>
        <w:t xml:space="preserve">data_destruction_certificate</w:t>
      </w:r>
      <w:r>
        <w:t xml:space="preserve"> </w:t>
      </w:r>
      <w:r>
        <w:t xml:space="preserve">(deal_id, stores_covered including backups, method, completed_at, assurance_ref);</w:t>
      </w:r>
      <w:r>
        <w:t xml:space="preserve"> </w:t>
      </w:r>
      <w:r>
        <w:rPr>
          <w:rStyle w:val="VerbatimChar"/>
        </w:rPr>
        <w:t xml:space="preserve">exit_dry_run</w:t>
      </w:r>
      <w:r>
        <w:t xml:space="preserve"> </w:t>
      </w:r>
      <w:r>
        <w:t xml:space="preserve">(re_id, run_at, synthetic_dataset_ref, hash_mismatches, reader_import_result)</w:t>
      </w:r>
    </w:p>
    <w:p>
      <w:pPr>
        <w:numPr>
          <w:ilvl w:val="0"/>
          <w:numId w:val="1527"/>
        </w:numPr>
      </w:pPr>
      <w:r>
        <w:rPr>
          <w:bCs/>
          <w:b/>
        </w:rPr>
        <w:t xml:space="preserve">Added in v1.2 (Part 7C borrower downloads, tax documents and grievance escalation).</w:t>
      </w:r>
      <w:r>
        <w:t xml:space="preserve"> </w:t>
      </w:r>
      <w:r>
        <w:t xml:space="preserve">Merge with</w:t>
      </w:r>
      <w:r>
        <w:t xml:space="preserve"> </w:t>
      </w:r>
      <w:r>
        <w:rPr>
          <w:rStyle w:val="VerbatimChar"/>
        </w:rPr>
        <w:t xml:space="preserve">document</w:t>
      </w:r>
      <w:r>
        <w:t xml:space="preserve">,</w:t>
      </w:r>
      <w:r>
        <w:t xml:space="preserve"> </w:t>
      </w:r>
      <w:r>
        <w:rPr>
          <w:rStyle w:val="VerbatimChar"/>
        </w:rPr>
        <w:t xml:space="preserve">document_delivery</w:t>
      </w:r>
      <w:r>
        <w:t xml:space="preserve">,</w:t>
      </w:r>
      <w:r>
        <w:t xml:space="preserve"> </w:t>
      </w:r>
      <w:r>
        <w:rPr>
          <w:rStyle w:val="VerbatimChar"/>
        </w:rPr>
        <w:t xml:space="preserve">service_request</w:t>
      </w:r>
      <w:r>
        <w:t xml:space="preserve">,</w:t>
      </w:r>
      <w:r>
        <w:t xml:space="preserve"> </w:t>
      </w:r>
      <w:r>
        <w:rPr>
          <w:rStyle w:val="VerbatimChar"/>
        </w:rPr>
        <w:t xml:space="preserve">noc_record</w:t>
      </w:r>
      <w:r>
        <w:t xml:space="preserve">,</w:t>
      </w:r>
      <w:r>
        <w:t xml:space="preserve"> </w:t>
      </w:r>
      <w:r>
        <w:rPr>
          <w:rStyle w:val="VerbatimChar"/>
        </w:rPr>
        <w:t xml:space="preserve">document_release_tracker</w:t>
      </w:r>
      <w:r>
        <w:t xml:space="preserve">,</w:t>
      </w:r>
      <w:r>
        <w:t xml:space="preserve"> </w:t>
      </w:r>
      <w:r>
        <w:rPr>
          <w:rStyle w:val="VerbatimChar"/>
        </w:rPr>
        <w:t xml:space="preserve">data_principal_request</w:t>
      </w:r>
      <w:r>
        <w:t xml:space="preserve">,</w:t>
      </w:r>
      <w:r>
        <w:t xml:space="preserve"> </w:t>
      </w:r>
      <w:r>
        <w:rPr>
          <w:rStyle w:val="VerbatimChar"/>
        </w:rPr>
        <w:t xml:space="preserve">grievance</w:t>
      </w:r>
      <w:r>
        <w:t xml:space="preserve">,</w:t>
      </w:r>
      <w:r>
        <w:t xml:space="preserve"> </w:t>
      </w:r>
      <w:r>
        <w:rPr>
          <w:rStyle w:val="VerbatimChar"/>
        </w:rPr>
        <w:t xml:space="preserve">grievance_event</w:t>
      </w:r>
      <w:r>
        <w:t xml:space="preserve">,</w:t>
      </w:r>
      <w:r>
        <w:t xml:space="preserve"> </w:t>
      </w:r>
      <w:r>
        <w:rPr>
          <w:rStyle w:val="VerbatimChar"/>
        </w:rPr>
        <w:t xml:space="preserve">grievance_attachment</w:t>
      </w:r>
      <w:r>
        <w:t xml:space="preserve">,</w:t>
      </w:r>
      <w:r>
        <w:t xml:space="preserve"> </w:t>
      </w:r>
      <w:r>
        <w:rPr>
          <w:rStyle w:val="VerbatimChar"/>
        </w:rPr>
        <w:t xml:space="preserve">grievance_routing</w:t>
      </w:r>
      <w:r>
        <w:t xml:space="preserve">,</w:t>
      </w:r>
      <w:r>
        <w:t xml:space="preserve"> </w:t>
      </w:r>
      <w:r>
        <w:rPr>
          <w:rStyle w:val="VerbatimChar"/>
        </w:rPr>
        <w:t xml:space="preserve">escalation_info_shown</w:t>
      </w:r>
      <w:r>
        <w:t xml:space="preserve">,</w:t>
      </w:r>
      <w:r>
        <w:t xml:space="preserve"> </w:t>
      </w:r>
      <w:r>
        <w:rPr>
          <w:rStyle w:val="VerbatimChar"/>
        </w:rPr>
        <w:t xml:space="preserve">nodal_officer</w:t>
      </w:r>
      <w:r>
        <w:t xml:space="preserve">,</w:t>
      </w:r>
      <w:r>
        <w:t xml:space="preserve"> </w:t>
      </w:r>
      <w:r>
        <w:rPr>
          <w:rStyle w:val="VerbatimChar"/>
        </w:rPr>
        <w:t xml:space="preserve">grievance_forwarding_receipt</w:t>
      </w:r>
      <w:r>
        <w:t xml:space="preserve"> </w:t>
      </w:r>
      <w:r>
        <w:t xml:space="preserve">and</w:t>
      </w:r>
      <w:r>
        <w:t xml:space="preserve"> </w:t>
      </w:r>
      <w:r>
        <w:rPr>
          <w:rStyle w:val="VerbatimChar"/>
        </w:rPr>
        <w:t xml:space="preserve">feedback</w:t>
      </w:r>
      <w:r>
        <w:t xml:space="preserve"> </w:t>
      </w:r>
      <w:r>
        <w:t xml:space="preserve">where names overlap:</w:t>
      </w:r>
    </w:p>
    <w:p>
      <w:pPr>
        <w:numPr>
          <w:ilvl w:val="1"/>
          <w:numId w:val="1532"/>
        </w:numPr>
        <w:pStyle w:val="Compact"/>
      </w:pPr>
      <w:r>
        <w:rPr>
          <w:bCs/>
          <w:b/>
        </w:rPr>
        <w:t xml:space="preserve">UB1 documents and data:</w:t>
      </w:r>
      <w:r>
        <w:t xml:space="preserve"> </w:t>
      </w:r>
      <w:r>
        <w:rPr>
          <w:rStyle w:val="VerbatimChar"/>
        </w:rPr>
        <w:t xml:space="preserve">document_catalogue_entry</w:t>
      </w:r>
      <w:r>
        <w:t xml:space="preserve"> </w:t>
      </w:r>
      <w:r>
        <w:t xml:space="preserve">(borrower_id, loan_ref, doc_type, issuer RE, SOCIETY or UDOFIN; source RE_DMS, U9 or MIRROR; availability ISSUED, NOT_YET_ISSUED or REQUESTABLE; basis_ref, as_at, sha256, jws_status);</w:t>
      </w:r>
      <w:r>
        <w:t xml:space="preserve"> </w:t>
      </w:r>
      <w:r>
        <w:rPr>
          <w:rStyle w:val="VerbatimChar"/>
        </w:rPr>
        <w:t xml:space="preserve">document_request</w:t>
      </w:r>
      <w:r>
        <w:t xml:space="preserve"> </w:t>
      </w:r>
      <w:r>
        <w:t xml:space="preserve">(borrower_id, re_id, doc_type, service_request_id, sla_due_at, state, decline_reason);</w:t>
      </w:r>
      <w:r>
        <w:t xml:space="preserve"> </w:t>
      </w:r>
      <w:r>
        <w:rPr>
          <w:rStyle w:val="VerbatimChar"/>
        </w:rPr>
        <w:t xml:space="preserve">data_access_request</w:t>
      </w:r>
      <w:r>
        <w:t xml:space="preserve"> </w:t>
      </w:r>
      <w:r>
        <w:t xml:space="preserve">(adds to</w:t>
      </w:r>
      <w:r>
        <w:t xml:space="preserve"> </w:t>
      </w:r>
      <w:r>
        <w:rPr>
          <w:rStyle w:val="VerbatimChar"/>
        </w:rPr>
        <w:t xml:space="preserve">data_principal_request</w:t>
      </w:r>
      <w:r>
        <w:t xml:space="preserve">: right DPDP_S11, S12_CORRECTION, S12_ERASURE or NOMINATION; udofin_part_status, re_part_forwarded_at, legal_due_at, internal_due_at, partial_refusal_reasons);</w:t>
      </w:r>
      <w:r>
        <w:t xml:space="preserve"> </w:t>
      </w:r>
      <w:r>
        <w:rPr>
          <w:rStyle w:val="VerbatimChar"/>
        </w:rPr>
        <w:t xml:space="preserve">borrower_export_job</w:t>
      </w:r>
      <w:r>
        <w:t xml:space="preserve"> </w:t>
      </w:r>
      <w:r>
        <w:t xml:space="preserve">(borrower_id, scopes, folder_profile udofin_borrower_v1, step_up_at, state, package_sha256, passphrase_set flag only, generated_at, expires_at, downloaded_at, purged_at);</w:t>
      </w:r>
      <w:r>
        <w:t xml:space="preserve"> </w:t>
      </w:r>
      <w:r>
        <w:rPr>
          <w:rStyle w:val="VerbatimChar"/>
        </w:rPr>
        <w:t xml:space="preserve">export_alert_sent</w:t>
      </w:r>
      <w:r>
        <w:t xml:space="preserve"> </w:t>
      </w:r>
      <w:r>
        <w:t xml:space="preserve">(job_id, channel, sent_at);</w:t>
      </w:r>
      <w:r>
        <w:t xml:space="preserve"> </w:t>
      </w:r>
      <w:r>
        <w:rPr>
          <w:rStyle w:val="VerbatimChar"/>
        </w:rPr>
        <w:t xml:space="preserve">document_download</w:t>
      </w:r>
      <w:r>
        <w:t xml:space="preserve"> </w:t>
      </w:r>
      <w:r>
        <w:t xml:space="preserve">(borrower_id, document_id, kind ORIGINAL or SHAREABLE_COPY or VIEW, download_id, step_up_method OTP, PASSKEY or BIOMETRIC, step_up_at, device_id, sha256 of the file served, watermark_text_version, created_at);</w:t>
      </w:r>
      <w:r>
        <w:t xml:space="preserve"> </w:t>
      </w:r>
      <w:r>
        <w:rPr>
          <w:rStyle w:val="VerbatimChar"/>
        </w:rPr>
        <w:t xml:space="preserve">download_verification_lookup</w:t>
      </w:r>
      <w:r>
        <w:t xml:space="preserve"> </w:t>
      </w:r>
      <w:r>
        <w:t xml:space="preserve">(download_id, looked_up_at, result)</w:t>
      </w:r>
    </w:p>
    <w:p>
      <w:pPr>
        <w:numPr>
          <w:ilvl w:val="1"/>
          <w:numId w:val="1532"/>
        </w:numPr>
        <w:pStyle w:val="Compact"/>
      </w:pPr>
      <w:r>
        <w:rPr>
          <w:bCs/>
          <w:b/>
        </w:rPr>
        <w:t xml:space="preserve">UB2 tax documents:</w:t>
      </w:r>
      <w:r>
        <w:t xml:space="preserve"> </w:t>
      </w:r>
      <w:r>
        <w:rPr>
          <w:rStyle w:val="VerbatimChar"/>
        </w:rPr>
        <w:t xml:space="preserve">interest_certificate_mirror</w:t>
      </w:r>
      <w:r>
        <w:t xml:space="preserve"> </w:t>
      </w:r>
      <w:r>
        <w:t xml:space="preserve">(re_id, loan_ref, tax_year, act ITA61 or ITA25, certificate_kind PROVISIONAL or FINAL, home_interest_s22_1b, preconstruction_total and instalment_no, principal_s123, education_interest_s129 and year_count, legacy_section_flags s130, s131, s132, co_borrower_shares, property_and_possession_ref, refinancing_flag, re_eligibility_ref for s129, sha256, jws_status, state, superseded_by);</w:t>
      </w:r>
      <w:r>
        <w:t xml:space="preserve"> </w:t>
      </w:r>
      <w:r>
        <w:rPr>
          <w:rStyle w:val="VerbatimChar"/>
        </w:rPr>
        <w:t xml:space="preserve">regime_notice_view</w:t>
      </w:r>
      <w:r>
        <w:t xml:space="preserve"> </w:t>
      </w:r>
      <w:r>
        <w:t xml:space="preserve">(certificate_id, notice_version, shown_at);</w:t>
      </w:r>
      <w:r>
        <w:t xml:space="preserve"> </w:t>
      </w:r>
      <w:r>
        <w:rPr>
          <w:rStyle w:val="VerbatimChar"/>
        </w:rPr>
        <w:t xml:space="preserve">tds_certificate_upload</w:t>
      </w:r>
      <w:r>
        <w:t xml:space="preserve"> </w:t>
      </w:r>
      <w:r>
        <w:t xml:space="preserve">(borrower_id, loan_ref, quarter, form_number 131, certificate_no, deductor_tan, deductee_pan, amount, extracted_confirmed_by_borrower, document_ref, sent_to_re_at, re_reconciliation_status MATCHED, MISMATCH or NOT_FOUND);</w:t>
      </w:r>
      <w:r>
        <w:t xml:space="preserve"> </w:t>
      </w:r>
      <w:r>
        <w:rPr>
          <w:rStyle w:val="VerbatimChar"/>
        </w:rPr>
        <w:t xml:space="preserve">business_tax_profile</w:t>
      </w:r>
      <w:r>
        <w:t xml:space="preserve"> </w:t>
      </w:r>
      <w:r>
        <w:t xml:space="preserve">(party_id, legal_name, trade_name, constitution, pan, gstin, gstin_state_code, gstin_status, verified_via, verified_at, consent_ref);</w:t>
      </w:r>
      <w:r>
        <w:t xml:space="preserve"> </w:t>
      </w:r>
      <w:r>
        <w:rPr>
          <w:rStyle w:val="VerbatimChar"/>
        </w:rPr>
        <w:t xml:space="preserve">re_gst_invoice_mirror</w:t>
      </w:r>
      <w:r>
        <w:t xml:space="preserve"> </w:t>
      </w:r>
      <w:r>
        <w:t xml:space="preserve">(re_id, loan_ref, invoice_no, date, fee_lines with gst_treatment and SAC, gstin, credit_note_ref, sha256)</w:t>
      </w:r>
    </w:p>
    <w:p>
      <w:pPr>
        <w:numPr>
          <w:ilvl w:val="1"/>
          <w:numId w:val="1532"/>
        </w:numPr>
        <w:pStyle w:val="Compact"/>
      </w:pPr>
      <w:r>
        <w:rPr>
          <w:bCs/>
          <w:b/>
        </w:rPr>
        <w:t xml:space="preserve">UB3 grievance chain v2:</w:t>
      </w:r>
      <w:r>
        <w:t xml:space="preserve"> </w:t>
      </w:r>
      <w:r>
        <w:rPr>
          <w:rStyle w:val="VerbatimChar"/>
        </w:rPr>
        <w:t xml:space="preserve">re_redress_profile</w:t>
      </w:r>
      <w:r>
        <w:t xml:space="preserve"> </w:t>
      </w:r>
      <w:r>
        <w:t xml:space="preserve">(re_id, version, rbios_covered, io_applicable, top_tier RBI_OMBUDSMAN, CEPC_REGIONAL_OFFICE, NHB, BANK_RBIOS or COOP_ROUTE; cepc_office_ref, pno_contact_ref, computed_from asset size and date, effective_from);</w:t>
      </w:r>
      <w:r>
        <w:t xml:space="preserve"> </w:t>
      </w:r>
      <w:r>
        <w:rPr>
          <w:rStyle w:val="VerbatimChar"/>
        </w:rPr>
        <w:t xml:space="preserve">grievance</w:t>
      </w:r>
      <w:r>
        <w:t xml:space="preserve"> </w:t>
      </w:r>
      <w:r>
        <w:t xml:space="preserve">(adds tier, owner UDOFIN or RE or SOCIETY, route_profile_version, udofin_received_at, re_received_at, receipt_basis, re_final_reply_type, borrower_response, last_re_communication_at, external_window_opens_at, external_window_closes_at, scheme_version RBIOS_2021 or RBIOS_2026, linked_grievance_id);</w:t>
      </w:r>
      <w:r>
        <w:t xml:space="preserve"> </w:t>
      </w:r>
      <w:r>
        <w:rPr>
          <w:rStyle w:val="VerbatimChar"/>
        </w:rPr>
        <w:t xml:space="preserve">grievance_clock</w:t>
      </w:r>
      <w:r>
        <w:t xml:space="preserve"> </w:t>
      </w:r>
      <w:r>
        <w:t xml:space="preserve">(grievance_id, clock_type INTERNAL_ACK, CLASSIFY, FORWARD, RE_30D, IO_20D, IO_30D, CIR_21D, CIR_30D, EXTERNAL_90D; started_at, due_at, stopped_at, breach flag);</w:t>
      </w:r>
      <w:r>
        <w:t xml:space="preserve"> </w:t>
      </w:r>
      <w:r>
        <w:rPr>
          <w:rStyle w:val="VerbatimChar"/>
        </w:rPr>
        <w:t xml:space="preserve">grievance_tier_transition</w:t>
      </w:r>
      <w:r>
        <w:t xml:space="preserve"> </w:t>
      </w:r>
      <w:r>
        <w:t xml:space="preserve">(grievance_id, from_tier, to_tier, reason, actor, at);</w:t>
      </w:r>
      <w:r>
        <w:t xml:space="preserve"> </w:t>
      </w:r>
      <w:r>
        <w:rPr>
          <w:rStyle w:val="VerbatimChar"/>
        </w:rPr>
        <w:t xml:space="preserve">ombudsman_referral</w:t>
      </w:r>
      <w:r>
        <w:t xml:space="preserve"> </w:t>
      </w:r>
      <w:r>
        <w:t xml:space="preserve">(grievance_id, route RBI_OMBUDSMAN, CEPC, NHB, COOP_OMBUDSMAN, REGISTRAR, INSURANCE, DPB or CONSUMER; event_forum RBIOS_2026, COOP_OMBUDSMAN, REGISTRAR, CONSUMER_COMMISSION or OTHER (Integration Spec 6.12); borrower_declared_reference, filed_on, stages_mirrored,</w:t>
      </w:r>
      <w:r>
        <w:t xml:space="preserve"> </w:t>
      </w:r>
      <w:r>
        <w:rPr>
          <w:rStyle w:val="VerbatimChar"/>
        </w:rPr>
        <w:t xml:space="preserve">OmbudsmanReferralRecorded</w:t>
      </w:r>
      <w:r>
        <w:t xml:space="preserve"> </w:t>
      </w:r>
      <w:r>
        <w:t xml:space="preserve">event ID);</w:t>
      </w:r>
      <w:r>
        <w:t xml:space="preserve"> </w:t>
      </w:r>
      <w:r>
        <w:rPr>
          <w:rStyle w:val="VerbatimChar"/>
        </w:rPr>
        <w:t xml:space="preserve">parallel_route_info_shown</w:t>
      </w:r>
      <w:r>
        <w:t xml:space="preserve"> </w:t>
      </w:r>
      <w:r>
        <w:t xml:space="preserve">(grievance_id, route, content_version, shown_at);</w:t>
      </w:r>
      <w:r>
        <w:t xml:space="preserve"> </w:t>
      </w:r>
      <w:r>
        <w:rPr>
          <w:rStyle w:val="VerbatimChar"/>
        </w:rPr>
        <w:t xml:space="preserve">internal_escalation_page</w:t>
      </w:r>
      <w:r>
        <w:t xml:space="preserve"> </w:t>
      </w:r>
      <w:r>
        <w:t xml:space="preserve">(grievance_id, clock_type, reason, paged_parties, at; unique per grievance, clock and breach);</w:t>
      </w:r>
      <w:r>
        <w:t xml:space="preserve"> </w:t>
      </w:r>
      <w:r>
        <w:rPr>
          <w:rStyle w:val="VerbatimChar"/>
        </w:rPr>
        <w:t xml:space="preserve">grievance_forwarding_fallback</w:t>
      </w:r>
      <w:r>
        <w:t xml:space="preserve"> </w:t>
      </w:r>
      <w:r>
        <w:t xml:space="preserve">(grievance_id, channel EMAIL or SFTP, sent_at, reason)</w:t>
      </w:r>
    </w:p>
    <w:p>
      <w:pPr>
        <w:numPr>
          <w:ilvl w:val="1"/>
          <w:numId w:val="1532"/>
        </w:numPr>
        <w:pStyle w:val="Compact"/>
      </w:pPr>
      <w:r>
        <w:rPr>
          <w:bCs/>
          <w:b/>
        </w:rPr>
        <w:t xml:space="preserve">UB4 capabilities and help centre:</w:t>
      </w:r>
      <w:r>
        <w:t xml:space="preserve"> </w:t>
      </w:r>
      <w:r>
        <w:rPr>
          <w:rStyle w:val="VerbatimChar"/>
        </w:rPr>
        <w:t xml:space="preserve">case_pack</w:t>
      </w:r>
      <w:r>
        <w:t xml:space="preserve"> </w:t>
      </w:r>
      <w:r>
        <w:t xml:space="preserve">(grievance_id, version, pdfa_ref, json_ref, sha256, signature_ref, generated_at);</w:t>
      </w:r>
      <w:r>
        <w:t xml:space="preserve"> </w:t>
      </w:r>
      <w:r>
        <w:rPr>
          <w:rStyle w:val="VerbatimChar"/>
        </w:rPr>
        <w:t xml:space="preserve">grievance_reopen</w:t>
      </w:r>
      <w:r>
        <w:t xml:space="preserve"> </w:t>
      </w:r>
      <w:r>
        <w:t xml:space="preserve">(grievance_id, reason, reopened_at, new_re_received_at,</w:t>
      </w:r>
      <w:r>
        <w:t xml:space="preserve"> </w:t>
      </w:r>
      <w:r>
        <w:rPr>
          <w:rStyle w:val="VerbatimChar"/>
        </w:rPr>
        <w:t xml:space="preserve">GrievanceReopened</w:t>
      </w:r>
      <w:r>
        <w:t xml:space="preserve"> </w:t>
      </w:r>
      <w:r>
        <w:t xml:space="preserve">event ID);</w:t>
      </w:r>
      <w:r>
        <w:t xml:space="preserve"> </w:t>
      </w:r>
      <w:r>
        <w:rPr>
          <w:rStyle w:val="VerbatimChar"/>
        </w:rPr>
        <w:t xml:space="preserve">grievance_rating</w:t>
      </w:r>
      <w:r>
        <w:t xml:space="preserve"> </w:t>
      </w:r>
      <w:r>
        <w:t xml:space="preserve">(grievance_id, stars, text, rated_at,</w:t>
      </w:r>
      <w:r>
        <w:t xml:space="preserve"> </w:t>
      </w:r>
      <w:r>
        <w:rPr>
          <w:rStyle w:val="VerbatimChar"/>
        </w:rPr>
        <w:t xml:space="preserve">GrievanceRated</w:t>
      </w:r>
      <w:r>
        <w:t xml:space="preserve"> </w:t>
      </w:r>
      <w:r>
        <w:t xml:space="preserve">event ID);</w:t>
      </w:r>
      <w:r>
        <w:t xml:space="preserve"> </w:t>
      </w:r>
      <w:r>
        <w:rPr>
          <w:rStyle w:val="VerbatimChar"/>
        </w:rPr>
        <w:t xml:space="preserve">grievance_representative</w:t>
      </w:r>
      <w:r>
        <w:t xml:space="preserve"> </w:t>
      </w:r>
      <w:r>
        <w:t xml:space="preserve">(grievance_id, name, relationship, consent_ref, access_scope read_only, valid_until);</w:t>
      </w:r>
      <w:r>
        <w:t xml:space="preserve"> </w:t>
      </w:r>
      <w:r>
        <w:rPr>
          <w:rStyle w:val="VerbatimChar"/>
        </w:rPr>
        <w:t xml:space="preserve">callback_request</w:t>
      </w:r>
      <w:r>
        <w:t xml:space="preserve"> </w:t>
      </w:r>
      <w:r>
        <w:t xml:space="preserve">(grievance_id or borrower_id, window, language, status);</w:t>
      </w:r>
      <w:r>
        <w:t xml:space="preserve"> </w:t>
      </w:r>
      <w:r>
        <w:rPr>
          <w:rStyle w:val="VerbatimChar"/>
        </w:rPr>
        <w:t xml:space="preserve">accessibility_preference</w:t>
      </w:r>
      <w:r>
        <w:t xml:space="preserve"> </w:t>
      </w:r>
      <w:r>
        <w:t xml:space="preserve">(borrower_id, format, language, pwd_tag);</w:t>
      </w:r>
      <w:r>
        <w:t xml:space="preserve"> </w:t>
      </w:r>
      <w:r>
        <w:rPr>
          <w:rStyle w:val="VerbatimChar"/>
        </w:rPr>
        <w:t xml:space="preserve">help_article</w:t>
      </w:r>
      <w:r>
        <w:t xml:space="preserve"> </w:t>
      </w:r>
      <w:r>
        <w:t xml:space="preserve">(article_id, type, scope, re_id nullable, owner, approver, sources, reading_level, ai_usable);</w:t>
      </w:r>
      <w:r>
        <w:t xml:space="preserve"> </w:t>
      </w:r>
      <w:r>
        <w:rPr>
          <w:rStyle w:val="VerbatimChar"/>
        </w:rPr>
        <w:t xml:space="preserve">help_article_version</w:t>
      </w:r>
      <w:r>
        <w:t xml:space="preserve"> </w:t>
      </w:r>
      <w:r>
        <w:t xml:space="preserve">(article_id, version, locale, body_ref, effective_from, review_due, approved_by, status);</w:t>
      </w:r>
      <w:r>
        <w:t xml:space="preserve"> </w:t>
      </w:r>
      <w:r>
        <w:rPr>
          <w:rStyle w:val="VerbatimChar"/>
        </w:rPr>
        <w:t xml:space="preserve">help_feedback</w:t>
      </w:r>
      <w:r>
        <w:t xml:space="preserve"> </w:t>
      </w:r>
      <w:r>
        <w:t xml:space="preserve">(article_id, helpful flag, comment, created_at)</w:t>
      </w:r>
    </w:p>
    <w:p>
      <w:pPr>
        <w:numPr>
          <w:ilvl w:val="0"/>
          <w:numId w:val="1527"/>
        </w:numPr>
      </w:pPr>
      <w:r>
        <w:rPr>
          <w:bCs/>
          <w:b/>
        </w:rPr>
        <w:t xml:space="preserve">Added in v1.2 (Part 7D financial wellness add-ons).</w:t>
      </w:r>
      <w:r>
        <w:t xml:space="preserve"> </w:t>
      </w:r>
      <w:r>
        <w:t xml:space="preserve">All entities below live</w:t>
      </w:r>
      <w:r>
        <w:t xml:space="preserve"> </w:t>
      </w:r>
      <w:r>
        <w:rPr>
          <w:bCs/>
          <w:b/>
        </w:rPr>
        <w:t xml:space="preserve">only in the separate</w:t>
      </w:r>
      <w:r>
        <w:rPr>
          <w:bCs/>
          <w:b/>
        </w:rPr>
        <w:t xml:space="preserve"> </w:t>
      </w:r>
      <w:r>
        <w:rPr>
          <w:rStyle w:val="VerbatimChar"/>
          <w:bCs/>
          <w:b/>
        </w:rPr>
        <w:t xml:space="preserve">wellness</w:t>
      </w:r>
      <w:r>
        <w:rPr>
          <w:bCs/>
          <w:b/>
        </w:rPr>
        <w:t xml:space="preserve"> </w:t>
      </w:r>
      <w:r>
        <w:rPr>
          <w:bCs/>
          <w:b/>
        </w:rPr>
        <w:t xml:space="preserve">store</w:t>
      </w:r>
      <w:r>
        <w:t xml:space="preserve"> </w:t>
      </w:r>
      <w:r>
        <w:t xml:space="preserve">with its own KMS key and service accounts; they reference the borrower only by</w:t>
      </w:r>
      <w:r>
        <w:t xml:space="preserve"> </w:t>
      </w:r>
      <w:r>
        <w:rPr>
          <w:rStyle w:val="VerbatimChar"/>
        </w:rPr>
        <w:t xml:space="preserve">borrower_account_id</w:t>
      </w:r>
      <w:r>
        <w:t xml:space="preserve"> </w:t>
      </w:r>
      <w:r>
        <w:t xml:space="preserve">and have no foreign keys into loan tables.</w:t>
      </w:r>
      <w:r>
        <w:t xml:space="preserve"> </w:t>
      </w:r>
      <w:r>
        <w:rPr>
          <w:rStyle w:val="VerbatimChar"/>
        </w:rPr>
        <w:t xml:space="preserve">expense_entry</w:t>
      </w:r>
      <w:r>
        <w:t xml:space="preserve"> </w:t>
      </w:r>
      <w:r>
        <w:t xml:space="preserve">in the U12/U25 list above is replaced by</w:t>
      </w:r>
      <w:r>
        <w:t xml:space="preserve"> </w:t>
      </w:r>
      <w:r>
        <w:rPr>
          <w:rStyle w:val="VerbatimChar"/>
        </w:rPr>
        <w:t xml:space="preserve">pfm_transaction</w:t>
      </w:r>
      <w:r>
        <w:t xml:space="preserve">:</w:t>
      </w:r>
    </w:p>
    <w:p>
      <w:pPr>
        <w:numPr>
          <w:ilvl w:val="1"/>
          <w:numId w:val="1533"/>
        </w:numPr>
        <w:pStyle w:val="Compact"/>
      </w:pPr>
      <w:r>
        <w:rPr>
          <w:bCs/>
          <w:b/>
        </w:rPr>
        <w:t xml:space="preserve">FW1 credit health:</w:t>
      </w:r>
      <w:r>
        <w:t xml:space="preserve"> </w:t>
      </w:r>
      <w:r>
        <w:rPr>
          <w:rStyle w:val="VerbatimChar"/>
        </w:rPr>
        <w:t xml:space="preserve">wellness_account</w:t>
      </w:r>
      <w:r>
        <w:t xml:space="preserve"> </w:t>
      </w:r>
      <w:r>
        <w:t xml:space="preserve">(borrower_account_id, enrolled_tools, created_at, deleted_at);</w:t>
      </w:r>
      <w:r>
        <w:t xml:space="preserve"> </w:t>
      </w:r>
      <w:r>
        <w:rPr>
          <w:rStyle w:val="VerbatimChar"/>
        </w:rPr>
        <w:t xml:space="preserve">wellness_consent</w:t>
      </w:r>
      <w:r>
        <w:t xml:space="preserve"> </w:t>
      </w:r>
      <w:r>
        <w:t xml:space="preserve">(tool, cic, purposes with marketing default no, refresh_frequency, term_until, retention_rule, notice_version, language, timestamp, device, ip, withdrawn_at);</w:t>
      </w:r>
      <w:r>
        <w:t xml:space="preserve"> </w:t>
      </w:r>
      <w:r>
        <w:rPr>
          <w:rStyle w:val="VerbatimChar"/>
        </w:rPr>
        <w:t xml:space="preserve">cic_partner</w:t>
      </w:r>
      <w:r>
        <w:t xml:space="preserve"> </w:t>
      </w:r>
      <w:r>
        <w:t xml:space="preserve">(cic, programme, agreement_ref, refresh_limits, storage_terms, valid_until);</w:t>
      </w:r>
      <w:r>
        <w:t xml:space="preserve"> </w:t>
      </w:r>
      <w:r>
        <w:rPr>
          <w:rStyle w:val="VerbatimChar"/>
        </w:rPr>
        <w:t xml:space="preserve">credit_health_enrolment</w:t>
      </w:r>
      <w:r>
        <w:t xml:space="preserve"> </w:t>
      </w:r>
      <w:r>
        <w:t xml:space="preserve">(account_id, cic, state, auth_method, auth_at, expires_at);</w:t>
      </w:r>
      <w:r>
        <w:t xml:space="preserve"> </w:t>
      </w:r>
      <w:r>
        <w:rPr>
          <w:rStyle w:val="VerbatimChar"/>
        </w:rPr>
        <w:t xml:space="preserve">credit_report_pull</w:t>
      </w:r>
      <w:r>
        <w:t xml:space="preserve"> </w:t>
      </w:r>
      <w:r>
        <w:t xml:space="preserve">(enrolment_id, cic_request_id, purpose_code, consent_id, cost, response_sha256, pulled_at);</w:t>
      </w:r>
      <w:r>
        <w:t xml:space="preserve"> </w:t>
      </w:r>
      <w:r>
        <w:rPr>
          <w:rStyle w:val="VerbatimChar"/>
        </w:rPr>
        <w:t xml:space="preserve">credit_report_snapshot</w:t>
      </w:r>
      <w:r>
        <w:t xml:space="preserve"> </w:t>
      </w:r>
      <w:r>
        <w:t xml:space="preserve">(pull_id, encrypted_payload_ref, score, score_range, report_date);</w:t>
      </w:r>
      <w:r>
        <w:t xml:space="preserve"> </w:t>
      </w:r>
      <w:r>
        <w:rPr>
          <w:rStyle w:val="VerbatimChar"/>
        </w:rPr>
        <w:t xml:space="preserve">credit_alert</w:t>
      </w:r>
      <w:r>
        <w:t xml:space="preserve"> </w:t>
      </w:r>
      <w:r>
        <w:t xml:space="preserve">(enrolment_id, type, created_at, delivered_at);</w:t>
      </w:r>
      <w:r>
        <w:t xml:space="preserve"> </w:t>
      </w:r>
      <w:r>
        <w:rPr>
          <w:rStyle w:val="VerbatimChar"/>
        </w:rPr>
        <w:t xml:space="preserve">cic_dispute_tracker</w:t>
      </w:r>
      <w:r>
        <w:t xml:space="preserve"> </w:t>
      </w:r>
      <w:r>
        <w:t xml:space="preserve">(enrolment_id, cic, item_ref, filed_on, user_status);</w:t>
      </w:r>
      <w:r>
        <w:t xml:space="preserve"> </w:t>
      </w:r>
      <w:r>
        <w:rPr>
          <w:rStyle w:val="VerbatimChar"/>
        </w:rPr>
        <w:t xml:space="preserve">wellness_purge_certificate</w:t>
      </w:r>
      <w:r>
        <w:t xml:space="preserve"> </w:t>
      </w:r>
      <w:r>
        <w:t xml:space="preserve">(account_id, scope, purged_at, method)</w:t>
      </w:r>
    </w:p>
    <w:p>
      <w:pPr>
        <w:numPr>
          <w:ilvl w:val="1"/>
          <w:numId w:val="1533"/>
        </w:numPr>
        <w:pStyle w:val="Compact"/>
      </w:pPr>
      <w:r>
        <w:rPr>
          <w:bCs/>
          <w:b/>
        </w:rPr>
        <w:t xml:space="preserve">FW2 simulator:</w:t>
      </w:r>
      <w:r>
        <w:t xml:space="preserve"> </w:t>
      </w:r>
      <w:r>
        <w:rPr>
          <w:rStyle w:val="VerbatimChar"/>
        </w:rPr>
        <w:t xml:space="preserve">simulator_factor_table_version</w:t>
      </w:r>
      <w:r>
        <w:t xml:space="preserve"> </w:t>
      </w:r>
      <w:r>
        <w:t xml:space="preserve">(version, factors, rules, sources, approved_by, effective_from, review_due);</w:t>
      </w:r>
      <w:r>
        <w:t xml:space="preserve"> </w:t>
      </w:r>
      <w:r>
        <w:rPr>
          <w:rStyle w:val="VerbatimChar"/>
        </w:rPr>
        <w:t xml:space="preserve">simulator_scenario</w:t>
      </w:r>
      <w:r>
        <w:t xml:space="preserve"> </w:t>
      </w:r>
      <w:r>
        <w:t xml:space="preserve">(account_id, factor_table_version, inputs, outputs direction and band, saved_at; stored only if saved)</w:t>
      </w:r>
    </w:p>
    <w:p>
      <w:pPr>
        <w:numPr>
          <w:ilvl w:val="1"/>
          <w:numId w:val="1533"/>
        </w:numPr>
        <w:pStyle w:val="Compact"/>
      </w:pPr>
      <w:r>
        <w:rPr>
          <w:bCs/>
          <w:b/>
        </w:rPr>
        <w:t xml:space="preserve">FW3 expense tracker:</w:t>
      </w:r>
      <w:r>
        <w:t xml:space="preserve"> </w:t>
      </w:r>
      <w:r>
        <w:rPr>
          <w:rStyle w:val="VerbatimChar"/>
        </w:rPr>
        <w:t xml:space="preserve">pfm_source_upload</w:t>
      </w:r>
      <w:r>
        <w:t xml:space="preserve"> </w:t>
      </w:r>
      <w:r>
        <w:t xml:space="preserve">(account_id, file_type, picker_source, uploaded_at, raw_file_ref, raw_deleted_at, keep_until);</w:t>
      </w:r>
      <w:r>
        <w:t xml:space="preserve"> </w:t>
      </w:r>
      <w:r>
        <w:rPr>
          <w:rStyle w:val="VerbatimChar"/>
        </w:rPr>
        <w:t xml:space="preserve">pfm_parse_job</w:t>
      </w:r>
      <w:r>
        <w:t xml:space="preserve"> </w:t>
      </w:r>
      <w:r>
        <w:t xml:space="preserve">(upload_id, parser_template, status, errors);</w:t>
      </w:r>
      <w:r>
        <w:t xml:space="preserve"> </w:t>
      </w:r>
      <w:r>
        <w:rPr>
          <w:rStyle w:val="VerbatimChar"/>
        </w:rPr>
        <w:t xml:space="preserve">pfm_account</w:t>
      </w:r>
      <w:r>
        <w:t xml:space="preserve"> </w:t>
      </w:r>
      <w:r>
        <w:t xml:space="preserve">(account_id, label, institution_name, masked_number);</w:t>
      </w:r>
      <w:r>
        <w:t xml:space="preserve"> </w:t>
      </w:r>
      <w:r>
        <w:rPr>
          <w:rStyle w:val="VerbatimChar"/>
        </w:rPr>
        <w:t xml:space="preserve">pfm_transaction</w:t>
      </w:r>
      <w:r>
        <w:t xml:space="preserve"> </w:t>
      </w:r>
      <w:r>
        <w:t xml:space="preserve">(pfm_account_id, date, amount, direction, narration_normalised, category_id, dedupe_hash, source MANUAL, UPLOAD, CSV or EMI_PROJECTION);</w:t>
      </w:r>
      <w:r>
        <w:t xml:space="preserve"> </w:t>
      </w:r>
      <w:r>
        <w:rPr>
          <w:rStyle w:val="VerbatimChar"/>
        </w:rPr>
        <w:t xml:space="preserve">pfm_category</w:t>
      </w:r>
      <w:r>
        <w:t xml:space="preserve"> </w:t>
      </w:r>
      <w:r>
        <w:t xml:space="preserve">(account_id nullable for defaults, name, parent_id);</w:t>
      </w:r>
      <w:r>
        <w:t xml:space="preserve"> </w:t>
      </w:r>
      <w:r>
        <w:rPr>
          <w:rStyle w:val="VerbatimChar"/>
        </w:rPr>
        <w:t xml:space="preserve">pfm_rule</w:t>
      </w:r>
      <w:r>
        <w:t xml:space="preserve"> </w:t>
      </w:r>
      <w:r>
        <w:t xml:space="preserve">(account_id, match_expression, category_id);</w:t>
      </w:r>
      <w:r>
        <w:t xml:space="preserve"> </w:t>
      </w:r>
      <w:r>
        <w:rPr>
          <w:rStyle w:val="VerbatimChar"/>
        </w:rPr>
        <w:t xml:space="preserve">pfm_budget</w:t>
      </w:r>
      <w:r>
        <w:t xml:space="preserve"> </w:t>
      </w:r>
      <w:r>
        <w:t xml:space="preserve">(account_id, category_id, month, amount, rollover flag);</w:t>
      </w:r>
      <w:r>
        <w:t xml:space="preserve"> </w:t>
      </w:r>
      <w:r>
        <w:rPr>
          <w:rStyle w:val="VerbatimChar"/>
        </w:rPr>
        <w:t xml:space="preserve">pfm_alert</w:t>
      </w:r>
      <w:r>
        <w:t xml:space="preserve"> </w:t>
      </w:r>
      <w:r>
        <w:t xml:space="preserve">(budget_id or transaction_id, type, threshold, fired_at);</w:t>
      </w:r>
      <w:r>
        <w:t xml:space="preserve"> </w:t>
      </w:r>
      <w:r>
        <w:rPr>
          <w:rStyle w:val="VerbatimChar"/>
        </w:rPr>
        <w:t xml:space="preserve">pfm_goal</w:t>
      </w:r>
      <w:r>
        <w:t xml:space="preserve"> </w:t>
      </w:r>
      <w:r>
        <w:t xml:space="preserve">(account_id, name, target_amount, target_date);</w:t>
      </w:r>
      <w:r>
        <w:t xml:space="preserve"> </w:t>
      </w:r>
      <w:r>
        <w:rPr>
          <w:rStyle w:val="VerbatimChar"/>
        </w:rPr>
        <w:t xml:space="preserve">emi_projection_toggle</w:t>
      </w:r>
      <w:r>
        <w:t xml:space="preserve"> </w:t>
      </w:r>
      <w:r>
        <w:t xml:space="preserve">(account_id, enabled, changed_at)</w:t>
      </w:r>
    </w:p>
    <w:p>
      <w:pPr>
        <w:numPr>
          <w:ilvl w:val="1"/>
          <w:numId w:val="1533"/>
        </w:numPr>
        <w:pStyle w:val="Compact"/>
      </w:pPr>
      <w:r>
        <w:rPr>
          <w:bCs/>
          <w:b/>
        </w:rPr>
        <w:t xml:space="preserve">FW4 separation and controls:</w:t>
      </w:r>
      <w:r>
        <w:t xml:space="preserve"> </w:t>
      </w:r>
      <w:r>
        <w:rPr>
          <w:rStyle w:val="VerbatimChar"/>
        </w:rPr>
        <w:t xml:space="preserve">addon_legality_decision</w:t>
      </w:r>
      <w:r>
        <w:t xml:space="preserve"> </w:t>
      </w:r>
      <w:r>
        <w:t xml:space="preserve">(gate G1 to G5, decision_ref, opinion_ref, decided_by, decided_on, review_due, status);</w:t>
      </w:r>
      <w:r>
        <w:t xml:space="preserve"> </w:t>
      </w:r>
      <w:r>
        <w:rPr>
          <w:rStyle w:val="VerbatimChar"/>
        </w:rPr>
        <w:t xml:space="preserve">wellness_optin</w:t>
      </w:r>
      <w:r>
        <w:t xml:space="preserve"> </w:t>
      </w:r>
      <w:r>
        <w:t xml:space="preserve">(account_id, tool FW1, FW2 or FW3; state NOT_OFFERED, INTRO_SHOWN, NOTICE_SHOWN, CONSENTED, ACTIVE, PAUSED, WITHDRAWN, DECLINED or PURGED; notice_version, consent_ids, declined_at, reprompt_after);</w:t>
      </w:r>
      <w:r>
        <w:t xml:space="preserve"> </w:t>
      </w:r>
      <w:r>
        <w:rPr>
          <w:rStyle w:val="VerbatimChar"/>
        </w:rPr>
        <w:t xml:space="preserve">wellness_share_grant</w:t>
      </w:r>
      <w:r>
        <w:t xml:space="preserve"> </w:t>
      </w:r>
      <w:r>
        <w:t xml:space="preserve">(account_id, re_id, items, purpose, consent_ref, granted_at, revoked_at; v1.2 limited to user-attached documents);</w:t>
      </w:r>
      <w:r>
        <w:t xml:space="preserve"> </w:t>
      </w:r>
      <w:r>
        <w:rPr>
          <w:rStyle w:val="VerbatimChar"/>
        </w:rPr>
        <w:t xml:space="preserve">separation_audit_run</w:t>
      </w:r>
      <w:r>
        <w:t xml:space="preserve"> </w:t>
      </w:r>
      <w:r>
        <w:t xml:space="preserve">(period, roles_checked, unauthorised_reads, result, report_ref);</w:t>
      </w:r>
      <w:r>
        <w:t xml:space="preserve"> </w:t>
      </w:r>
      <w:r>
        <w:rPr>
          <w:rStyle w:val="VerbatimChar"/>
        </w:rPr>
        <w:t xml:space="preserve">dark_pattern_audit</w:t>
      </w:r>
      <w:r>
        <w:t xml:space="preserve"> </w:t>
      </w:r>
      <w:r>
        <w:t xml:space="preserve">(release_id, screens, pattern_checklist_version, findings, critical_open);</w:t>
      </w:r>
      <w:r>
        <w:t xml:space="preserve"> </w:t>
      </w:r>
      <w:r>
        <w:rPr>
          <w:rStyle w:val="VerbatimChar"/>
        </w:rPr>
        <w:t xml:space="preserve">addon_subscription_link</w:t>
      </w:r>
      <w:r>
        <w:t xml:space="preserve"> </w:t>
      </w:r>
      <w:r>
        <w:t xml:space="preserve">(account_id, plan_id in the Part 7G billing tables, no wellness content)</w:t>
      </w:r>
    </w:p>
    <w:p>
      <w:pPr>
        <w:numPr>
          <w:ilvl w:val="0"/>
          <w:numId w:val="1527"/>
        </w:numPr>
      </w:pPr>
      <w:r>
        <w:rPr>
          <w:bCs/>
          <w:b/>
        </w:rPr>
        <w:t xml:space="preserve">Added in v1.2 (Parts 7E–7H: member and group lending, extensible products and insurance, plans and billing, risk, supervisory access, portability, engineering operations and voice).</w:t>
      </w:r>
      <w:r>
        <w:t xml:space="preserve"> </w:t>
      </w:r>
      <w:r>
        <w:t xml:space="preserve">Where a name below repeats an entity above (for example</w:t>
      </w:r>
      <w:r>
        <w:t xml:space="preserve"> </w:t>
      </w:r>
      <w:r>
        <w:rPr>
          <w:rStyle w:val="VerbatimChar"/>
        </w:rPr>
        <w:t xml:space="preserve">assisted_session</w:t>
      </w:r>
      <w:r>
        <w:t xml:space="preserve">,</w:t>
      </w:r>
      <w:r>
        <w:t xml:space="preserve"> </w:t>
      </w:r>
      <w:r>
        <w:rPr>
          <w:rStyle w:val="VerbatimChar"/>
        </w:rPr>
        <w:t xml:space="preserve">cash_receipt</w:t>
      </w:r>
      <w:r>
        <w:t xml:space="preserve">,</w:t>
      </w:r>
      <w:r>
        <w:t xml:space="preserve"> </w:t>
      </w:r>
      <w:r>
        <w:rPr>
          <w:rStyle w:val="VerbatimChar"/>
        </w:rPr>
        <w:t xml:space="preserve">cash_in_transit_entry</w:t>
      </w:r>
      <w:r>
        <w:t xml:space="preserve">,</w:t>
      </w:r>
      <w:r>
        <w:t xml:space="preserve"> </w:t>
      </w:r>
      <w:r>
        <w:rPr>
          <w:rStyle w:val="VerbatimChar"/>
        </w:rPr>
        <w:t xml:space="preserve">audit_access_grant</w:t>
      </w:r>
      <w:r>
        <w:t xml:space="preserve">,</w:t>
      </w:r>
      <w:r>
        <w:t xml:space="preserve"> </w:t>
      </w:r>
      <w:r>
        <w:rPr>
          <w:rStyle w:val="VerbatimChar"/>
        </w:rPr>
        <w:t xml:space="preserve">auditor_access_grant</w:t>
      </w:r>
      <w:r>
        <w:t xml:space="preserve">,</w:t>
      </w:r>
      <w:r>
        <w:t xml:space="preserve"> </w:t>
      </w:r>
      <w:r>
        <w:rPr>
          <w:rStyle w:val="VerbatimChar"/>
        </w:rPr>
        <w:t xml:space="preserve">data_export_job</w:t>
      </w:r>
      <w:r>
        <w:t xml:space="preserve">,</w:t>
      </w:r>
      <w:r>
        <w:t xml:space="preserve"> </w:t>
      </w:r>
      <w:r>
        <w:rPr>
          <w:rStyle w:val="VerbatimChar"/>
        </w:rPr>
        <w:t xml:space="preserve">vapt_engagement</w:t>
      </w:r>
      <w:r>
        <w:t xml:space="preserve">,</w:t>
      </w:r>
      <w:r>
        <w:t xml:space="preserve"> </w:t>
      </w:r>
      <w:r>
        <w:rPr>
          <w:rStyle w:val="VerbatimChar"/>
        </w:rPr>
        <w:t xml:space="preserve">telemarketer_registration</w:t>
      </w:r>
      <w:r>
        <w:t xml:space="preserve">,</w:t>
      </w:r>
      <w:r>
        <w:t xml:space="preserve"> </w:t>
      </w:r>
      <w:r>
        <w:rPr>
          <w:rStyle w:val="VerbatimChar"/>
        </w:rPr>
        <w:t xml:space="preserve">contact_policy_pack</w:t>
      </w:r>
      <w:r>
        <w:t xml:space="preserve">,</w:t>
      </w:r>
      <w:r>
        <w:t xml:space="preserve"> </w:t>
      </w:r>
      <w:r>
        <w:rPr>
          <w:rStyle w:val="VerbatimChar"/>
        </w:rPr>
        <w:t xml:space="preserve">call_recording</w:t>
      </w:r>
      <w:r>
        <w:t xml:space="preserve">), merge it in Phase 0 under the earlier name and add the listed fields. Entities marked (projection) mirror the lender’s system of record and carry</w:t>
      </w:r>
      <w:r>
        <w:t xml:space="preserve"> </w:t>
      </w:r>
      <w:r>
        <w:rPr>
          <w:rStyle w:val="VerbatimChar"/>
        </w:rPr>
        <w:t xml:space="preserve">source_ref</w:t>
      </w:r>
      <w:r>
        <w:t xml:space="preserve">,</w:t>
      </w:r>
      <w:r>
        <w:t xml:space="preserve"> </w:t>
      </w:r>
      <w:r>
        <w:rPr>
          <w:rStyle w:val="VerbatimChar"/>
        </w:rPr>
        <w:t xml:space="preserve">as_of</w:t>
      </w:r>
      <w:r>
        <w:t xml:space="preserve"> </w:t>
      </w:r>
      <w:r>
        <w:t xml:space="preserve">and</w:t>
      </w:r>
      <w:r>
        <w:t xml:space="preserve"> </w:t>
      </w:r>
      <w:r>
        <w:rPr>
          <w:rStyle w:val="VerbatimChar"/>
        </w:rPr>
        <w:t xml:space="preserve">seq</w:t>
      </w:r>
      <w:r>
        <w:t xml:space="preserve">.</w:t>
      </w:r>
    </w:p>
    <w:p>
      <w:pPr>
        <w:numPr>
          <w:ilvl w:val="1"/>
          <w:numId w:val="1534"/>
        </w:numPr>
        <w:pStyle w:val="Compact"/>
      </w:pPr>
      <w:r>
        <w:rPr>
          <w:bCs/>
          <w:b/>
        </w:rPr>
        <w:t xml:space="preserve">Co-operative member journeys (7E MG1):</w:t>
      </w:r>
      <w:r>
        <w:t xml:space="preserve"> </w:t>
      </w:r>
      <w:r>
        <w:rPr>
          <w:rStyle w:val="VerbatimChar"/>
        </w:rPr>
        <w:t xml:space="preserve">coop_lender_profile</w:t>
      </w:r>
      <w:r>
        <w:t xml:space="preserve"> </w:t>
      </w:r>
      <w:r>
        <w:t xml:space="preserve">(lender_tenant_id, act, state, registrar, registration_no, area_of_operation, audit_class, audit_year, rule_pack_version, deposit_display_opt_in default false);</w:t>
      </w:r>
      <w:r>
        <w:t xml:space="preserve"> </w:t>
      </w:r>
      <w:r>
        <w:rPr>
          <w:rStyle w:val="VerbatimChar"/>
        </w:rPr>
        <w:t xml:space="preserve">coop_rule_pack</w:t>
      </w:r>
      <w:r>
        <w:t xml:space="preserve"> </w:t>
      </w:r>
      <w:r>
        <w:t xml:space="preserve">(act, state, version, member_classes, admission_timer_days, disclosure_strings, contact_windows, coercion_overlay, dispute_forum, recovery_route_label, grievance_tiers, languages, effective_from, effective_to, counsel_ref);</w:t>
      </w:r>
      <w:r>
        <w:t xml:space="preserve"> </w:t>
      </w:r>
      <w:r>
        <w:rPr>
          <w:rStyle w:val="VerbatimChar"/>
        </w:rPr>
        <w:t xml:space="preserve">member_verification</w:t>
      </w:r>
      <w:r>
        <w:t xml:space="preserve"> </w:t>
      </w:r>
      <w:r>
        <w:t xml:space="preserve">(borrower_id, lender_tenant_id, membership_no_hash, match_factor_type, response_hash, member_status, member_class, can_borrow, can_stand_surety, kyc_status, verified_at);</w:t>
      </w:r>
      <w:r>
        <w:t xml:space="preserve"> </w:t>
      </w:r>
      <w:r>
        <w:rPr>
          <w:rStyle w:val="VerbatimChar"/>
        </w:rPr>
        <w:t xml:space="preserve">membership_application</w:t>
      </w:r>
      <w:r>
        <w:t xml:space="preserve"> </w:t>
      </w:r>
      <w:r>
        <w:t xml:space="preserve">(borrower_id, lender_tenant_id, state, submitted_at, decision_due_at, decision, decided_at, society_ref);</w:t>
      </w:r>
      <w:r>
        <w:t xml:space="preserve"> </w:t>
      </w:r>
      <w:r>
        <w:rPr>
          <w:rStyle w:val="VerbatimChar"/>
        </w:rPr>
        <w:t xml:space="preserve">member_admission_mirror</w:t>
      </w:r>
      <w:r>
        <w:t xml:space="preserve"> </w:t>
      </w:r>
      <w:r>
        <w:t xml:space="preserve">(projection of</w:t>
      </w:r>
      <w:r>
        <w:t xml:space="preserve"> </w:t>
      </w:r>
      <w:r>
        <w:rPr>
          <w:rStyle w:val="VerbatimChar"/>
        </w:rPr>
        <w:t xml:space="preserve">MemberAdmitted</w:t>
      </w:r>
      <w:r>
        <w:t xml:space="preserve">: membership_no, class, admitted_at);</w:t>
      </w:r>
      <w:r>
        <w:t xml:space="preserve"> </w:t>
      </w:r>
      <w:r>
        <w:rPr>
          <w:rStyle w:val="VerbatimChar"/>
        </w:rPr>
        <w:t xml:space="preserve">share_capital_mirror</w:t>
      </w:r>
      <w:r>
        <w:t xml:space="preserve"> </w:t>
      </w:r>
      <w:r>
        <w:t xml:space="preserve">(projection of</w:t>
      </w:r>
      <w:r>
        <w:t xml:space="preserve"> </w:t>
      </w:r>
      <w:r>
        <w:rPr>
          <w:rStyle w:val="VerbatimChar"/>
        </w:rPr>
        <w:t xml:space="preserve">ShareCapitalPosted</w:t>
      </w:r>
      <w:r>
        <w:t xml:space="preserve">: amount, shares, posted_at);</w:t>
      </w:r>
      <w:r>
        <w:t xml:space="preserve"> </w:t>
      </w:r>
      <w:r>
        <w:rPr>
          <w:rStyle w:val="VerbatimChar"/>
        </w:rPr>
        <w:t xml:space="preserve">share_linkage_requirement</w:t>
      </w:r>
      <w:r>
        <w:t xml:space="preserve"> </w:t>
      </w:r>
      <w:r>
        <w:t xml:space="preserve">(application_id, by_law_ref, required_topup, method, member_acceptance_ref);</w:t>
      </w:r>
      <w:r>
        <w:t xml:space="preserve"> </w:t>
      </w:r>
      <w:r>
        <w:rPr>
          <w:rStyle w:val="VerbatimChar"/>
        </w:rPr>
        <w:t xml:space="preserve">surety_invitation</w:t>
      </w:r>
      <w:r>
        <w:t xml:space="preserve"> </w:t>
      </w:r>
      <w:r>
        <w:t xml:space="preserve">(application_id, surety_membership_no_hash, sent_at, channel, expires_at);</w:t>
      </w:r>
      <w:r>
        <w:t xml:space="preserve"> </w:t>
      </w:r>
      <w:r>
        <w:rPr>
          <w:rStyle w:val="VerbatimChar"/>
        </w:rPr>
        <w:t xml:space="preserve">surety_consent</w:t>
      </w:r>
      <w:r>
        <w:t xml:space="preserve"> </w:t>
      </w:r>
      <w:r>
        <w:t xml:space="preserve">(invitation_id, consent_artefact_id, bond_doc_hash, decision, society_validation, decided_at);</w:t>
      </w:r>
      <w:r>
        <w:t xml:space="preserve"> </w:t>
      </w:r>
      <w:r>
        <w:rPr>
          <w:rStyle w:val="VerbatimChar"/>
        </w:rPr>
        <w:t xml:space="preserve">coop_loan_fact_sheet</w:t>
      </w:r>
      <w:r>
        <w:t xml:space="preserve"> </w:t>
      </w:r>
      <w:r>
        <w:t xml:space="preserve">(proposal_no, version, apr, charges, schedule_ref, forum_text, language, sha256);</w:t>
      </w:r>
      <w:r>
        <w:t xml:space="preserve"> </w:t>
      </w:r>
      <w:r>
        <w:rPr>
          <w:rStyle w:val="VerbatimChar"/>
        </w:rPr>
        <w:t xml:space="preserve">equator_coop_gate</w:t>
      </w:r>
      <w:r>
        <w:t xml:space="preserve"> </w:t>
      </w:r>
      <w:r>
        <w:t xml:space="preserve">(case_ref, society_referral_ref, member_consent_ref, counsel_confirmation_ref, track = CONCILIATION only)</w:t>
      </w:r>
    </w:p>
    <w:p>
      <w:pPr>
        <w:numPr>
          <w:ilvl w:val="1"/>
          <w:numId w:val="1534"/>
        </w:numPr>
        <w:pStyle w:val="Compact"/>
      </w:pPr>
      <w:r>
        <w:rPr>
          <w:bCs/>
          <w:b/>
        </w:rPr>
        <w:t xml:space="preserve">JLG (7E MG2):</w:t>
      </w:r>
      <w:r>
        <w:t xml:space="preserve"> </w:t>
      </w:r>
      <w:r>
        <w:rPr>
          <w:rStyle w:val="VerbatimChar"/>
        </w:rPr>
        <w:t xml:space="preserve">mf_group</w:t>
      </w:r>
      <w:r>
        <w:t xml:space="preserve"> </w:t>
      </w:r>
      <w:r>
        <w:t xml:space="preserve">(projection after</w:t>
      </w:r>
      <w:r>
        <w:t xml:space="preserve"> </w:t>
      </w:r>
      <w:r>
        <w:rPr>
          <w:rStyle w:val="VerbatimChar"/>
        </w:rPr>
        <w:t xml:space="preserve">GroupFormed</w:t>
      </w:r>
      <w:r>
        <w:t xml:space="preserve">: group_id, lender_tenant_id, centre_id, village_ref, leader_member_id, deputy_member_id, state, formed_at);</w:t>
      </w:r>
      <w:r>
        <w:t xml:space="preserve"> </w:t>
      </w:r>
      <w:r>
        <w:rPr>
          <w:rStyle w:val="VerbatimChar"/>
        </w:rPr>
        <w:t xml:space="preserve">mf_group_member</w:t>
      </w:r>
      <w:r>
        <w:t xml:space="preserve"> </w:t>
      </w:r>
      <w:r>
        <w:t xml:space="preserve">(group_id, borrower_id, household_ref, relationship_declarations, joined_at, exited_at);</w:t>
      </w:r>
      <w:r>
        <w:t xml:space="preserve"> </w:t>
      </w:r>
      <w:r>
        <w:rPr>
          <w:rStyle w:val="VerbatimChar"/>
        </w:rPr>
        <w:t xml:space="preserve">composition_warning</w:t>
      </w:r>
      <w:r>
        <w:t xml:space="preserve"> </w:t>
      </w:r>
      <w:r>
        <w:t xml:space="preserve">(group_id, rule, shown_at, overridden_by_re_user, override_reason);</w:t>
      </w:r>
      <w:r>
        <w:t xml:space="preserve"> </w:t>
      </w:r>
      <w:r>
        <w:rPr>
          <w:rStyle w:val="VerbatimChar"/>
        </w:rPr>
        <w:t xml:space="preserve">mf_centre</w:t>
      </w:r>
      <w:r>
        <w:t xml:space="preserve"> </w:t>
      </w:r>
      <w:r>
        <w:t xml:space="preserve">(lender_tenant_id, name, designated_place_ref, meeting_day, meeting_time, frequency, agreed_at);</w:t>
      </w:r>
      <w:r>
        <w:t xml:space="preserve"> </w:t>
      </w:r>
      <w:r>
        <w:rPr>
          <w:rStyle w:val="VerbatimChar"/>
        </w:rPr>
        <w:t xml:space="preserve">training_session</w:t>
      </w:r>
      <w:r>
        <w:t xml:space="preserve"> </w:t>
      </w:r>
      <w:r>
        <w:t xml:space="preserve">(group_id, type CGT or GRT, trainer_re_user, scheduled_at, venue_ref, language, duration_planned, status);</w:t>
      </w:r>
      <w:r>
        <w:t xml:space="preserve"> </w:t>
      </w:r>
      <w:r>
        <w:rPr>
          <w:rStyle w:val="VerbatimChar"/>
        </w:rPr>
        <w:t xml:space="preserve">training_attendance</w:t>
      </w:r>
      <w:r>
        <w:t xml:space="preserve"> </w:t>
      </w:r>
      <w:r>
        <w:t xml:space="preserve">(session_id, member_id, present, reason, staff_device_geo_time);</w:t>
      </w:r>
      <w:r>
        <w:t xml:space="preserve"> </w:t>
      </w:r>
      <w:r>
        <w:rPr>
          <w:rStyle w:val="VerbatimChar"/>
        </w:rPr>
        <w:t xml:space="preserve">grt_checklist_result</w:t>
      </w:r>
      <w:r>
        <w:t xml:space="preserve"> </w:t>
      </w:r>
      <w:r>
        <w:t xml:space="preserve">(session_id, re_officer_id, items, outcome, recorded_at);</w:t>
      </w:r>
      <w:r>
        <w:t xml:space="preserve"> </w:t>
      </w:r>
      <w:r>
        <w:rPr>
          <w:rStyle w:val="VerbatimChar"/>
        </w:rPr>
        <w:t xml:space="preserve">household_income_assessment_capture</w:t>
      </w:r>
      <w:r>
        <w:t xml:space="preserve"> </w:t>
      </w:r>
      <w:r>
        <w:t xml:space="preserve">(application_id, profile, income_by_member_source, expenses, divergence_reason, captured_by, consent_ref);</w:t>
      </w:r>
      <w:r>
        <w:t xml:space="preserve"> </w:t>
      </w:r>
      <w:r>
        <w:rPr>
          <w:rStyle w:val="VerbatimChar"/>
        </w:rPr>
        <w:t xml:space="preserve">obligation_ratio_indicative</w:t>
      </w:r>
      <w:r>
        <w:t xml:space="preserve"> </w:t>
      </w:r>
      <w:r>
        <w:t xml:space="preserve">(application_id, obligations_sum, proposed_emi, monthly_income, ratio, cap_applied, computed_at, method_version);</w:t>
      </w:r>
      <w:r>
        <w:t xml:space="preserve"> </w:t>
      </w:r>
      <w:r>
        <w:rPr>
          <w:rStyle w:val="VerbatimChar"/>
        </w:rPr>
        <w:t xml:space="preserve">mfin_guardrail_result</w:t>
      </w:r>
      <w:r>
        <w:t xml:space="preserve"> </w:t>
      </w:r>
      <w:r>
        <w:t xml:space="preserve">(application_id, cir_date, lender_count, unsecured_indebtedness, dpd60_over_3000_flag, voter_id_validation, fee_check, results_source = RE, received_at);</w:t>
      </w:r>
      <w:r>
        <w:t xml:space="preserve"> </w:t>
      </w:r>
      <w:r>
        <w:rPr>
          <w:rStyle w:val="VerbatimChar"/>
        </w:rPr>
        <w:t xml:space="preserve">loan_card_mirror</w:t>
      </w:r>
      <w:r>
        <w:t xml:space="preserve"> </w:t>
      </w:r>
      <w:r>
        <w:t xml:space="preserve">(loan_ref, language, version, entries, last_entry_at);</w:t>
      </w:r>
      <w:r>
        <w:t xml:space="preserve"> </w:t>
      </w:r>
      <w:r>
        <w:rPr>
          <w:rStyle w:val="VerbatimChar"/>
        </w:rPr>
        <w:t xml:space="preserve">peer_support_payment_consent</w:t>
      </w:r>
      <w:r>
        <w:t xml:space="preserve"> </w:t>
      </w:r>
      <w:r>
        <w:t xml:space="preserve">(payer_member_id, beneficiary_member_id, amount, occasion_ref, consent_artefact_id, revoked_at);</w:t>
      </w:r>
      <w:r>
        <w:t xml:space="preserve"> </w:t>
      </w:r>
      <w:r>
        <w:rPr>
          <w:rStyle w:val="VerbatimChar"/>
        </w:rPr>
        <w:t xml:space="preserve">utilisation_check</w:t>
      </w:r>
      <w:r>
        <w:t xml:space="preserve"> </w:t>
      </w:r>
      <w:r>
        <w:t xml:space="preserve">(loan_ref, due_at, done_at, evidence_ref)</w:t>
      </w:r>
    </w:p>
    <w:p>
      <w:pPr>
        <w:numPr>
          <w:ilvl w:val="1"/>
          <w:numId w:val="1534"/>
        </w:numPr>
        <w:pStyle w:val="Compact"/>
      </w:pPr>
      <w:r>
        <w:rPr>
          <w:bCs/>
          <w:b/>
        </w:rPr>
        <w:t xml:space="preserve">SHG (7E MG3):</w:t>
      </w:r>
      <w:r>
        <w:t xml:space="preserve"> </w:t>
      </w:r>
      <w:r>
        <w:rPr>
          <w:rStyle w:val="VerbatimChar"/>
        </w:rPr>
        <w:t xml:space="preserve">shg</w:t>
      </w:r>
      <w:r>
        <w:t xml:space="preserve"> </w:t>
      </w:r>
      <w:r>
        <w:t xml:space="preserve">(name, formed_at, promoting_institution, federation_refs, village_ref, savings_account_masked, penny_drop_ref, meeting_frequency, status);</w:t>
      </w:r>
      <w:r>
        <w:t xml:space="preserve"> </w:t>
      </w:r>
      <w:r>
        <w:rPr>
          <w:rStyle w:val="VerbatimChar"/>
        </w:rPr>
        <w:t xml:space="preserve">shg_member</w:t>
      </w:r>
      <w:r>
        <w:t xml:space="preserve"> </w:t>
      </w:r>
      <w:r>
        <w:t xml:space="preserve">(shg_id, borrower_id or member_ref, role, joined_at, exited_at);</w:t>
      </w:r>
      <w:r>
        <w:t xml:space="preserve"> </w:t>
      </w:r>
      <w:r>
        <w:rPr>
          <w:rStyle w:val="VerbatimChar"/>
        </w:rPr>
        <w:t xml:space="preserve">shg_office_bearer_resolution</w:t>
      </w:r>
      <w:r>
        <w:t xml:space="preserve"> </w:t>
      </w:r>
      <w:r>
        <w:t xml:space="preserve">(shg_id, roles, document_ref, effective_from);</w:t>
      </w:r>
      <w:r>
        <w:t xml:space="preserve"> </w:t>
      </w:r>
      <w:r>
        <w:rPr>
          <w:rStyle w:val="VerbatimChar"/>
        </w:rPr>
        <w:t xml:space="preserve">shg_grading_capture</w:t>
      </w:r>
      <w:r>
        <w:t xml:space="preserve"> </w:t>
      </w:r>
      <w:r>
        <w:t xml:space="preserve">(shg_id, period, meeting_regularity, savings_regularity, internal_lending_rate_of_repayment, books_current, computed_at, lender_grade_ref);</w:t>
      </w:r>
      <w:r>
        <w:t xml:space="preserve"> </w:t>
      </w:r>
      <w:r>
        <w:rPr>
          <w:rStyle w:val="VerbatimChar"/>
        </w:rPr>
        <w:t xml:space="preserve">shg_linkage_application</w:t>
      </w:r>
      <w:r>
        <w:t xml:space="preserve"> </w:t>
      </w:r>
      <w:r>
        <w:t xml:space="preserve">(shg_id, lender_tenant_id, state, purpose, micro_credit_plan_ref, corpus_amount, member_tables_type, submitted_at);</w:t>
      </w:r>
      <w:r>
        <w:t xml:space="preserve"> </w:t>
      </w:r>
      <w:r>
        <w:rPr>
          <w:rStyle w:val="VerbatimChar"/>
        </w:rPr>
        <w:t xml:space="preserve">shg_member_cic_data_capture</w:t>
      </w:r>
      <w:r>
        <w:t xml:space="preserve"> </w:t>
      </w:r>
      <w:r>
        <w:t xml:space="preserve">(application_id, member_id, table 1 or 2, consent_ref);</w:t>
      </w:r>
      <w:r>
        <w:t xml:space="preserve"> </w:t>
      </w:r>
      <w:r>
        <w:rPr>
          <w:rStyle w:val="VerbatimChar"/>
        </w:rPr>
        <w:t xml:space="preserve">shg_book_entry</w:t>
      </w:r>
      <w:r>
        <w:t xml:space="preserve"> </w:t>
      </w:r>
      <w:r>
        <w:t xml:space="preserve">(shg_id, register meeting, savings, internal_loan, cash, bank, federation; entry_type, amount, member_id, maker_id, checker_id, status, reversal_of);</w:t>
      </w:r>
      <w:r>
        <w:t xml:space="preserve"> </w:t>
      </w:r>
      <w:r>
        <w:rPr>
          <w:rStyle w:val="VerbatimChar"/>
        </w:rPr>
        <w:t xml:space="preserve">shg_internal_loan</w:t>
      </w:r>
      <w:r>
        <w:t xml:space="preserve"> </w:t>
      </w:r>
      <w:r>
        <w:t xml:space="preserve">(shg_id, member_id, amount, rate_as_resolved, schedule_ref, resolution_ref, status);</w:t>
      </w:r>
      <w:r>
        <w:t xml:space="preserve"> </w:t>
      </w:r>
      <w:r>
        <w:rPr>
          <w:rStyle w:val="VerbatimChar"/>
        </w:rPr>
        <w:t xml:space="preserve">shg_statement_export</w:t>
      </w:r>
      <w:r>
        <w:t xml:space="preserve"> </w:t>
      </w:r>
      <w:r>
        <w:t xml:space="preserve">(shg_id, period, format, consent_ref, sha256)</w:t>
      </w:r>
    </w:p>
    <w:p>
      <w:pPr>
        <w:numPr>
          <w:ilvl w:val="1"/>
          <w:numId w:val="1534"/>
        </w:numPr>
        <w:pStyle w:val="Compact"/>
      </w:pPr>
      <w:r>
        <w:rPr>
          <w:bCs/>
          <w:b/>
        </w:rPr>
        <w:t xml:space="preserve">Assisted mode and field records (7E MG4):</w:t>
      </w:r>
      <w:r>
        <w:t xml:space="preserve"> </w:t>
      </w:r>
      <w:r>
        <w:rPr>
          <w:rStyle w:val="VerbatimChar"/>
        </w:rPr>
        <w:t xml:space="preserve">assisted_session</w:t>
      </w:r>
      <w:r>
        <w:t xml:space="preserve"> </w:t>
      </w:r>
      <w:r>
        <w:t xml:space="preserve">(adds lender_tenant_id, staff_role, steps_assisted, member_completion_evidence_ref, staff_device_geo_time_at_start);</w:t>
      </w:r>
      <w:r>
        <w:t xml:space="preserve"> </w:t>
      </w:r>
      <w:r>
        <w:rPr>
          <w:rStyle w:val="VerbatimChar"/>
        </w:rPr>
        <w:t xml:space="preserve">low_literacy_consent_evidence</w:t>
      </w:r>
      <w:r>
        <w:t xml:space="preserve"> </w:t>
      </w:r>
      <w:r>
        <w:t xml:space="preserve">(consent_artefact_id, form_photo_doc_ref, audio_ref, second_person_id, second_person_role, language, captured_at);</w:t>
      </w:r>
      <w:r>
        <w:t xml:space="preserve"> </w:t>
      </w:r>
      <w:r>
        <w:rPr>
          <w:rStyle w:val="VerbatimChar"/>
        </w:rPr>
        <w:t xml:space="preserve">field_device</w:t>
      </w:r>
      <w:r>
        <w:t xml:space="preserve"> </w:t>
      </w:r>
      <w:r>
        <w:t xml:space="preserve">(adds mdm_enrolment_ref, allocated_centres, local_store_purge_due_at, last_trusted_time);</w:t>
      </w:r>
      <w:r>
        <w:t xml:space="preserve"> </w:t>
      </w:r>
      <w:r>
        <w:rPr>
          <w:rStyle w:val="VerbatimChar"/>
        </w:rPr>
        <w:t xml:space="preserve">offline_sync_batch</w:t>
      </w:r>
      <w:r>
        <w:t xml:space="preserve"> </w:t>
      </w:r>
      <w:r>
        <w:t xml:space="preserve">(adds device_signature, device_serial_range, previous_batch_hash, chain_head_hash, clock_drift_seconds, conflict_log_ref, state</w:t>
      </w:r>
      <w:r>
        <w:t xml:space="preserve"> </w:t>
      </w:r>
      <w:r>
        <w:rPr>
          <w:rStyle w:val="VerbatimChar"/>
        </w:rPr>
        <w:t xml:space="preserve">QUEUED → UPLOADING → ACCEPTED | CONFLICT | REJECTED</w:t>
      </w:r>
      <w:r>
        <w:t xml:space="preserve">; accepted or rejected whole);</w:t>
      </w:r>
      <w:r>
        <w:t xml:space="preserve"> </w:t>
      </w:r>
      <w:r>
        <w:rPr>
          <w:rStyle w:val="VerbatimChar"/>
        </w:rPr>
        <w:t xml:space="preserve">sync_conflict</w:t>
      </w:r>
      <w:r>
        <w:t xml:space="preserve"> </w:t>
      </w:r>
      <w:r>
        <w:t xml:space="preserve">(batch_id, entity, entity_id, field, server_version, field_version, rule, resolver_role, resolver_id, resolution, resolved_at);</w:t>
      </w:r>
      <w:r>
        <w:t xml:space="preserve"> </w:t>
      </w:r>
      <w:r>
        <w:rPr>
          <w:rStyle w:val="VerbatimChar"/>
        </w:rPr>
        <w:t xml:space="preserve">collection_sheet</w:t>
      </w:r>
      <w:r>
        <w:t xml:space="preserve"> </w:t>
      </w:r>
      <w:r>
        <w:t xml:space="preserve">(meeting_id, lender_tenant_id, generated_from_ref, member_lines, totals);</w:t>
      </w:r>
      <w:r>
        <w:t xml:space="preserve"> </w:t>
      </w:r>
      <w:r>
        <w:rPr>
          <w:rStyle w:val="VerbatimChar"/>
        </w:rPr>
        <w:t xml:space="preserve">group_receipt</w:t>
      </w:r>
      <w:r>
        <w:t xml:space="preserve"> </w:t>
      </w:r>
      <w:r>
        <w:t xml:space="preserve">(receipt_no, device_id, chain_prev_hash, signature, lender_tenant_id, member_id, loan_ref, amount, mode, collector_id, collector_role, meeting_id, geo_time, sms_ref, posting_status);</w:t>
      </w:r>
      <w:r>
        <w:t xml:space="preserve"> </w:t>
      </w:r>
      <w:r>
        <w:rPr>
          <w:rStyle w:val="VerbatimChar"/>
        </w:rPr>
        <w:t xml:space="preserve">centre_meeting</w:t>
      </w:r>
      <w:r>
        <w:t xml:space="preserve"> </w:t>
      </w:r>
      <w:r>
        <w:t xml:space="preserve">(centre_id, held_at, ended_at, attendance, issues, next_meeting_at, closed_by,</w:t>
      </w:r>
      <w:r>
        <w:t xml:space="preserve"> </w:t>
      </w:r>
      <w:r>
        <w:rPr>
          <w:rStyle w:val="VerbatimChar"/>
        </w:rPr>
        <w:t xml:space="preserve">CentreMeetingHeld</w:t>
      </w:r>
      <w:r>
        <w:t xml:space="preserve"> </w:t>
      </w:r>
      <w:r>
        <w:t xml:space="preserve">ref);</w:t>
      </w:r>
      <w:r>
        <w:t xml:space="preserve"> </w:t>
      </w:r>
      <w:r>
        <w:rPr>
          <w:rStyle w:val="VerbatimChar"/>
        </w:rPr>
        <w:t xml:space="preserve">group_collection_posting_mirror</w:t>
      </w:r>
      <w:r>
        <w:t xml:space="preserve"> </w:t>
      </w:r>
      <w:r>
        <w:t xml:space="preserve">(projection of</w:t>
      </w:r>
      <w:r>
        <w:t xml:space="preserve"> </w:t>
      </w:r>
      <w:r>
        <w:rPr>
          <w:rStyle w:val="VerbatimChar"/>
        </w:rPr>
        <w:t xml:space="preserve">GroupCollectionPosted</w:t>
      </w:r>
      <w:r>
        <w:t xml:space="preserve">: receipt_refs, posted_at, cit_ref, variance);</w:t>
      </w:r>
      <w:r>
        <w:t xml:space="preserve"> </w:t>
      </w:r>
      <w:r>
        <w:rPr>
          <w:rStyle w:val="VerbatimChar"/>
        </w:rPr>
        <w:t xml:space="preserve">field_event_checklist</w:t>
      </w:r>
      <w:r>
        <w:t xml:space="preserve"> </w:t>
      </w:r>
      <w:r>
        <w:t xml:space="preserve">(event_ref, designated_place_or_reason, window_ok, state_overlay_items, completed_by);</w:t>
      </w:r>
      <w:r>
        <w:t xml:space="preserve"> </w:t>
      </w:r>
      <w:r>
        <w:rPr>
          <w:rStyle w:val="VerbatimChar"/>
        </w:rPr>
        <w:t xml:space="preserve">re_cash_collection_opinion</w:t>
      </w:r>
      <w:r>
        <w:t xml:space="preserve"> </w:t>
      </w:r>
      <w:r>
        <w:t xml:space="preserve">(lender_tenant_id, product_id, opinion_ref, effective_from, effective_to; absent = UPI QR only, CF para 10(2), 10(5))</w:t>
      </w:r>
    </w:p>
    <w:p>
      <w:pPr>
        <w:numPr>
          <w:ilvl w:val="1"/>
          <w:numId w:val="1534"/>
        </w:numPr>
        <w:pStyle w:val="Compact"/>
      </w:pPr>
      <w:r>
        <w:rPr>
          <w:bCs/>
          <w:b/>
        </w:rPr>
        <w:t xml:space="preserve">Product plug-in framework (7F XP1, XP3):</w:t>
      </w:r>
      <w:r>
        <w:t xml:space="preserve"> </w:t>
      </w:r>
      <w:r>
        <w:rPr>
          <w:rStyle w:val="VerbatimChar"/>
        </w:rPr>
        <w:t xml:space="preserve">product_module</w:t>
      </w:r>
      <w:r>
        <w:t xml:space="preserve"> </w:t>
      </w:r>
      <w:r>
        <w:t xml:space="preserve">(module_id, version, category, regulator, state, kill_switch_key, compliance_approver, legal_note_ref, summary_sheet_template_ref, rv_stream_id, effective_from, sunset_at);</w:t>
      </w:r>
      <w:r>
        <w:t xml:space="preserve"> </w:t>
      </w:r>
      <w:r>
        <w:rPr>
          <w:rStyle w:val="VerbatimChar"/>
        </w:rPr>
        <w:t xml:space="preserve">product_licence</w:t>
      </w:r>
      <w:r>
        <w:t xml:space="preserve"> </w:t>
      </w:r>
      <w:r>
        <w:t xml:space="preserve">(module_id, regulator, licence_type, holder, number, permitted_lines, valid_from, valid_to, principal_officer, reregistration_filed_at, annual_fee_paid_at);</w:t>
      </w:r>
      <w:r>
        <w:t xml:space="preserve"> </w:t>
      </w:r>
      <w:r>
        <w:rPr>
          <w:rStyle w:val="VerbatimChar"/>
        </w:rPr>
        <w:t xml:space="preserve">product_partner_agreement</w:t>
      </w:r>
      <w:r>
        <w:t xml:space="preserve"> </w:t>
      </w:r>
      <w:r>
        <w:t xml:space="preserve">(module_id, partner, line, agreement_ref, effective_from, effective_to, tie_up_count_check);</w:t>
      </w:r>
      <w:r>
        <w:t xml:space="preserve"> </w:t>
      </w:r>
      <w:r>
        <w:rPr>
          <w:rStyle w:val="VerbatimChar"/>
        </w:rPr>
        <w:t xml:space="preserve">product_consent_scope</w:t>
      </w:r>
      <w:r>
        <w:t xml:space="preserve"> </w:t>
      </w:r>
      <w:r>
        <w:t xml:space="preserve">(module_id, purpose, default_value = false, notice_version);</w:t>
      </w:r>
      <w:r>
        <w:t xml:space="preserve"> </w:t>
      </w:r>
      <w:r>
        <w:rPr>
          <w:rStyle w:val="VerbatimChar"/>
        </w:rPr>
        <w:t xml:space="preserve">product_disclosure_set</w:t>
      </w:r>
      <w:r>
        <w:t xml:space="preserve"> </w:t>
      </w:r>
      <w:r>
        <w:t xml:space="preserve">(module_id, language, own_vs_third_party_label, seller_identity, remuneration_line, regulator_statement, version);</w:t>
      </w:r>
      <w:r>
        <w:t xml:space="preserve"> </w:t>
      </w:r>
      <w:r>
        <w:rPr>
          <w:rStyle w:val="VerbatimChar"/>
        </w:rPr>
        <w:t xml:space="preserve">product_summary_sheet</w:t>
      </w:r>
      <w:r>
        <w:t xml:space="preserve"> </w:t>
      </w:r>
      <w:r>
        <w:t xml:space="preserve">(module_id, version, language, sha256);</w:t>
      </w:r>
      <w:r>
        <w:t xml:space="preserve"> </w:t>
      </w:r>
      <w:r>
        <w:rPr>
          <w:rStyle w:val="VerbatimChar"/>
        </w:rPr>
        <w:t xml:space="preserve">feasibility_note</w:t>
      </w:r>
      <w:r>
        <w:t xml:space="preserve"> </w:t>
      </w:r>
      <w:r>
        <w:t xml:space="preserve">(adds category, licence_route, legal_signoff_ref, owner_approval_ref);</w:t>
      </w:r>
      <w:r>
        <w:t xml:space="preserve"> </w:t>
      </w:r>
      <w:r>
        <w:rPr>
          <w:rStyle w:val="VerbatimChar"/>
        </w:rPr>
        <w:t xml:space="preserve">ui_audit_record</w:t>
      </w:r>
      <w:r>
        <w:t xml:space="preserve"> </w:t>
      </w:r>
      <w:r>
        <w:t xml:space="preserve">(module_id, ui_version, patterns_checked, result, approver, evidence_ref, audited_at);</w:t>
      </w:r>
      <w:r>
        <w:t xml:space="preserve"> </w:t>
      </w:r>
      <w:r>
        <w:rPr>
          <w:rStyle w:val="VerbatimChar"/>
        </w:rPr>
        <w:t xml:space="preserve">product_vault_key</w:t>
      </w:r>
      <w:r>
        <w:t xml:space="preserve"> </w:t>
      </w:r>
      <w:r>
        <w:t xml:space="preserve">(module_id, kms_key_ref)</w:t>
      </w:r>
    </w:p>
    <w:p>
      <w:pPr>
        <w:numPr>
          <w:ilvl w:val="1"/>
          <w:numId w:val="1534"/>
        </w:numPr>
        <w:pStyle w:val="Compact"/>
      </w:pPr>
      <w:r>
        <w:rPr>
          <w:bCs/>
          <w:b/>
        </w:rPr>
        <w:t xml:space="preserve">Insurance (7F XP2):</w:t>
      </w:r>
      <w:r>
        <w:t xml:space="preserve"> </w:t>
      </w:r>
      <w:r>
        <w:rPr>
          <w:rStyle w:val="VerbatimChar"/>
        </w:rPr>
        <w:t xml:space="preserve">insurance_needs_record</w:t>
      </w:r>
      <w:r>
        <w:t xml:space="preserve"> </w:t>
      </w:r>
      <w:r>
        <w:t xml:space="preserve">(consumer_id, answers, captured_at, consent_ref);</w:t>
      </w:r>
      <w:r>
        <w:t xml:space="preserve"> </w:t>
      </w:r>
      <w:r>
        <w:rPr>
          <w:rStyle w:val="VerbatimChar"/>
        </w:rPr>
        <w:t xml:space="preserve">insurance_quote</w:t>
      </w:r>
      <w:r>
        <w:t xml:space="preserve"> </w:t>
      </w:r>
      <w:r>
        <w:t xml:space="preserve">(needs_id, insurer, product, premium, cover, key_exclusions_ref, valid_until,</w:t>
      </w:r>
      <w:r>
        <w:t xml:space="preserve"> </w:t>
      </w:r>
      <w:r>
        <w:rPr>
          <w:rStyle w:val="VerbatimChar"/>
        </w:rPr>
        <w:t xml:space="preserve">InsuranceQuoteRequested</w:t>
      </w:r>
      <w:r>
        <w:t xml:space="preserve"> </w:t>
      </w:r>
      <w:r>
        <w:t xml:space="preserve">ref);</w:t>
      </w:r>
      <w:r>
        <w:t xml:space="preserve"> </w:t>
      </w:r>
      <w:r>
        <w:rPr>
          <w:rStyle w:val="VerbatimChar"/>
        </w:rPr>
        <w:t xml:space="preserve">insurance_proposal</w:t>
      </w:r>
      <w:r>
        <w:t xml:space="preserve"> </w:t>
      </w:r>
      <w:r>
        <w:t xml:space="preserve">(quote_id, insurer_proposal_ref, consent_ref, submitted_at, status);</w:t>
      </w:r>
      <w:r>
        <w:t xml:space="preserve"> </w:t>
      </w:r>
      <w:r>
        <w:rPr>
          <w:rStyle w:val="VerbatimChar"/>
        </w:rPr>
        <w:t xml:space="preserve">insurance_policy</w:t>
      </w:r>
      <w:r>
        <w:t xml:space="preserve"> </w:t>
      </w:r>
      <w:r>
        <w:t xml:space="preserve">(insurer, policy_no, product, sum_insured, premium, term, issued_at, free_look_until, seller_name, seller_functional_id, principal_officer_contact,</w:t>
      </w:r>
      <w:r>
        <w:t xml:space="preserve"> </w:t>
      </w:r>
      <w:r>
        <w:rPr>
          <w:rStyle w:val="VerbatimChar"/>
        </w:rPr>
        <w:t xml:space="preserve">PolicyIssued</w:t>
      </w:r>
      <w:r>
        <w:t xml:space="preserve"> </w:t>
      </w:r>
      <w:r>
        <w:t xml:space="preserve">ref, status);</w:t>
      </w:r>
      <w:r>
        <w:t xml:space="preserve"> </w:t>
      </w:r>
      <w:r>
        <w:rPr>
          <w:rStyle w:val="VerbatimChar"/>
        </w:rPr>
        <w:t xml:space="preserve">premium_payment_ref</w:t>
      </w:r>
      <w:r>
        <w:t xml:space="preserve"> </w:t>
      </w:r>
      <w:r>
        <w:t xml:space="preserve">(policy_id, insurer_gateway_ref, mandate_ref, amount, paid_at; no Udofin settlement field);</w:t>
      </w:r>
      <w:r>
        <w:t xml:space="preserve"> </w:t>
      </w:r>
      <w:r>
        <w:rPr>
          <w:rStyle w:val="VerbatimChar"/>
        </w:rPr>
        <w:t xml:space="preserve">seller_tagging_check</w:t>
      </w:r>
      <w:r>
        <w:t xml:space="preserve"> </w:t>
      </w:r>
      <w:r>
        <w:t xml:space="preserve">(policy_id, expected, found, result, checked_at);</w:t>
      </w:r>
      <w:r>
        <w:t xml:space="preserve"> </w:t>
      </w:r>
      <w:r>
        <w:rPr>
          <w:rStyle w:val="VerbatimChar"/>
        </w:rPr>
        <w:t xml:space="preserve">claim_assistance_ticket</w:t>
      </w:r>
      <w:r>
        <w:t xml:space="preserve"> </w:t>
      </w:r>
      <w:r>
        <w:t xml:space="preserve">(policy_id, claim_type, event_date, insurer_claim_no, status_mirror, documents,</w:t>
      </w:r>
      <w:r>
        <w:t xml:space="preserve"> </w:t>
      </w:r>
      <w:r>
        <w:rPr>
          <w:rStyle w:val="VerbatimChar"/>
        </w:rPr>
        <w:t xml:space="preserve">ClaimAssistanceRequested</w:t>
      </w:r>
      <w:r>
        <w:t xml:space="preserve"> </w:t>
      </w:r>
      <w:r>
        <w:t xml:space="preserve">ref);</w:t>
      </w:r>
      <w:r>
        <w:t xml:space="preserve"> </w:t>
      </w:r>
      <w:r>
        <w:rPr>
          <w:rStyle w:val="VerbatimChar"/>
        </w:rPr>
        <w:t xml:space="preserve">insurance_complaint</w:t>
      </w:r>
      <w:r>
        <w:t xml:space="preserve"> </w:t>
      </w:r>
      <w:r>
        <w:t xml:space="preserve">(policy_id, tier, insurer_gro_ref, bima_bharosa_ref, ombudsman_deadline, status);</w:t>
      </w:r>
      <w:r>
        <w:t xml:space="preserve"> </w:t>
      </w:r>
      <w:r>
        <w:rPr>
          <w:rStyle w:val="VerbatimChar"/>
        </w:rPr>
        <w:t xml:space="preserve">free_look_cancellation</w:t>
      </w:r>
      <w:r>
        <w:t xml:space="preserve"> </w:t>
      </w:r>
      <w:r>
        <w:t xml:space="preserve">(policy_id, requested_at, insurer_ack_ref, refund_status_mirror);</w:t>
      </w:r>
      <w:r>
        <w:t xml:space="preserve"> </w:t>
      </w:r>
      <w:r>
        <w:rPr>
          <w:rStyle w:val="VerbatimChar"/>
        </w:rPr>
        <w:t xml:space="preserve">insurance_journey</w:t>
      </w:r>
      <w:r>
        <w:t xml:space="preserve"> </w:t>
      </w:r>
      <w:r>
        <w:t xml:space="preserve">(consumer_id, module_id, state, needs_id, needs_check_result, quote_ids, consent_refs, idempotency_key, payment_link_expires_at, issuance_watch_until, last_insurer_status_at, expires_at)</w:t>
      </w:r>
    </w:p>
    <w:p>
      <w:pPr>
        <w:numPr>
          <w:ilvl w:val="1"/>
          <w:numId w:val="1534"/>
        </w:numPr>
        <w:pStyle w:val="Compact"/>
      </w:pPr>
      <w:r>
        <w:rPr>
          <w:bCs/>
          <w:b/>
        </w:rPr>
        <w:t xml:space="preserve">Sales practice (7F XP4):</w:t>
      </w:r>
      <w:r>
        <w:t xml:space="preserve"> </w:t>
      </w:r>
      <w:r>
        <w:rPr>
          <w:rStyle w:val="VerbatimChar"/>
        </w:rPr>
        <w:t xml:space="preserve">sales_evidence_record</w:t>
      </w:r>
      <w:r>
        <w:t xml:space="preserve"> </w:t>
      </w:r>
      <w:r>
        <w:t xml:space="preserve">(product, consumer_id, consent_ref, summary_sheet_ref, ui_version, sale_at, feedback_ref, review_ref, refund_ref);</w:t>
      </w:r>
      <w:r>
        <w:t xml:space="preserve"> </w:t>
      </w:r>
      <w:r>
        <w:rPr>
          <w:rStyle w:val="VerbatimChar"/>
        </w:rPr>
        <w:t xml:space="preserve">post_sale_feedback</w:t>
      </w:r>
      <w:r>
        <w:t xml:space="preserve"> </w:t>
      </w:r>
      <w:r>
        <w:t xml:space="preserve">(sale_id, due_at, done_at, wanted, explained, notes);</w:t>
      </w:r>
      <w:r>
        <w:t xml:space="preserve"> </w:t>
      </w:r>
      <w:r>
        <w:rPr>
          <w:rStyle w:val="VerbatimChar"/>
        </w:rPr>
        <w:t xml:space="preserve">mis_selling_review</w:t>
      </w:r>
      <w:r>
        <w:t xml:space="preserve"> </w:t>
      </w:r>
      <w:r>
        <w:t xml:space="preserve">(sale_id, trigger, state, opened_at, maker_id, checker_id, finding, outcome, refund_amount, compensation_amount, staff_accountability_ref, closed_at);</w:t>
      </w:r>
      <w:r>
        <w:t xml:space="preserve"> </w:t>
      </w:r>
      <w:r>
        <w:rPr>
          <w:rStyle w:val="VerbatimChar"/>
        </w:rPr>
        <w:t xml:space="preserve">cross_sell_suppression</w:t>
      </w:r>
      <w:r>
        <w:t xml:space="preserve"> </w:t>
      </w:r>
      <w:r>
        <w:t xml:space="preserve">(consumer_id, reason overdue, grievance, death, hardship, microfinance_30d, cooling_off; until)</w:t>
      </w:r>
    </w:p>
    <w:p>
      <w:pPr>
        <w:numPr>
          <w:ilvl w:val="1"/>
          <w:numId w:val="1534"/>
        </w:numPr>
        <w:pStyle w:val="Compact"/>
      </w:pPr>
      <w:r>
        <w:rPr>
          <w:bCs/>
          <w:b/>
        </w:rPr>
        <w:t xml:space="preserve">Revenue catalogue and legality gate (7G RV1):</w:t>
      </w:r>
      <w:r>
        <w:t xml:space="preserve"> </w:t>
      </w:r>
      <w:r>
        <w:rPr>
          <w:rStyle w:val="VerbatimChar"/>
        </w:rPr>
        <w:t xml:space="preserve">revenue_stream_mirror</w:t>
      </w:r>
      <w:r>
        <w:t xml:space="preserve"> </w:t>
      </w:r>
      <w:r>
        <w:t xml:space="preserve">(stream_id, oh_catalogue_version, payer, pricing_models_allowed, legal_basis, regulatory_refs, legal_opinion_ref, owner_decision_ref, tax_treatment_ref, conflict_check_ref, gate_state, reviewed_at, next_review_at);</w:t>
      </w:r>
      <w:r>
        <w:t xml:space="preserve"> </w:t>
      </w:r>
      <w:r>
        <w:rPr>
          <w:rStyle w:val="VerbatimChar"/>
        </w:rPr>
        <w:t xml:space="preserve">revenue_deny_rule</w:t>
      </w:r>
      <w:r>
        <w:t xml:space="preserve"> </w:t>
      </w:r>
      <w:r>
        <w:t xml:space="preserve">(code, description, citation; immutable);</w:t>
      </w:r>
      <w:r>
        <w:t xml:space="preserve"> </w:t>
      </w:r>
      <w:r>
        <w:rPr>
          <w:rStyle w:val="VerbatimChar"/>
        </w:rPr>
        <w:t xml:space="preserve">deal_pricing_selection</w:t>
      </w:r>
      <w:r>
        <w:t xml:space="preserve"> </w:t>
      </w:r>
      <w:r>
        <w:t xml:space="preserve">(deal_version_id, stream_id, pricing_model, rates, minimums, effective_from);</w:t>
      </w:r>
      <w:r>
        <w:t xml:space="preserve"> </w:t>
      </w:r>
      <w:r>
        <w:rPr>
          <w:rStyle w:val="VerbatimChar"/>
        </w:rPr>
        <w:t xml:space="preserve">usage_meter_event</w:t>
      </w:r>
      <w:r>
        <w:t xml:space="preserve"> </w:t>
      </w:r>
      <w:r>
        <w:t xml:space="preserve">(meter, lender_tenant_id, source_event_id, quantity, period,</w:t>
      </w:r>
      <w:r>
        <w:t xml:space="preserve"> </w:t>
      </w:r>
      <w:r>
        <w:rPr>
          <w:rStyle w:val="VerbatimChar"/>
        </w:rPr>
        <w:t xml:space="preserve">UsageRecorded</w:t>
      </w:r>
      <w:r>
        <w:t xml:space="preserve"> </w:t>
      </w:r>
      <w:r>
        <w:t xml:space="preserve">ref);</w:t>
      </w:r>
      <w:r>
        <w:t xml:space="preserve"> </w:t>
      </w:r>
      <w:r>
        <w:rPr>
          <w:rStyle w:val="VerbatimChar"/>
        </w:rPr>
        <w:t xml:space="preserve">dlg_economics_snapshot</w:t>
      </w:r>
      <w:r>
        <w:t xml:space="preserve"> </w:t>
      </w:r>
      <w:r>
        <w:t xml:space="preserve">(dlg_set_id, fee_income, expected_loss, capital_committed, invocations, recoveries, net_margin, as_of)</w:t>
      </w:r>
    </w:p>
    <w:p>
      <w:pPr>
        <w:numPr>
          <w:ilvl w:val="1"/>
          <w:numId w:val="1534"/>
        </w:numPr>
        <w:pStyle w:val="Compact"/>
      </w:pPr>
      <w:r>
        <w:rPr>
          <w:bCs/>
          <w:b/>
        </w:rPr>
        <w:t xml:space="preserve">Billing pages and B2C billing (7G RV2–RV3):</w:t>
      </w:r>
      <w:r>
        <w:t xml:space="preserve"> </w:t>
      </w:r>
      <w:r>
        <w:rPr>
          <w:rStyle w:val="VerbatimChar"/>
        </w:rPr>
        <w:t xml:space="preserve">plan_catalogue_mirror</w:t>
      </w:r>
      <w:r>
        <w:t xml:space="preserve"> </w:t>
      </w:r>
      <w:r>
        <w:t xml:space="preserve">(plan_id, version, stream_id, price_incl_gst, period, entitlements, display_order, effective_from);</w:t>
      </w:r>
      <w:r>
        <w:t xml:space="preserve"> </w:t>
      </w:r>
      <w:r>
        <w:rPr>
          <w:rStyle w:val="VerbatimChar"/>
        </w:rPr>
        <w:t xml:space="preserve">entitlement</w:t>
      </w:r>
      <w:r>
        <w:t xml:space="preserve"> </w:t>
      </w:r>
      <w:r>
        <w:t xml:space="preserve">(subject_type RE or CONSUMER, subject_id, plan_id, feature_keys, valid_from, valid_to,</w:t>
      </w:r>
      <w:r>
        <w:t xml:space="preserve"> </w:t>
      </w:r>
      <w:r>
        <w:rPr>
          <w:rStyle w:val="VerbatimChar"/>
        </w:rPr>
        <w:t xml:space="preserve">EntitlementChanged</w:t>
      </w:r>
      <w:r>
        <w:t xml:space="preserve"> </w:t>
      </w:r>
      <w:r>
        <w:t xml:space="preserve">ref);</w:t>
      </w:r>
      <w:r>
        <w:t xml:space="preserve"> </w:t>
      </w:r>
      <w:r>
        <w:rPr>
          <w:rStyle w:val="VerbatimChar"/>
        </w:rPr>
        <w:t xml:space="preserve">consumer_subscription</w:t>
      </w:r>
      <w:r>
        <w:t xml:space="preserve"> </w:t>
      </w:r>
      <w:r>
        <w:t xml:space="preserve">(consumer_id, plan_id, state, started_at, current_period_end, cancel_at_period_end, gateway_subscription_ref, mandate_ref, trial_end_choice);</w:t>
      </w:r>
      <w:r>
        <w:t xml:space="preserve"> </w:t>
      </w:r>
      <w:r>
        <w:rPr>
          <w:rStyle w:val="VerbatimChar"/>
        </w:rPr>
        <w:t xml:space="preserve">gateway_credential</w:t>
      </w:r>
      <w:r>
        <w:t xml:space="preserve"> </w:t>
      </w:r>
      <w:r>
        <w:t xml:space="preserve">(purpose UDOFIN_REVENUE or RE_LOAN, lender_tenant_id nullable, vault_ref, environment);</w:t>
      </w:r>
      <w:r>
        <w:t xml:space="preserve"> </w:t>
      </w:r>
      <w:r>
        <w:rPr>
          <w:rStyle w:val="VerbatimChar"/>
        </w:rPr>
        <w:t xml:space="preserve">billing_payment</w:t>
      </w:r>
      <w:r>
        <w:t xml:space="preserve"> </w:t>
      </w:r>
      <w:r>
        <w:t xml:space="preserve">(subscription_id, gateway_payment_ref, amount, status, status_precedence, captured_at);</w:t>
      </w:r>
      <w:r>
        <w:t xml:space="preserve"> </w:t>
      </w:r>
      <w:r>
        <w:rPr>
          <w:rStyle w:val="VerbatimChar"/>
        </w:rPr>
        <w:t xml:space="preserve">billing_webhook_event</w:t>
      </w:r>
      <w:r>
        <w:t xml:space="preserve"> </w:t>
      </w:r>
      <w:r>
        <w:t xml:space="preserve">(event_id, type, signature_valid, received_at, applied_at);</w:t>
      </w:r>
      <w:r>
        <w:t xml:space="preserve"> </w:t>
      </w:r>
      <w:r>
        <w:rPr>
          <w:rStyle w:val="VerbatimChar"/>
        </w:rPr>
        <w:t xml:space="preserve">refund</w:t>
      </w:r>
      <w:r>
        <w:t xml:space="preserve"> </w:t>
      </w:r>
      <w:r>
        <w:t xml:space="preserve">(payment_id, amount, reason, maker_id, checker_id, gateway_refund_ref, status, credit_note_id);</w:t>
      </w:r>
      <w:r>
        <w:t xml:space="preserve"> </w:t>
      </w:r>
      <w:r>
        <w:rPr>
          <w:rStyle w:val="VerbatimChar"/>
        </w:rPr>
        <w:t xml:space="preserve">consumer_invoice</w:t>
      </w:r>
      <w:r>
        <w:t xml:space="preserve"> </w:t>
      </w:r>
      <w:r>
        <w:t xml:space="preserve">(invoice_no, fy_series, gstin_seller, customer_gstin nullable, place_of_supply, sac, taxable_value, cgst, sgst, igst, total, irn nullable, pdf_ref);</w:t>
      </w:r>
      <w:r>
        <w:t xml:space="preserve"> </w:t>
      </w:r>
      <w:r>
        <w:rPr>
          <w:rStyle w:val="VerbatimChar"/>
        </w:rPr>
        <w:t xml:space="preserve">credit_note</w:t>
      </w:r>
      <w:r>
        <w:t xml:space="preserve"> </w:t>
      </w:r>
      <w:r>
        <w:t xml:space="preserve">(invoice_id, amount, reason, irn nullable, pdf_ref);</w:t>
      </w:r>
      <w:r>
        <w:t xml:space="preserve"> </w:t>
      </w:r>
      <w:r>
        <w:rPr>
          <w:rStyle w:val="VerbatimChar"/>
        </w:rPr>
        <w:t xml:space="preserve">billing_reconciliation_run</w:t>
      </w:r>
      <w:r>
        <w:t xml:space="preserve"> </w:t>
      </w:r>
      <w:r>
        <w:t xml:space="preserve">(business_date, gateway_total, ledger_total, breaks);</w:t>
      </w:r>
      <w:r>
        <w:t xml:space="preserve"> </w:t>
      </w:r>
      <w:r>
        <w:rPr>
          <w:rStyle w:val="VerbatimChar"/>
        </w:rPr>
        <w:t xml:space="preserve">plan_change</w:t>
      </w:r>
      <w:r>
        <w:t xml:space="preserve"> </w:t>
      </w:r>
      <w:r>
        <w:t xml:space="preserve">(subject_type RE or CONSUMER, subject_id, from_plan_id, to_plan_id, state, proration_amount, gst_amount, preview_expires_at, effective_at, mandate_action, idempotency_key, maker_id, checker_id, oh_proration_ref,</w:t>
      </w:r>
      <w:r>
        <w:t xml:space="preserve"> </w:t>
      </w:r>
      <w:r>
        <w:rPr>
          <w:rStyle w:val="VerbatimChar"/>
        </w:rPr>
        <w:t xml:space="preserve">EntitlementChanged</w:t>
      </w:r>
      <w:r>
        <w:t xml:space="preserve"> </w:t>
      </w:r>
      <w:r>
        <w:t xml:space="preserve">ref nullable)</w:t>
      </w:r>
    </w:p>
    <w:p>
      <w:pPr>
        <w:numPr>
          <w:ilvl w:val="1"/>
          <w:numId w:val="1534"/>
        </w:numPr>
        <w:pStyle w:val="Compact"/>
      </w:pPr>
      <w:r>
        <w:rPr>
          <w:bCs/>
          <w:b/>
        </w:rPr>
        <w:t xml:space="preserve">Advertising (7G RV4):</w:t>
      </w:r>
      <w:r>
        <w:t xml:space="preserve"> </w:t>
      </w:r>
      <w:r>
        <w:rPr>
          <w:rStyle w:val="VerbatimChar"/>
        </w:rPr>
        <w:t xml:space="preserve">advertiser</w:t>
      </w:r>
      <w:r>
        <w:t xml:space="preserve"> </w:t>
      </w:r>
      <w:r>
        <w:t xml:space="preserve">(legal_name, gstin, sector_licence_type, licence_ref, dla_list_check, verified_at, status);</w:t>
      </w:r>
      <w:r>
        <w:t xml:space="preserve"> </w:t>
      </w:r>
      <w:r>
        <w:rPr>
          <w:rStyle w:val="VerbatimChar"/>
        </w:rPr>
        <w:t xml:space="preserve">ad_creative</w:t>
      </w:r>
      <w:r>
        <w:t xml:space="preserve"> </w:t>
      </w:r>
      <w:r>
        <w:t xml:space="preserve">(advertiser_id, version, language, sha256, category, claims_checked, state);</w:t>
      </w:r>
      <w:r>
        <w:t xml:space="preserve"> </w:t>
      </w:r>
      <w:r>
        <w:rPr>
          <w:rStyle w:val="VerbatimChar"/>
        </w:rPr>
        <w:t xml:space="preserve">ad_review</w:t>
      </w:r>
      <w:r>
        <w:t xml:space="preserve"> </w:t>
      </w:r>
      <w:r>
        <w:t xml:space="preserve">(creative_id, policy_result, compliance_approver, decided_at, reasons);</w:t>
      </w:r>
      <w:r>
        <w:t xml:space="preserve"> </w:t>
      </w:r>
      <w:r>
        <w:rPr>
          <w:rStyle w:val="VerbatimChar"/>
        </w:rPr>
        <w:t xml:space="preserve">ad_placement</w:t>
      </w:r>
      <w:r>
        <w:t xml:space="preserve"> </w:t>
      </w:r>
      <w:r>
        <w:t xml:space="preserve">(surface_id, allowed = true only for permitted surfaces, frequency_cap);</w:t>
      </w:r>
      <w:r>
        <w:t xml:space="preserve"> </w:t>
      </w:r>
      <w:r>
        <w:rPr>
          <w:rStyle w:val="VerbatimChar"/>
        </w:rPr>
        <w:t xml:space="preserve">ad_campaign</w:t>
      </w:r>
      <w:r>
        <w:t xml:space="preserve"> </w:t>
      </w:r>
      <w:r>
        <w:t xml:space="preserve">(advertiser_id, creatives, placements, targeting = contextual or declared, start_at, end_at, re_compliance_ref nullable);</w:t>
      </w:r>
      <w:r>
        <w:t xml:space="preserve"> </w:t>
      </w:r>
      <w:r>
        <w:rPr>
          <w:rStyle w:val="VerbatimChar"/>
        </w:rPr>
        <w:t xml:space="preserve">ad_targeting_consent</w:t>
      </w:r>
      <w:r>
        <w:t xml:space="preserve"> </w:t>
      </w:r>
      <w:r>
        <w:t xml:space="preserve">(consumer_id, data_categories, consent_artefact_id, revoked_at);</w:t>
      </w:r>
      <w:r>
        <w:t xml:space="preserve"> </w:t>
      </w:r>
      <w:r>
        <w:rPr>
          <w:rStyle w:val="VerbatimChar"/>
        </w:rPr>
        <w:t xml:space="preserve">ad_report_aggregate</w:t>
      </w:r>
      <w:r>
        <w:t xml:space="preserve"> </w:t>
      </w:r>
      <w:r>
        <w:t xml:space="preserve">(campaign_id, period, impressions, clicks, cohort_min_size);</w:t>
      </w:r>
      <w:r>
        <w:t xml:space="preserve"> </w:t>
      </w:r>
      <w:r>
        <w:rPr>
          <w:rStyle w:val="VerbatimChar"/>
        </w:rPr>
        <w:t xml:space="preserve">ad_user_report</w:t>
      </w:r>
      <w:r>
        <w:t xml:space="preserve"> </w:t>
      </w:r>
      <w:r>
        <w:t xml:space="preserve">(creative_id, reporter_ref, reason, reviewed_at, outcome)</w:t>
      </w:r>
    </w:p>
    <w:p>
      <w:pPr>
        <w:numPr>
          <w:ilvl w:val="1"/>
          <w:numId w:val="1534"/>
        </w:numPr>
        <w:pStyle w:val="Compact"/>
      </w:pPr>
      <w:r>
        <w:rPr>
          <w:bCs/>
          <w:b/>
        </w:rPr>
        <w:t xml:space="preserve">Risk function (7H RA1):</w:t>
      </w:r>
      <w:r>
        <w:t xml:space="preserve"> </w:t>
      </w:r>
      <w:r>
        <w:rPr>
          <w:rStyle w:val="VerbatimChar"/>
        </w:rPr>
        <w:t xml:space="preserve">risk_register_entry</w:t>
      </w:r>
      <w:r>
        <w:t xml:space="preserve"> </w:t>
      </w:r>
      <w:r>
        <w:t xml:space="preserve">(risk_id R01–R15, title, owner, inherent_likelihood, inherent_impact, controls, residual_rating, appetite_statement, re_impact_flags, ldc_issue_refs, reviewed_at);</w:t>
      </w:r>
      <w:r>
        <w:t xml:space="preserve"> </w:t>
      </w:r>
      <w:r>
        <w:rPr>
          <w:rStyle w:val="VerbatimChar"/>
        </w:rPr>
        <w:t xml:space="preserve">kri_definition</w:t>
      </w:r>
      <w:r>
        <w:t xml:space="preserve"> </w:t>
      </w:r>
      <w:r>
        <w:t xml:space="preserve">(kri_id, formula, frequency, amber, red, risk_ids, source = UDOFIN or LDC, version);</w:t>
      </w:r>
      <w:r>
        <w:t xml:space="preserve"> </w:t>
      </w:r>
      <w:r>
        <w:rPr>
          <w:rStyle w:val="VerbatimChar"/>
        </w:rPr>
        <w:t xml:space="preserve">kri_value</w:t>
      </w:r>
      <w:r>
        <w:t xml:space="preserve"> </w:t>
      </w:r>
      <w:r>
        <w:t xml:space="preserve">(kri_id, lender_tenant_id nullable, period, value, rag, computed_at,</w:t>
      </w:r>
      <w:r>
        <w:t xml:space="preserve"> </w:t>
      </w:r>
      <w:r>
        <w:rPr>
          <w:rStyle w:val="VerbatimChar"/>
        </w:rPr>
        <w:t xml:space="preserve">KriBreached</w:t>
      </w:r>
      <w:r>
        <w:t xml:space="preserve"> </w:t>
      </w:r>
      <w:r>
        <w:t xml:space="preserve">ref);</w:t>
      </w:r>
      <w:r>
        <w:t xml:space="preserve"> </w:t>
      </w:r>
      <w:r>
        <w:rPr>
          <w:rStyle w:val="VerbatimChar"/>
        </w:rPr>
        <w:t xml:space="preserve">loss_event</w:t>
      </w:r>
      <w:r>
        <w:t xml:space="preserve"> </w:t>
      </w:r>
      <w:r>
        <w:t xml:space="preserve">(category, occurrence_date, discovery_date, accounting_date, gross_impact, net_impact, root_cause, control_failed, affected_re_ids, borrower_count,</w:t>
      </w:r>
      <w:r>
        <w:t xml:space="preserve"> </w:t>
      </w:r>
      <w:r>
        <w:rPr>
          <w:rStyle w:val="VerbatimChar"/>
        </w:rPr>
        <w:t xml:space="preserve">LossEventRecorded</w:t>
      </w:r>
      <w:r>
        <w:t xml:space="preserve"> </w:t>
      </w:r>
      <w:r>
        <w:t xml:space="preserve">ref);</w:t>
      </w:r>
      <w:r>
        <w:t xml:space="preserve"> </w:t>
      </w:r>
      <w:r>
        <w:rPr>
          <w:rStyle w:val="VerbatimChar"/>
        </w:rPr>
        <w:t xml:space="preserve">rcsa_result</w:t>
      </w:r>
      <w:r>
        <w:t xml:space="preserve"> </w:t>
      </w:r>
      <w:r>
        <w:t xml:space="preserve">(process, period, inherent, control_effectiveness, residual, assessor, evidence_ref);</w:t>
      </w:r>
      <w:r>
        <w:t xml:space="preserve"> </w:t>
      </w:r>
      <w:r>
        <w:rPr>
          <w:rStyle w:val="VerbatimChar"/>
        </w:rPr>
        <w:t xml:space="preserve">impact_tolerance</w:t>
      </w:r>
      <w:r>
        <w:t xml:space="preserve"> </w:t>
      </w:r>
      <w:r>
        <w:t xml:space="preserve">(lender_tenant_id, critical_operation, max_disruption_minutes, data_loss_tolerance, service_level, rto, rpo, approved_at);</w:t>
      </w:r>
      <w:r>
        <w:t xml:space="preserve"> </w:t>
      </w:r>
      <w:r>
        <w:rPr>
          <w:rStyle w:val="VerbatimChar"/>
        </w:rPr>
        <w:t xml:space="preserve">dlg_cap_snapshot</w:t>
      </w:r>
      <w:r>
        <w:t xml:space="preserve"> </w:t>
      </w:r>
      <w:r>
        <w:t xml:space="preserve">(dlg_set_id, cover_outstanding, amount_disbursed, ratio, headroom, as_of,</w:t>
      </w:r>
      <w:r>
        <w:t xml:space="preserve"> </w:t>
      </w:r>
      <w:r>
        <w:rPr>
          <w:rStyle w:val="VerbatimChar"/>
        </w:rPr>
        <w:t xml:space="preserve">LimitBreached</w:t>
      </w:r>
      <w:r>
        <w:t xml:space="preserve"> </w:t>
      </w:r>
      <w:r>
        <w:t xml:space="preserve">ref);</w:t>
      </w:r>
      <w:r>
        <w:t xml:space="preserve"> </w:t>
      </w:r>
      <w:r>
        <w:rPr>
          <w:rStyle w:val="VerbatimChar"/>
        </w:rPr>
        <w:t xml:space="preserve">risk_pack</w:t>
      </w:r>
      <w:r>
        <w:t xml:space="preserve"> </w:t>
      </w:r>
      <w:r>
        <w:t xml:space="preserve">(lender_tenant_id nullable for Board, quarter, contents_index, attested_by, published_at,</w:t>
      </w:r>
      <w:r>
        <w:t xml:space="preserve"> </w:t>
      </w:r>
      <w:r>
        <w:rPr>
          <w:rStyle w:val="VerbatimChar"/>
        </w:rPr>
        <w:t xml:space="preserve">RiskSnapshotPublished</w:t>
      </w:r>
      <w:r>
        <w:t xml:space="preserve"> </w:t>
      </w:r>
      <w:r>
        <w:t xml:space="preserve">ref, sha256)</w:t>
      </w:r>
    </w:p>
    <w:p>
      <w:pPr>
        <w:numPr>
          <w:ilvl w:val="1"/>
          <w:numId w:val="1534"/>
        </w:numPr>
        <w:pStyle w:val="Compact"/>
      </w:pPr>
      <w:r>
        <w:rPr>
          <w:bCs/>
          <w:b/>
        </w:rPr>
        <w:t xml:space="preserve">Supervisory and auditor access (7H RA2):</w:t>
      </w:r>
      <w:r>
        <w:t xml:space="preserve"> </w:t>
      </w:r>
      <w:r>
        <w:rPr>
          <w:rStyle w:val="VerbatimChar"/>
        </w:rPr>
        <w:t xml:space="preserve">external_access_grant</w:t>
      </w:r>
      <w:r>
        <w:t xml:space="preserve"> </w:t>
      </w:r>
      <w:r>
        <w:t xml:space="preserve">(lender_tenant_id, source RE_REGISTER or LOCAL, grantee_type, grantee_users, basis_code, engagement_or_inspection_ref, scope_datasets, periods, pii_level, export_level, query_level, export_cap, state, valid_from, valid_to, max_valid_to (valid_from + 90 days), extension_count, re_maker, re_checker, provider_approver,</w:t>
      </w:r>
      <w:r>
        <w:t xml:space="preserve"> </w:t>
      </w:r>
      <w:r>
        <w:rPr>
          <w:rStyle w:val="VerbatimChar"/>
        </w:rPr>
        <w:t xml:space="preserve">ExternalAccessGranted</w:t>
      </w:r>
      <w:r>
        <w:t xml:space="preserve"> </w:t>
      </w:r>
      <w:r>
        <w:t xml:space="preserve">ref);</w:t>
      </w:r>
      <w:r>
        <w:t xml:space="preserve"> </w:t>
      </w:r>
      <w:r>
        <w:rPr>
          <w:rStyle w:val="VerbatimChar"/>
        </w:rPr>
        <w:t xml:space="preserve">external_access_session</w:t>
      </w:r>
      <w:r>
        <w:t xml:space="preserve"> </w:t>
      </w:r>
      <w:r>
        <w:t xml:space="preserve">(grant_id, user_id, started_at, ended_at, ip, mfa_ref);</w:t>
      </w:r>
      <w:r>
        <w:t xml:space="preserve"> </w:t>
      </w:r>
      <w:r>
        <w:rPr>
          <w:rStyle w:val="VerbatimChar"/>
        </w:rPr>
        <w:t xml:space="preserve">external_access_query_log</w:t>
      </w:r>
      <w:r>
        <w:t xml:space="preserve"> </w:t>
      </w:r>
      <w:r>
        <w:t xml:space="preserve">(session_id, dataset, query_hash, rows_count, fields_count, at);</w:t>
      </w:r>
      <w:r>
        <w:t xml:space="preserve"> </w:t>
      </w:r>
      <w:r>
        <w:rPr>
          <w:rStyle w:val="VerbatimChar"/>
        </w:rPr>
        <w:t xml:space="preserve">unmask_event</w:t>
      </w:r>
      <w:r>
        <w:t xml:space="preserve"> </w:t>
      </w:r>
      <w:r>
        <w:t xml:space="preserve">(session_id, record_ref, reason, at);</w:t>
      </w:r>
      <w:r>
        <w:t xml:space="preserve"> </w:t>
      </w:r>
      <w:r>
        <w:rPr>
          <w:rStyle w:val="VerbatimChar"/>
        </w:rPr>
        <w:t xml:space="preserve">external_access_export</w:t>
      </w:r>
      <w:r>
        <w:t xml:space="preserve"> </w:t>
      </w:r>
      <w:r>
        <w:t xml:space="preserve">(session_id, dataset, rows, sha256, watermark, at);</w:t>
      </w:r>
      <w:r>
        <w:t xml:space="preserve"> </w:t>
      </w:r>
      <w:r>
        <w:rPr>
          <w:rStyle w:val="VerbatimChar"/>
        </w:rPr>
        <w:t xml:space="preserve">direct_regulator_request</w:t>
      </w:r>
      <w:r>
        <w:t xml:space="preserve"> </w:t>
      </w:r>
      <w:r>
        <w:t xml:space="preserve">(received_at, authority_evidence_ref, re_notified_at, notice_barred_flag, counsel_ref);</w:t>
      </w:r>
      <w:r>
        <w:t xml:space="preserve"> </w:t>
      </w:r>
      <w:r>
        <w:rPr>
          <w:rStyle w:val="VerbatimChar"/>
        </w:rPr>
        <w:t xml:space="preserve">onsite_inspection_log</w:t>
      </w:r>
      <w:r>
        <w:t xml:space="preserve"> </w:t>
      </w:r>
      <w:r>
        <w:t xml:space="preserve">(grant_id, date, attendees, systems_shown, documents_produced)</w:t>
      </w:r>
    </w:p>
    <w:p>
      <w:pPr>
        <w:numPr>
          <w:ilvl w:val="1"/>
          <w:numId w:val="1534"/>
        </w:numPr>
        <w:pStyle w:val="Compact"/>
      </w:pPr>
      <w:r>
        <w:rPr>
          <w:bCs/>
          <w:b/>
        </w:rPr>
        <w:t xml:space="preserve">Portability and storage (7H RA3):</w:t>
      </w:r>
      <w:r>
        <w:t xml:space="preserve"> </w:t>
      </w:r>
      <w:r>
        <w:rPr>
          <w:rStyle w:val="VerbatimChar"/>
        </w:rPr>
        <w:t xml:space="preserve">export_job</w:t>
      </w:r>
      <w:r>
        <w:t xml:space="preserve"> </w:t>
      </w:r>
      <w:r>
        <w:t xml:space="preserve">(adds lender_tenant_id, type full, period, dataset, incremental, exit; folder_profile</w:t>
      </w:r>
      <w:r>
        <w:t xml:space="preserve"> </w:t>
      </w:r>
      <w:r>
        <w:rPr>
          <w:rStyle w:val="VerbatimChar"/>
        </w:rPr>
        <w:t xml:space="preserve">udofin_re_v1</w:t>
      </w:r>
      <w:r>
        <w:t xml:space="preserve">, approvers, snapshot_at, control_totals, manifest_sha256, jws_ref, restricted_archive_ref, link_expires_at,</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refs);</w:t>
      </w:r>
      <w:r>
        <w:t xml:space="preserve"> </w:t>
      </w:r>
      <w:r>
        <w:rPr>
          <w:rStyle w:val="VerbatimChar"/>
        </w:rPr>
        <w:t xml:space="preserve">export_dataset_manifest</w:t>
      </w:r>
      <w:r>
        <w:t xml:space="preserve"> </w:t>
      </w:r>
      <w:r>
        <w:t xml:space="preserve">(job_id, path, sha256, bytes, record_count, schema_version);</w:t>
      </w:r>
      <w:r>
        <w:t xml:space="preserve"> </w:t>
      </w:r>
      <w:r>
        <w:rPr>
          <w:rStyle w:val="VerbatimChar"/>
        </w:rPr>
        <w:t xml:space="preserve">storage_target</w:t>
      </w:r>
      <w:r>
        <w:t xml:space="preserve"> </w:t>
      </w:r>
      <w:r>
        <w:t xml:space="preserve">(lender_tenant_id, type S3, AZURE_BLOB, GCS, SHAREPOINT, GOOGLE_DRIVE (non-regulated classes only), SFTP, PULL_AGENT; data_classes_allowed, region, residency_attestation_ref, residency_attested_until, region_verified_at, credential_vault_ref, encryption_mode, schedule, raci_ref, state,</w:t>
      </w:r>
      <w:r>
        <w:t xml:space="preserve"> </w:t>
      </w:r>
      <w:r>
        <w:rPr>
          <w:rStyle w:val="VerbatimChar"/>
        </w:rPr>
        <w:t xml:space="preserve">StorageTargetConnected</w:t>
      </w:r>
      <w:r>
        <w:t xml:space="preserve"> </w:t>
      </w:r>
      <w:r>
        <w:t xml:space="preserve">ref);</w:t>
      </w:r>
      <w:r>
        <w:t xml:space="preserve"> </w:t>
      </w:r>
      <w:r>
        <w:rPr>
          <w:rStyle w:val="VerbatimChar"/>
        </w:rPr>
        <w:t xml:space="preserve">backup_run</w:t>
      </w:r>
      <w:r>
        <w:t xml:space="preserve"> </w:t>
      </w:r>
      <w:r>
        <w:t xml:space="preserve">(storage_target_id, type incremental or full, manifest_sha256, completed_at,</w:t>
      </w:r>
      <w:r>
        <w:t xml:space="preserve"> </w:t>
      </w:r>
      <w:r>
        <w:rPr>
          <w:rStyle w:val="VerbatimChar"/>
        </w:rPr>
        <w:t xml:space="preserve">BackupCompleted</w:t>
      </w:r>
      <w:r>
        <w:t xml:space="preserve"> </w:t>
      </w:r>
      <w:r>
        <w:t xml:space="preserve">ref);</w:t>
      </w:r>
      <w:r>
        <w:t xml:space="preserve"> </w:t>
      </w:r>
      <w:r>
        <w:rPr>
          <w:rStyle w:val="VerbatimChar"/>
        </w:rPr>
        <w:t xml:space="preserve">restore_test</w:t>
      </w:r>
      <w:r>
        <w:t xml:space="preserve"> </w:t>
      </w:r>
      <w:r>
        <w:t xml:space="preserve">(storage_target_id, archive_ref, performed_by, record_counts_match, checksums_match, signed_off_by, tested_at,</w:t>
      </w:r>
      <w:r>
        <w:t xml:space="preserve"> </w:t>
      </w:r>
      <w:r>
        <w:rPr>
          <w:rStyle w:val="VerbatimChar"/>
        </w:rPr>
        <w:t xml:space="preserve">RestoreTested</w:t>
      </w:r>
      <w:r>
        <w:t xml:space="preserve"> </w:t>
      </w:r>
      <w:r>
        <w:t xml:space="preserve">ref);</w:t>
      </w:r>
      <w:r>
        <w:t xml:space="preserve"> </w:t>
      </w:r>
      <w:r>
        <w:rPr>
          <w:rStyle w:val="VerbatimChar"/>
        </w:rPr>
        <w:t xml:space="preserve">purge_certificate</w:t>
      </w:r>
      <w:r>
        <w:t xml:space="preserve"> </w:t>
      </w:r>
      <w:r>
        <w:t xml:space="preserve">(lender_tenant_id, scope, purged_at, assurance_ref)</w:t>
      </w:r>
    </w:p>
    <w:p>
      <w:pPr>
        <w:numPr>
          <w:ilvl w:val="1"/>
          <w:numId w:val="1534"/>
        </w:numPr>
        <w:pStyle w:val="Compact"/>
      </w:pPr>
      <w:r>
        <w:rPr>
          <w:bCs/>
          <w:b/>
        </w:rPr>
        <w:t xml:space="preserve">Engineering operations (7H RA4):</w:t>
      </w:r>
      <w:r>
        <w:t xml:space="preserve"> </w:t>
      </w:r>
      <w:r>
        <w:rPr>
          <w:rStyle w:val="VerbatimChar"/>
        </w:rPr>
        <w:t xml:space="preserve">release_record</w:t>
      </w:r>
      <w:r>
        <w:t xml:space="preserve"> </w:t>
      </w:r>
      <w:r>
        <w:t xml:space="preserve">(platform, version, build_no, commit, tag, sbom_ref, permission_manifest_hash, store_declaration_hashes, rollout_plan, halt_criteria, evidence_pack_ref,</w:t>
      </w:r>
      <w:r>
        <w:t xml:space="preserve"> </w:t>
      </w:r>
      <w:r>
        <w:rPr>
          <w:rStyle w:val="VerbatimChar"/>
        </w:rPr>
        <w:t xml:space="preserve">ReleasePublished</w:t>
      </w:r>
      <w:r>
        <w:t xml:space="preserve"> </w:t>
      </w:r>
      <w:r>
        <w:t xml:space="preserve">ref);</w:t>
      </w:r>
      <w:r>
        <w:t xml:space="preserve"> </w:t>
      </w:r>
      <w:r>
        <w:rPr>
          <w:rStyle w:val="VerbatimChar"/>
        </w:rPr>
        <w:t xml:space="preserve">store_declaration_version</w:t>
      </w:r>
      <w:r>
        <w:t xml:space="preserve"> </w:t>
      </w:r>
      <w:r>
        <w:t xml:space="preserve">(platform, form Data safety, Financial features, App privacy, privacy manifest; version, hash, approved_by, approved_at);</w:t>
      </w:r>
      <w:r>
        <w:t xml:space="preserve"> </w:t>
      </w:r>
      <w:r>
        <w:rPr>
          <w:rStyle w:val="VerbatimChar"/>
        </w:rPr>
        <w:t xml:space="preserve">rollout_event</w:t>
      </w:r>
      <w:r>
        <w:t xml:space="preserve"> </w:t>
      </w:r>
      <w:r>
        <w:t xml:space="preserve">(release_id, percentage, at, halted, halt_reason);</w:t>
      </w:r>
      <w:r>
        <w:t xml:space="preserve"> </w:t>
      </w:r>
      <w:r>
        <w:rPr>
          <w:rStyle w:val="VerbatimChar"/>
        </w:rPr>
        <w:t xml:space="preserve">store_partner_list_check</w:t>
      </w:r>
      <w:r>
        <w:t xml:space="preserve"> </w:t>
      </w:r>
      <w:r>
        <w:t xml:space="preserve">(release_id, dla_register_version, result);</w:t>
      </w:r>
      <w:r>
        <w:t xml:space="preserve"> </w:t>
      </w:r>
      <w:r>
        <w:rPr>
          <w:rStyle w:val="VerbatimChar"/>
        </w:rPr>
        <w:t xml:space="preserve">masvs_assessment</w:t>
      </w:r>
      <w:r>
        <w:t xml:space="preserve"> </w:t>
      </w:r>
      <w:r>
        <w:t xml:space="preserve">(scope, profiles MAS-L2 and MAS-R, tester, performed_at, report_ref, findings_open_critical, findings_open_high);</w:t>
      </w:r>
      <w:r>
        <w:t xml:space="preserve"> </w:t>
      </w:r>
      <w:r>
        <w:rPr>
          <w:rStyle w:val="VerbatimChar"/>
        </w:rPr>
        <w:t xml:space="preserve">certification_claim_check</w:t>
      </w:r>
      <w:r>
        <w:t xml:space="preserve"> </w:t>
      </w:r>
      <w:r>
        <w:t xml:space="preserve">(artefact listing, website, deck; result, at);</w:t>
      </w:r>
      <w:r>
        <w:t xml:space="preserve"> </w:t>
      </w:r>
      <w:r>
        <w:rPr>
          <w:rStyle w:val="VerbatimChar"/>
        </w:rPr>
        <w:t xml:space="preserve">control_evidence_ref</w:t>
      </w:r>
      <w:r>
        <w:t xml:space="preserve"> </w:t>
      </w:r>
      <w:r>
        <w:t xml:space="preserve">(control_id, period, artefact_hash,</w:t>
      </w:r>
      <w:r>
        <w:t xml:space="preserve"> </w:t>
      </w:r>
      <w:r>
        <w:rPr>
          <w:rStyle w:val="VerbatimChar"/>
        </w:rPr>
        <w:t xml:space="preserve">ControlEvidenceCollected</w:t>
      </w:r>
      <w:r>
        <w:t xml:space="preserve"> </w:t>
      </w:r>
      <w:r>
        <w:t xml:space="preserve">ref)</w:t>
      </w:r>
    </w:p>
    <w:p>
      <w:pPr>
        <w:numPr>
          <w:ilvl w:val="1"/>
          <w:numId w:val="1534"/>
        </w:numPr>
        <w:pStyle w:val="Compact"/>
      </w:pPr>
      <w:r>
        <w:rPr>
          <w:bCs/>
          <w:b/>
        </w:rPr>
        <w:t xml:space="preserve">Voice, AI contact-centre and Jio (7H RA5):</w:t>
      </w:r>
      <w:r>
        <w:t xml:space="preserve"> </w:t>
      </w:r>
      <w:r>
        <w:rPr>
          <w:rStyle w:val="VerbatimChar"/>
        </w:rPr>
        <w:t xml:space="preserve">comms_provider</w:t>
      </w:r>
      <w:r>
        <w:t xml:space="preserve"> </w:t>
      </w:r>
      <w:r>
        <w:t xml:space="preserve">(interface, vendor, state, capabilities, residency_attestation_ref, dpa_ref, dlt_support, series_support, zero_retention_flag, status);</w:t>
      </w:r>
      <w:r>
        <w:t xml:space="preserve"> </w:t>
      </w:r>
      <w:r>
        <w:rPr>
          <w:rStyle w:val="VerbatimChar"/>
        </w:rPr>
        <w:t xml:space="preserve">number_inventory</w:t>
      </w:r>
      <w:r>
        <w:t xml:space="preserve"> </w:t>
      </w:r>
      <w:r>
        <w:t xml:space="preserve">(number, series 1600, 140 or other; principal_entity, lender_tenant_id nullable, telemarketer_ref, valid_to);</w:t>
      </w:r>
      <w:r>
        <w:t xml:space="preserve"> </w:t>
      </w:r>
      <w:r>
        <w:rPr>
          <w:rStyle w:val="VerbatimChar"/>
        </w:rPr>
        <w:t xml:space="preserve">routing_decision</w:t>
      </w:r>
      <w:r>
        <w:t xml:space="preserve"> </w:t>
      </w:r>
      <w:r>
        <w:t xml:space="preserve">(communication_id, purpose, principal_entity, number_series, consent_check, window_check, frequency_check, language, decision, denial_rule, at);</w:t>
      </w:r>
      <w:r>
        <w:t xml:space="preserve"> </w:t>
      </w:r>
      <w:r>
        <w:rPr>
          <w:rStyle w:val="VerbatimChar"/>
        </w:rPr>
        <w:t xml:space="preserve">robocall_notification</w:t>
      </w:r>
      <w:r>
        <w:t xml:space="preserve"> </w:t>
      </w:r>
      <w:r>
        <w:t xml:space="preserve">(provider, purpose, notified_at, access_provider_ref);</w:t>
      </w:r>
      <w:r>
        <w:t xml:space="preserve"> </w:t>
      </w:r>
      <w:r>
        <w:rPr>
          <w:rStyle w:val="VerbatimChar"/>
        </w:rPr>
        <w:t xml:space="preserve">bot_conversation</w:t>
      </w:r>
      <w:r>
        <w:t xml:space="preserve"> </w:t>
      </w:r>
      <w:r>
        <w:t xml:space="preserve">(channel, principal_entity, disclosure_played, human_handover_at, model, model_version, prompt_version, transcript_ref, outcome, qa_sampled);</w:t>
      </w:r>
      <w:r>
        <w:t xml:space="preserve"> </w:t>
      </w:r>
      <w:r>
        <w:rPr>
          <w:rStyle w:val="VerbatimChar"/>
        </w:rPr>
        <w:t xml:space="preserve">recording_notice</w:t>
      </w:r>
      <w:r>
        <w:t xml:space="preserve"> </w:t>
      </w:r>
      <w:r>
        <w:t xml:space="preserve">(call_id, announced, purpose, dpdp_sms_ref, objection, recording_mode RECORDED or UNRECORDED_BY_OBJECTION, alternative_offered);</w:t>
      </w:r>
      <w:r>
        <w:t xml:space="preserve"> </w:t>
      </w:r>
      <w:r>
        <w:rPr>
          <w:rStyle w:val="VerbatimChar"/>
        </w:rPr>
        <w:t xml:space="preserve">bot_handover</w:t>
      </w:r>
      <w:r>
        <w:t xml:space="preserve"> </w:t>
      </w:r>
      <w:r>
        <w:t xml:space="preserve">(conversation_id, trigger, requested_at, answered_at, agent_id, context_summary_ref, callback_ticket_ref, outcome);</w:t>
      </w:r>
      <w:r>
        <w:t xml:space="preserve"> </w:t>
      </w:r>
      <w:r>
        <w:rPr>
          <w:rStyle w:val="VerbatimChar"/>
        </w:rPr>
        <w:t xml:space="preserve">script_version</w:t>
      </w:r>
      <w:r>
        <w:t xml:space="preserve"> </w:t>
      </w:r>
      <w:r>
        <w:t xml:space="preserve">(principal_entity, use_case, version, state, approver, approved_at);</w:t>
      </w:r>
      <w:r>
        <w:t xml:space="preserve"> </w:t>
      </w:r>
      <w:r>
        <w:rPr>
          <w:rStyle w:val="VerbatimChar"/>
        </w:rPr>
        <w:t xml:space="preserve">language_acceptance_test</w:t>
      </w:r>
      <w:r>
        <w:t xml:space="preserve"> </w:t>
      </w:r>
      <w:r>
        <w:t xml:space="preserve">(language, provider, wer, meaning_check_result, reviewer, passed_at)</w:t>
      </w:r>
    </w:p>
    <w:p>
      <w:pPr>
        <w:numPr>
          <w:ilvl w:val="1"/>
          <w:numId w:val="1534"/>
        </w:numPr>
        <w:pStyle w:val="Compact"/>
      </w:pPr>
      <w:r>
        <w:rPr>
          <w:bCs/>
          <w:b/>
        </w:rPr>
        <w:t xml:space="preserve">Settings (shared by all Parts, including Parts 7A–7H and U1–U25):</w:t>
      </w:r>
      <w:r>
        <w:t xml:space="preserve"> </w:t>
      </w:r>
      <w:r>
        <w:rPr>
          <w:rStyle w:val="VerbatimChar"/>
        </w:rPr>
        <w:t xml:space="preserve">module_setting</w:t>
      </w:r>
      <w:r>
        <w:t xml:space="preserve"> </w:t>
      </w:r>
      <w:r>
        <w:t xml:space="preserve">(module, scope PLATFORM, RE, DEAL or CONSUMER, scope_id, key, value, default_value, nature FLOOR or CHOICE, floor_value, effective_from, effective_to, version, maker_id, checker_id); a write below</w:t>
      </w:r>
      <w:r>
        <w:t xml:space="preserve"> </w:t>
      </w:r>
      <w:r>
        <w:rPr>
          <w:rStyle w:val="VerbatimChar"/>
        </w:rPr>
        <w:t xml:space="preserve">floor_value</w:t>
      </w:r>
      <w:r>
        <w:t xml:space="preserve"> </w:t>
      </w:r>
      <w:r>
        <w:t xml:space="preserve">is refused server-side; it is the single settings entity for every Part; Phase 0 maps any module-specific settings to it rather than creating new settings tables.</w:t>
      </w:r>
    </w:p>
    <w:p>
      <w:r>
        <w:pict>
          <v:rect style="width:0;height:1.5pt" o:hralign="center" o:hrstd="t" o:hr="t"/>
        </w:pict>
      </w:r>
    </w:p>
    <w:bookmarkEnd w:id="533"/>
    <w:bookmarkStart w:id="537" w:name="Xa996f36d195aa8be01bd93f0b78e1027e44d0a5"/>
    <w:p>
      <w:pPr>
        <w:pStyle w:val="Heading1"/>
      </w:pPr>
      <w:r>
        <w:t xml:space="preserve">APPENDIX E — CHANGES FROM THE ORIGINAL UDOFIN PROMPT</w:t>
      </w:r>
    </w:p>
    <w:p>
      <w:pPr>
        <w:pStyle w:val="FirstParagraph"/>
      </w:pPr>
      <w:r>
        <w:t xml:space="preserve">The original Udofin prompt is preserved in substance. The table lists where this prompt departs from it and why. Claude Code must follow this prompt where the two differ.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98"/>
        <w:gridCol w:w="2875"/>
        <w:gridCol w:w="3188"/>
        <w:gridCol w:w="2877"/>
      </w:tblGrid>
      <w:tr>
        <w:trPr>
          <w:tblHeader w:val="true"/>
          <w:tblHeader w:val="true"/>
        </w:trPr>
        <w:tc>
          <w:tcPr>
            <w:tcW w:w="698" w:type="dxa"/>
            <w:shd w:val="clear" w:color="auto" w:fill="1F3A5F"/>
          </w:tcPr>
          <w:p>
            <w:pPr>
              <w:pStyle w:val="Compact"/>
              <w:spacing w:after="40"/>
              <w:jc w:val="left"/>
            </w:pPr>
            <w:r>
              <w:rPr>
                <w:b/>
                <w:color w:val="FFFFFF"/>
                <w:sz w:val="18"/>
              </w:rPr>
              <w:t xml:space="preserve">#</w:t>
            </w:r>
          </w:p>
        </w:tc>
        <w:tc>
          <w:tcPr>
            <w:tcW w:w="2875" w:type="dxa"/>
            <w:shd w:val="clear" w:color="auto" w:fill="1F3A5F"/>
          </w:tcPr>
          <w:p>
            <w:pPr>
              <w:pStyle w:val="Compact"/>
              <w:spacing w:after="40"/>
              <w:jc w:val="left"/>
            </w:pPr>
            <w:r>
              <w:rPr>
                <w:b/>
                <w:color w:val="FFFFFF"/>
                <w:sz w:val="18"/>
              </w:rPr>
              <w:t xml:space="preserve">Original prompt said</w:t>
            </w:r>
          </w:p>
        </w:tc>
        <w:tc>
          <w:tcPr>
            <w:tcW w:w="3188" w:type="dxa"/>
            <w:shd w:val="clear" w:color="auto" w:fill="1F3A5F"/>
          </w:tcPr>
          <w:p>
            <w:pPr>
              <w:pStyle w:val="Compact"/>
              <w:spacing w:after="40"/>
              <w:jc w:val="left"/>
            </w:pPr>
            <w:r>
              <w:rPr>
                <w:b/>
                <w:color w:val="FFFFFF"/>
                <w:sz w:val="18"/>
              </w:rPr>
              <w:t xml:space="preserve">This prompt says</w:t>
            </w:r>
          </w:p>
        </w:tc>
        <w:tc>
          <w:tcPr>
            <w:tcW w:w="2877" w:type="dxa"/>
            <w:shd w:val="clear" w:color="auto" w:fill="1F3A5F"/>
          </w:tcPr>
          <w:p>
            <w:pPr>
              <w:pStyle w:val="Compact"/>
              <w:spacing w:after="40"/>
              <w:jc w:val="left"/>
            </w:pPr>
            <w:r>
              <w:rPr>
                <w:b/>
                <w:color w:val="FFFFFF"/>
                <w:sz w:val="18"/>
              </w:rPr>
              <w:t xml:space="preserve">Reason (source)</w:t>
            </w:r>
          </w:p>
        </w:tc>
      </w:tr>
      <w:tr>
        <w:tc>
          <w:tcPr>
            <w:tcW w:w="698" w:type="dxa"/>
          </w:tcPr>
          <w:p>
            <w:pPr>
              <w:pStyle w:val="Compact"/>
              <w:spacing w:after="40"/>
              <w:jc w:val="left"/>
            </w:pPr>
            <w:r>
              <w:rPr>
                <w:sz w:val="18"/>
              </w:rPr>
              <w:t xml:space="preserve">1</w:t>
            </w:r>
          </w:p>
        </w:tc>
        <w:tc>
          <w:tcPr>
            <w:tcW w:w="2875" w:type="dxa"/>
          </w:tcPr>
          <w:p>
            <w:pPr>
              <w:pStyle w:val="Compact"/>
              <w:spacing w:after="40"/>
              <w:jc w:val="left"/>
            </w:pPr>
            <w:r>
              <w:rPr>
                <w:sz w:val="18"/>
              </w:rPr>
              <w:t xml:space="preserve">Structure the repo and</w:t>
            </w:r>
            <w:r>
              <w:rPr>
                <w:sz w:val="18"/>
              </w:rPr>
              <w:t xml:space="preserve"> </w:t>
            </w:r>
            <w:r>
              <w:rPr>
                <w:sz w:val="18"/>
              </w:rPr>
              <w:t xml:space="preserve">“</w:t>
            </w:r>
            <w:r>
              <w:rPr>
                <w:sz w:val="18"/>
              </w:rPr>
              <w:t xml:space="preserve">commit these initial changes directly to my main branch</w:t>
            </w:r>
            <w:r>
              <w:rPr>
                <w:sz w:val="18"/>
              </w:rPr>
              <w:t xml:space="preserve">”</w:t>
            </w:r>
          </w:p>
        </w:tc>
        <w:tc>
          <w:tcPr>
            <w:tcW w:w="3188" w:type="dxa"/>
          </w:tcPr>
          <w:p>
            <w:pPr>
              <w:pStyle w:val="Compact"/>
              <w:spacing w:after="40"/>
              <w:jc w:val="left"/>
            </w:pPr>
            <w:r>
              <w:rPr>
                <w:sz w:val="18"/>
              </w:rPr>
              <w:t xml:space="preserve">Inspect first, work on a feature branch, open a pull request, merge only after approval</w:t>
            </w:r>
          </w:p>
        </w:tc>
        <w:tc>
          <w:tcPr>
            <w:tcW w:w="2877" w:type="dxa"/>
          </w:tcPr>
          <w:p>
            <w:pPr>
              <w:pStyle w:val="Compact"/>
              <w:spacing w:after="40"/>
              <w:jc w:val="left"/>
            </w:pPr>
            <w:r>
              <w:rPr>
                <w:sz w:val="18"/>
              </w:rPr>
              <w:t xml:space="preserve">The same prompt also required feature branches and no direct push to main; protected main prevents unreviewed changes (Part 11)</w:t>
            </w:r>
          </w:p>
        </w:tc>
      </w:tr>
      <w:tr>
        <w:tc>
          <w:tcPr>
            <w:tcW w:w="698" w:type="dxa"/>
          </w:tcPr>
          <w:p>
            <w:pPr>
              <w:pStyle w:val="Compact"/>
              <w:spacing w:after="40"/>
              <w:jc w:val="left"/>
            </w:pPr>
            <w:r>
              <w:rPr>
                <w:sz w:val="18"/>
              </w:rPr>
              <w:t xml:space="preserve">2</w:t>
            </w:r>
          </w:p>
        </w:tc>
        <w:tc>
          <w:tcPr>
            <w:tcW w:w="2875" w:type="dxa"/>
          </w:tcPr>
          <w:p>
            <w:pPr>
              <w:pStyle w:val="Compact"/>
              <w:spacing w:after="40"/>
              <w:jc w:val="left"/>
            </w:pPr>
            <w:r>
              <w:rPr>
                <w:sz w:val="18"/>
              </w:rPr>
              <w:t xml:space="preserve">Udofin is a mobile application because customers share location and OTPs; a web app may be suggested</w:t>
            </w:r>
            <w:r>
              <w:rPr>
                <w:sz w:val="18"/>
              </w:rPr>
              <w:t xml:space="preserve"> </w:t>
            </w:r>
            <w:r>
              <w:rPr>
                <w:sz w:val="18"/>
              </w:rPr>
              <w:t xml:space="preserve">“</w:t>
            </w:r>
            <w:r>
              <w:rPr>
                <w:sz w:val="18"/>
              </w:rPr>
              <w:t xml:space="preserve">if it is right</w:t>
            </w:r>
            <w:r>
              <w:rPr>
                <w:sz w:val="18"/>
              </w:rPr>
              <w:t xml:space="preserve">”</w:t>
            </w:r>
          </w:p>
        </w:tc>
        <w:tc>
          <w:tcPr>
            <w:tcW w:w="3188" w:type="dxa"/>
          </w:tcPr>
          <w:p>
            <w:pPr>
              <w:pStyle w:val="Compact"/>
              <w:spacing w:after="40"/>
              <w:jc w:val="left"/>
            </w:pPr>
            <w:r>
              <w:rPr>
                <w:sz w:val="18"/>
              </w:rPr>
              <w:t xml:space="preserve">Mobile app (Android, then iOS) plus a borrower web app/PWA, ops portal, lender portal and optional field app; each borrower channel is a separate DLA</w:t>
            </w:r>
          </w:p>
        </w:tc>
        <w:tc>
          <w:tcPr>
            <w:tcW w:w="2877" w:type="dxa"/>
          </w:tcPr>
          <w:p>
            <w:pPr>
              <w:pStyle w:val="Compact"/>
              <w:spacing w:after="40"/>
              <w:jc w:val="left"/>
            </w:pPr>
            <w:r>
              <w:rPr>
                <w:sz w:val="18"/>
              </w:rPr>
              <w:t xml:space="preserve">Browsers support OTP, location, camera, eSign, DigiLocker, eNACH and V-CIP; DLAs are</w:t>
            </w:r>
            <w:r>
              <w:rPr>
                <w:sz w:val="18"/>
              </w:rPr>
              <w:t xml:space="preserve"> </w:t>
            </w:r>
            <w:r>
              <w:rPr>
                <w:sz w:val="18"/>
              </w:rPr>
              <w:t xml:space="preserve">“</w:t>
            </w:r>
            <w:r>
              <w:rPr>
                <w:sz w:val="18"/>
              </w:rPr>
              <w:t xml:space="preserve">mobile and / or web-based</w:t>
            </w:r>
            <w:r>
              <w:rPr>
                <w:sz w:val="18"/>
              </w:rPr>
              <w:t xml:space="preserve">”</w:t>
            </w:r>
            <w:r>
              <w:rPr>
                <w:sz w:val="18"/>
              </w:rPr>
              <w:t xml:space="preserve"> </w:t>
            </w:r>
            <w:r>
              <w:rPr>
                <w:sz w:val="18"/>
              </w:rPr>
              <w:t xml:space="preserve">(CF para 4(1)(x)); registration per platform (CF para 18)</w:t>
            </w:r>
          </w:p>
        </w:tc>
      </w:tr>
      <w:tr>
        <w:tc>
          <w:tcPr>
            <w:tcW w:w="698" w:type="dxa"/>
          </w:tcPr>
          <w:p>
            <w:pPr>
              <w:pStyle w:val="Compact"/>
              <w:spacing w:after="40"/>
              <w:jc w:val="left"/>
            </w:pPr>
            <w:r>
              <w:rPr>
                <w:sz w:val="18"/>
              </w:rPr>
              <w:t xml:space="preserve">3</w:t>
            </w:r>
          </w:p>
        </w:tc>
        <w:tc>
          <w:tcPr>
            <w:tcW w:w="2875" w:type="dxa"/>
          </w:tcPr>
          <w:p>
            <w:pPr>
              <w:pStyle w:val="Compact"/>
              <w:spacing w:after="40"/>
              <w:jc w:val="left"/>
            </w:pPr>
            <w:r>
              <w:rPr>
                <w:sz w:val="18"/>
              </w:rPr>
              <w:t xml:space="preserve">Udofin soft-pulls CIBIL via Surepass</w:t>
            </w:r>
          </w:p>
        </w:tc>
        <w:tc>
          <w:tcPr>
            <w:tcW w:w="3188" w:type="dxa"/>
          </w:tcPr>
          <w:p>
            <w:pPr>
              <w:pStyle w:val="Compact"/>
              <w:spacing w:after="40"/>
              <w:jc w:val="left"/>
            </w:pPr>
            <w:r>
              <w:rPr>
                <w:sz w:val="18"/>
              </w:rPr>
              <w:t xml:space="preserve">Bureau data is pulled under the RE’s CIC membership or a verified borrower-consented route, for the chosen RE, with consent naming that RE</w:t>
            </w:r>
          </w:p>
        </w:tc>
        <w:tc>
          <w:tcPr>
            <w:tcW w:w="2877" w:type="dxa"/>
          </w:tcPr>
          <w:p>
            <w:pPr>
              <w:pStyle w:val="Compact"/>
              <w:spacing w:after="40"/>
              <w:jc w:val="left"/>
            </w:pPr>
            <w:r>
              <w:rPr>
                <w:sz w:val="18"/>
              </w:rPr>
              <w:t xml:space="preserve">Membership of CICs is the RE’s (CIR para 6); access is limited to specified users under CICRA [VERIFY CICRA s.2(l), CIC Regulations reg. 3 and Surepass’s authorisations]</w:t>
            </w:r>
          </w:p>
        </w:tc>
      </w:tr>
      <w:tr>
        <w:tc>
          <w:tcPr>
            <w:tcW w:w="698" w:type="dxa"/>
          </w:tcPr>
          <w:p>
            <w:pPr>
              <w:pStyle w:val="Compact"/>
              <w:spacing w:after="40"/>
              <w:jc w:val="left"/>
            </w:pPr>
            <w:r>
              <w:rPr>
                <w:sz w:val="18"/>
              </w:rPr>
              <w:t xml:space="preserve">4</w:t>
            </w:r>
          </w:p>
        </w:tc>
        <w:tc>
          <w:tcPr>
            <w:tcW w:w="2875" w:type="dxa"/>
          </w:tcPr>
          <w:p>
            <w:pPr>
              <w:pStyle w:val="Compact"/>
              <w:spacing w:after="40"/>
              <w:jc w:val="left"/>
            </w:pPr>
            <w:r>
              <w:rPr>
                <w:sz w:val="18"/>
              </w:rPr>
              <w:t xml:space="preserve">Udofin fetches Aadhaar through OTP</w:t>
            </w:r>
          </w:p>
        </w:tc>
        <w:tc>
          <w:tcPr>
            <w:tcW w:w="3188" w:type="dxa"/>
          </w:tcPr>
          <w:p>
            <w:pPr>
              <w:pStyle w:val="Compact"/>
              <w:spacing w:after="40"/>
              <w:jc w:val="left"/>
            </w:pPr>
            <w:r>
              <w:rPr>
                <w:sz w:val="18"/>
              </w:rPr>
              <w:t xml:space="preserve">Offline verification or DigiLocker by default; Aadhaar OTP e-KYC only through an RE notified under s.11A PML Act and its licence; no full Aadhaar stored</w:t>
            </w:r>
          </w:p>
        </w:tc>
        <w:tc>
          <w:tcPr>
            <w:tcW w:w="2877" w:type="dxa"/>
          </w:tcPr>
          <w:p>
            <w:pPr>
              <w:pStyle w:val="Compact"/>
              <w:spacing w:after="40"/>
              <w:jc w:val="left"/>
            </w:pPr>
            <w:r>
              <w:rPr>
                <w:sz w:val="18"/>
              </w:rPr>
              <w:t xml:space="preserve">KYC para 23 and provisos; OTP-e-KYC limits (KYC para 25); UIDAI vault rules (Part 8.2)</w:t>
            </w:r>
          </w:p>
        </w:tc>
      </w:tr>
      <w:tr>
        <w:tc>
          <w:tcPr>
            <w:tcW w:w="698" w:type="dxa"/>
          </w:tcPr>
          <w:p>
            <w:pPr>
              <w:pStyle w:val="Compact"/>
              <w:spacing w:after="40"/>
              <w:jc w:val="left"/>
            </w:pPr>
            <w:r>
              <w:rPr>
                <w:sz w:val="18"/>
              </w:rPr>
              <w:t xml:space="preserve">5</w:t>
            </w:r>
          </w:p>
        </w:tc>
        <w:tc>
          <w:tcPr>
            <w:tcW w:w="2875" w:type="dxa"/>
          </w:tcPr>
          <w:p>
            <w:pPr>
              <w:pStyle w:val="Compact"/>
              <w:spacing w:after="40"/>
              <w:jc w:val="left"/>
            </w:pPr>
            <w:r>
              <w:rPr>
                <w:sz w:val="18"/>
              </w:rPr>
              <w:t xml:space="preserve">Udofin gives 5% FLDG, therefore it must take care of collections</w:t>
            </w:r>
          </w:p>
        </w:tc>
        <w:tc>
          <w:tcPr>
            <w:tcW w:w="3188" w:type="dxa"/>
          </w:tcPr>
          <w:p>
            <w:pPr>
              <w:pStyle w:val="Compact"/>
              <w:spacing w:after="40"/>
              <w:jc w:val="left"/>
            </w:pPr>
            <w:r>
              <w:rPr>
                <w:sz w:val="18"/>
              </w:rPr>
              <w:t xml:space="preserve">DLG and collections are separate; collection rights only from an explicit recovery-agent contract</w:t>
            </w:r>
          </w:p>
        </w:tc>
        <w:tc>
          <w:tcPr>
            <w:tcW w:w="2877" w:type="dxa"/>
          </w:tcPr>
          <w:p>
            <w:pPr>
              <w:pStyle w:val="Compact"/>
              <w:spacing w:after="40"/>
              <w:jc w:val="left"/>
            </w:pPr>
            <w:r>
              <w:rPr>
                <w:sz w:val="18"/>
              </w:rPr>
              <w:t xml:space="preserve">DLG is a loss-sharing contract (CF paras 19–29); recovery-agent role is separate (CF para 6(5)); the original prompt itself asked for this separation</w:t>
            </w:r>
          </w:p>
        </w:tc>
      </w:tr>
      <w:tr>
        <w:tc>
          <w:tcPr>
            <w:tcW w:w="698" w:type="dxa"/>
          </w:tcPr>
          <w:p>
            <w:pPr>
              <w:pStyle w:val="Compact"/>
              <w:spacing w:after="40"/>
              <w:jc w:val="left"/>
            </w:pPr>
            <w:r>
              <w:rPr>
                <w:sz w:val="18"/>
              </w:rPr>
              <w:t xml:space="preserve">6</w:t>
            </w:r>
          </w:p>
        </w:tc>
        <w:tc>
          <w:tcPr>
            <w:tcW w:w="2875" w:type="dxa"/>
          </w:tcPr>
          <w:p>
            <w:pPr>
              <w:pStyle w:val="Compact"/>
              <w:spacing w:after="40"/>
              <w:jc w:val="left"/>
            </w:pPr>
            <w:r>
              <w:rPr>
                <w:sz w:val="18"/>
              </w:rPr>
              <w:t xml:space="preserve">FLDG terminology</w:t>
            </w:r>
          </w:p>
        </w:tc>
        <w:tc>
          <w:tcPr>
            <w:tcW w:w="3188" w:type="dxa"/>
          </w:tcPr>
          <w:p>
            <w:pPr>
              <w:pStyle w:val="Compact"/>
              <w:spacing w:after="40"/>
              <w:jc w:val="left"/>
            </w:pPr>
            <w:r>
              <w:rPr>
                <w:sz w:val="18"/>
              </w:rPr>
              <w:t xml:space="preserve">Default Loss Guarantee (DLG), with eligibility, forms, 5% cap on a fixed set, auditor-certified declaration, 120-day invocation, no reinstatement and monthly disclosure</w:t>
            </w:r>
          </w:p>
        </w:tc>
        <w:tc>
          <w:tcPr>
            <w:tcW w:w="2877" w:type="dxa"/>
          </w:tcPr>
          <w:p>
            <w:pPr>
              <w:pStyle w:val="Compact"/>
              <w:spacing w:after="40"/>
              <w:jc w:val="left"/>
            </w:pPr>
            <w:r>
              <w:rPr>
                <w:sz w:val="18"/>
              </w:rPr>
              <w:t xml:space="preserve">CF paras 4(1)(viii), 19–29</w:t>
            </w:r>
          </w:p>
        </w:tc>
      </w:tr>
      <w:tr>
        <w:tc>
          <w:tcPr>
            <w:tcW w:w="698" w:type="dxa"/>
          </w:tcPr>
          <w:p>
            <w:pPr>
              <w:pStyle w:val="Compact"/>
              <w:spacing w:after="40"/>
              <w:jc w:val="left"/>
            </w:pPr>
            <w:r>
              <w:rPr>
                <w:sz w:val="18"/>
              </w:rPr>
              <w:t xml:space="preserve">7</w:t>
            </w:r>
          </w:p>
        </w:tc>
        <w:tc>
          <w:tcPr>
            <w:tcW w:w="2875" w:type="dxa"/>
          </w:tcPr>
          <w:p>
            <w:pPr>
              <w:pStyle w:val="Compact"/>
              <w:spacing w:after="40"/>
              <w:jc w:val="left"/>
            </w:pPr>
            <w:r>
              <w:rPr>
                <w:sz w:val="18"/>
              </w:rPr>
              <w:t xml:space="preserve">Integrate Razorpay, Stripe and PayPal</w:t>
            </w:r>
          </w:p>
        </w:tc>
        <w:tc>
          <w:tcPr>
            <w:tcW w:w="3188" w:type="dxa"/>
          </w:tcPr>
          <w:p>
            <w:pPr>
              <w:pStyle w:val="Compact"/>
              <w:spacing w:after="40"/>
              <w:jc w:val="left"/>
            </w:pPr>
            <w:r>
              <w:rPr>
                <w:sz w:val="18"/>
              </w:rPr>
              <w:t xml:space="preserve">Gateways only on the RE’s merchant account with settlement to the RE; Stripe and PayPal kept as interfaces, not used for domestic EMIs until verified</w:t>
            </w:r>
          </w:p>
        </w:tc>
        <w:tc>
          <w:tcPr>
            <w:tcW w:w="2877" w:type="dxa"/>
          </w:tcPr>
          <w:p>
            <w:pPr>
              <w:pStyle w:val="Compact"/>
              <w:spacing w:after="40"/>
              <w:jc w:val="left"/>
            </w:pPr>
            <w:r>
              <w:rPr>
                <w:sz w:val="18"/>
              </w:rPr>
              <w:t xml:space="preserve">Repayment directly to the RE with no pool or pass-through account (CF para 10(2)–(3)); Stripe and PayPal India limitations [VERIFY]</w:t>
            </w:r>
          </w:p>
        </w:tc>
      </w:tr>
      <w:tr>
        <w:tc>
          <w:tcPr>
            <w:tcW w:w="698" w:type="dxa"/>
          </w:tcPr>
          <w:p>
            <w:pPr>
              <w:pStyle w:val="Compact"/>
              <w:spacing w:after="40"/>
              <w:jc w:val="left"/>
            </w:pPr>
            <w:r>
              <w:rPr>
                <w:sz w:val="18"/>
              </w:rPr>
              <w:t xml:space="preserve">8</w:t>
            </w:r>
          </w:p>
        </w:tc>
        <w:tc>
          <w:tcPr>
            <w:tcW w:w="2875" w:type="dxa"/>
          </w:tcPr>
          <w:p>
            <w:pPr>
              <w:pStyle w:val="Compact"/>
              <w:spacing w:after="40"/>
              <w:jc w:val="left"/>
            </w:pPr>
            <w:r>
              <w:rPr>
                <w:sz w:val="18"/>
              </w:rPr>
              <w:t xml:space="preserve">Supabase for database and auth; Railway for the backend</w:t>
            </w:r>
          </w:p>
        </w:tc>
        <w:tc>
          <w:tcPr>
            <w:tcW w:w="3188" w:type="dxa"/>
          </w:tcPr>
          <w:p>
            <w:pPr>
              <w:pStyle w:val="Compact"/>
              <w:spacing w:after="40"/>
              <w:jc w:val="left"/>
            </w:pPr>
            <w:r>
              <w:rPr>
                <w:sz w:val="18"/>
              </w:rPr>
              <w:t xml:space="preserve">Supabase in an India region for real data; Railway for synthetic data only; Supabase Auth behind an OIDC abstraction; plan for AWS ap-south-1 and ap-south-2</w:t>
            </w:r>
          </w:p>
        </w:tc>
        <w:tc>
          <w:tcPr>
            <w:tcW w:w="2877" w:type="dxa"/>
          </w:tcPr>
          <w:p>
            <w:pPr>
              <w:pStyle w:val="Compact"/>
              <w:spacing w:after="40"/>
              <w:jc w:val="left"/>
            </w:pPr>
            <w:r>
              <w:rPr>
                <w:sz w:val="18"/>
              </w:rPr>
              <w:t xml:space="preserve">Data stored only in India (CF para 14(4)); Railway has no India region; portability</w:t>
            </w:r>
          </w:p>
        </w:tc>
      </w:tr>
      <w:tr>
        <w:tc>
          <w:tcPr>
            <w:tcW w:w="698" w:type="dxa"/>
          </w:tcPr>
          <w:p>
            <w:pPr>
              <w:pStyle w:val="Compact"/>
              <w:spacing w:after="40"/>
              <w:jc w:val="left"/>
            </w:pPr>
            <w:r>
              <w:rPr>
                <w:sz w:val="18"/>
              </w:rPr>
              <w:t xml:space="preserve">9</w:t>
            </w:r>
          </w:p>
        </w:tc>
        <w:tc>
          <w:tcPr>
            <w:tcW w:w="2875" w:type="dxa"/>
          </w:tcPr>
          <w:p>
            <w:pPr>
              <w:pStyle w:val="Compact"/>
              <w:spacing w:after="40"/>
              <w:jc w:val="left"/>
            </w:pPr>
            <w:r>
              <w:rPr>
                <w:sz w:val="18"/>
              </w:rPr>
              <w:t xml:space="preserve">ExpressJS server on Railway, including</w:t>
            </w:r>
            <w:r>
              <w:rPr>
                <w:sz w:val="18"/>
              </w:rPr>
              <w:t xml:space="preserve"> </w:t>
            </w:r>
            <w:r>
              <w:rPr>
                <w:sz w:val="18"/>
              </w:rPr>
              <w:t xml:space="preserve">“</w:t>
            </w:r>
            <w:r>
              <w:rPr>
                <w:sz w:val="18"/>
              </w:rPr>
              <w:t xml:space="preserve">calculating interest rates</w:t>
            </w:r>
            <w:r>
              <w:rPr>
                <w:sz w:val="18"/>
              </w:rPr>
              <w:t xml:space="preserve">”</w:t>
            </w:r>
          </w:p>
        </w:tc>
        <w:tc>
          <w:tcPr>
            <w:tcW w:w="3188" w:type="dxa"/>
          </w:tcPr>
          <w:p>
            <w:pPr>
              <w:pStyle w:val="Compact"/>
              <w:spacing w:after="40"/>
              <w:jc w:val="left"/>
            </w:pPr>
            <w:r>
              <w:rPr>
                <w:sz w:val="18"/>
              </w:rPr>
              <w:t xml:space="preserve">NestJS modular monolith (major version per the shared ecosystem ADR with Finbyx) with workers and Temporal; Udofin never computes pricing, it displays the RE’s figures and independently checks the APR</w:t>
            </w:r>
          </w:p>
        </w:tc>
        <w:tc>
          <w:tcPr>
            <w:tcW w:w="2877" w:type="dxa"/>
          </w:tcPr>
          <w:p>
            <w:pPr>
              <w:pStyle w:val="Compact"/>
              <w:spacing w:after="40"/>
              <w:jc w:val="left"/>
            </w:pPr>
            <w:r>
              <w:rPr>
                <w:sz w:val="18"/>
              </w:rPr>
              <w:t xml:space="preserve">Modular boundaries and durable workflows; pricing is the RE’s decision (RBC para 29; OUT para 15)</w:t>
            </w:r>
          </w:p>
        </w:tc>
      </w:tr>
      <w:tr>
        <w:tc>
          <w:tcPr>
            <w:tcW w:w="698" w:type="dxa"/>
          </w:tcPr>
          <w:p>
            <w:pPr>
              <w:pStyle w:val="Compact"/>
              <w:spacing w:after="40"/>
              <w:jc w:val="left"/>
            </w:pPr>
            <w:r>
              <w:rPr>
                <w:sz w:val="18"/>
              </w:rPr>
              <w:t xml:space="preserve">10</w:t>
            </w:r>
          </w:p>
        </w:tc>
        <w:tc>
          <w:tcPr>
            <w:tcW w:w="2875" w:type="dxa"/>
          </w:tcPr>
          <w:p>
            <w:pPr>
              <w:pStyle w:val="Compact"/>
              <w:spacing w:after="40"/>
              <w:jc w:val="left"/>
            </w:pPr>
            <w:r>
              <w:rPr>
                <w:sz w:val="18"/>
              </w:rPr>
              <w:t xml:space="preserve">Supabase migrations for users, loan_applications, loans and repayments; users read and write their own data</w:t>
            </w:r>
          </w:p>
        </w:tc>
        <w:tc>
          <w:tcPr>
            <w:tcW w:w="3188" w:type="dxa"/>
          </w:tcPr>
          <w:p>
            <w:pPr>
              <w:pStyle w:val="Compact"/>
              <w:spacing w:after="40"/>
              <w:jc w:val="left"/>
            </w:pPr>
            <w:r>
              <w:rPr>
                <w:sz w:val="18"/>
              </w:rPr>
              <w:t xml:space="preserve">Udofin owns applications, consents and evidence; loans are a read-only mirror of the RE’s records; RLS for both borrower and RE tenant isolation; the mobile app never holds privileged keys</w:t>
            </w:r>
          </w:p>
        </w:tc>
        <w:tc>
          <w:tcPr>
            <w:tcW w:w="2877" w:type="dxa"/>
          </w:tcPr>
          <w:p>
            <w:pPr>
              <w:pStyle w:val="Compact"/>
              <w:spacing w:after="40"/>
              <w:jc w:val="left"/>
            </w:pPr>
            <w:r>
              <w:rPr>
                <w:sz w:val="18"/>
              </w:rPr>
              <w:t xml:space="preserve">The RE’s LMS is the system of record (Part 5.1); tenant isolation (Part 10.2, principle 3)</w:t>
            </w:r>
          </w:p>
        </w:tc>
      </w:tr>
      <w:tr>
        <w:tc>
          <w:tcPr>
            <w:tcW w:w="698" w:type="dxa"/>
          </w:tcPr>
          <w:p>
            <w:pPr>
              <w:pStyle w:val="Compact"/>
              <w:spacing w:after="40"/>
              <w:jc w:val="left"/>
            </w:pPr>
            <w:r>
              <w:rPr>
                <w:sz w:val="18"/>
              </w:rPr>
              <w:t xml:space="preserve">11</w:t>
            </w:r>
          </w:p>
        </w:tc>
        <w:tc>
          <w:tcPr>
            <w:tcW w:w="2875" w:type="dxa"/>
          </w:tcPr>
          <w:p>
            <w:pPr>
              <w:pStyle w:val="Compact"/>
              <w:spacing w:after="40"/>
              <w:jc w:val="left"/>
            </w:pPr>
            <w:r>
              <w:rPr>
                <w:sz w:val="18"/>
              </w:rPr>
              <w:t xml:space="preserve">Udofin and Finbyx integrate with Tally Prime/SAP, Finbyx manages end-to-end accounting, and all tools make</w:t>
            </w:r>
            <w:r>
              <w:rPr>
                <w:sz w:val="18"/>
              </w:rPr>
              <w:t xml:space="preserve"> </w:t>
            </w:r>
            <w:r>
              <w:rPr>
                <w:sz w:val="18"/>
              </w:rPr>
              <w:t xml:space="preserve">“</w:t>
            </w:r>
            <w:r>
              <w:rPr>
                <w:sz w:val="18"/>
              </w:rPr>
              <w:t xml:space="preserve">make double-entry, subledgers, loan schedules, accruals, provisioning core capabilities</w:t>
            </w:r>
            <w:r>
              <w:rPr>
                <w:sz w:val="18"/>
              </w:rPr>
              <w:t xml:space="preserve">”</w:t>
            </w:r>
          </w:p>
        </w:tc>
        <w:tc>
          <w:tcPr>
            <w:tcW w:w="3188" w:type="dxa"/>
          </w:tcPr>
          <w:p>
            <w:pPr>
              <w:pStyle w:val="Compact"/>
              <w:spacing w:after="40"/>
              <w:jc w:val="left"/>
            </w:pPr>
            <w:r>
              <w:rPr>
                <w:sz w:val="18"/>
              </w:rPr>
              <w:t xml:space="preserve">Udofin keeps double-entry books for its own LSP business (fees, GST, DLG, vendor costs) plus a loan mirror for the borrower view; loan accounting stays in the RE’s LMS</w:t>
            </w:r>
          </w:p>
        </w:tc>
        <w:tc>
          <w:tcPr>
            <w:tcW w:w="2877" w:type="dxa"/>
          </w:tcPr>
          <w:p>
            <w:pPr>
              <w:pStyle w:val="Compact"/>
              <w:spacing w:after="40"/>
              <w:jc w:val="left"/>
            </w:pPr>
            <w:r>
              <w:rPr>
                <w:sz w:val="18"/>
              </w:rPr>
              <w:t xml:space="preserve">Udofin is not a lender; Tally Prime and SAP are export destinations (U17)</w:t>
            </w:r>
          </w:p>
        </w:tc>
      </w:tr>
      <w:tr>
        <w:tc>
          <w:tcPr>
            <w:tcW w:w="698" w:type="dxa"/>
          </w:tcPr>
          <w:p>
            <w:pPr>
              <w:pStyle w:val="Compact"/>
              <w:spacing w:after="40"/>
              <w:jc w:val="left"/>
            </w:pPr>
            <w:r>
              <w:rPr>
                <w:sz w:val="18"/>
              </w:rPr>
              <w:t xml:space="preserve">12</w:t>
            </w:r>
          </w:p>
        </w:tc>
        <w:tc>
          <w:tcPr>
            <w:tcW w:w="2875" w:type="dxa"/>
          </w:tcPr>
          <w:p>
            <w:pPr>
              <w:pStyle w:val="Compact"/>
              <w:spacing w:after="40"/>
              <w:jc w:val="left"/>
            </w:pPr>
            <w:r>
              <w:rPr>
                <w:sz w:val="18"/>
              </w:rPr>
              <w:t xml:space="preserve">An automated grievance mechanism in which an AI agent answers the borrower’s queries</w:t>
            </w:r>
          </w:p>
        </w:tc>
        <w:tc>
          <w:tcPr>
            <w:tcW w:w="3188" w:type="dxa"/>
          </w:tcPr>
          <w:p>
            <w:pPr>
              <w:pStyle w:val="Compact"/>
              <w:spacing w:after="40"/>
              <w:jc w:val="left"/>
            </w:pPr>
            <w:r>
              <w:rPr>
                <w:sz w:val="18"/>
              </w:rPr>
              <w:t xml:space="preserve">AI gives informational support from approved sources and suggests routing; the RE’s GRO decides; the CMS escalation route is always shown</w:t>
            </w:r>
          </w:p>
        </w:tc>
        <w:tc>
          <w:tcPr>
            <w:tcW w:w="2877" w:type="dxa"/>
          </w:tcPr>
          <w:p>
            <w:pPr>
              <w:pStyle w:val="Compact"/>
              <w:spacing w:after="40"/>
              <w:jc w:val="left"/>
            </w:pPr>
            <w:r>
              <w:rPr>
                <w:sz w:val="18"/>
              </w:rPr>
              <w:t xml:space="preserve">Redressal responsibility remains with the RE (CF para 12(3)–(4)); the original prompt also barred AI from rejecting complaints</w:t>
            </w:r>
          </w:p>
        </w:tc>
      </w:tr>
      <w:tr>
        <w:tc>
          <w:tcPr>
            <w:tcW w:w="698" w:type="dxa"/>
          </w:tcPr>
          <w:p>
            <w:pPr>
              <w:pStyle w:val="Compact"/>
              <w:spacing w:after="40"/>
              <w:jc w:val="left"/>
            </w:pPr>
            <w:r>
              <w:rPr>
                <w:sz w:val="18"/>
              </w:rPr>
              <w:t xml:space="preserve">13</w:t>
            </w:r>
          </w:p>
        </w:tc>
        <w:tc>
          <w:tcPr>
            <w:tcW w:w="2875" w:type="dxa"/>
          </w:tcPr>
          <w:p>
            <w:pPr>
              <w:pStyle w:val="Compact"/>
              <w:spacing w:after="40"/>
              <w:jc w:val="left"/>
            </w:pPr>
            <w:r>
              <w:rPr>
                <w:sz w:val="18"/>
              </w:rPr>
              <w:t xml:space="preserve">The app can ask for permissions to use phone data for better UX</w:t>
            </w:r>
          </w:p>
        </w:tc>
        <w:tc>
          <w:tcPr>
            <w:tcW w:w="3188" w:type="dxa"/>
          </w:tcPr>
          <w:p>
            <w:pPr>
              <w:pStyle w:val="Compact"/>
              <w:spacing w:after="40"/>
              <w:jc w:val="left"/>
            </w:pPr>
            <w:r>
              <w:rPr>
                <w:sz w:val="18"/>
              </w:rPr>
              <w:t xml:space="preserve">Permission policy: one-time camera, microphone and location for onboarding/KYC only; no files and media, contacts, call logs, SMS or telephony; system pickers after onboarding</w:t>
            </w:r>
          </w:p>
        </w:tc>
        <w:tc>
          <w:tcPr>
            <w:tcW w:w="2877" w:type="dxa"/>
          </w:tcPr>
          <w:p>
            <w:pPr>
              <w:pStyle w:val="Compact"/>
              <w:spacing w:after="40"/>
              <w:jc w:val="left"/>
            </w:pPr>
            <w:r>
              <w:rPr>
                <w:sz w:val="18"/>
              </w:rPr>
              <w:t xml:space="preserve">CF para 13(1); DPS para 68(2)(vii) as baseline; app-store data-safety rules</w:t>
            </w:r>
          </w:p>
        </w:tc>
      </w:tr>
      <w:tr>
        <w:tc>
          <w:tcPr>
            <w:tcW w:w="698" w:type="dxa"/>
          </w:tcPr>
          <w:p>
            <w:pPr>
              <w:pStyle w:val="Compact"/>
              <w:spacing w:after="40"/>
              <w:jc w:val="left"/>
            </w:pPr>
            <w:r>
              <w:rPr>
                <w:sz w:val="18"/>
              </w:rPr>
              <w:t xml:space="preserve">14</w:t>
            </w:r>
          </w:p>
        </w:tc>
        <w:tc>
          <w:tcPr>
            <w:tcW w:w="2875" w:type="dxa"/>
          </w:tcPr>
          <w:p>
            <w:pPr>
              <w:pStyle w:val="Compact"/>
              <w:spacing w:after="40"/>
              <w:jc w:val="left"/>
            </w:pPr>
            <w:r>
              <w:rPr>
                <w:sz w:val="18"/>
              </w:rPr>
              <w:t xml:space="preserve">Users scan documents and share KYC with</w:t>
            </w:r>
            <w:r>
              <w:rPr>
                <w:sz w:val="18"/>
              </w:rPr>
              <w:t xml:space="preserve"> </w:t>
            </w:r>
            <w:r>
              <w:rPr>
                <w:sz w:val="18"/>
              </w:rPr>
              <w:t xml:space="preserve">“</w:t>
            </w:r>
            <w:r>
              <w:rPr>
                <w:sz w:val="18"/>
              </w:rPr>
              <w:t xml:space="preserve">the system administrator</w:t>
            </w:r>
            <w:r>
              <w:rPr>
                <w:sz w:val="18"/>
              </w:rPr>
              <w:t xml:space="preserve">”</w:t>
            </w:r>
          </w:p>
        </w:tc>
        <w:tc>
          <w:tcPr>
            <w:tcW w:w="3188" w:type="dxa"/>
          </w:tcPr>
          <w:p>
            <w:pPr>
              <w:pStyle w:val="Compact"/>
              <w:spacing w:after="40"/>
              <w:jc w:val="left"/>
            </w:pPr>
            <w:r>
              <w:rPr>
                <w:sz w:val="18"/>
              </w:rPr>
              <w:t xml:space="preserve">Documents go to the RE that the borrower chose, with consent; Udofin staff see them only on a need-to-know basis with logging</w:t>
            </w:r>
          </w:p>
        </w:tc>
        <w:tc>
          <w:tcPr>
            <w:tcW w:w="2877" w:type="dxa"/>
          </w:tcPr>
          <w:p>
            <w:pPr>
              <w:pStyle w:val="Compact"/>
              <w:spacing w:after="40"/>
              <w:jc w:val="left"/>
            </w:pPr>
            <w:r>
              <w:rPr>
                <w:sz w:val="18"/>
              </w:rPr>
              <w:t xml:space="preserve">Explicit consent before sharing (CF para 13(4)); minimal LSP data (CF para 14(1))</w:t>
            </w:r>
          </w:p>
        </w:tc>
      </w:tr>
      <w:tr>
        <w:tc>
          <w:tcPr>
            <w:tcW w:w="698" w:type="dxa"/>
          </w:tcPr>
          <w:p>
            <w:pPr>
              <w:pStyle w:val="Compact"/>
              <w:spacing w:after="40"/>
              <w:jc w:val="left"/>
            </w:pPr>
            <w:r>
              <w:rPr>
                <w:sz w:val="18"/>
              </w:rPr>
              <w:t xml:space="preserve">15</w:t>
            </w:r>
          </w:p>
        </w:tc>
        <w:tc>
          <w:tcPr>
            <w:tcW w:w="2875" w:type="dxa"/>
          </w:tcPr>
          <w:p>
            <w:pPr>
              <w:pStyle w:val="Compact"/>
              <w:spacing w:after="40"/>
              <w:jc w:val="left"/>
            </w:pPr>
            <w:r>
              <w:rPr>
                <w:sz w:val="18"/>
              </w:rPr>
              <w:t xml:space="preserve">eSign and eStamp are used on Udofin only</w:t>
            </w:r>
          </w:p>
        </w:tc>
        <w:tc>
          <w:tcPr>
            <w:tcW w:w="3188" w:type="dxa"/>
          </w:tcPr>
          <w:p>
            <w:pPr>
              <w:pStyle w:val="Compact"/>
              <w:spacing w:after="40"/>
              <w:jc w:val="left"/>
            </w:pPr>
            <w:r>
              <w:rPr>
                <w:sz w:val="18"/>
              </w:rPr>
              <w:t xml:space="preserve">Executed in the Udofin journey, but the documents are the RE’s, on its letterhead, and evidence flows to the RE; physical execution where electronic execution is excluded</w:t>
            </w:r>
          </w:p>
        </w:tc>
        <w:tc>
          <w:tcPr>
            <w:tcW w:w="2877" w:type="dxa"/>
          </w:tcPr>
          <w:p>
            <w:pPr>
              <w:pStyle w:val="Compact"/>
              <w:spacing w:after="40"/>
              <w:jc w:val="left"/>
            </w:pPr>
            <w:r>
              <w:rPr>
                <w:sz w:val="18"/>
              </w:rPr>
              <w:t xml:space="preserve">CF para 9(3); IT Act First Schedule</w:t>
            </w:r>
          </w:p>
        </w:tc>
      </w:tr>
      <w:tr>
        <w:tc>
          <w:tcPr>
            <w:tcW w:w="698" w:type="dxa"/>
          </w:tcPr>
          <w:p>
            <w:pPr>
              <w:pStyle w:val="Compact"/>
              <w:spacing w:after="40"/>
              <w:jc w:val="left"/>
            </w:pPr>
            <w:r>
              <w:rPr>
                <w:sz w:val="18"/>
              </w:rPr>
              <w:t xml:space="preserve">16</w:t>
            </w:r>
          </w:p>
        </w:tc>
        <w:tc>
          <w:tcPr>
            <w:tcW w:w="2875" w:type="dxa"/>
          </w:tcPr>
          <w:p>
            <w:pPr>
              <w:pStyle w:val="Compact"/>
              <w:spacing w:after="40"/>
              <w:jc w:val="left"/>
            </w:pPr>
            <w:r>
              <w:rPr>
                <w:sz w:val="18"/>
              </w:rPr>
              <w:t xml:space="preserve">Lenders’ dashboard to generate finance, risk-management and compliance reports; apply Basel/BCBS and Ind AS</w:t>
            </w:r>
          </w:p>
        </w:tc>
        <w:tc>
          <w:tcPr>
            <w:tcW w:w="3188" w:type="dxa"/>
          </w:tcPr>
          <w:p>
            <w:pPr>
              <w:pStyle w:val="Compact"/>
              <w:spacing w:after="40"/>
              <w:jc w:val="left"/>
            </w:pPr>
            <w:r>
              <w:rPr>
                <w:sz w:val="18"/>
              </w:rPr>
              <w:t xml:space="preserve">Lender portal reports cover Udofin-sourced business, conduct and reconciliation; prudential, risk and financial reports come from the RE’s LMS (Finbyx M17)</w:t>
            </w:r>
          </w:p>
        </w:tc>
        <w:tc>
          <w:tcPr>
            <w:tcW w:w="2877" w:type="dxa"/>
          </w:tcPr>
          <w:p>
            <w:pPr>
              <w:pStyle w:val="Compact"/>
              <w:spacing w:after="40"/>
              <w:jc w:val="left"/>
            </w:pPr>
            <w:r>
              <w:rPr>
                <w:sz w:val="18"/>
              </w:rPr>
              <w:t xml:space="preserve">Udofin does not hold the loan book</w:t>
            </w:r>
          </w:p>
        </w:tc>
      </w:tr>
      <w:tr>
        <w:tc>
          <w:tcPr>
            <w:tcW w:w="698" w:type="dxa"/>
          </w:tcPr>
          <w:p>
            <w:pPr>
              <w:pStyle w:val="Compact"/>
              <w:spacing w:after="40"/>
              <w:jc w:val="left"/>
            </w:pPr>
            <w:r>
              <w:rPr>
                <w:sz w:val="18"/>
              </w:rPr>
              <w:t xml:space="preserve">17</w:t>
            </w:r>
          </w:p>
        </w:tc>
        <w:tc>
          <w:tcPr>
            <w:tcW w:w="2875" w:type="dxa"/>
          </w:tcPr>
          <w:p>
            <w:pPr>
              <w:pStyle w:val="Compact"/>
              <w:spacing w:after="40"/>
              <w:jc w:val="left"/>
            </w:pPr>
            <w:r>
              <w:rPr>
                <w:sz w:val="18"/>
              </w:rPr>
              <w:t xml:space="preserve">Explore Apache Fineract</w:t>
            </w:r>
          </w:p>
        </w:tc>
        <w:tc>
          <w:tcPr>
            <w:tcW w:w="3188" w:type="dxa"/>
          </w:tcPr>
          <w:p>
            <w:pPr>
              <w:pStyle w:val="Compact"/>
              <w:spacing w:after="40"/>
              <w:jc w:val="left"/>
            </w:pPr>
            <w:r>
              <w:rPr>
                <w:sz w:val="18"/>
              </w:rPr>
              <w:t xml:space="preserve">Not used in Udofin; Fineract is an LMS concern (Finbyx Part 4)</w:t>
            </w:r>
          </w:p>
        </w:tc>
        <w:tc>
          <w:tcPr>
            <w:tcW w:w="2877" w:type="dxa"/>
          </w:tcPr>
          <w:p>
            <w:pPr>
              <w:pStyle w:val="Compact"/>
              <w:spacing w:after="40"/>
              <w:jc w:val="left"/>
            </w:pPr>
            <w:r>
              <w:rPr>
                <w:sz w:val="18"/>
              </w:rPr>
              <w:t xml:space="preserve">Udofin keeps only a loan mirror</w:t>
            </w:r>
          </w:p>
        </w:tc>
      </w:tr>
      <w:tr>
        <w:tc>
          <w:tcPr>
            <w:tcW w:w="698" w:type="dxa"/>
          </w:tcPr>
          <w:p>
            <w:pPr>
              <w:pStyle w:val="Compact"/>
              <w:spacing w:after="40"/>
              <w:jc w:val="left"/>
            </w:pPr>
            <w:r>
              <w:rPr>
                <w:sz w:val="18"/>
              </w:rPr>
              <w:t xml:space="preserve">18</w:t>
            </w:r>
          </w:p>
        </w:tc>
        <w:tc>
          <w:tcPr>
            <w:tcW w:w="2875" w:type="dxa"/>
          </w:tcPr>
          <w:p>
            <w:pPr>
              <w:pStyle w:val="Compact"/>
              <w:spacing w:after="40"/>
              <w:jc w:val="left"/>
            </w:pPr>
            <w:r>
              <w:rPr>
                <w:sz w:val="18"/>
              </w:rPr>
              <w:t xml:space="preserve">Ten-phase build plan</w:t>
            </w:r>
          </w:p>
        </w:tc>
        <w:tc>
          <w:tcPr>
            <w:tcW w:w="3188" w:type="dxa"/>
          </w:tcPr>
          <w:p>
            <w:pPr>
              <w:pStyle w:val="Compact"/>
              <w:spacing w:after="40"/>
              <w:jc w:val="left"/>
            </w:pPr>
            <w:r>
              <w:rPr>
                <w:sz w:val="18"/>
              </w:rPr>
              <w:t xml:space="preserve">24-phase plan (Phases 0–21 plus 3b and P) with an MVP pilot gate before secured and specialist products</w:t>
            </w:r>
          </w:p>
        </w:tc>
        <w:tc>
          <w:tcPr>
            <w:tcW w:w="2877" w:type="dxa"/>
          </w:tcPr>
          <w:p>
            <w:pPr>
              <w:pStyle w:val="Compact"/>
              <w:spacing w:after="40"/>
              <w:jc w:val="left"/>
            </w:pPr>
            <w:r>
              <w:rPr>
                <w:sz w:val="18"/>
              </w:rPr>
              <w:t xml:space="preserve">Separates regulated foundations (consent, KYC, money-flow guards) from features; narrow MVP (Part 12)</w:t>
            </w:r>
          </w:p>
        </w:tc>
      </w:tr>
      <w:tr>
        <w:tc>
          <w:tcPr>
            <w:tcW w:w="698" w:type="dxa"/>
          </w:tcPr>
          <w:p>
            <w:pPr>
              <w:pStyle w:val="Compact"/>
              <w:spacing w:after="40"/>
              <w:jc w:val="left"/>
            </w:pPr>
            <w:r>
              <w:rPr>
                <w:sz w:val="18"/>
              </w:rPr>
              <w:t xml:space="preserve">19</w:t>
            </w:r>
          </w:p>
        </w:tc>
        <w:tc>
          <w:tcPr>
            <w:tcW w:w="2875" w:type="dxa"/>
          </w:tcPr>
          <w:p>
            <w:pPr>
              <w:pStyle w:val="Compact"/>
              <w:spacing w:after="40"/>
              <w:jc w:val="left"/>
            </w:pPr>
            <w:r>
              <w:rPr>
                <w:sz w:val="18"/>
              </w:rPr>
              <w:t xml:space="preserve">Nine products</w:t>
            </w:r>
            <w:r>
              <w:rPr>
                <w:sz w:val="18"/>
              </w:rPr>
              <w:t xml:space="preserve"> </w:t>
            </w:r>
            <w:r>
              <w:rPr>
                <w:sz w:val="18"/>
              </w:rPr>
              <w:t xml:space="preserve">“</w:t>
            </w:r>
            <w:r>
              <w:rPr>
                <w:sz w:val="18"/>
              </w:rPr>
              <w:t xml:space="preserve">should be there</w:t>
            </w:r>
            <w:r>
              <w:rPr>
                <w:sz w:val="18"/>
              </w:rPr>
              <w:t xml:space="preserve">”</w:t>
            </w:r>
            <w:r>
              <w:rPr>
                <w:sz w:val="18"/>
              </w:rPr>
              <w:t xml:space="preserve"> </w:t>
            </w:r>
            <w:r>
              <w:rPr>
                <w:sz w:val="18"/>
              </w:rPr>
              <w:t xml:space="preserve">(no personal loan), four of them flagged by the original for feasibility assessment</w:t>
            </w:r>
          </w:p>
        </w:tc>
        <w:tc>
          <w:tcPr>
            <w:tcW w:w="3188" w:type="dxa"/>
          </w:tcPr>
          <w:p>
            <w:pPr>
              <w:pStyle w:val="Compact"/>
              <w:spacing w:after="40"/>
              <w:jc w:val="left"/>
            </w:pPr>
            <w:r>
              <w:rPr>
                <w:sz w:val="18"/>
              </w:rPr>
              <w:t xml:space="preserve">Ten product templates; Personal Loan and Payday in the MVP; secured products in Phase 18; Products 7–10 only after an approved feasibility note</w:t>
            </w:r>
          </w:p>
        </w:tc>
        <w:tc>
          <w:tcPr>
            <w:tcW w:w="2877" w:type="dxa"/>
          </w:tcPr>
          <w:p>
            <w:pPr>
              <w:pStyle w:val="Compact"/>
              <w:spacing w:after="40"/>
              <w:jc w:val="left"/>
            </w:pPr>
            <w:r>
              <w:rPr>
                <w:sz w:val="18"/>
              </w:rPr>
              <w:t xml:space="preserve">The original prompt asked for feasibility assessments; Google Play Personal Loans policy and App Store Guideline 3.2.2(ix) (no loans repayable in full in 60 days or less; App Store APR cap of 36%)</w:t>
            </w:r>
          </w:p>
        </w:tc>
      </w:tr>
      <w:tr>
        <w:tc>
          <w:tcPr>
            <w:tcW w:w="698" w:type="dxa"/>
          </w:tcPr>
          <w:p>
            <w:pPr>
              <w:pStyle w:val="Compact"/>
              <w:spacing w:after="40"/>
              <w:jc w:val="left"/>
            </w:pPr>
            <w:r>
              <w:rPr>
                <w:sz w:val="18"/>
              </w:rPr>
              <w:t xml:space="preserve">20</w:t>
            </w:r>
          </w:p>
        </w:tc>
        <w:tc>
          <w:tcPr>
            <w:tcW w:w="2875" w:type="dxa"/>
          </w:tcPr>
          <w:p>
            <w:pPr>
              <w:pStyle w:val="Compact"/>
              <w:spacing w:after="40"/>
              <w:jc w:val="left"/>
            </w:pPr>
            <w:r>
              <w:rPr>
                <w:sz w:val="18"/>
              </w:rPr>
              <w:t xml:space="preserve">Payday loans</w:t>
            </w:r>
            <w:r>
              <w:rPr>
                <w:sz w:val="18"/>
              </w:rPr>
              <w:t xml:space="preserve"> </w:t>
            </w:r>
            <w:r>
              <w:rPr>
                <w:sz w:val="18"/>
              </w:rPr>
              <w:t xml:space="preserve">“</w:t>
            </w:r>
            <w:r>
              <w:rPr>
                <w:sz w:val="18"/>
              </w:rPr>
              <w:t xml:space="preserve">work like personal loans</w:t>
            </w:r>
            <w:r>
              <w:rPr>
                <w:sz w:val="18"/>
              </w:rPr>
              <w:t xml:space="preserve">”</w:t>
            </w:r>
          </w:p>
        </w:tc>
        <w:tc>
          <w:tcPr>
            <w:tcW w:w="3188" w:type="dxa"/>
          </w:tcPr>
          <w:p>
            <w:pPr>
              <w:pStyle w:val="Compact"/>
              <w:spacing w:after="40"/>
              <w:jc w:val="left"/>
            </w:pPr>
            <w:r>
              <w:rPr>
                <w:sz w:val="18"/>
              </w:rPr>
              <w:t xml:space="preserve">Separate template with heightened conduct controls, one-working-day KFS validity for tenors under 7 days, CCO evaluation and 6-month monitoring, and an app-store launch gate</w:t>
            </w:r>
          </w:p>
        </w:tc>
        <w:tc>
          <w:tcPr>
            <w:tcW w:w="2877" w:type="dxa"/>
          </w:tcPr>
          <w:p>
            <w:pPr>
              <w:pStyle w:val="Compact"/>
              <w:spacing w:after="40"/>
              <w:jc w:val="left"/>
            </w:pPr>
            <w:r>
              <w:rPr>
                <w:sz w:val="18"/>
              </w:rPr>
              <w:t xml:space="preserve">RBC para 29(2); CMP paras 15(2), 31; Google Play Personal Loans policy; App Store Guideline 3.2.2(ix)</w:t>
            </w:r>
          </w:p>
        </w:tc>
      </w:tr>
      <w:tr>
        <w:tc>
          <w:tcPr>
            <w:tcW w:w="698" w:type="dxa"/>
          </w:tcPr>
          <w:p>
            <w:pPr>
              <w:pStyle w:val="Compact"/>
              <w:spacing w:after="40"/>
              <w:jc w:val="left"/>
            </w:pPr>
            <w:r>
              <w:rPr>
                <w:sz w:val="18"/>
              </w:rPr>
              <w:t xml:space="preserve">21</w:t>
            </w:r>
          </w:p>
        </w:tc>
        <w:tc>
          <w:tcPr>
            <w:tcW w:w="2875" w:type="dxa"/>
          </w:tcPr>
          <w:p>
            <w:pPr>
              <w:pStyle w:val="Compact"/>
              <w:spacing w:after="40"/>
              <w:jc w:val="left"/>
            </w:pPr>
            <w:r>
              <w:rPr>
                <w:sz w:val="18"/>
              </w:rPr>
              <w:t xml:space="preserve">Some NBFCs may use only Udofin’s web portal</w:t>
            </w:r>
          </w:p>
        </w:tc>
        <w:tc>
          <w:tcPr>
            <w:tcW w:w="3188" w:type="dxa"/>
          </w:tcPr>
          <w:p>
            <w:pPr>
              <w:pStyle w:val="Compact"/>
              <w:spacing w:after="40"/>
              <w:jc w:val="left"/>
            </w:pPr>
            <w:r>
              <w:rPr>
                <w:sz w:val="18"/>
              </w:rPr>
              <w:t xml:space="preserve">Portal-only mode: the RE decides in the lender portal with maker-checker; Udofin hosts but never changes the RE’s rules; the RE books loans in its own LMS</w:t>
            </w:r>
          </w:p>
        </w:tc>
        <w:tc>
          <w:tcPr>
            <w:tcW w:w="2877" w:type="dxa"/>
          </w:tcPr>
          <w:p>
            <w:pPr>
              <w:pStyle w:val="Compact"/>
              <w:spacing w:after="40"/>
              <w:jc w:val="left"/>
            </w:pPr>
            <w:r>
              <w:rPr>
                <w:sz w:val="18"/>
              </w:rPr>
              <w:t xml:space="preserve">Sanction cannot be outsourced (OUT para 15)</w:t>
            </w:r>
          </w:p>
        </w:tc>
      </w:tr>
      <w:tr>
        <w:tc>
          <w:tcPr>
            <w:tcW w:w="698" w:type="dxa"/>
          </w:tcPr>
          <w:p>
            <w:pPr>
              <w:pStyle w:val="Compact"/>
              <w:spacing w:after="40"/>
              <w:jc w:val="left"/>
            </w:pPr>
            <w:r>
              <w:rPr>
                <w:sz w:val="18"/>
              </w:rPr>
              <w:t xml:space="preserve">22</w:t>
            </w:r>
          </w:p>
        </w:tc>
        <w:tc>
          <w:tcPr>
            <w:tcW w:w="2875" w:type="dxa"/>
          </w:tcPr>
          <w:p>
            <w:pPr>
              <w:pStyle w:val="Compact"/>
              <w:spacing w:after="40"/>
              <w:jc w:val="left"/>
            </w:pPr>
            <w:r>
              <w:rPr>
                <w:sz w:val="18"/>
              </w:rPr>
              <w:t xml:space="preserve">Grievance module may sit in LawDocsComply or Finbyx; unresolved cases go to Equator</w:t>
            </w:r>
          </w:p>
        </w:tc>
        <w:tc>
          <w:tcPr>
            <w:tcW w:w="3188" w:type="dxa"/>
          </w:tcPr>
          <w:p>
            <w:pPr>
              <w:pStyle w:val="Compact"/>
              <w:spacing w:after="40"/>
              <w:jc w:val="left"/>
            </w:pPr>
            <w:r>
              <w:rPr>
                <w:sz w:val="18"/>
              </w:rPr>
              <w:t xml:space="preserve">Kept as the grievance-host switch; Equator is offered only where legally and contractually appropriate and never displaces the RBI CMS route</w:t>
            </w:r>
          </w:p>
        </w:tc>
        <w:tc>
          <w:tcPr>
            <w:tcW w:w="2877" w:type="dxa"/>
          </w:tcPr>
          <w:p>
            <w:pPr>
              <w:pStyle w:val="Compact"/>
              <w:spacing w:after="40"/>
              <w:jc w:val="left"/>
            </w:pPr>
            <w:r>
              <w:rPr>
                <w:sz w:val="18"/>
              </w:rPr>
              <w:t xml:space="preserve">CF para 12(4)</w:t>
            </w:r>
          </w:p>
        </w:tc>
      </w:tr>
      <w:tr>
        <w:tc>
          <w:tcPr>
            <w:tcW w:w="698" w:type="dxa"/>
          </w:tcPr>
          <w:p>
            <w:pPr>
              <w:pStyle w:val="Compact"/>
              <w:spacing w:after="40"/>
              <w:jc w:val="left"/>
            </w:pPr>
            <w:r>
              <w:rPr>
                <w:sz w:val="18"/>
              </w:rPr>
              <w:t xml:space="preserve">23</w:t>
            </w:r>
          </w:p>
        </w:tc>
        <w:tc>
          <w:tcPr>
            <w:tcW w:w="2875" w:type="dxa"/>
          </w:tcPr>
          <w:p>
            <w:pPr>
              <w:pStyle w:val="Compact"/>
              <w:spacing w:after="40"/>
              <w:jc w:val="left"/>
            </w:pPr>
            <w:r>
              <w:rPr>
                <w:sz w:val="18"/>
              </w:rPr>
              <w:t xml:space="preserve">Marketing capabilities such as push notifications</w:t>
            </w:r>
          </w:p>
        </w:tc>
        <w:tc>
          <w:tcPr>
            <w:tcW w:w="3188" w:type="dxa"/>
          </w:tcPr>
          <w:p>
            <w:pPr>
              <w:pStyle w:val="Compact"/>
              <w:spacing w:after="40"/>
              <w:jc w:val="left"/>
            </w:pPr>
            <w:r>
              <w:rPr>
                <w:sz w:val="18"/>
              </w:rPr>
              <w:t xml:space="preserve">Separate marketing consent with</w:t>
            </w:r>
            <w:r>
              <w:rPr>
                <w:sz w:val="18"/>
              </w:rPr>
              <w:t xml:space="preserve"> </w:t>
            </w:r>
            <w:r>
              <w:rPr>
                <w:sz w:val="18"/>
              </w:rPr>
              <w:t xml:space="preserve">“</w:t>
            </w:r>
            <w:r>
              <w:rPr>
                <w:sz w:val="18"/>
              </w:rPr>
              <w:t xml:space="preserve">no</w:t>
            </w:r>
            <w:r>
              <w:rPr>
                <w:sz w:val="18"/>
              </w:rPr>
              <w:t xml:space="preserve">”</w:t>
            </w:r>
            <w:r>
              <w:rPr>
                <w:sz w:val="18"/>
              </w:rPr>
              <w:t xml:space="preserve"> </w:t>
            </w:r>
            <w:r>
              <w:rPr>
                <w:sz w:val="18"/>
              </w:rPr>
              <w:t xml:space="preserve">as default, service and marketing messages split, DLT templates, no lender promotion inside the offer journey</w:t>
            </w:r>
          </w:p>
        </w:tc>
        <w:tc>
          <w:tcPr>
            <w:tcW w:w="2877" w:type="dxa"/>
          </w:tcPr>
          <w:p>
            <w:pPr>
              <w:pStyle w:val="Compact"/>
              <w:spacing w:after="40"/>
              <w:jc w:val="left"/>
            </w:pPr>
            <w:r>
              <w:rPr>
                <w:sz w:val="18"/>
              </w:rPr>
              <w:t xml:space="preserve">CF para 7(4); RBC para 101; RBC Second Amendment [VERIFY]</w:t>
            </w:r>
          </w:p>
        </w:tc>
      </w:tr>
      <w:tr>
        <w:tc>
          <w:tcPr>
            <w:tcW w:w="698" w:type="dxa"/>
          </w:tcPr>
          <w:p>
            <w:pPr>
              <w:pStyle w:val="Compact"/>
              <w:spacing w:after="40"/>
              <w:jc w:val="left"/>
            </w:pPr>
            <w:r>
              <w:rPr>
                <w:sz w:val="18"/>
              </w:rPr>
              <w:t xml:space="preserve">24</w:t>
            </w:r>
          </w:p>
        </w:tc>
        <w:tc>
          <w:tcPr>
            <w:tcW w:w="2875" w:type="dxa"/>
          </w:tcPr>
          <w:p>
            <w:pPr>
              <w:pStyle w:val="Compact"/>
              <w:spacing w:after="40"/>
              <w:jc w:val="left"/>
            </w:pPr>
            <w:r>
              <w:rPr>
                <w:sz w:val="18"/>
              </w:rPr>
              <w:t xml:space="preserve">“</w:t>
            </w:r>
            <w:r>
              <w:rPr>
                <w:sz w:val="18"/>
              </w:rPr>
              <w:t xml:space="preserve">Books of accounts</w:t>
            </w:r>
            <w:r>
              <w:rPr>
                <w:sz w:val="18"/>
              </w:rPr>
              <w:t xml:space="preserve">”</w:t>
            </w:r>
            <w:r>
              <w:rPr>
                <w:sz w:val="18"/>
              </w:rPr>
              <w:t xml:space="preserve"> </w:t>
            </w:r>
            <w:r>
              <w:rPr>
                <w:sz w:val="18"/>
              </w:rPr>
              <w:t xml:space="preserve">view of the borrower’s finances</w:t>
            </w:r>
          </w:p>
        </w:tc>
        <w:tc>
          <w:tcPr>
            <w:tcW w:w="3188" w:type="dxa"/>
          </w:tcPr>
          <w:p>
            <w:pPr>
              <w:pStyle w:val="Compact"/>
              <w:spacing w:after="40"/>
              <w:jc w:val="left"/>
            </w:pPr>
            <w:r>
              <w:rPr>
                <w:sz w:val="18"/>
              </w:rPr>
              <w:t xml:space="preserve">A per-loan and cross-loan ledger from the RE’s data; personal expense tracking only with separate consent and borrower-entered data</w:t>
            </w:r>
          </w:p>
        </w:tc>
        <w:tc>
          <w:tcPr>
            <w:tcW w:w="2877" w:type="dxa"/>
          </w:tcPr>
          <w:p>
            <w:pPr>
              <w:pStyle w:val="Compact"/>
              <w:spacing w:after="40"/>
              <w:jc w:val="left"/>
            </w:pPr>
            <w:r>
              <w:rPr>
                <w:sz w:val="18"/>
              </w:rPr>
              <w:t xml:space="preserve">Udofin is not an FIU and cannot pull bank data for its own purposes (AA para 8(12))</w:t>
            </w:r>
          </w:p>
        </w:tc>
      </w:tr>
      <w:tr>
        <w:tc>
          <w:tcPr>
            <w:tcW w:w="698" w:type="dxa"/>
          </w:tcPr>
          <w:p>
            <w:pPr>
              <w:pStyle w:val="Compact"/>
              <w:spacing w:after="40"/>
              <w:jc w:val="left"/>
            </w:pPr>
            <w:r>
              <w:rPr>
                <w:sz w:val="18"/>
              </w:rPr>
              <w:t xml:space="preserve">25</w:t>
            </w:r>
          </w:p>
        </w:tc>
        <w:tc>
          <w:tcPr>
            <w:tcW w:w="2875" w:type="dxa"/>
          </w:tcPr>
          <w:p>
            <w:pPr>
              <w:pStyle w:val="Compact"/>
              <w:spacing w:after="40"/>
              <w:jc w:val="left"/>
            </w:pPr>
            <w:r>
              <w:rPr>
                <w:sz w:val="18"/>
              </w:rPr>
              <w:t xml:space="preserve">RBI master directions issued on 28 November 2025 and 31 July 2026</w:t>
            </w:r>
          </w:p>
        </w:tc>
        <w:tc>
          <w:tcPr>
            <w:tcW w:w="3188" w:type="dxa"/>
          </w:tcPr>
          <w:p>
            <w:pPr>
              <w:pStyle w:val="Compact"/>
              <w:spacing w:after="40"/>
              <w:jc w:val="left"/>
            </w:pPr>
            <w:r>
              <w:rPr>
                <w:sz w:val="18"/>
              </w:rPr>
              <w:t xml:space="preserve">33 RBI Directions and 1 guidance note supplied for Finbyx v1.3, cited paragraph by paragraph in Part 8A with the same REQ-IDs</w:t>
            </w:r>
          </w:p>
        </w:tc>
        <w:tc>
          <w:tcPr>
            <w:tcW w:w="2877" w:type="dxa"/>
          </w:tcPr>
          <w:p>
            <w:pPr>
              <w:pStyle w:val="Compact"/>
              <w:spacing w:after="40"/>
              <w:jc w:val="left"/>
            </w:pPr>
            <w:r>
              <w:rPr>
                <w:sz w:val="18"/>
              </w:rPr>
              <w:t xml:space="preserve">One shared ecosystem register</w:t>
            </w:r>
          </w:p>
        </w:tc>
      </w:tr>
      <w:tr>
        <w:tc>
          <w:tcPr>
            <w:tcW w:w="698" w:type="dxa"/>
          </w:tcPr>
          <w:p>
            <w:pPr>
              <w:pStyle w:val="Compact"/>
              <w:spacing w:after="40"/>
              <w:jc w:val="left"/>
            </w:pPr>
            <w:r>
              <w:rPr>
                <w:sz w:val="18"/>
              </w:rPr>
              <w:t xml:space="preserve">26</w:t>
            </w:r>
          </w:p>
        </w:tc>
        <w:tc>
          <w:tcPr>
            <w:tcW w:w="2875" w:type="dxa"/>
          </w:tcPr>
          <w:p>
            <w:pPr>
              <w:pStyle w:val="Compact"/>
              <w:spacing w:after="40"/>
              <w:jc w:val="left"/>
            </w:pPr>
            <w:r>
              <w:rPr>
                <w:sz w:val="18"/>
              </w:rPr>
              <w:t xml:space="preserve">Owner will integrate provider APIs manually later</w:t>
            </w:r>
          </w:p>
        </w:tc>
        <w:tc>
          <w:tcPr>
            <w:tcW w:w="3188" w:type="dxa"/>
          </w:tcPr>
          <w:p>
            <w:pPr>
              <w:pStyle w:val="Compact"/>
              <w:spacing w:after="40"/>
              <w:jc w:val="left"/>
            </w:pPr>
            <w:r>
              <w:rPr>
                <w:sz w:val="18"/>
              </w:rPr>
              <w:t xml:space="preserve">Claude Code builds provider adapters with mocks and sandboxes now; the owner supplies contracts and credentials; production adapters are labelled separately</w:t>
            </w:r>
          </w:p>
        </w:tc>
        <w:tc>
          <w:tcPr>
            <w:tcW w:w="2877" w:type="dxa"/>
          </w:tcPr>
          <w:p>
            <w:pPr>
              <w:pStyle w:val="Compact"/>
              <w:spacing w:after="40"/>
              <w:jc w:val="left"/>
            </w:pPr>
            <w:r>
              <w:rPr>
                <w:sz w:val="18"/>
              </w:rPr>
              <w:t xml:space="preserve">Original definition of done (clearly distinguish mock from production)</w:t>
            </w:r>
          </w:p>
        </w:tc>
      </w:tr>
      <w:tr>
        <w:tc>
          <w:tcPr>
            <w:tcW w:w="698" w:type="dxa"/>
          </w:tcPr>
          <w:p>
            <w:pPr>
              <w:pStyle w:val="Compact"/>
              <w:spacing w:after="40"/>
              <w:jc w:val="left"/>
            </w:pPr>
            <w:r>
              <w:rPr>
                <w:sz w:val="18"/>
              </w:rPr>
              <w:t xml:space="preserve">27</w:t>
            </w:r>
          </w:p>
        </w:tc>
        <w:tc>
          <w:tcPr>
            <w:tcW w:w="2875" w:type="dxa"/>
          </w:tcPr>
          <w:p>
            <w:pPr>
              <w:pStyle w:val="Compact"/>
              <w:spacing w:after="40"/>
              <w:jc w:val="left"/>
            </w:pPr>
            <w:r>
              <w:rPr>
                <w:sz w:val="18"/>
              </w:rPr>
              <w:t xml:space="preserve">Inspect the current products through a logged-in browser session to find loopholes in the current versions</w:t>
            </w:r>
          </w:p>
        </w:tc>
        <w:tc>
          <w:tcPr>
            <w:tcW w:w="3188" w:type="dxa"/>
          </w:tcPr>
          <w:p>
            <w:pPr>
              <w:pStyle w:val="Compact"/>
              <w:spacing w:after="40"/>
              <w:jc w:val="left"/>
            </w:pPr>
            <w:r>
              <w:rPr>
                <w:sz w:val="18"/>
              </w:rPr>
              <w:t xml:space="preserve">Claude Code works from the repository and does not rely on a live session; the owner supplies screenshots, exports or a test account for the current udofin.com flows, which Phase 0 reviews as a gap analysis alongside the competitor benchmark</w:t>
            </w:r>
          </w:p>
        </w:tc>
        <w:tc>
          <w:tcPr>
            <w:tcW w:w="2877" w:type="dxa"/>
          </w:tcPr>
          <w:p>
            <w:pPr>
              <w:pStyle w:val="Compact"/>
              <w:spacing w:after="40"/>
              <w:jc w:val="left"/>
            </w:pPr>
            <w:r>
              <w:rPr>
                <w:sz w:val="18"/>
              </w:rPr>
              <w:t xml:space="preserve">Reproducible evidence; no production credentials in the coding session (Part 11)</w:t>
            </w:r>
          </w:p>
        </w:tc>
      </w:tr>
    </w:tbl>
    <w:bookmarkStart w:id="534" w:name="X24723a6c0e4bcfb11c16d8c6adf42f1654ca82a"/>
    <w:p>
      <w:pPr>
        <w:pStyle w:val="Heading2"/>
      </w:pPr>
      <w:r>
        <w:t xml:space="preserve">Further corrections found in the Part 8A review</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45"/>
        <w:gridCol w:w="3135"/>
        <w:gridCol w:w="5458"/>
      </w:tblGrid>
      <w:tr>
        <w:trPr>
          <w:tblHeader w:val="true"/>
          <w:tblHeader w:val="true"/>
        </w:trPr>
        <w:tc>
          <w:tcPr>
            <w:tcW w:w="1045" w:type="dxa"/>
            <w:shd w:val="clear" w:color="auto" w:fill="1F3A5F"/>
          </w:tcPr>
          <w:p>
            <w:pPr>
              <w:pStyle w:val="Compact"/>
              <w:spacing w:after="40"/>
              <w:jc w:val="left"/>
            </w:pPr>
            <w:r>
              <w:rPr>
                <w:b/>
                <w:color w:val="FFFFFF"/>
                <w:sz w:val="18"/>
              </w:rPr>
              <w:t xml:space="preserve">#</w:t>
            </w:r>
          </w:p>
        </w:tc>
        <w:tc>
          <w:tcPr>
            <w:tcW w:w="3135" w:type="dxa"/>
            <w:shd w:val="clear" w:color="auto" w:fill="1F3A5F"/>
          </w:tcPr>
          <w:p>
            <w:pPr>
              <w:pStyle w:val="Compact"/>
              <w:spacing w:after="40"/>
              <w:jc w:val="left"/>
            </w:pPr>
            <w:r>
              <w:rPr>
                <w:b/>
                <w:color w:val="FFFFFF"/>
                <w:sz w:val="18"/>
              </w:rPr>
              <w:t xml:space="preserve">Original assumption</w:t>
            </w:r>
          </w:p>
        </w:tc>
        <w:tc>
          <w:tcPr>
            <w:tcW w:w="5458" w:type="dxa"/>
            <w:shd w:val="clear" w:color="auto" w:fill="1F3A5F"/>
          </w:tcPr>
          <w:p>
            <w:pPr>
              <w:pStyle w:val="Compact"/>
              <w:spacing w:after="40"/>
              <w:jc w:val="left"/>
            </w:pPr>
            <w:r>
              <w:rPr>
                <w:b/>
                <w:color w:val="FFFFFF"/>
                <w:sz w:val="18"/>
              </w:rPr>
              <w:t xml:space="preserve">Correct position (source)</w:t>
            </w:r>
          </w:p>
        </w:tc>
      </w:tr>
      <w:tr>
        <w:tc>
          <w:tcPr>
            <w:tcW w:w="1045" w:type="dxa"/>
          </w:tcPr>
          <w:p>
            <w:pPr>
              <w:pStyle w:val="Compact"/>
              <w:spacing w:after="40"/>
              <w:jc w:val="left"/>
            </w:pPr>
            <w:r>
              <w:rPr>
                <w:sz w:val="18"/>
              </w:rPr>
              <w:t xml:space="preserve">1</w:t>
            </w:r>
          </w:p>
        </w:tc>
        <w:tc>
          <w:tcPr>
            <w:tcW w:w="3135" w:type="dxa"/>
          </w:tcPr>
          <w:p>
            <w:pPr>
              <w:pStyle w:val="Compact"/>
              <w:spacing w:after="40"/>
              <w:jc w:val="left"/>
            </w:pPr>
            <w:r>
              <w:rPr>
                <w:sz w:val="18"/>
              </w:rPr>
              <w:t xml:space="preserve">Udofin soft-pulls the CIBIL score itself through Surepass</w:t>
            </w:r>
          </w:p>
        </w:tc>
        <w:tc>
          <w:tcPr>
            <w:tcW w:w="5458" w:type="dxa"/>
          </w:tcPr>
          <w:p>
            <w:pPr>
              <w:pStyle w:val="Compact"/>
              <w:spacing w:after="40"/>
              <w:jc w:val="left"/>
            </w:pPr>
            <w:r>
              <w:rPr>
                <w:sz w:val="18"/>
              </w:rPr>
              <w:t xml:space="preserve">Bureau pulls are the RE’s, as CIC member and CI, under its credit policy; Udofin may only be the RE’s technology channel with RE credentials, and every enquiry is the RE’s (CIR paras 4(3), 6, 20; CICRA s.2(l) [VERIFY])</w:t>
            </w:r>
          </w:p>
        </w:tc>
      </w:tr>
      <w:tr>
        <w:tc>
          <w:tcPr>
            <w:tcW w:w="1045" w:type="dxa"/>
          </w:tcPr>
          <w:p>
            <w:pPr>
              <w:pStyle w:val="Compact"/>
              <w:spacing w:after="40"/>
              <w:jc w:val="left"/>
            </w:pPr>
            <w:r>
              <w:rPr>
                <w:sz w:val="18"/>
              </w:rPr>
              <w:t xml:space="preserve">2</w:t>
            </w:r>
          </w:p>
        </w:tc>
        <w:tc>
          <w:tcPr>
            <w:tcW w:w="3135" w:type="dxa"/>
          </w:tcPr>
          <w:p>
            <w:pPr>
              <w:pStyle w:val="Compact"/>
              <w:spacing w:after="40"/>
              <w:jc w:val="left"/>
            </w:pPr>
            <w:r>
              <w:rPr>
                <w:sz w:val="18"/>
              </w:rPr>
              <w:t xml:space="preserve">Udofin gives 5% FLDG, so collections are Udofin’s responsibility</w:t>
            </w:r>
          </w:p>
        </w:tc>
        <w:tc>
          <w:tcPr>
            <w:tcW w:w="5458" w:type="dxa"/>
          </w:tcPr>
          <w:p>
            <w:pPr>
              <w:pStyle w:val="Compact"/>
              <w:spacing w:after="40"/>
              <w:jc w:val="left"/>
            </w:pPr>
            <w:r>
              <w:rPr>
                <w:sz w:val="18"/>
              </w:rPr>
              <w:t xml:space="preserve">DLG gives no collection role. Collection needs a separate recovery-agent appointment, RE guidance and notice to the borrower before contact. 5% is a ceiling on the amount disbursed from a fixed DLG set, not a fixed rate, and fee clawbacks count as implicit DLG (CF paras 4(1)(viii), 6(5), 9(6), 24; RBC paras 93–99)</w:t>
            </w:r>
          </w:p>
        </w:tc>
      </w:tr>
      <w:tr>
        <w:tc>
          <w:tcPr>
            <w:tcW w:w="1045" w:type="dxa"/>
          </w:tcPr>
          <w:p>
            <w:pPr>
              <w:pStyle w:val="Compact"/>
              <w:spacing w:after="40"/>
              <w:jc w:val="left"/>
            </w:pPr>
            <w:r>
              <w:rPr>
                <w:sz w:val="18"/>
              </w:rPr>
              <w:t xml:space="preserve">3</w:t>
            </w:r>
          </w:p>
        </w:tc>
        <w:tc>
          <w:tcPr>
            <w:tcW w:w="3135" w:type="dxa"/>
          </w:tcPr>
          <w:p>
            <w:pPr>
              <w:pStyle w:val="Compact"/>
              <w:spacing w:after="40"/>
              <w:jc w:val="left"/>
            </w:pPr>
            <w:r>
              <w:rPr>
                <w:sz w:val="18"/>
              </w:rPr>
              <w:t xml:space="preserve">The app may ask for permissions to use phone data</w:t>
            </w:r>
          </w:p>
        </w:tc>
        <w:tc>
          <w:tcPr>
            <w:tcW w:w="5458" w:type="dxa"/>
          </w:tcPr>
          <w:p>
            <w:pPr>
              <w:pStyle w:val="Compact"/>
              <w:spacing w:after="40"/>
              <w:jc w:val="left"/>
            </w:pPr>
            <w:r>
              <w:rPr>
                <w:sz w:val="18"/>
              </w:rPr>
              <w:t xml:space="preserve">DLAs must not access file and media, contacts, call logs or telephony functions. Camera, microphone and location are one-time, for onboarding or KYC only, with explicit consent (CF para 13(1))</w:t>
            </w:r>
          </w:p>
        </w:tc>
      </w:tr>
      <w:tr>
        <w:tc>
          <w:tcPr>
            <w:tcW w:w="1045" w:type="dxa"/>
          </w:tcPr>
          <w:p>
            <w:pPr>
              <w:pStyle w:val="Compact"/>
              <w:spacing w:after="40"/>
              <w:jc w:val="left"/>
            </w:pPr>
            <w:r>
              <w:rPr>
                <w:sz w:val="18"/>
              </w:rPr>
              <w:t xml:space="preserve">4</w:t>
            </w:r>
          </w:p>
        </w:tc>
        <w:tc>
          <w:tcPr>
            <w:tcW w:w="3135" w:type="dxa"/>
          </w:tcPr>
          <w:p>
            <w:pPr>
              <w:pStyle w:val="Compact"/>
              <w:spacing w:after="40"/>
              <w:jc w:val="left"/>
            </w:pPr>
            <w:r>
              <w:rPr>
                <w:sz w:val="18"/>
              </w:rPr>
              <w:t xml:space="preserve">Udofin is mobile-only because customers share location and OTPs</w:t>
            </w:r>
          </w:p>
        </w:tc>
        <w:tc>
          <w:tcPr>
            <w:tcW w:w="5458" w:type="dxa"/>
          </w:tcPr>
          <w:p>
            <w:pPr>
              <w:pStyle w:val="Compact"/>
              <w:spacing w:after="40"/>
              <w:jc w:val="left"/>
            </w:pPr>
            <w:r>
              <w:rPr>
                <w:sz w:val="18"/>
              </w:rPr>
              <w:t xml:space="preserve">The web app is equally a DLA, with its own CIMS line. Location is a one-time onboarding/KYC access, not a reason for a native app (CF paras 4(1)(x), 13(1), 18; Annex-I)</w:t>
            </w:r>
          </w:p>
        </w:tc>
      </w:tr>
      <w:tr>
        <w:tc>
          <w:tcPr>
            <w:tcW w:w="1045" w:type="dxa"/>
          </w:tcPr>
          <w:p>
            <w:pPr>
              <w:pStyle w:val="Compact"/>
              <w:spacing w:after="40"/>
              <w:jc w:val="left"/>
            </w:pPr>
            <w:r>
              <w:rPr>
                <w:sz w:val="18"/>
              </w:rPr>
              <w:t xml:space="preserve">5</w:t>
            </w:r>
          </w:p>
        </w:tc>
        <w:tc>
          <w:tcPr>
            <w:tcW w:w="3135" w:type="dxa"/>
          </w:tcPr>
          <w:p>
            <w:pPr>
              <w:pStyle w:val="Compact"/>
              <w:spacing w:after="40"/>
              <w:jc w:val="left"/>
            </w:pPr>
            <w:r>
              <w:rPr>
                <w:sz w:val="18"/>
              </w:rPr>
              <w:t xml:space="preserve">NBFCs will disburse the loan on the Udofin platform</w:t>
            </w:r>
          </w:p>
        </w:tc>
        <w:tc>
          <w:tcPr>
            <w:tcW w:w="5458" w:type="dxa"/>
          </w:tcPr>
          <w:p>
            <w:pPr>
              <w:pStyle w:val="Compact"/>
              <w:spacing w:after="40"/>
              <w:jc w:val="left"/>
            </w:pPr>
            <w:r>
              <w:rPr>
                <w:sz w:val="18"/>
              </w:rPr>
              <w:t xml:space="preserve">Disbursal goes from the RE directly to the borrower’s bank account and repayment directly to the RE’s account; there is no LSP pool or pass-through account, and Udofin orchestrates status only (CF para 10(1)–(3))</w:t>
            </w:r>
          </w:p>
        </w:tc>
      </w:tr>
      <w:tr>
        <w:tc>
          <w:tcPr>
            <w:tcW w:w="1045" w:type="dxa"/>
          </w:tcPr>
          <w:p>
            <w:pPr>
              <w:pStyle w:val="Compact"/>
              <w:spacing w:after="40"/>
              <w:jc w:val="left"/>
            </w:pPr>
            <w:r>
              <w:rPr>
                <w:sz w:val="18"/>
              </w:rPr>
              <w:t xml:space="preserve">6</w:t>
            </w:r>
          </w:p>
        </w:tc>
        <w:tc>
          <w:tcPr>
            <w:tcW w:w="3135" w:type="dxa"/>
          </w:tcPr>
          <w:p>
            <w:pPr>
              <w:pStyle w:val="Compact"/>
              <w:spacing w:after="40"/>
              <w:jc w:val="left"/>
            </w:pPr>
            <w:r>
              <w:rPr>
                <w:sz w:val="18"/>
              </w:rPr>
              <w:t xml:space="preserve">Aadhaar is fetched by OTP on the mobile number the borrower enters</w:t>
            </w:r>
          </w:p>
        </w:tc>
        <w:tc>
          <w:tcPr>
            <w:tcW w:w="5458" w:type="dxa"/>
          </w:tcPr>
          <w:p>
            <w:pPr>
              <w:pStyle w:val="Compact"/>
              <w:spacing w:after="40"/>
              <w:jc w:val="left"/>
            </w:pPr>
            <w:r>
              <w:rPr>
                <w:sz w:val="18"/>
              </w:rPr>
              <w:t xml:space="preserve">Number-based e-KYC is only for REs notified under PML Act s.11A; the OTP goes to the Aadhaar-registered mobile; NFTF OTP-e-KYC loans are term loans of no more than ₹60,000 a year, upgraded within 1 year; Aadhaar is not mandatory, so offline, DigiLocker, CKYC and V-CIP routes must be offered (KYC paras 23, 25)</w:t>
            </w:r>
          </w:p>
        </w:tc>
      </w:tr>
      <w:tr>
        <w:tc>
          <w:tcPr>
            <w:tcW w:w="1045" w:type="dxa"/>
          </w:tcPr>
          <w:p>
            <w:pPr>
              <w:pStyle w:val="Compact"/>
              <w:spacing w:after="40"/>
              <w:jc w:val="left"/>
            </w:pPr>
            <w:r>
              <w:rPr>
                <w:sz w:val="18"/>
              </w:rPr>
              <w:t xml:space="preserve">7</w:t>
            </w:r>
          </w:p>
        </w:tc>
        <w:tc>
          <w:tcPr>
            <w:tcW w:w="3135" w:type="dxa"/>
          </w:tcPr>
          <w:p>
            <w:pPr>
              <w:pStyle w:val="Compact"/>
              <w:spacing w:after="40"/>
              <w:jc w:val="left"/>
            </w:pPr>
            <w:r>
              <w:rPr>
                <w:sz w:val="18"/>
              </w:rPr>
              <w:t xml:space="preserve">The borrower shares KYC with the Udofin system administrator, who completes it</w:t>
            </w:r>
          </w:p>
        </w:tc>
        <w:tc>
          <w:tcPr>
            <w:tcW w:w="5458" w:type="dxa"/>
          </w:tcPr>
          <w:p>
            <w:pPr>
              <w:pStyle w:val="Compact"/>
              <w:spacing w:after="40"/>
              <w:jc w:val="left"/>
            </w:pPr>
            <w:r>
              <w:rPr>
                <w:sz w:val="18"/>
              </w:rPr>
              <w:t xml:space="preserve">The RE cannot outsource the KYC decision, and cannot rely on Udofin as a third party because Udofin is not regulated for CDD; Udofin supplies evidence only (KYC paras 13, 22(3))</w:t>
            </w:r>
          </w:p>
        </w:tc>
      </w:tr>
      <w:tr>
        <w:tc>
          <w:tcPr>
            <w:tcW w:w="1045" w:type="dxa"/>
          </w:tcPr>
          <w:p>
            <w:pPr>
              <w:pStyle w:val="Compact"/>
              <w:spacing w:after="40"/>
              <w:jc w:val="left"/>
            </w:pPr>
            <w:r>
              <w:rPr>
                <w:sz w:val="18"/>
              </w:rPr>
              <w:t xml:space="preserve">8</w:t>
            </w:r>
          </w:p>
        </w:tc>
        <w:tc>
          <w:tcPr>
            <w:tcW w:w="3135" w:type="dxa"/>
          </w:tcPr>
          <w:p>
            <w:pPr>
              <w:pStyle w:val="Compact"/>
              <w:spacing w:after="40"/>
              <w:jc w:val="left"/>
            </w:pPr>
            <w:r>
              <w:rPr>
                <w:sz w:val="18"/>
              </w:rPr>
              <w:t xml:space="preserve">Udofin stores KYC files, CAMs and loan documents as its DMS of record</w:t>
            </w:r>
          </w:p>
        </w:tc>
        <w:tc>
          <w:tcPr>
            <w:tcW w:w="5458" w:type="dxa"/>
          </w:tcPr>
          <w:p>
            <w:pPr>
              <w:pStyle w:val="Compact"/>
              <w:spacing w:after="40"/>
              <w:jc w:val="left"/>
            </w:pPr>
            <w:r>
              <w:rPr>
                <w:sz w:val="18"/>
              </w:rPr>
              <w:t xml:space="preserve">The LSP keeps only basic minimal data within the agreement; KYC, bureau and AA artefacts go to the RE and are purged; the CAM is the RE’s; no biometric storage (CF para 14(1), 14(3))</w:t>
            </w:r>
          </w:p>
        </w:tc>
      </w:tr>
      <w:tr>
        <w:tc>
          <w:tcPr>
            <w:tcW w:w="1045" w:type="dxa"/>
          </w:tcPr>
          <w:p>
            <w:pPr>
              <w:pStyle w:val="Compact"/>
              <w:spacing w:after="40"/>
              <w:jc w:val="left"/>
            </w:pPr>
            <w:r>
              <w:rPr>
                <w:sz w:val="18"/>
              </w:rPr>
              <w:t xml:space="preserve">9</w:t>
            </w:r>
          </w:p>
        </w:tc>
        <w:tc>
          <w:tcPr>
            <w:tcW w:w="3135" w:type="dxa"/>
          </w:tcPr>
          <w:p>
            <w:pPr>
              <w:pStyle w:val="Compact"/>
              <w:spacing w:after="40"/>
              <w:jc w:val="left"/>
            </w:pPr>
            <w:r>
              <w:rPr>
                <w:sz w:val="18"/>
              </w:rPr>
              <w:t xml:space="preserve">Razorpay, Stripe and PayPal integrations collect payments for Udofin</w:t>
            </w:r>
          </w:p>
        </w:tc>
        <w:tc>
          <w:tcPr>
            <w:tcW w:w="5458" w:type="dxa"/>
          </w:tcPr>
          <w:p>
            <w:pPr>
              <w:pStyle w:val="Compact"/>
              <w:spacing w:after="40"/>
              <w:jc w:val="left"/>
            </w:pPr>
            <w:r>
              <w:rPr>
                <w:sz w:val="18"/>
              </w:rPr>
              <w:t xml:space="preserve">Gateways must run on the RE’s merchant account with settlement to the RE; no third party controls the flow; LSP fees are paid by the RE and never charged to the borrower (CF para 10(2)–(4)); Stripe/PayPal suitability for domestic loan collections [VERIFY]</w:t>
            </w:r>
          </w:p>
        </w:tc>
      </w:tr>
      <w:tr>
        <w:tc>
          <w:tcPr>
            <w:tcW w:w="1045" w:type="dxa"/>
          </w:tcPr>
          <w:p>
            <w:pPr>
              <w:pStyle w:val="Compact"/>
              <w:spacing w:after="40"/>
              <w:jc w:val="left"/>
            </w:pPr>
            <w:r>
              <w:rPr>
                <w:sz w:val="18"/>
              </w:rPr>
              <w:t xml:space="preserve">10</w:t>
            </w:r>
          </w:p>
        </w:tc>
        <w:tc>
          <w:tcPr>
            <w:tcW w:w="3135" w:type="dxa"/>
          </w:tcPr>
          <w:p>
            <w:pPr>
              <w:pStyle w:val="Compact"/>
              <w:spacing w:after="40"/>
              <w:jc w:val="left"/>
            </w:pPr>
            <w:r>
              <w:rPr>
                <w:sz w:val="18"/>
              </w:rPr>
              <w:t xml:space="preserve">The borrower sees which NBFCs and banks offer loans (presentation left open)</w:t>
            </w:r>
          </w:p>
        </w:tc>
        <w:tc>
          <w:tcPr>
            <w:tcW w:w="5458" w:type="dxa"/>
          </w:tcPr>
          <w:p>
            <w:pPr>
              <w:pStyle w:val="Compact"/>
              <w:spacing w:after="40"/>
              <w:jc w:val="left"/>
            </w:pPr>
            <w:r>
              <w:rPr>
                <w:sz w:val="18"/>
              </w:rPr>
              <w:t xml:space="preserve">All matching offers must be shown, with the names of unmatched lenders, on a consistent documented mechanism; ranking only on a publicly pre-disclosed metric; no dark patterns (CF para 7)</w:t>
            </w:r>
          </w:p>
        </w:tc>
      </w:tr>
      <w:tr>
        <w:tc>
          <w:tcPr>
            <w:tcW w:w="1045" w:type="dxa"/>
          </w:tcPr>
          <w:p>
            <w:pPr>
              <w:pStyle w:val="Compact"/>
              <w:spacing w:after="40"/>
              <w:jc w:val="left"/>
            </w:pPr>
            <w:r>
              <w:rPr>
                <w:sz w:val="18"/>
              </w:rPr>
              <w:t xml:space="preserve">11</w:t>
            </w:r>
          </w:p>
        </w:tc>
        <w:tc>
          <w:tcPr>
            <w:tcW w:w="3135" w:type="dxa"/>
          </w:tcPr>
          <w:p>
            <w:pPr>
              <w:pStyle w:val="Compact"/>
              <w:spacing w:after="40"/>
              <w:jc w:val="left"/>
            </w:pPr>
            <w:r>
              <w:rPr>
                <w:sz w:val="18"/>
              </w:rPr>
              <w:t xml:space="preserve">The borrower can view finances</w:t>
            </w:r>
            <w:r>
              <w:rPr>
                <w:sz w:val="18"/>
              </w:rPr>
              <w:t xml:space="preserve"> </w:t>
            </w:r>
            <w:r>
              <w:rPr>
                <w:sz w:val="18"/>
              </w:rPr>
              <w:t xml:space="preserve">“</w:t>
            </w:r>
            <w:r>
              <w:rPr>
                <w:sz w:val="18"/>
              </w:rPr>
              <w:t xml:space="preserve">like books of accounts</w:t>
            </w:r>
            <w:r>
              <w:rPr>
                <w:sz w:val="18"/>
              </w:rPr>
              <w:t xml:space="preserve">”</w:t>
            </w:r>
            <w:r>
              <w:rPr>
                <w:sz w:val="18"/>
              </w:rPr>
              <w:t xml:space="preserve"> </w:t>
            </w:r>
            <w:r>
              <w:rPr>
                <w:sz w:val="18"/>
              </w:rPr>
              <w:t xml:space="preserve">in Udofin, by implication from AA data</w:t>
            </w:r>
          </w:p>
        </w:tc>
        <w:tc>
          <w:tcPr>
            <w:tcW w:w="5458" w:type="dxa"/>
          </w:tcPr>
          <w:p>
            <w:pPr>
              <w:pStyle w:val="Compact"/>
              <w:spacing w:after="40"/>
              <w:jc w:val="left"/>
            </w:pPr>
            <w:r>
              <w:rPr>
                <w:sz w:val="18"/>
              </w:rPr>
              <w:t xml:space="preserve">Udofin cannot be an FIU, and AA data received by the RE may be used only for the consent purpose (AA paras 8(12), 28)</w:t>
            </w:r>
          </w:p>
        </w:tc>
      </w:tr>
      <w:tr>
        <w:tc>
          <w:tcPr>
            <w:tcW w:w="1045" w:type="dxa"/>
          </w:tcPr>
          <w:p>
            <w:pPr>
              <w:pStyle w:val="Compact"/>
              <w:spacing w:after="40"/>
              <w:jc w:val="left"/>
            </w:pPr>
            <w:r>
              <w:rPr>
                <w:sz w:val="18"/>
              </w:rPr>
              <w:t xml:space="preserve">12</w:t>
            </w:r>
          </w:p>
        </w:tc>
        <w:tc>
          <w:tcPr>
            <w:tcW w:w="3135" w:type="dxa"/>
          </w:tcPr>
          <w:p>
            <w:pPr>
              <w:pStyle w:val="Compact"/>
              <w:spacing w:after="40"/>
              <w:jc w:val="left"/>
            </w:pPr>
            <w:r>
              <w:rPr>
                <w:sz w:val="18"/>
              </w:rPr>
              <w:t xml:space="preserve">Location and other device data may support collections</w:t>
            </w:r>
          </w:p>
        </w:tc>
        <w:tc>
          <w:tcPr>
            <w:tcW w:w="5458" w:type="dxa"/>
          </w:tcPr>
          <w:p>
            <w:pPr>
              <w:pStyle w:val="Compact"/>
              <w:spacing w:after="40"/>
              <w:jc w:val="left"/>
            </w:pPr>
            <w:r>
              <w:rPr>
                <w:sz w:val="18"/>
              </w:rPr>
              <w:t xml:space="preserve">Location is limited to one-time onboarding/KYC access; collections use RBC contact rules and agent notice (CF para 13(1); RBC paras 91, 100)</w:t>
            </w:r>
          </w:p>
        </w:tc>
      </w:tr>
      <w:tr>
        <w:tc>
          <w:tcPr>
            <w:tcW w:w="1045" w:type="dxa"/>
          </w:tcPr>
          <w:p>
            <w:pPr>
              <w:pStyle w:val="Compact"/>
              <w:spacing w:after="40"/>
              <w:jc w:val="left"/>
            </w:pPr>
            <w:r>
              <w:rPr>
                <w:sz w:val="18"/>
              </w:rPr>
              <w:t xml:space="preserve">13</w:t>
            </w:r>
          </w:p>
        </w:tc>
        <w:tc>
          <w:tcPr>
            <w:tcW w:w="3135" w:type="dxa"/>
          </w:tcPr>
          <w:p>
            <w:pPr>
              <w:pStyle w:val="Compact"/>
              <w:spacing w:after="40"/>
              <w:jc w:val="left"/>
            </w:pPr>
            <w:r>
              <w:rPr>
                <w:sz w:val="18"/>
              </w:rPr>
              <w:t xml:space="preserve">CF rules apply to every partner lender</w:t>
            </w:r>
          </w:p>
        </w:tc>
        <w:tc>
          <w:tcPr>
            <w:tcW w:w="5458" w:type="dxa"/>
          </w:tcPr>
          <w:p>
            <w:pPr>
              <w:pStyle w:val="Compact"/>
              <w:spacing w:after="40"/>
              <w:jc w:val="left"/>
            </w:pPr>
            <w:r>
              <w:rPr>
                <w:sz w:val="18"/>
              </w:rPr>
              <w:t xml:space="preserve">CF 347 binds NBFCs and HFCs; bank partners follow their own Directions (CF para 3(1)) [VERIFY bank text]</w:t>
            </w:r>
          </w:p>
        </w:tc>
      </w:tr>
      <w:tr>
        <w:tc>
          <w:tcPr>
            <w:tcW w:w="1045" w:type="dxa"/>
          </w:tcPr>
          <w:p>
            <w:pPr>
              <w:pStyle w:val="Compact"/>
              <w:spacing w:after="40"/>
              <w:jc w:val="left"/>
            </w:pPr>
            <w:r>
              <w:rPr>
                <w:sz w:val="18"/>
              </w:rPr>
              <w:t xml:space="preserve">14</w:t>
            </w:r>
          </w:p>
        </w:tc>
        <w:tc>
          <w:tcPr>
            <w:tcW w:w="3135" w:type="dxa"/>
          </w:tcPr>
          <w:p>
            <w:pPr>
              <w:pStyle w:val="Compact"/>
              <w:spacing w:after="40"/>
              <w:jc w:val="left"/>
            </w:pPr>
            <w:r>
              <w:rPr>
                <w:sz w:val="18"/>
              </w:rPr>
              <w:t xml:space="preserve">Udofin runs collections under its own policy</w:t>
            </w:r>
          </w:p>
        </w:tc>
        <w:tc>
          <w:tcPr>
            <w:tcW w:w="5458" w:type="dxa"/>
          </w:tcPr>
          <w:p>
            <w:pPr>
              <w:pStyle w:val="Compact"/>
              <w:spacing w:after="40"/>
              <w:jc w:val="left"/>
            </w:pPr>
            <w:r>
              <w:rPr>
                <w:sz w:val="18"/>
              </w:rPr>
              <w:t xml:space="preserve">Collection rights arise only from an explicit recovery-agent appointment; the RE stays responsible and RBC conduct rules apply to Udofin as its agent (CF 6(5), 9(6); OUT 17; RBC 93–100)</w:t>
            </w:r>
          </w:p>
        </w:tc>
      </w:tr>
      <w:tr>
        <w:tc>
          <w:tcPr>
            <w:tcW w:w="1045" w:type="dxa"/>
          </w:tcPr>
          <w:p>
            <w:pPr>
              <w:pStyle w:val="Compact"/>
              <w:spacing w:after="40"/>
              <w:jc w:val="left"/>
            </w:pPr>
            <w:r>
              <w:rPr>
                <w:sz w:val="18"/>
              </w:rPr>
              <w:t xml:space="preserve">15</w:t>
            </w:r>
          </w:p>
        </w:tc>
        <w:tc>
          <w:tcPr>
            <w:tcW w:w="3135" w:type="dxa"/>
          </w:tcPr>
          <w:p>
            <w:pPr>
              <w:pStyle w:val="Compact"/>
              <w:spacing w:after="40"/>
              <w:jc w:val="left"/>
            </w:pPr>
            <w:r>
              <w:rPr>
                <w:sz w:val="18"/>
              </w:rPr>
              <w:t xml:space="preserve">A collection engine runs in Udofin for every loan</w:t>
            </w:r>
          </w:p>
        </w:tc>
        <w:tc>
          <w:tcPr>
            <w:tcW w:w="5458" w:type="dxa"/>
          </w:tcPr>
          <w:p>
            <w:pPr>
              <w:pStyle w:val="Compact"/>
              <w:spacing w:after="40"/>
              <w:jc w:val="left"/>
            </w:pPr>
            <w:r>
              <w:rPr>
                <w:sz w:val="18"/>
              </w:rPr>
              <w:t xml:space="preserve">Udofin’s recovery functions activate per RE contract only; pre-due reminders are servicing and still follow language and penal-charge disclosure rules (RBC 10, 30(7)) and, by policy, the RBC para 100 calling window (which itself covers recovery of overdue loans)</w:t>
            </w:r>
          </w:p>
        </w:tc>
      </w:tr>
      <w:tr>
        <w:tc>
          <w:tcPr>
            <w:tcW w:w="1045" w:type="dxa"/>
          </w:tcPr>
          <w:p>
            <w:pPr>
              <w:pStyle w:val="Compact"/>
              <w:spacing w:after="40"/>
              <w:jc w:val="left"/>
            </w:pPr>
            <w:r>
              <w:rPr>
                <w:sz w:val="18"/>
              </w:rPr>
              <w:t xml:space="preserve">16</w:t>
            </w:r>
          </w:p>
        </w:tc>
        <w:tc>
          <w:tcPr>
            <w:tcW w:w="3135" w:type="dxa"/>
          </w:tcPr>
          <w:p>
            <w:pPr>
              <w:pStyle w:val="Compact"/>
              <w:spacing w:after="40"/>
              <w:jc w:val="left"/>
            </w:pPr>
            <w:r>
              <w:rPr>
                <w:sz w:val="18"/>
              </w:rPr>
              <w:t xml:space="preserve">An AI agent answers queries, the borrower contacts the NBFC GRO, and unresolved grievances go to Equator</w:t>
            </w:r>
          </w:p>
        </w:tc>
        <w:tc>
          <w:tcPr>
            <w:tcW w:w="5458" w:type="dxa"/>
          </w:tcPr>
          <w:p>
            <w:pPr>
              <w:pStyle w:val="Compact"/>
              <w:spacing w:after="40"/>
              <w:jc w:val="left"/>
            </w:pPr>
            <w:r>
              <w:rPr>
                <w:sz w:val="18"/>
              </w:rPr>
              <w:t xml:space="preserve">Grievance responsibility stays with the RE; Udofin also needs its own nodal GRO; the borrower must be told of the RBI Ombudsman route after rejection or 30 days without reply; Equator is optional and cannot replace or delay that route (CF 12; OUT 56–57, 98)</w:t>
            </w:r>
          </w:p>
        </w:tc>
      </w:tr>
      <w:tr>
        <w:tc>
          <w:tcPr>
            <w:tcW w:w="1045" w:type="dxa"/>
          </w:tcPr>
          <w:p>
            <w:pPr>
              <w:pStyle w:val="Compact"/>
              <w:spacing w:after="40"/>
              <w:jc w:val="left"/>
            </w:pPr>
            <w:r>
              <w:rPr>
                <w:sz w:val="18"/>
              </w:rPr>
              <w:t xml:space="preserve">17</w:t>
            </w:r>
          </w:p>
        </w:tc>
        <w:tc>
          <w:tcPr>
            <w:tcW w:w="3135" w:type="dxa"/>
          </w:tcPr>
          <w:p>
            <w:pPr>
              <w:pStyle w:val="Compact"/>
              <w:spacing w:after="40"/>
              <w:jc w:val="left"/>
            </w:pPr>
            <w:r>
              <w:rPr>
                <w:sz w:val="18"/>
              </w:rPr>
              <w:t xml:space="preserve">Resolution finance tests actual settlement cases through Equator</w:t>
            </w:r>
          </w:p>
        </w:tc>
        <w:tc>
          <w:tcPr>
            <w:tcW w:w="5458" w:type="dxa"/>
          </w:tcPr>
          <w:p>
            <w:pPr>
              <w:pStyle w:val="Compact"/>
              <w:spacing w:after="40"/>
              <w:jc w:val="left"/>
            </w:pPr>
            <w:r>
              <w:rPr>
                <w:sz w:val="18"/>
              </w:rPr>
              <w:t xml:space="preserve">Compromise settlement is the RE’s discretion; payment over more than 3 months or part settlement is restructuring; a cooling period of at least 12 months applies before fresh exposure by that RE; a consent decree is needed where court recovery is pending (RSA 87, 89–90, 95, 100)</w:t>
            </w:r>
          </w:p>
        </w:tc>
      </w:tr>
      <w:tr>
        <w:tc>
          <w:tcPr>
            <w:tcW w:w="1045" w:type="dxa"/>
          </w:tcPr>
          <w:p>
            <w:pPr>
              <w:pStyle w:val="Compact"/>
              <w:spacing w:after="40"/>
              <w:jc w:val="left"/>
            </w:pPr>
            <w:r>
              <w:rPr>
                <w:sz w:val="18"/>
              </w:rPr>
              <w:t xml:space="preserve">18</w:t>
            </w:r>
          </w:p>
        </w:tc>
        <w:tc>
          <w:tcPr>
            <w:tcW w:w="3135" w:type="dxa"/>
          </w:tcPr>
          <w:p>
            <w:pPr>
              <w:pStyle w:val="Compact"/>
              <w:spacing w:after="40"/>
              <w:jc w:val="left"/>
            </w:pPr>
            <w:r>
              <w:rPr>
                <w:sz w:val="18"/>
              </w:rPr>
              <w:t xml:space="preserve">Udofin handles closure, settlement and release of security</w:t>
            </w:r>
          </w:p>
        </w:tc>
        <w:tc>
          <w:tcPr>
            <w:tcW w:w="5458" w:type="dxa"/>
          </w:tcPr>
          <w:p>
            <w:pPr>
              <w:pStyle w:val="Compact"/>
              <w:spacing w:after="40"/>
              <w:jc w:val="left"/>
            </w:pPr>
            <w:r>
              <w:rPr>
                <w:sz w:val="18"/>
              </w:rPr>
              <w:t xml:space="preserve">These are RE obligations with fixed clocks and compensation; Udofin relays requests and mirrors status (RBC 35–41; RSA 87)</w:t>
            </w:r>
          </w:p>
        </w:tc>
      </w:tr>
      <w:tr>
        <w:tc>
          <w:tcPr>
            <w:tcW w:w="1045" w:type="dxa"/>
          </w:tcPr>
          <w:p>
            <w:pPr>
              <w:pStyle w:val="Compact"/>
              <w:spacing w:after="40"/>
              <w:jc w:val="left"/>
            </w:pPr>
            <w:r>
              <w:rPr>
                <w:sz w:val="18"/>
              </w:rPr>
              <w:t xml:space="preserve">19</w:t>
            </w:r>
          </w:p>
        </w:tc>
        <w:tc>
          <w:tcPr>
            <w:tcW w:w="3135" w:type="dxa"/>
          </w:tcPr>
          <w:p>
            <w:pPr>
              <w:pStyle w:val="Compact"/>
              <w:spacing w:after="40"/>
              <w:jc w:val="left"/>
            </w:pPr>
            <w:r>
              <w:rPr>
                <w:sz w:val="18"/>
              </w:rPr>
              <w:t xml:space="preserve">The borrower sees which NBFCs and banks offer loans, implying Udofin decides eligibility</w:t>
            </w:r>
          </w:p>
        </w:tc>
        <w:tc>
          <w:tcPr>
            <w:tcW w:w="5458" w:type="dxa"/>
          </w:tcPr>
          <w:p>
            <w:pPr>
              <w:pStyle w:val="Compact"/>
              <w:spacing w:after="40"/>
              <w:jc w:val="left"/>
            </w:pPr>
            <w:r>
              <w:rPr>
                <w:sz w:val="18"/>
              </w:rPr>
              <w:t xml:space="preserve">Loan sanction and KYC-compliance decisions cannot be outsourced; Udofin’s routing and indicative eligibility are non-binding (OUT 15)</w:t>
            </w:r>
          </w:p>
        </w:tc>
      </w:tr>
      <w:tr>
        <w:tc>
          <w:tcPr>
            <w:tcW w:w="1045" w:type="dxa"/>
          </w:tcPr>
          <w:p>
            <w:pPr>
              <w:pStyle w:val="Compact"/>
              <w:spacing w:after="40"/>
              <w:jc w:val="left"/>
            </w:pPr>
            <w:r>
              <w:rPr>
                <w:sz w:val="18"/>
              </w:rPr>
              <w:t xml:space="preserve">20</w:t>
            </w:r>
          </w:p>
        </w:tc>
        <w:tc>
          <w:tcPr>
            <w:tcW w:w="3135" w:type="dxa"/>
          </w:tcPr>
          <w:p>
            <w:pPr>
              <w:pStyle w:val="Compact"/>
              <w:spacing w:after="40"/>
              <w:jc w:val="left"/>
            </w:pPr>
            <w:r>
              <w:rPr>
                <w:sz w:val="18"/>
              </w:rPr>
              <w:t xml:space="preserve">Data protection and cyber security as generic capabilities</w:t>
            </w:r>
          </w:p>
        </w:tc>
        <w:tc>
          <w:tcPr>
            <w:tcW w:w="5458" w:type="dxa"/>
          </w:tcPr>
          <w:p>
            <w:pPr>
              <w:pStyle w:val="Compact"/>
              <w:spacing w:after="40"/>
              <w:jc w:val="left"/>
            </w:pPr>
            <w:r>
              <w:rPr>
                <w:sz w:val="18"/>
              </w:rPr>
              <w:t xml:space="preserve">Specific obligations: incident notice feeding the RE’s 6-hour RBI clock, VA every 6 months and PT every 12 months, India-only storage, audit and RBI inspection rights, subcontractor consent (OUT 34, 61, 74; CYB 28, 121; CF 14(4))</w:t>
            </w:r>
          </w:p>
        </w:tc>
      </w:tr>
      <w:tr>
        <w:tc>
          <w:tcPr>
            <w:tcW w:w="1045" w:type="dxa"/>
          </w:tcPr>
          <w:p>
            <w:pPr>
              <w:pStyle w:val="Compact"/>
              <w:spacing w:after="40"/>
              <w:jc w:val="left"/>
            </w:pPr>
            <w:r>
              <w:rPr>
                <w:sz w:val="18"/>
              </w:rPr>
              <w:t xml:space="preserve">21</w:t>
            </w:r>
          </w:p>
        </w:tc>
        <w:tc>
          <w:tcPr>
            <w:tcW w:w="3135" w:type="dxa"/>
          </w:tcPr>
          <w:p>
            <w:pPr>
              <w:pStyle w:val="Compact"/>
              <w:spacing w:after="40"/>
              <w:jc w:val="left"/>
            </w:pPr>
            <w:r>
              <w:rPr>
                <w:sz w:val="18"/>
              </w:rPr>
              <w:t xml:space="preserve">Disaster recovery as tested restoration only</w:t>
            </w:r>
          </w:p>
        </w:tc>
        <w:tc>
          <w:tcPr>
            <w:tcW w:w="5458" w:type="dxa"/>
          </w:tcPr>
          <w:p>
            <w:pPr>
              <w:pStyle w:val="Compact"/>
              <w:spacing w:after="40"/>
              <w:jc w:val="left"/>
            </w:pPr>
            <w:r>
              <w:rPr>
                <w:sz w:val="18"/>
              </w:rPr>
              <w:t xml:space="preserve">Also half-yearly DR drills, collaborative resilience tests against each RE’s RTO, and DC/DR geographic separation (CYB 102, 129, 138)</w:t>
            </w:r>
          </w:p>
        </w:tc>
      </w:tr>
    </w:tbl>
    <w:bookmarkEnd w:id="534"/>
    <w:bookmarkStart w:id="535" w:name="e.3-v1.0-v1.1"/>
    <w:p>
      <w:pPr>
        <w:pStyle w:val="Heading2"/>
      </w:pPr>
      <w:r>
        <w:t xml:space="preserve">E.3 v1.0 → v1.1</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85"/>
        <w:gridCol w:w="2539"/>
        <w:gridCol w:w="3401"/>
        <w:gridCol w:w="2913"/>
      </w:tblGrid>
      <w:tr>
        <w:trPr>
          <w:tblHeader w:val="true"/>
          <w:tblHeader w:val="true"/>
        </w:trPr>
        <w:tc>
          <w:tcPr>
            <w:tcW w:w="785" w:type="dxa"/>
            <w:shd w:val="clear" w:color="auto" w:fill="1F3A5F"/>
          </w:tcPr>
          <w:p>
            <w:pPr>
              <w:pStyle w:val="Compact"/>
              <w:spacing w:after="40"/>
              <w:jc w:val="left"/>
            </w:pPr>
            <w:r>
              <w:rPr>
                <w:b/>
                <w:color w:val="FFFFFF"/>
                <w:sz w:val="18"/>
              </w:rPr>
              <w:t xml:space="preserve">#</w:t>
            </w:r>
          </w:p>
        </w:tc>
        <w:tc>
          <w:tcPr>
            <w:tcW w:w="2539" w:type="dxa"/>
            <w:shd w:val="clear" w:color="auto" w:fill="1F3A5F"/>
          </w:tcPr>
          <w:p>
            <w:pPr>
              <w:pStyle w:val="Compact"/>
              <w:spacing w:after="40"/>
              <w:jc w:val="left"/>
            </w:pPr>
            <w:r>
              <w:rPr>
                <w:b/>
                <w:color w:val="FFFFFF"/>
                <w:sz w:val="18"/>
              </w:rPr>
              <w:t xml:space="preserve">v1.0 said</w:t>
            </w:r>
          </w:p>
        </w:tc>
        <w:tc>
          <w:tcPr>
            <w:tcW w:w="3401" w:type="dxa"/>
            <w:shd w:val="clear" w:color="auto" w:fill="1F3A5F"/>
          </w:tcPr>
          <w:p>
            <w:pPr>
              <w:pStyle w:val="Compact"/>
              <w:spacing w:after="40"/>
              <w:jc w:val="left"/>
            </w:pPr>
            <w:r>
              <w:rPr>
                <w:b/>
                <w:color w:val="FFFFFF"/>
                <w:sz w:val="18"/>
              </w:rPr>
              <w:t xml:space="preserve">v1.1 says</w:t>
            </w:r>
          </w:p>
        </w:tc>
        <w:tc>
          <w:tcPr>
            <w:tcW w:w="2913" w:type="dxa"/>
            <w:shd w:val="clear" w:color="auto" w:fill="1F3A5F"/>
          </w:tcPr>
          <w:p>
            <w:pPr>
              <w:pStyle w:val="Compact"/>
              <w:spacing w:after="40"/>
              <w:jc w:val="left"/>
            </w:pPr>
            <w:r>
              <w:rPr>
                <w:b/>
                <w:color w:val="FFFFFF"/>
                <w:sz w:val="18"/>
              </w:rPr>
              <w:t xml:space="preserve">Reason (source)</w:t>
            </w:r>
          </w:p>
        </w:tc>
      </w:tr>
      <w:tr>
        <w:tc>
          <w:tcPr>
            <w:tcW w:w="785" w:type="dxa"/>
          </w:tcPr>
          <w:p>
            <w:pPr>
              <w:pStyle w:val="Compact"/>
              <w:spacing w:after="40"/>
              <w:jc w:val="left"/>
            </w:pPr>
            <w:r>
              <w:rPr>
                <w:sz w:val="18"/>
              </w:rPr>
              <w:t xml:space="preserve">1</w:t>
            </w:r>
          </w:p>
        </w:tc>
        <w:tc>
          <w:tcPr>
            <w:tcW w:w="2539" w:type="dxa"/>
          </w:tcPr>
          <w:p>
            <w:pPr>
              <w:pStyle w:val="Compact"/>
              <w:spacing w:after="40"/>
              <w:jc w:val="left"/>
            </w:pPr>
            <w:r>
              <w:rPr>
                <w:sz w:val="18"/>
              </w:rPr>
              <w:t xml:space="preserve">Part 5 event names identical to Finbyx 5.2; six events proposed</w:t>
            </w:r>
          </w:p>
        </w:tc>
        <w:tc>
          <w:tcPr>
            <w:tcW w:w="3401" w:type="dxa"/>
          </w:tcPr>
          <w:p>
            <w:pPr>
              <w:pStyle w:val="Compact"/>
              <w:spacing w:after="40"/>
              <w:jc w:val="left"/>
            </w:pPr>
            <w:r>
              <w:rPr>
                <w:sz w:val="18"/>
              </w:rPr>
              <w:t xml:space="preserve">The Infrabyx Ecosystem Integration Specification v1.0 is canonical; Part 5 summarises it; the six events are adopted; new collateral, co-lending and transfer, recovery, ADR, litigation, compliance and platform domains</w:t>
            </w:r>
          </w:p>
        </w:tc>
        <w:tc>
          <w:tcPr>
            <w:tcW w:w="2913" w:type="dxa"/>
          </w:tcPr>
          <w:p>
            <w:pPr>
              <w:pStyle w:val="Compact"/>
              <w:spacing w:after="40"/>
              <w:jc w:val="left"/>
            </w:pPr>
            <w:r>
              <w:rPr>
                <w:sz w:val="18"/>
              </w:rPr>
              <w:t xml:space="preserve">One contract for every Infrabyx product</w:t>
            </w:r>
          </w:p>
        </w:tc>
      </w:tr>
      <w:tr>
        <w:tc>
          <w:tcPr>
            <w:tcW w:w="785" w:type="dxa"/>
          </w:tcPr>
          <w:p>
            <w:pPr>
              <w:pStyle w:val="Compact"/>
              <w:spacing w:after="40"/>
              <w:jc w:val="left"/>
            </w:pPr>
            <w:r>
              <w:rPr>
                <w:sz w:val="18"/>
              </w:rPr>
              <w:t xml:space="preserve">2</w:t>
            </w:r>
          </w:p>
        </w:tc>
        <w:tc>
          <w:tcPr>
            <w:tcW w:w="2539" w:type="dxa"/>
          </w:tcPr>
          <w:p>
            <w:pPr>
              <w:pStyle w:val="Compact"/>
              <w:spacing w:after="40"/>
              <w:jc w:val="left"/>
            </w:pPr>
            <w:r>
              <w:rPr>
                <w:sz w:val="18"/>
              </w:rPr>
              <w:t xml:space="preserve">U13 and U15 covered collections and Equator referral</w:t>
            </w:r>
          </w:p>
        </w:tc>
        <w:tc>
          <w:tcPr>
            <w:tcW w:w="3401" w:type="dxa"/>
          </w:tcPr>
          <w:p>
            <w:pPr>
              <w:pStyle w:val="Compact"/>
              <w:spacing w:after="40"/>
              <w:jc w:val="left"/>
            </w:pPr>
            <w:r>
              <w:rPr>
                <w:sz w:val="18"/>
              </w:rPr>
              <w:t xml:space="preserve">Part 7A (UR1–UR6), attachable per RE, prevails over U13 and U15</w:t>
            </w:r>
          </w:p>
        </w:tc>
        <w:tc>
          <w:tcPr>
            <w:tcW w:w="2913" w:type="dxa"/>
          </w:tcPr>
          <w:p>
            <w:pPr>
              <w:pStyle w:val="Compact"/>
              <w:spacing w:after="40"/>
              <w:jc w:val="left"/>
            </w:pPr>
            <w:r>
              <w:rPr>
                <w:sz w:val="18"/>
              </w:rPr>
              <w:t xml:space="preserve">Owner requirement; CF paras 6(5), 9(6), 10(5), 12</w:t>
            </w:r>
          </w:p>
        </w:tc>
      </w:tr>
      <w:tr>
        <w:tc>
          <w:tcPr>
            <w:tcW w:w="785" w:type="dxa"/>
          </w:tcPr>
          <w:p>
            <w:pPr>
              <w:pStyle w:val="Compact"/>
              <w:spacing w:after="40"/>
              <w:jc w:val="left"/>
            </w:pPr>
            <w:r>
              <w:rPr>
                <w:sz w:val="18"/>
              </w:rPr>
              <w:t xml:space="preserve">3</w:t>
            </w:r>
          </w:p>
        </w:tc>
        <w:tc>
          <w:tcPr>
            <w:tcW w:w="2539" w:type="dxa"/>
          </w:tcPr>
          <w:p>
            <w:pPr>
              <w:pStyle w:val="Compact"/>
              <w:spacing w:after="40"/>
              <w:jc w:val="left"/>
            </w:pPr>
            <w:r>
              <w:rPr>
                <w:sz w:val="18"/>
              </w:rPr>
              <w:t xml:space="preserve">Equator referral offered by Udofin</w:t>
            </w:r>
          </w:p>
        </w:tc>
        <w:tc>
          <w:tcPr>
            <w:tcW w:w="3401" w:type="dxa"/>
          </w:tcPr>
          <w:p>
            <w:pPr>
              <w:pStyle w:val="Compact"/>
              <w:spacing w:after="40"/>
              <w:jc w:val="left"/>
            </w:pPr>
            <w:r>
              <w:rPr>
                <w:sz w:val="18"/>
              </w:rPr>
              <w:t xml:space="preserve">Only the RE refers, and only under a pre-named institution clause or written post-dispute consent; Udofin holds no referral scope</w:t>
            </w:r>
          </w:p>
        </w:tc>
        <w:tc>
          <w:tcPr>
            <w:tcW w:w="2913" w:type="dxa"/>
          </w:tcPr>
          <w:p>
            <w:pPr>
              <w:pStyle w:val="Compact"/>
              <w:spacing w:after="40"/>
              <w:jc w:val="left"/>
            </w:pPr>
            <w:r>
              <w:rPr>
                <w:iCs/>
                <w:i/>
                <w:sz w:val="18"/>
              </w:rPr>
              <w:t xml:space="preserve">CORE v ECI-SPIC-SMO-MCML (JV)</w:t>
            </w:r>
            <w:r>
              <w:rPr>
                <w:sz w:val="18"/>
              </w:rPr>
              <w:t xml:space="preserve"> </w:t>
            </w:r>
            <w:r>
              <w:rPr>
                <w:sz w:val="18"/>
              </w:rPr>
              <w:t xml:space="preserve">(SC, 8 Nov 2024);</w:t>
            </w:r>
            <w:r>
              <w:rPr>
                <w:sz w:val="18"/>
              </w:rPr>
              <w:t xml:space="preserve"> </w:t>
            </w:r>
            <w:r>
              <w:rPr>
                <w:iCs/>
                <w:i/>
                <w:sz w:val="18"/>
              </w:rPr>
              <w:t xml:space="preserve">L&amp;T Finance v Jai Paras Material Store</w:t>
            </w:r>
            <w:r>
              <w:rPr>
                <w:sz w:val="18"/>
              </w:rPr>
              <w:t xml:space="preserve"> </w:t>
            </w:r>
            <w:r>
              <w:rPr>
                <w:sz w:val="18"/>
              </w:rPr>
              <w:t xml:space="preserve">(Cal HC, 14 May 2026);</w:t>
            </w:r>
            <w:r>
              <w:rPr>
                <w:sz w:val="18"/>
              </w:rPr>
              <w:t xml:space="preserve"> </w:t>
            </w:r>
            <w:r>
              <w:rPr>
                <w:iCs/>
                <w:i/>
                <w:sz w:val="18"/>
              </w:rPr>
              <w:t xml:space="preserve">Shikha Ghosh v Axis Bank</w:t>
            </w:r>
            <w:r>
              <w:rPr>
                <w:sz w:val="18"/>
              </w:rPr>
              <w:t xml:space="preserve"> </w:t>
            </w:r>
            <w:r>
              <w:rPr>
                <w:sz w:val="18"/>
              </w:rPr>
              <w:t xml:space="preserve">(Del HC DB, 30 Sep 2026)</w:t>
            </w:r>
          </w:p>
        </w:tc>
      </w:tr>
      <w:tr>
        <w:tc>
          <w:tcPr>
            <w:tcW w:w="785" w:type="dxa"/>
          </w:tcPr>
          <w:p>
            <w:pPr>
              <w:pStyle w:val="Compact"/>
              <w:spacing w:after="40"/>
              <w:jc w:val="left"/>
            </w:pPr>
            <w:r>
              <w:rPr>
                <w:sz w:val="18"/>
              </w:rPr>
              <w:t xml:space="preserve">4</w:t>
            </w:r>
          </w:p>
        </w:tc>
        <w:tc>
          <w:tcPr>
            <w:tcW w:w="2539" w:type="dxa"/>
          </w:tcPr>
          <w:p>
            <w:pPr>
              <w:pStyle w:val="Compact"/>
              <w:spacing w:after="40"/>
              <w:jc w:val="left"/>
            </w:pPr>
            <w:r>
              <w:rPr>
                <w:sz w:val="18"/>
              </w:rPr>
              <w:t xml:space="preserve">RBC Third Amendment text not supplied, not coded</w:t>
            </w:r>
          </w:p>
        </w:tc>
        <w:tc>
          <w:tcPr>
            <w:tcW w:w="3401" w:type="dxa"/>
          </w:tcPr>
          <w:p>
            <w:pPr>
              <w:pStyle w:val="Compact"/>
              <w:spacing w:after="40"/>
              <w:jc w:val="left"/>
            </w:pPr>
            <w:r>
              <w:rPr>
                <w:sz w:val="18"/>
              </w:rPr>
              <w:t xml:space="preserve">RBI/2026-27/230 (6 Aug 2026) confirmed from the RBI notification; rule pack B from 1 Jan 2027; official text still to be committed [VERIFY]</w:t>
            </w:r>
          </w:p>
        </w:tc>
        <w:tc>
          <w:tcPr>
            <w:tcW w:w="2913" w:type="dxa"/>
          </w:tcPr>
          <w:p>
            <w:pPr>
              <w:pStyle w:val="Compact"/>
              <w:spacing w:after="40"/>
              <w:jc w:val="left"/>
            </w:pPr>
            <w:r>
              <w:rPr>
                <w:sz w:val="18"/>
              </w:rPr>
              <w:t xml:space="preserve">RBI notification Id=13672</w:t>
            </w:r>
          </w:p>
        </w:tc>
      </w:tr>
      <w:tr>
        <w:tc>
          <w:tcPr>
            <w:tcW w:w="785" w:type="dxa"/>
          </w:tcPr>
          <w:p>
            <w:pPr>
              <w:pStyle w:val="Compact"/>
              <w:spacing w:after="40"/>
              <w:jc w:val="left"/>
            </w:pPr>
            <w:r>
              <w:rPr>
                <w:sz w:val="18"/>
              </w:rPr>
              <w:t xml:space="preserve">5</w:t>
            </w:r>
          </w:p>
        </w:tc>
        <w:tc>
          <w:tcPr>
            <w:tcW w:w="2539" w:type="dxa"/>
          </w:tcPr>
          <w:p>
            <w:pPr>
              <w:pStyle w:val="Compact"/>
              <w:spacing w:after="40"/>
              <w:jc w:val="left"/>
            </w:pPr>
            <w:r>
              <w:rPr>
                <w:sz w:val="18"/>
              </w:rPr>
              <w:t xml:space="preserve">Recovery-call recording a recommendation</w:t>
            </w:r>
          </w:p>
        </w:tc>
        <w:tc>
          <w:tcPr>
            <w:tcW w:w="3401" w:type="dxa"/>
          </w:tcPr>
          <w:p>
            <w:pPr>
              <w:pStyle w:val="Compact"/>
              <w:spacing w:after="40"/>
              <w:jc w:val="left"/>
            </w:pPr>
            <w:r>
              <w:rPr>
                <w:sz w:val="18"/>
              </w:rPr>
              <w:t xml:space="preserve">Mandatory from 1 Jan 2027, kept at least 6 months or until disposal if sub judice</w:t>
            </w:r>
          </w:p>
        </w:tc>
        <w:tc>
          <w:tcPr>
            <w:tcW w:w="2913" w:type="dxa"/>
          </w:tcPr>
          <w:p>
            <w:pPr>
              <w:pStyle w:val="Compact"/>
              <w:spacing w:after="40"/>
              <w:jc w:val="left"/>
            </w:pPr>
            <w:r>
              <w:rPr>
                <w:sz w:val="18"/>
              </w:rPr>
              <w:t xml:space="preserve">RBC Third Amendment para 100P [VERIFY]</w:t>
            </w:r>
          </w:p>
        </w:tc>
      </w:tr>
      <w:tr>
        <w:tc>
          <w:tcPr>
            <w:tcW w:w="785" w:type="dxa"/>
          </w:tcPr>
          <w:p>
            <w:pPr>
              <w:pStyle w:val="Compact"/>
              <w:spacing w:after="40"/>
              <w:jc w:val="left"/>
            </w:pPr>
            <w:r>
              <w:rPr>
                <w:sz w:val="18"/>
              </w:rPr>
              <w:t xml:space="preserve">6</w:t>
            </w:r>
          </w:p>
        </w:tc>
        <w:tc>
          <w:tcPr>
            <w:tcW w:w="2539" w:type="dxa"/>
          </w:tcPr>
          <w:p>
            <w:pPr>
              <w:pStyle w:val="Compact"/>
              <w:spacing w:after="40"/>
              <w:jc w:val="left"/>
            </w:pPr>
            <w:r>
              <w:rPr>
                <w:sz w:val="18"/>
              </w:rPr>
              <w:t xml:space="preserve">No agent certification rule</w:t>
            </w:r>
          </w:p>
        </w:tc>
        <w:tc>
          <w:tcPr>
            <w:tcW w:w="3401" w:type="dxa"/>
          </w:tcPr>
          <w:p>
            <w:pPr>
              <w:pStyle w:val="Compact"/>
              <w:spacing w:after="40"/>
              <w:jc w:val="left"/>
            </w:pPr>
            <w:r>
              <w:rPr>
                <w:sz w:val="18"/>
              </w:rPr>
              <w:t xml:space="preserve">IIBF DRA certificate for agents from 1 Jan 2027; existing agents one more year</w:t>
            </w:r>
          </w:p>
        </w:tc>
        <w:tc>
          <w:tcPr>
            <w:tcW w:w="2913" w:type="dxa"/>
          </w:tcPr>
          <w:p>
            <w:pPr>
              <w:pStyle w:val="Compact"/>
              <w:spacing w:after="40"/>
              <w:jc w:val="left"/>
            </w:pPr>
            <w:r>
              <w:rPr>
                <w:sz w:val="18"/>
              </w:rPr>
              <w:t xml:space="preserve">RBC Third Amendment para 100I [VERIFY]</w:t>
            </w:r>
          </w:p>
        </w:tc>
      </w:tr>
      <w:tr>
        <w:tc>
          <w:tcPr>
            <w:tcW w:w="785" w:type="dxa"/>
          </w:tcPr>
          <w:p>
            <w:pPr>
              <w:pStyle w:val="Compact"/>
              <w:spacing w:after="40"/>
              <w:jc w:val="left"/>
            </w:pPr>
            <w:r>
              <w:rPr>
                <w:sz w:val="18"/>
              </w:rPr>
              <w:t xml:space="preserve">7</w:t>
            </w:r>
          </w:p>
        </w:tc>
        <w:tc>
          <w:tcPr>
            <w:tcW w:w="2539" w:type="dxa"/>
          </w:tcPr>
          <w:p>
            <w:pPr>
              <w:pStyle w:val="Compact"/>
              <w:spacing w:after="40"/>
              <w:jc w:val="left"/>
            </w:pPr>
            <w:r>
              <w:rPr>
                <w:sz w:val="18"/>
              </w:rPr>
              <w:t xml:space="preserve">Settlement relay in U12 only</w:t>
            </w:r>
          </w:p>
        </w:tc>
        <w:tc>
          <w:tcPr>
            <w:tcW w:w="3401" w:type="dxa"/>
          </w:tcPr>
          <w:p>
            <w:pPr>
              <w:pStyle w:val="Compact"/>
              <w:spacing w:after="40"/>
              <w:jc w:val="left"/>
            </w:pPr>
            <w:r>
              <w:rPr>
                <w:sz w:val="18"/>
              </w:rPr>
              <w:t xml:space="preserve">UR1 with the RE’s characterisation block and acceptance evidence; acceptance sent as</w:t>
            </w:r>
            <w:r>
              <w:rPr>
                <w:sz w:val="18"/>
              </w:rPr>
              <w:t xml:space="preserve"> </w:t>
            </w:r>
            <w:r>
              <w:rPr>
                <w:rStyle w:val="VerbatimChar"/>
                <w:sz w:val="18"/>
              </w:rPr>
              <w:t xml:space="preserve">SettlementOfferAccepted</w:t>
            </w:r>
            <w:r>
              <w:rPr>
                <w:sz w:val="18"/>
              </w:rPr>
              <w:t xml:space="preserve"> </w:t>
            </w:r>
            <w:r>
              <w:rPr>
                <w:sz w:val="18"/>
              </w:rPr>
              <w:t xml:space="preserve">(Integration Spec 6.8)</w:t>
            </w:r>
          </w:p>
        </w:tc>
        <w:tc>
          <w:tcPr>
            <w:tcW w:w="2913" w:type="dxa"/>
          </w:tcPr>
          <w:p>
            <w:pPr>
              <w:pStyle w:val="Compact"/>
              <w:spacing w:after="40"/>
              <w:jc w:val="left"/>
            </w:pPr>
            <w:r>
              <w:rPr>
                <w:sz w:val="18"/>
              </w:rPr>
              <w:t xml:space="preserve">RSA paras 16, 87–100; CIR para 12(4)</w:t>
            </w:r>
          </w:p>
        </w:tc>
      </w:tr>
      <w:tr>
        <w:tc>
          <w:tcPr>
            <w:tcW w:w="785" w:type="dxa"/>
          </w:tcPr>
          <w:p>
            <w:pPr>
              <w:pStyle w:val="Compact"/>
              <w:spacing w:after="40"/>
              <w:jc w:val="left"/>
            </w:pPr>
            <w:r>
              <w:rPr>
                <w:sz w:val="18"/>
              </w:rPr>
              <w:t xml:space="preserve">8</w:t>
            </w:r>
          </w:p>
        </w:tc>
        <w:tc>
          <w:tcPr>
            <w:tcW w:w="2539" w:type="dxa"/>
          </w:tcPr>
          <w:p>
            <w:pPr>
              <w:pStyle w:val="Compact"/>
              <w:spacing w:after="40"/>
              <w:jc w:val="left"/>
            </w:pPr>
            <w:r>
              <w:rPr>
                <w:sz w:val="18"/>
              </w:rPr>
              <w:t xml:space="preserve">Ten product templates</w:t>
            </w:r>
          </w:p>
        </w:tc>
        <w:tc>
          <w:tcPr>
            <w:tcW w:w="3401" w:type="dxa"/>
          </w:tcPr>
          <w:p>
            <w:pPr>
              <w:pStyle w:val="Compact"/>
              <w:spacing w:after="40"/>
              <w:jc w:val="left"/>
            </w:pPr>
            <w:r>
              <w:rPr>
                <w:sz w:val="18"/>
              </w:rPr>
              <w:t xml:space="preserve">Products 11–15 proposed (Phase 18b); product-wise workflows for all products (Part 6.4)</w:t>
            </w:r>
          </w:p>
        </w:tc>
        <w:tc>
          <w:tcPr>
            <w:tcW w:w="2913" w:type="dxa"/>
          </w:tcPr>
          <w:p>
            <w:pPr>
              <w:pStyle w:val="Compact"/>
              <w:spacing w:after="40"/>
              <w:jc w:val="left"/>
            </w:pPr>
            <w:r>
              <w:rPr>
                <w:sz w:val="18"/>
              </w:rPr>
              <w:t xml:space="preserve">Owner requirement; research gap</w:t>
            </w:r>
          </w:p>
        </w:tc>
      </w:tr>
      <w:tr>
        <w:tc>
          <w:tcPr>
            <w:tcW w:w="785" w:type="dxa"/>
          </w:tcPr>
          <w:p>
            <w:pPr>
              <w:pStyle w:val="Compact"/>
              <w:spacing w:after="40"/>
              <w:jc w:val="left"/>
            </w:pPr>
            <w:r>
              <w:rPr>
                <w:sz w:val="18"/>
              </w:rPr>
              <w:t xml:space="preserve">9</w:t>
            </w:r>
          </w:p>
        </w:tc>
        <w:tc>
          <w:tcPr>
            <w:tcW w:w="2539" w:type="dxa"/>
          </w:tcPr>
          <w:p>
            <w:pPr>
              <w:pStyle w:val="Compact"/>
              <w:spacing w:after="40"/>
              <w:jc w:val="left"/>
            </w:pPr>
            <w:r>
              <w:rPr>
                <w:sz w:val="18"/>
              </w:rPr>
              <w:t xml:space="preserve">LAS: pledge in favour of the RE; margin notices shown</w:t>
            </w:r>
          </w:p>
        </w:tc>
        <w:tc>
          <w:tcPr>
            <w:tcW w:w="3401" w:type="dxa"/>
          </w:tcPr>
          <w:p>
            <w:pPr>
              <w:pStyle w:val="Compact"/>
              <w:spacing w:after="40"/>
              <w:jc w:val="left"/>
            </w:pPr>
            <w:r>
              <w:rPr>
                <w:sz w:val="18"/>
              </w:rPr>
              <w:t xml:space="preserve">Full journey (Part 6.5): RE computes drawing power; term loan by default, OD behind a flag; SEBI reasonable-notice undertaking before invocation</w:t>
            </w:r>
          </w:p>
        </w:tc>
        <w:tc>
          <w:tcPr>
            <w:tcW w:w="2913" w:type="dxa"/>
          </w:tcPr>
          <w:p>
            <w:pPr>
              <w:pStyle w:val="Compact"/>
              <w:spacing w:after="40"/>
              <w:jc w:val="left"/>
            </w:pPr>
            <w:r>
              <w:rPr>
                <w:sz w:val="18"/>
              </w:rPr>
              <w:t xml:space="preserve">CF paras 104–106; SEBI circular, 5 Feb 2026 [VERIFY]</w:t>
            </w:r>
          </w:p>
        </w:tc>
      </w:tr>
      <w:tr>
        <w:tc>
          <w:tcPr>
            <w:tcW w:w="785" w:type="dxa"/>
          </w:tcPr>
          <w:p>
            <w:pPr>
              <w:pStyle w:val="Compact"/>
              <w:spacing w:after="40"/>
              <w:jc w:val="left"/>
            </w:pPr>
            <w:r>
              <w:rPr>
                <w:sz w:val="18"/>
              </w:rPr>
              <w:t xml:space="preserve">10</w:t>
            </w:r>
          </w:p>
        </w:tc>
        <w:tc>
          <w:tcPr>
            <w:tcW w:w="2539" w:type="dxa"/>
          </w:tcPr>
          <w:p>
            <w:pPr>
              <w:pStyle w:val="Compact"/>
              <w:spacing w:after="40"/>
              <w:jc w:val="left"/>
            </w:pPr>
            <w:r>
              <w:rPr>
                <w:sz w:val="18"/>
              </w:rPr>
              <w:t xml:space="preserve">LawDocsComply bridge only</w:t>
            </w:r>
          </w:p>
        </w:tc>
        <w:tc>
          <w:tcPr>
            <w:tcW w:w="3401" w:type="dxa"/>
          </w:tcPr>
          <w:p>
            <w:pPr>
              <w:pStyle w:val="Compact"/>
              <w:spacing w:after="40"/>
              <w:jc w:val="left"/>
            </w:pPr>
            <w:r>
              <w:rPr>
                <w:sz w:val="18"/>
              </w:rPr>
              <w:t xml:space="preserve">Generic GRC contract with OSCAL export; MetricStream, OpenPages, ServiceNow IRM and Archer adapters</w:t>
            </w:r>
          </w:p>
        </w:tc>
        <w:tc>
          <w:tcPr>
            <w:tcW w:w="2913" w:type="dxa"/>
          </w:tcPr>
          <w:p>
            <w:pPr>
              <w:pStyle w:val="Compact"/>
              <w:spacing w:after="40"/>
              <w:jc w:val="left"/>
            </w:pPr>
            <w:r>
              <w:rPr>
                <w:sz w:val="18"/>
              </w:rPr>
              <w:t xml:space="preserve">Owner requirement</w:t>
            </w:r>
          </w:p>
        </w:tc>
      </w:tr>
      <w:tr>
        <w:tc>
          <w:tcPr>
            <w:tcW w:w="785" w:type="dxa"/>
          </w:tcPr>
          <w:p>
            <w:pPr>
              <w:pStyle w:val="Compact"/>
              <w:spacing w:after="40"/>
              <w:jc w:val="left"/>
            </w:pPr>
            <w:r>
              <w:rPr>
                <w:sz w:val="18"/>
              </w:rPr>
              <w:t xml:space="preserve">11</w:t>
            </w:r>
          </w:p>
        </w:tc>
        <w:tc>
          <w:tcPr>
            <w:tcW w:w="2539" w:type="dxa"/>
          </w:tcPr>
          <w:p>
            <w:pPr>
              <w:pStyle w:val="Compact"/>
              <w:spacing w:after="40"/>
              <w:jc w:val="left"/>
            </w:pPr>
            <w:r>
              <w:rPr>
                <w:sz w:val="18"/>
              </w:rPr>
              <w:t xml:space="preserve">Phases 0–21 plus 3b and P</w:t>
            </w:r>
          </w:p>
        </w:tc>
        <w:tc>
          <w:tcPr>
            <w:tcW w:w="3401" w:type="dxa"/>
          </w:tcPr>
          <w:p>
            <w:pPr>
              <w:pStyle w:val="Compact"/>
              <w:spacing w:after="40"/>
              <w:jc w:val="left"/>
            </w:pPr>
            <w:r>
              <w:rPr>
                <w:sz w:val="18"/>
              </w:rPr>
              <w:t xml:space="preserve">Adds Phases 12b, 16b and 18b</w:t>
            </w:r>
          </w:p>
        </w:tc>
        <w:tc>
          <w:tcPr>
            <w:tcW w:w="2913" w:type="dxa"/>
          </w:tcPr>
          <w:p>
            <w:pPr>
              <w:pStyle w:val="Compact"/>
              <w:spacing w:after="40"/>
              <w:jc w:val="left"/>
            </w:pPr>
            <w:r>
              <w:rPr>
                <w:sz w:val="18"/>
              </w:rPr>
              <w:t xml:space="preserve">Part 12</w:t>
            </w:r>
          </w:p>
        </w:tc>
      </w:tr>
      <w:tr>
        <w:tc>
          <w:tcPr>
            <w:tcW w:w="785" w:type="dxa"/>
          </w:tcPr>
          <w:p>
            <w:pPr>
              <w:pStyle w:val="Compact"/>
              <w:spacing w:after="40"/>
              <w:jc w:val="left"/>
            </w:pPr>
            <w:r>
              <w:rPr>
                <w:sz w:val="18"/>
              </w:rPr>
              <w:t xml:space="preserve">12</w:t>
            </w:r>
          </w:p>
        </w:tc>
        <w:tc>
          <w:tcPr>
            <w:tcW w:w="2539" w:type="dxa"/>
          </w:tcPr>
          <w:p>
            <w:pPr>
              <w:pStyle w:val="Compact"/>
              <w:spacing w:after="40"/>
              <w:jc w:val="left"/>
            </w:pPr>
            <w:r>
              <w:rPr>
                <w:sz w:val="18"/>
              </w:rPr>
              <w:t xml:space="preserve">(Udolex) an LSP may execute settlements within DLG agreement limits without the RE</w:t>
            </w:r>
          </w:p>
        </w:tc>
        <w:tc>
          <w:tcPr>
            <w:tcW w:w="3401" w:type="dxa"/>
          </w:tcPr>
          <w:p>
            <w:pPr>
              <w:pStyle w:val="Compact"/>
              <w:spacing w:after="40"/>
              <w:jc w:val="left"/>
            </w:pPr>
            <w:r>
              <w:rPr>
                <w:sz w:val="18"/>
              </w:rPr>
              <w:t xml:space="preserve">Not permitted: settlement is the RE’s decision, one level above the sanctioning authority</w:t>
            </w:r>
          </w:p>
        </w:tc>
        <w:tc>
          <w:tcPr>
            <w:tcW w:w="2913" w:type="dxa"/>
          </w:tcPr>
          <w:p>
            <w:pPr>
              <w:pStyle w:val="Compact"/>
              <w:spacing w:after="40"/>
              <w:jc w:val="left"/>
            </w:pPr>
            <w:r>
              <w:rPr>
                <w:sz w:val="18"/>
              </w:rPr>
              <w:t xml:space="preserve">RSA paras 16(5), 157; OUT para 15</w:t>
            </w:r>
          </w:p>
        </w:tc>
      </w:tr>
      <w:tr>
        <w:tc>
          <w:tcPr>
            <w:tcW w:w="785" w:type="dxa"/>
          </w:tcPr>
          <w:p>
            <w:pPr>
              <w:pStyle w:val="Compact"/>
              <w:spacing w:after="40"/>
              <w:jc w:val="left"/>
            </w:pPr>
            <w:r>
              <w:rPr>
                <w:sz w:val="18"/>
              </w:rPr>
              <w:t xml:space="preserve">13</w:t>
            </w:r>
          </w:p>
        </w:tc>
        <w:tc>
          <w:tcPr>
            <w:tcW w:w="2539" w:type="dxa"/>
          </w:tcPr>
          <w:p>
            <w:pPr>
              <w:pStyle w:val="Compact"/>
              <w:spacing w:after="40"/>
              <w:jc w:val="left"/>
            </w:pPr>
            <w:r>
              <w:rPr>
                <w:sz w:val="18"/>
              </w:rPr>
              <w:t xml:space="preserve">(Udolex) DLG capped at 5% of the outstanding pool; invocation 6–12 months after NPA; proceeds credited to the NPA account</w:t>
            </w:r>
          </w:p>
        </w:tc>
        <w:tc>
          <w:tcPr>
            <w:tcW w:w="3401" w:type="dxa"/>
          </w:tcPr>
          <w:p>
            <w:pPr>
              <w:pStyle w:val="Compact"/>
              <w:spacing w:after="40"/>
              <w:jc w:val="left"/>
            </w:pPr>
            <w:r>
              <w:rPr>
                <w:sz w:val="18"/>
              </w:rPr>
              <w:t xml:space="preserve">5% of the amount disbursed from a fixed set; invocation within 120 days overdue; never set off against the loan</w:t>
            </w:r>
          </w:p>
        </w:tc>
        <w:tc>
          <w:tcPr>
            <w:tcW w:w="2913" w:type="dxa"/>
          </w:tcPr>
          <w:p>
            <w:pPr>
              <w:pStyle w:val="Compact"/>
              <w:spacing w:after="40"/>
              <w:jc w:val="left"/>
            </w:pPr>
            <w:r>
              <w:rPr>
                <w:sz w:val="18"/>
              </w:rPr>
              <w:t xml:space="preserve">CF paras 24, 25(2), 27(1)</w:t>
            </w:r>
          </w:p>
        </w:tc>
      </w:tr>
      <w:tr>
        <w:tc>
          <w:tcPr>
            <w:tcW w:w="785" w:type="dxa"/>
          </w:tcPr>
          <w:p>
            <w:pPr>
              <w:pStyle w:val="Compact"/>
              <w:spacing w:after="40"/>
              <w:jc w:val="left"/>
            </w:pPr>
            <w:r>
              <w:rPr>
                <w:sz w:val="18"/>
              </w:rPr>
              <w:t xml:space="preserve">14</w:t>
            </w:r>
          </w:p>
        </w:tc>
        <w:tc>
          <w:tcPr>
            <w:tcW w:w="2539" w:type="dxa"/>
          </w:tcPr>
          <w:p>
            <w:pPr>
              <w:pStyle w:val="Compact"/>
              <w:spacing w:after="40"/>
              <w:jc w:val="left"/>
            </w:pPr>
            <w:r>
              <w:rPr>
                <w:sz w:val="18"/>
              </w:rPr>
              <w:t xml:space="preserve">(Udolex) at most 3 contact attempts a week and</w:t>
            </w:r>
            <w:r>
              <w:rPr>
                <w:sz w:val="18"/>
              </w:rPr>
              <w:t xml:space="preserve"> </w:t>
            </w:r>
            <w:r>
              <w:rPr>
                <w:sz w:val="18"/>
              </w:rPr>
              <w:t xml:space="preserve">“</w:t>
            </w:r>
            <w:r>
              <w:rPr>
                <w:sz w:val="18"/>
              </w:rPr>
              <w:t xml:space="preserve">one-click human transfer</w:t>
            </w:r>
            <w:r>
              <w:rPr>
                <w:sz w:val="18"/>
              </w:rPr>
              <w:t xml:space="preserve">”</w:t>
            </w:r>
            <w:r>
              <w:rPr>
                <w:sz w:val="18"/>
              </w:rPr>
              <w:t xml:space="preserve"> </w:t>
            </w:r>
            <w:r>
              <w:rPr>
                <w:sz w:val="18"/>
              </w:rPr>
              <w:t xml:space="preserve">as RBI rules</w:t>
            </w:r>
          </w:p>
        </w:tc>
        <w:tc>
          <w:tcPr>
            <w:tcW w:w="3401" w:type="dxa"/>
          </w:tcPr>
          <w:p>
            <w:pPr>
              <w:pStyle w:val="Compact"/>
              <w:spacing w:after="40"/>
              <w:jc w:val="left"/>
            </w:pPr>
            <w:r>
              <w:rPr>
                <w:sz w:val="18"/>
              </w:rPr>
              <w:t xml:space="preserve">RBI sets no numeric cap (Board policy decides); human hand-over is a recommendation drawn from the FREE-AI report</w:t>
            </w:r>
          </w:p>
        </w:tc>
        <w:tc>
          <w:tcPr>
            <w:tcW w:w="2913" w:type="dxa"/>
          </w:tcPr>
          <w:p>
            <w:pPr>
              <w:pStyle w:val="Compact"/>
              <w:spacing w:after="40"/>
              <w:jc w:val="left"/>
            </w:pPr>
            <w:r>
              <w:rPr>
                <w:sz w:val="18"/>
              </w:rPr>
              <w:t xml:space="preserve">RBC para 100; Third Amendment paras 100Y–100Z</w:t>
            </w:r>
          </w:p>
        </w:tc>
      </w:tr>
      <w:tr>
        <w:tc>
          <w:tcPr>
            <w:tcW w:w="785" w:type="dxa"/>
          </w:tcPr>
          <w:p>
            <w:pPr>
              <w:pStyle w:val="Compact"/>
              <w:spacing w:after="40"/>
              <w:jc w:val="left"/>
            </w:pPr>
            <w:r>
              <w:rPr>
                <w:sz w:val="18"/>
              </w:rPr>
              <w:t xml:space="preserve">15</w:t>
            </w:r>
          </w:p>
        </w:tc>
        <w:tc>
          <w:tcPr>
            <w:tcW w:w="2539" w:type="dxa"/>
          </w:tcPr>
          <w:p>
            <w:pPr>
              <w:pStyle w:val="Compact"/>
              <w:spacing w:after="40"/>
              <w:jc w:val="left"/>
            </w:pPr>
            <w:r>
              <w:rPr>
                <w:sz w:val="18"/>
              </w:rPr>
              <w:t xml:space="preserve">(Udolex) Mediation Act mandates pre-litigation mediation; mediated settlements enforceable once registered</w:t>
            </w:r>
          </w:p>
        </w:tc>
        <w:tc>
          <w:tcPr>
            <w:tcW w:w="3401" w:type="dxa"/>
          </w:tcPr>
          <w:p>
            <w:pPr>
              <w:pStyle w:val="Compact"/>
              <w:spacing w:after="40"/>
              <w:jc w:val="left"/>
            </w:pPr>
            <w:r>
              <w:rPr>
                <w:sz w:val="18"/>
              </w:rPr>
              <w:t xml:space="preserve">s.5 is voluntary and not in force; s.27 enforcement not in force; conciliation (A&amp;C Act s.74) is the enforceable route today</w:t>
            </w:r>
          </w:p>
        </w:tc>
        <w:tc>
          <w:tcPr>
            <w:tcW w:w="2913" w:type="dxa"/>
          </w:tcPr>
          <w:p>
            <w:pPr>
              <w:pStyle w:val="Compact"/>
              <w:spacing w:after="40"/>
              <w:jc w:val="left"/>
            </w:pPr>
            <w:r>
              <w:rPr>
                <w:sz w:val="18"/>
              </w:rPr>
              <w:t xml:space="preserve">Mediation Act 2023; S.O. 4384(E), 9 Oct 2023</w:t>
            </w:r>
          </w:p>
        </w:tc>
      </w:tr>
      <w:tr>
        <w:tc>
          <w:tcPr>
            <w:tcW w:w="785" w:type="dxa"/>
          </w:tcPr>
          <w:p>
            <w:pPr>
              <w:pStyle w:val="Compact"/>
              <w:spacing w:after="40"/>
              <w:jc w:val="left"/>
            </w:pPr>
            <w:r>
              <w:rPr>
                <w:sz w:val="18"/>
              </w:rPr>
              <w:t xml:space="preserve">16</w:t>
            </w:r>
          </w:p>
        </w:tc>
        <w:tc>
          <w:tcPr>
            <w:tcW w:w="2539" w:type="dxa"/>
          </w:tcPr>
          <w:p>
            <w:pPr>
              <w:pStyle w:val="Compact"/>
              <w:spacing w:after="40"/>
              <w:jc w:val="left"/>
            </w:pPr>
            <w:r>
              <w:rPr>
                <w:sz w:val="18"/>
              </w:rPr>
              <w:t xml:space="preserve">(LAS proposal) drawing-power engine in Udofin; event names of its own</w:t>
            </w:r>
          </w:p>
        </w:tc>
        <w:tc>
          <w:tcPr>
            <w:tcW w:w="3401" w:type="dxa"/>
          </w:tcPr>
          <w:p>
            <w:pPr>
              <w:pStyle w:val="Compact"/>
              <w:spacing w:after="40"/>
              <w:jc w:val="left"/>
            </w:pPr>
            <w:r>
              <w:rPr>
                <w:sz w:val="18"/>
              </w:rPr>
              <w:t xml:space="preserve">Drawing power at the RE; canonical collateral events</w:t>
            </w:r>
          </w:p>
        </w:tc>
        <w:tc>
          <w:tcPr>
            <w:tcW w:w="2913" w:type="dxa"/>
          </w:tcPr>
          <w:p>
            <w:pPr>
              <w:pStyle w:val="Compact"/>
              <w:spacing w:after="40"/>
              <w:jc w:val="left"/>
            </w:pPr>
            <w:r>
              <w:rPr>
                <w:sz w:val="18"/>
              </w:rPr>
              <w:t xml:space="preserve">Part 6.5.4</w:t>
            </w:r>
          </w:p>
        </w:tc>
      </w:tr>
    </w:tbl>
    <w:bookmarkEnd w:id="535"/>
    <w:bookmarkStart w:id="536" w:name="X7aeca51bf8a739c462426b831ce64328009442d"/>
    <w:p>
      <w:pPr>
        <w:pStyle w:val="Heading2"/>
      </w:pPr>
      <w:r>
        <w:t xml:space="preserve">E.4 v1.1 → v1.2 (24 October 2026): lender partnerships, borrower documents and grievance chain v2, wellness add-ons, member and group lending, insurance, plans and billing, risk, supervisory access and portability</w:t>
      </w:r>
    </w:p>
    <w:p>
      <w:pPr>
        <w:pStyle w:val="FirstParagraph"/>
      </w:pPr>
      <w:r>
        <w:rPr>
          <w:bCs/>
          <w:b/>
        </w:rPr>
        <w:t xml:space="preserve">Additions.</w:t>
      </w:r>
      <w:r>
        <w:t xml:space="preserve"> </w:t>
      </w:r>
      <w:r>
        <w:t xml:space="preserve">Part 7B (UP1–UP5: lender partnerships, per-deal configurator, RE audit and CIMS export packs, non-RE lender track, suspension and exit); Part 7C (UB1–UB4: my documents and my data, tax documents, grievance escalation chain v2, complaint capabilities and help centre); Part 7D (FW1–FW4: credit report tracking, score simulator, expense tracker, separation and legality gates); Part 7E (MG1–MG4: co-operative society members, JLG, SHG, assisted mode and field records); Part 7F (XP1–XP4: product plug-ins, insurance distribution, future products, cross-sell controls); Part 7G (RV1–RV4: revenue streams and legality gate, billing and plan pages, Razorpay, advertising); Part 7H (RA1–RA5: LSP risk function, auditor and supervisor access, data export and RE-controlled storage, engineering operations and certification readiness, voice and Jio adapters); Phases 3c, 11b, 14b, 16c, 18c, 20b, 20c and 20d; Part 4.8; channel G and new user groups (Part 3.2); the Operations Hub and group boundaries (Part 2); Part 8A.17 (codes and [VERIFY] register);</w:t>
      </w:r>
      <w:r>
        <w:t xml:space="preserve"> </w:t>
      </w:r>
      <w:r>
        <w:rPr>
          <w:rStyle w:val="VerbatimChar"/>
        </w:rPr>
        <w:t xml:space="preserve">Settings and options</w:t>
      </w:r>
      <w:r>
        <w:t xml:space="preserve"> </w:t>
      </w:r>
      <w:r>
        <w:t xml:space="preserve">and</w:t>
      </w:r>
      <w:r>
        <w:t xml:space="preserve"> </w:t>
      </w:r>
      <w:r>
        <w:rPr>
          <w:rStyle w:val="VerbatimChar"/>
        </w:rPr>
        <w:t xml:space="preserve">Menu and screens</w:t>
      </w:r>
      <w:r>
        <w:t xml:space="preserve"> </w:t>
      </w:r>
      <w:r>
        <w:t xml:space="preserve">subsections in every Part 7B–7H module; Appendix G (navigation, menus, screens and settings map); Appendix B items 26–42; new folders in Appendix C; pointers from U1, U4, U6, U9, U12–U19, U21, U22, U24 and U25.</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98"/>
        <w:gridCol w:w="2086"/>
        <w:gridCol w:w="4110"/>
        <w:gridCol w:w="2744"/>
      </w:tblGrid>
      <w:tr>
        <w:trPr>
          <w:tblHeader w:val="true"/>
          <w:tblHeader w:val="true"/>
        </w:trPr>
        <w:tc>
          <w:tcPr>
            <w:tcW w:w="698" w:type="dxa"/>
            <w:shd w:val="clear" w:color="auto" w:fill="1F3A5F"/>
          </w:tcPr>
          <w:p>
            <w:pPr>
              <w:pStyle w:val="Compact"/>
              <w:spacing w:after="40"/>
              <w:jc w:val="left"/>
            </w:pPr>
            <w:r>
              <w:rPr>
                <w:b/>
                <w:color w:val="FFFFFF"/>
                <w:sz w:val="18"/>
              </w:rPr>
              <w:t xml:space="preserve">#</w:t>
            </w:r>
          </w:p>
        </w:tc>
        <w:tc>
          <w:tcPr>
            <w:tcW w:w="2086" w:type="dxa"/>
            <w:shd w:val="clear" w:color="auto" w:fill="1F3A5F"/>
          </w:tcPr>
          <w:p>
            <w:pPr>
              <w:pStyle w:val="Compact"/>
              <w:spacing w:after="40"/>
              <w:jc w:val="left"/>
            </w:pPr>
            <w:r>
              <w:rPr>
                <w:b/>
                <w:color w:val="FFFFFF"/>
                <w:sz w:val="18"/>
              </w:rPr>
              <w:t xml:space="preserve">v1.1 said</w:t>
            </w:r>
          </w:p>
        </w:tc>
        <w:tc>
          <w:tcPr>
            <w:tcW w:w="4110" w:type="dxa"/>
            <w:shd w:val="clear" w:color="auto" w:fill="1F3A5F"/>
          </w:tcPr>
          <w:p>
            <w:pPr>
              <w:pStyle w:val="Compact"/>
              <w:spacing w:after="40"/>
              <w:jc w:val="left"/>
            </w:pPr>
            <w:r>
              <w:rPr>
                <w:b/>
                <w:color w:val="FFFFFF"/>
                <w:sz w:val="18"/>
              </w:rPr>
              <w:t xml:space="preserve">v1.2 says</w:t>
            </w:r>
          </w:p>
        </w:tc>
        <w:tc>
          <w:tcPr>
            <w:tcW w:w="2744" w:type="dxa"/>
            <w:shd w:val="clear" w:color="auto" w:fill="1F3A5F"/>
          </w:tcPr>
          <w:p>
            <w:pPr>
              <w:pStyle w:val="Compact"/>
              <w:spacing w:after="40"/>
              <w:jc w:val="left"/>
            </w:pPr>
            <w:r>
              <w:rPr>
                <w:b/>
                <w:color w:val="FFFFFF"/>
                <w:sz w:val="18"/>
              </w:rPr>
              <w:t xml:space="preserve">Reason (source)</w:t>
            </w:r>
          </w:p>
        </w:tc>
      </w:tr>
      <w:tr>
        <w:tc>
          <w:tcPr>
            <w:tcW w:w="698" w:type="dxa"/>
          </w:tcPr>
          <w:p>
            <w:pPr>
              <w:pStyle w:val="Compact"/>
              <w:spacing w:after="40"/>
              <w:jc w:val="left"/>
            </w:pPr>
            <w:r>
              <w:rPr>
                <w:sz w:val="18"/>
              </w:rPr>
              <w:t xml:space="preserve">1</w:t>
            </w:r>
          </w:p>
        </w:tc>
        <w:tc>
          <w:tcPr>
            <w:tcW w:w="2086" w:type="dxa"/>
          </w:tcPr>
          <w:p>
            <w:pPr>
              <w:pStyle w:val="Compact"/>
              <w:spacing w:after="40"/>
              <w:jc w:val="left"/>
            </w:pPr>
            <w:r>
              <w:rPr>
                <w:sz w:val="18"/>
              </w:rPr>
              <w:t xml:space="preserve">Borrowers</w:t>
            </w:r>
            <w:r>
              <w:rPr>
                <w:sz w:val="18"/>
              </w:rPr>
              <w:t xml:space="preserve"> </w:t>
            </w:r>
            <w:r>
              <w:rPr>
                <w:sz w:val="18"/>
              </w:rPr>
              <w:t xml:space="preserve">“</w:t>
            </w:r>
            <w:r>
              <w:rPr>
                <w:sz w:val="18"/>
              </w:rPr>
              <w:t xml:space="preserve">never pay Udofin</w:t>
            </w:r>
            <w:r>
              <w:rPr>
                <w:sz w:val="18"/>
              </w:rPr>
              <w:t xml:space="preserve">”</w:t>
            </w:r>
            <w:r>
              <w:rPr>
                <w:sz w:val="18"/>
              </w:rPr>
              <w:t xml:space="preserve"> </w:t>
            </w:r>
            <w:r>
              <w:rPr>
                <w:sz w:val="18"/>
              </w:rPr>
              <w:t xml:space="preserve">(Part 3.1)</w:t>
            </w:r>
          </w:p>
        </w:tc>
        <w:tc>
          <w:tcPr>
            <w:tcW w:w="4110" w:type="dxa"/>
          </w:tcPr>
          <w:p>
            <w:pPr>
              <w:pStyle w:val="Compact"/>
              <w:spacing w:after="40"/>
              <w:jc w:val="left"/>
            </w:pPr>
            <w:r>
              <w:rPr>
                <w:sz w:val="18"/>
              </w:rPr>
              <w:t xml:space="preserve">Borrowers never pay Udofin for anything loan-related; separate, optional non-credit plans only after the FW4 gates G1–G5 and the RV1 legality gate, open to non-borrowers at the same price and never tied to a loan</w:t>
            </w:r>
          </w:p>
        </w:tc>
        <w:tc>
          <w:tcPr>
            <w:tcW w:w="2744" w:type="dxa"/>
          </w:tcPr>
          <w:p>
            <w:pPr>
              <w:pStyle w:val="Compact"/>
              <w:spacing w:after="40"/>
              <w:jc w:val="left"/>
            </w:pPr>
            <w:r>
              <w:rPr>
                <w:sz w:val="18"/>
              </w:rPr>
              <w:t xml:space="preserve">CF para 10(4) bars LSP fees</w:t>
            </w:r>
            <w:r>
              <w:rPr>
                <w:sz w:val="18"/>
              </w:rPr>
              <w:t xml:space="preserve"> </w:t>
            </w:r>
            <w:r>
              <w:rPr>
                <w:sz w:val="18"/>
              </w:rPr>
              <w:t xml:space="preserve">“</w:t>
            </w:r>
            <w:r>
              <w:rPr>
                <w:sz w:val="18"/>
              </w:rPr>
              <w:t xml:space="preserve">charged to or collected from the borrowers</w:t>
            </w:r>
            <w:r>
              <w:rPr>
                <w:sz w:val="18"/>
              </w:rPr>
              <w:t xml:space="preserve">”</w:t>
            </w:r>
            <w:r>
              <w:rPr>
                <w:sz w:val="18"/>
              </w:rPr>
              <w:t xml:space="preserve">; whether it reaches a non-loan subscription is an interpretation needing a written legal opinion (FW4 G2)</w:t>
            </w:r>
          </w:p>
        </w:tc>
      </w:tr>
      <w:tr>
        <w:tc>
          <w:tcPr>
            <w:tcW w:w="698" w:type="dxa"/>
          </w:tcPr>
          <w:p>
            <w:pPr>
              <w:pStyle w:val="Compact"/>
              <w:spacing w:after="40"/>
              <w:jc w:val="left"/>
            </w:pPr>
            <w:r>
              <w:rPr>
                <w:sz w:val="18"/>
              </w:rPr>
              <w:t xml:space="preserve">2</w:t>
            </w:r>
          </w:p>
        </w:tc>
        <w:tc>
          <w:tcPr>
            <w:tcW w:w="2086" w:type="dxa"/>
          </w:tcPr>
          <w:p>
            <w:pPr>
              <w:pStyle w:val="Compact"/>
              <w:spacing w:after="40"/>
              <w:jc w:val="left"/>
            </w:pPr>
            <w:r>
              <w:rPr>
                <w:sz w:val="18"/>
              </w:rPr>
              <w:t xml:space="preserve">RB-IOS 2026 and Internal Ombudsman 2026 texts</w:t>
            </w:r>
            <w:r>
              <w:rPr>
                <w:sz w:val="18"/>
              </w:rPr>
              <w:t xml:space="preserve"> </w:t>
            </w:r>
            <w:r>
              <w:rPr>
                <w:sz w:val="18"/>
              </w:rPr>
              <w:t xml:space="preserve">“</w:t>
            </w:r>
            <w:r>
              <w:rPr>
                <w:sz w:val="18"/>
              </w:rPr>
              <w:t xml:space="preserve">not supplied</w:t>
            </w:r>
            <w:r>
              <w:rPr>
                <w:sz w:val="18"/>
              </w:rPr>
              <w:t xml:space="preserve">”</w:t>
            </w:r>
            <w:r>
              <w:rPr>
                <w:sz w:val="18"/>
              </w:rPr>
              <w:t xml:space="preserve">; RBI route shown on day 31 or on rejection</w:t>
            </w:r>
          </w:p>
        </w:tc>
        <w:tc>
          <w:tcPr>
            <w:tcW w:w="4110" w:type="dxa"/>
          </w:tcPr>
          <w:p>
            <w:pPr>
              <w:pStyle w:val="Compact"/>
              <w:spacing w:after="40"/>
              <w:jc w:val="left"/>
            </w:pPr>
            <w:r>
              <w:rPr>
                <w:sz w:val="18"/>
              </w:rPr>
              <w:t xml:space="preserve">RB-IOS 2026 (notified 16 Jan 2026, effective 1 Jul 2026): borrower complains to the RE first, the RE has 30 days, then the Ombudsman complaint is due within 90 days after that period or the RE’s last reply; HFCs excluded; NBFCs covered if deposit-taking, or with a customer interface and assets of ₹100 crore or more; complaints received before 1 Jul 2026 stay under the 2021 Scheme. Udofin shows a live 90-day countdown and never files for the borrower (UB3 T4)</w:t>
            </w:r>
          </w:p>
        </w:tc>
        <w:tc>
          <w:tcPr>
            <w:tcW w:w="2744" w:type="dxa"/>
          </w:tcPr>
          <w:p>
            <w:pPr>
              <w:pStyle w:val="Compact"/>
              <w:spacing w:after="40"/>
              <w:jc w:val="left"/>
            </w:pPr>
            <w:r>
              <w:rPr>
                <w:sz w:val="18"/>
              </w:rPr>
              <w:t xml:space="preserve">RB-IOS 2026 cl.1(3), 10(1)(e)–(g), 20 (RBI press release; text via secondary) [VERIFY: clause numbering]</w:t>
            </w:r>
          </w:p>
        </w:tc>
      </w:tr>
      <w:tr>
        <w:tc>
          <w:tcPr>
            <w:tcW w:w="698" w:type="dxa"/>
          </w:tcPr>
          <w:p>
            <w:pPr>
              <w:pStyle w:val="Compact"/>
              <w:spacing w:after="40"/>
              <w:jc w:val="left"/>
            </w:pPr>
            <w:r>
              <w:rPr>
                <w:sz w:val="18"/>
              </w:rPr>
              <w:t xml:space="preserve">3</w:t>
            </w:r>
          </w:p>
        </w:tc>
        <w:tc>
          <w:tcPr>
            <w:tcW w:w="2086" w:type="dxa"/>
          </w:tcPr>
          <w:p>
            <w:pPr>
              <w:pStyle w:val="Compact"/>
              <w:spacing w:after="40"/>
              <w:jc w:val="left"/>
            </w:pPr>
            <w:r>
              <w:rPr>
                <w:sz w:val="18"/>
              </w:rPr>
              <w:t xml:space="preserve">Internal Ombudsman applicability recorded only as a flag</w:t>
            </w:r>
          </w:p>
        </w:tc>
        <w:tc>
          <w:tcPr>
            <w:tcW w:w="4110" w:type="dxa"/>
          </w:tcPr>
          <w:p>
            <w:pPr>
              <w:pStyle w:val="Compact"/>
              <w:spacing w:after="40"/>
              <w:jc w:val="left"/>
            </w:pPr>
            <w:r>
              <w:rPr>
                <w:sz w:val="18"/>
              </w:rPr>
              <w:t xml:space="preserve">IO 2026 (issued 14 Jan 2026, replacing the 2023 Directions): NBFC-D with 10 or more branches and NBFC-ND with assets of ₹5,000 crore or more and a public interface; partly or wholly rejected complaints auto-escalated within 20 days, final reply within 30 days; shown as tier T3 from the RE’s events</w:t>
            </w:r>
          </w:p>
        </w:tc>
        <w:tc>
          <w:tcPr>
            <w:tcW w:w="2744" w:type="dxa"/>
          </w:tcPr>
          <w:p>
            <w:pPr>
              <w:pStyle w:val="Compact"/>
              <w:spacing w:after="40"/>
              <w:jc w:val="left"/>
            </w:pPr>
            <w:r>
              <w:rPr>
                <w:sz w:val="18"/>
              </w:rPr>
              <w:t xml:space="preserve">IO 2026 [VERIFY: paragraph numbers]</w:t>
            </w:r>
          </w:p>
        </w:tc>
      </w:tr>
      <w:tr>
        <w:tc>
          <w:tcPr>
            <w:tcW w:w="698" w:type="dxa"/>
          </w:tcPr>
          <w:p>
            <w:pPr>
              <w:pStyle w:val="Compact"/>
              <w:spacing w:after="40"/>
              <w:jc w:val="left"/>
            </w:pPr>
            <w:r>
              <w:rPr>
                <w:sz w:val="18"/>
              </w:rPr>
              <w:t xml:space="preserve">4</w:t>
            </w:r>
          </w:p>
        </w:tc>
        <w:tc>
          <w:tcPr>
            <w:tcW w:w="2086" w:type="dxa"/>
          </w:tcPr>
          <w:p>
            <w:pPr>
              <w:pStyle w:val="Compact"/>
              <w:spacing w:after="40"/>
              <w:jc w:val="left"/>
            </w:pPr>
            <w:r>
              <w:rPr>
                <w:sz w:val="18"/>
              </w:rPr>
              <w:t xml:space="preserve">RBC Second Amendment marketing rules:</w:t>
            </w:r>
            <w:r>
              <w:rPr>
                <w:sz w:val="18"/>
              </w:rPr>
              <w:t xml:space="preserve"> </w:t>
            </w:r>
            <w:r>
              <w:rPr>
                <w:sz w:val="18"/>
              </w:rPr>
              <w:t xml:space="preserve">“</w:t>
            </w:r>
            <w:r>
              <w:rPr>
                <w:sz w:val="18"/>
              </w:rPr>
              <w:t xml:space="preserve">amendment text and date not supplied</w:t>
            </w:r>
            <w:r>
              <w:rPr>
                <w:sz w:val="18"/>
              </w:rPr>
              <w:t xml:space="preserve">”</w:t>
            </w:r>
          </w:p>
        </w:tc>
        <w:tc>
          <w:tcPr>
            <w:tcW w:w="4110" w:type="dxa"/>
          </w:tcPr>
          <w:p>
            <w:pPr>
              <w:pStyle w:val="Compact"/>
              <w:spacing w:after="40"/>
              <w:jc w:val="left"/>
            </w:pPr>
            <w:r>
              <w:rPr>
                <w:sz w:val="18"/>
              </w:rPr>
              <w:t xml:space="preserve">Issued 15 Jun 2026, effective 1 Jan 2027: product-specific consent defaulting to</w:t>
            </w:r>
            <w:r>
              <w:rPr>
                <w:sz w:val="18"/>
              </w:rPr>
              <w:t xml:space="preserve"> </w:t>
            </w:r>
            <w:r>
              <w:rPr>
                <w:sz w:val="18"/>
              </w:rPr>
              <w:t xml:space="preserve">“</w:t>
            </w:r>
            <w:r>
              <w:rPr>
                <w:sz w:val="18"/>
              </w:rPr>
              <w:t xml:space="preserve">No</w:t>
            </w:r>
            <w:r>
              <w:rPr>
                <w:sz w:val="18"/>
              </w:rPr>
              <w:t xml:space="preserve">”</w:t>
            </w:r>
            <w:r>
              <w:rPr>
                <w:sz w:val="18"/>
              </w:rPr>
              <w:t xml:space="preserve">, easy unsubscribe, separate forms, no compulsory bundling, no loan-funding of add-ons without explicit consent, no dark patterns with UI audit, refunds and compensation; applied by Udofin as policy from v1.2 to every non-loan product and plan</w:t>
            </w:r>
          </w:p>
        </w:tc>
        <w:tc>
          <w:tcPr>
            <w:tcW w:w="2744" w:type="dxa"/>
          </w:tcPr>
          <w:p>
            <w:pPr>
              <w:pStyle w:val="Compact"/>
              <w:spacing w:after="40"/>
              <w:jc w:val="left"/>
            </w:pPr>
            <w:r>
              <w:rPr>
                <w:sz w:val="18"/>
              </w:rPr>
              <w:t xml:space="preserve">RBC Second Amendment paras 101G, 101I, 101M, 101Q, 101V–101Z as reported [VERIFY: final NBFC text]</w:t>
            </w:r>
          </w:p>
        </w:tc>
      </w:tr>
      <w:tr>
        <w:tc>
          <w:tcPr>
            <w:tcW w:w="698" w:type="dxa"/>
          </w:tcPr>
          <w:p>
            <w:pPr>
              <w:pStyle w:val="Compact"/>
              <w:spacing w:after="40"/>
              <w:jc w:val="left"/>
            </w:pPr>
            <w:r>
              <w:rPr>
                <w:sz w:val="18"/>
              </w:rPr>
              <w:t xml:space="preserve">5</w:t>
            </w:r>
          </w:p>
        </w:tc>
        <w:tc>
          <w:tcPr>
            <w:tcW w:w="2086" w:type="dxa"/>
          </w:tcPr>
          <w:p>
            <w:pPr>
              <w:pStyle w:val="Compact"/>
              <w:spacing w:after="40"/>
              <w:jc w:val="left"/>
            </w:pPr>
            <w:r>
              <w:rPr>
                <w:sz w:val="18"/>
              </w:rPr>
              <w:t xml:space="preserve">1600-series numbers</w:t>
            </w:r>
            <w:r>
              <w:rPr>
                <w:sz w:val="18"/>
              </w:rPr>
              <w:t xml:space="preserve"> </w:t>
            </w:r>
            <w:r>
              <w:rPr>
                <w:sz w:val="18"/>
              </w:rPr>
              <w:t xml:space="preserve">“</w:t>
            </w:r>
            <w:r>
              <w:rPr>
                <w:sz w:val="18"/>
              </w:rPr>
              <w:t xml:space="preserve">for service calls through each RE</w:t>
            </w:r>
            <w:r>
              <w:rPr>
                <w:sz w:val="18"/>
              </w:rPr>
              <w:t xml:space="preserve">”</w:t>
            </w:r>
            <w:r>
              <w:rPr>
                <w:sz w:val="18"/>
              </w:rPr>
              <w:t xml:space="preserve"> </w:t>
            </w:r>
            <w:r>
              <w:rPr>
                <w:sz w:val="18"/>
              </w:rPr>
              <w:t xml:space="preserve">[VERIFY]</w:t>
            </w:r>
          </w:p>
        </w:tc>
        <w:tc>
          <w:tcPr>
            <w:tcW w:w="4110" w:type="dxa"/>
          </w:tcPr>
          <w:p>
            <w:pPr>
              <w:pStyle w:val="Compact"/>
              <w:spacing w:after="40"/>
              <w:jc w:val="left"/>
            </w:pPr>
            <w:r>
              <w:rPr>
                <w:sz w:val="18"/>
              </w:rPr>
              <w:t xml:space="preserve">TRAI Direction of 19 Nov 2025: RE service and transactional calls only from 1600-series numbers (banks 1 Jan 2026; NBFCs above ₹5,000 crore, payments banks and SFBs 1 Feb 2026; other NBFCs, co-operative banks and RRBs 1 Mar 2026), no other number even with consent; 140-series for promotional calls (clarification of 10 Jul 2026). Udofin’s own outbound service calls disabled until its eligibility is confirmed (RA5)</w:t>
            </w:r>
          </w:p>
        </w:tc>
        <w:tc>
          <w:tcPr>
            <w:tcW w:w="2744" w:type="dxa"/>
          </w:tcPr>
          <w:p>
            <w:pPr>
              <w:pStyle w:val="Compact"/>
              <w:spacing w:after="40"/>
              <w:jc w:val="left"/>
            </w:pPr>
            <w:r>
              <w:rPr>
                <w:sz w:val="18"/>
              </w:rPr>
              <w:t xml:space="preserve">TRAI Direction of 19 Nov 2025; TCCCPR Second Amendment, 12 Feb 2025 [VERIFY: LSP eligibility]</w:t>
            </w:r>
          </w:p>
        </w:tc>
      </w:tr>
      <w:tr>
        <w:tc>
          <w:tcPr>
            <w:tcW w:w="698" w:type="dxa"/>
          </w:tcPr>
          <w:p>
            <w:pPr>
              <w:pStyle w:val="Compact"/>
              <w:spacing w:after="40"/>
              <w:jc w:val="left"/>
            </w:pPr>
            <w:r>
              <w:rPr>
                <w:sz w:val="18"/>
              </w:rPr>
              <w:t xml:space="preserve">6</w:t>
            </w:r>
          </w:p>
        </w:tc>
        <w:tc>
          <w:tcPr>
            <w:tcW w:w="2086" w:type="dxa"/>
          </w:tcPr>
          <w:p>
            <w:pPr>
              <w:pStyle w:val="Compact"/>
              <w:spacing w:after="40"/>
              <w:jc w:val="left"/>
            </w:pPr>
            <w:r>
              <w:rPr>
                <w:sz w:val="18"/>
              </w:rPr>
              <w:t xml:space="preserve">No insurance or other non-loan products</w:t>
            </w:r>
          </w:p>
        </w:tc>
        <w:tc>
          <w:tcPr>
            <w:tcW w:w="4110" w:type="dxa"/>
          </w:tcPr>
          <w:p>
            <w:pPr>
              <w:pStyle w:val="Compact"/>
              <w:spacing w:after="40"/>
              <w:jc w:val="left"/>
            </w:pPr>
            <w:r>
              <w:rPr>
                <w:sz w:val="18"/>
              </w:rPr>
              <w:t xml:space="preserve">Insurance only under Udofin’s own IRDAI registration (Corporate Agent or web aggregator) or as an unpaid technology provider to a licensed RE; no commission otherwise; IRDAI intermediary amendment of 30 Jul 2026 (continuing registration, fresh certificate by 31 Jan 2027, seller tagging from 1 Jan 2027, policy-wise records with remote IRDAI access) built in; premiums go to the insurer</w:t>
            </w:r>
          </w:p>
        </w:tc>
        <w:tc>
          <w:tcPr>
            <w:tcW w:w="2744" w:type="dxa"/>
          </w:tcPr>
          <w:p>
            <w:pPr>
              <w:pStyle w:val="Compact"/>
              <w:spacing w:after="40"/>
              <w:jc w:val="left"/>
            </w:pPr>
            <w:r>
              <w:rPr>
                <w:sz w:val="18"/>
              </w:rPr>
              <w:t xml:space="preserve">Insurance Act s.40, s.42D(8) as amended by the Sabka Bima Sabki Raksha Act 2025; IRDAI (Insurance Intermediaries) (Amendment) Regulations 2026 [VERIFY]</w:t>
            </w:r>
          </w:p>
        </w:tc>
      </w:tr>
      <w:tr>
        <w:tc>
          <w:tcPr>
            <w:tcW w:w="698" w:type="dxa"/>
          </w:tcPr>
          <w:p>
            <w:pPr>
              <w:pStyle w:val="Compact"/>
              <w:spacing w:after="40"/>
              <w:jc w:val="left"/>
            </w:pPr>
            <w:r>
              <w:rPr>
                <w:sz w:val="18"/>
              </w:rPr>
              <w:t xml:space="preserve">7</w:t>
            </w:r>
          </w:p>
        </w:tc>
        <w:tc>
          <w:tcPr>
            <w:tcW w:w="2086" w:type="dxa"/>
          </w:tcPr>
          <w:p>
            <w:pPr>
              <w:pStyle w:val="Compact"/>
              <w:spacing w:after="40"/>
              <w:jc w:val="left"/>
            </w:pPr>
            <w:r>
              <w:rPr>
                <w:sz w:val="18"/>
              </w:rPr>
              <w:t xml:space="preserve">NBFC-MFI qualifying assets</w:t>
            </w:r>
            <w:r>
              <w:rPr>
                <w:sz w:val="18"/>
              </w:rPr>
              <w:t xml:space="preserve"> </w:t>
            </w:r>
            <w:r>
              <w:rPr>
                <w:sz w:val="18"/>
              </w:rPr>
              <w:t xml:space="preserve">“</w:t>
            </w:r>
            <w:r>
              <w:rPr>
                <w:sz w:val="18"/>
              </w:rPr>
              <w:t xml:space="preserve">at least 60%</w:t>
            </w:r>
            <w:r>
              <w:rPr>
                <w:sz w:val="18"/>
              </w:rPr>
              <w:t xml:space="preserve">”</w:t>
            </w:r>
            <w:r>
              <w:rPr>
                <w:sz w:val="18"/>
              </w:rPr>
              <w:t xml:space="preserve"> </w:t>
            </w:r>
            <w:r>
              <w:rPr>
                <w:sz w:val="18"/>
              </w:rPr>
              <w:t xml:space="preserve">(8A.5)</w:t>
            </w:r>
          </w:p>
        </w:tc>
        <w:tc>
          <w:tcPr>
            <w:tcW w:w="4110" w:type="dxa"/>
          </w:tcPr>
          <w:p>
            <w:pPr>
              <w:pStyle w:val="Compact"/>
              <w:spacing w:after="40"/>
              <w:jc w:val="left"/>
            </w:pPr>
            <w:r>
              <w:rPr>
                <w:sz w:val="18"/>
              </w:rPr>
              <w:t xml:space="preserve">Confirmed: 60% of total assets net of intangibles under the 28 Nov 2025 MFI Directions (the earlier 75% no longer applies); any 75% figure in vendor material, the owner’s brief or MFIN documents is superseded; REQ-MFI-12 unchanged</w:t>
            </w:r>
          </w:p>
        </w:tc>
        <w:tc>
          <w:tcPr>
            <w:tcW w:w="2744" w:type="dxa"/>
          </w:tcPr>
          <w:p>
            <w:pPr>
              <w:pStyle w:val="Compact"/>
              <w:spacing w:after="40"/>
              <w:jc w:val="left"/>
            </w:pPr>
            <w:r>
              <w:rPr>
                <w:sz w:val="18"/>
              </w:rPr>
              <w:t xml:space="preserve">MFI paras 3, 8(3), 12; CARE Ratings, 20 Aug 2026</w:t>
            </w:r>
          </w:p>
        </w:tc>
      </w:tr>
      <w:tr>
        <w:tc>
          <w:tcPr>
            <w:tcW w:w="698" w:type="dxa"/>
          </w:tcPr>
          <w:p>
            <w:pPr>
              <w:pStyle w:val="Compact"/>
              <w:spacing w:after="40"/>
              <w:jc w:val="left"/>
            </w:pPr>
            <w:r>
              <w:rPr>
                <w:sz w:val="18"/>
              </w:rPr>
              <w:t xml:space="preserve">8</w:t>
            </w:r>
          </w:p>
        </w:tc>
        <w:tc>
          <w:tcPr>
            <w:tcW w:w="2086" w:type="dxa"/>
          </w:tcPr>
          <w:p>
            <w:pPr>
              <w:pStyle w:val="Compact"/>
              <w:spacing w:after="40"/>
              <w:jc w:val="left"/>
            </w:pPr>
            <w:r>
              <w:rPr>
                <w:sz w:val="18"/>
              </w:rPr>
              <w:t xml:space="preserve">Co-lending covered only between REs (CF para 10(1) Note); co-operatives not addressed</w:t>
            </w:r>
          </w:p>
        </w:tc>
        <w:tc>
          <w:tcPr>
            <w:tcW w:w="4110" w:type="dxa"/>
          </w:tcPr>
          <w:p>
            <w:pPr>
              <w:pStyle w:val="Compact"/>
              <w:spacing w:after="40"/>
              <w:jc w:val="left"/>
            </w:pPr>
            <w:r>
              <w:rPr>
                <w:sz w:val="18"/>
              </w:rPr>
              <w:t xml:space="preserve">Credit co-operative societies are not REs and cannot co-lend: TDCR Part B covers SCBs (excluding SFBs, LABs and RRBs), AIFIs and NBFCs/HFCs only; UCBs, StCBs, DCCBs and societies are excluded, and societies cannot transfer standard loans to NBFCs. The deal configurator blocks co-lending, direct assignment, participation and split routing; lawful alternatives (RE term loan to the society for on-lending; society as an RE’s sourcing agent; parallel independent loans shown separately) only after counsel’s opinion</w:t>
            </w:r>
          </w:p>
        </w:tc>
        <w:tc>
          <w:tcPr>
            <w:tcW w:w="2744" w:type="dxa"/>
          </w:tcPr>
          <w:p>
            <w:pPr>
              <w:pStyle w:val="Compact"/>
              <w:spacing w:after="40"/>
              <w:jc w:val="left"/>
            </w:pPr>
            <w:r>
              <w:rPr>
                <w:sz w:val="18"/>
              </w:rPr>
              <w:t xml:space="preserve">TDCR paras 12(4) proviso, 97; RBI press release of 22 Nov 2021</w:t>
            </w:r>
          </w:p>
        </w:tc>
      </w:tr>
      <w:tr>
        <w:tc>
          <w:tcPr>
            <w:tcW w:w="698" w:type="dxa"/>
          </w:tcPr>
          <w:p>
            <w:pPr>
              <w:pStyle w:val="Compact"/>
              <w:spacing w:after="40"/>
              <w:jc w:val="left"/>
            </w:pPr>
            <w:r>
              <w:rPr>
                <w:sz w:val="18"/>
              </w:rPr>
              <w:t xml:space="preserve">9</w:t>
            </w:r>
          </w:p>
        </w:tc>
        <w:tc>
          <w:tcPr>
            <w:tcW w:w="2086" w:type="dxa"/>
          </w:tcPr>
          <w:p>
            <w:pPr>
              <w:pStyle w:val="Compact"/>
              <w:spacing w:after="40"/>
              <w:jc w:val="left"/>
            </w:pPr>
            <w:r>
              <w:rPr>
                <w:sz w:val="18"/>
              </w:rPr>
              <w:t xml:space="preserve">No position on co-operative deposits</w:t>
            </w:r>
          </w:p>
        </w:tc>
        <w:tc>
          <w:tcPr>
            <w:tcW w:w="4110" w:type="dxa"/>
          </w:tcPr>
          <w:p>
            <w:pPr>
              <w:pStyle w:val="Compact"/>
              <w:spacing w:after="40"/>
              <w:jc w:val="left"/>
            </w:pPr>
            <w:r>
              <w:rPr>
                <w:sz w:val="18"/>
              </w:rPr>
              <w:t xml:space="preserve">Udofin never lists, quotes, solicits or collects deposits for any lender; deposits from non-voting, nominal or associate members are unlicensed banking without DICGC cover</w:t>
            </w:r>
          </w:p>
        </w:tc>
        <w:tc>
          <w:tcPr>
            <w:tcW w:w="2744" w:type="dxa"/>
          </w:tcPr>
          <w:p>
            <w:pPr>
              <w:pStyle w:val="Compact"/>
              <w:spacing w:after="40"/>
              <w:jc w:val="left"/>
            </w:pPr>
            <w:r>
              <w:rPr>
                <w:sz w:val="18"/>
              </w:rPr>
              <w:t xml:space="preserve">MSCS s.67; MH MCS Act s.144-5A; BUDS Act First Schedule items 4(i), 8; RBI press release of 22 Nov 2021</w:t>
            </w:r>
          </w:p>
        </w:tc>
      </w:tr>
      <w:tr>
        <w:tc>
          <w:tcPr>
            <w:tcW w:w="698" w:type="dxa"/>
          </w:tcPr>
          <w:p>
            <w:pPr>
              <w:pStyle w:val="Compact"/>
              <w:spacing w:after="40"/>
              <w:jc w:val="left"/>
            </w:pPr>
            <w:r>
              <w:rPr>
                <w:sz w:val="18"/>
              </w:rPr>
              <w:t xml:space="preserve">10</w:t>
            </w:r>
          </w:p>
        </w:tc>
        <w:tc>
          <w:tcPr>
            <w:tcW w:w="2086" w:type="dxa"/>
          </w:tcPr>
          <w:p>
            <w:pPr>
              <w:pStyle w:val="Compact"/>
              <w:spacing w:after="40"/>
              <w:jc w:val="left"/>
            </w:pPr>
            <w:r>
              <w:rPr>
                <w:sz w:val="18"/>
              </w:rPr>
              <w:t xml:space="preserve">U25: personal expense tracking [assess]; downloads from the DMS</w:t>
            </w:r>
          </w:p>
        </w:tc>
        <w:tc>
          <w:tcPr>
            <w:tcW w:w="4110" w:type="dxa"/>
          </w:tcPr>
          <w:p>
            <w:pPr>
              <w:pStyle w:val="Compact"/>
              <w:spacing w:after="40"/>
              <w:jc w:val="left"/>
            </w:pPr>
            <w:r>
              <w:rPr>
                <w:sz w:val="18"/>
              </w:rPr>
              <w:t xml:space="preserve">Expense tracker and budget planner in Part 7D FW3 (separate store and consent; manual entry and user-chosen uploads only; no SMS, notification or inbox reading); downloads and the full data package in Part 7C UB1</w:t>
            </w:r>
          </w:p>
        </w:tc>
        <w:tc>
          <w:tcPr>
            <w:tcW w:w="2744" w:type="dxa"/>
          </w:tcPr>
          <w:p>
            <w:pPr>
              <w:pStyle w:val="Compact"/>
              <w:spacing w:after="40"/>
              <w:jc w:val="left"/>
            </w:pPr>
            <w:r>
              <w:rPr>
                <w:sz w:val="18"/>
              </w:rPr>
              <w:t xml:space="preserve">CF paras 13(1), 14(1); AA para 8(12); DPDP s.11 (no statutory portability right; export offered as policy)</w:t>
            </w:r>
          </w:p>
        </w:tc>
      </w:tr>
      <w:tr>
        <w:tc>
          <w:tcPr>
            <w:tcW w:w="698" w:type="dxa"/>
          </w:tcPr>
          <w:p>
            <w:pPr>
              <w:pStyle w:val="Compact"/>
              <w:spacing w:after="40"/>
              <w:jc w:val="left"/>
            </w:pPr>
            <w:r>
              <w:rPr>
                <w:sz w:val="18"/>
              </w:rPr>
              <w:t xml:space="preserve">11</w:t>
            </w:r>
          </w:p>
        </w:tc>
        <w:tc>
          <w:tcPr>
            <w:tcW w:w="2086" w:type="dxa"/>
          </w:tcPr>
          <w:p>
            <w:pPr>
              <w:pStyle w:val="Compact"/>
              <w:spacing w:after="40"/>
              <w:jc w:val="left"/>
            </w:pPr>
            <w:r>
              <w:rPr>
                <w:sz w:val="18"/>
              </w:rPr>
              <w:t xml:space="preserve">U6 mode (c):</w:t>
            </w:r>
            <w:r>
              <w:rPr>
                <w:sz w:val="18"/>
              </w:rPr>
              <w:t xml:space="preserve"> </w:t>
            </w:r>
            <w:r>
              <w:rPr>
                <w:sz w:val="18"/>
              </w:rPr>
              <w:t xml:space="preserve">“</w:t>
            </w:r>
            <w:r>
              <w:rPr>
                <w:sz w:val="18"/>
              </w:rPr>
              <w:t xml:space="preserve">borrower-consented own-report flow</w:t>
            </w:r>
            <w:r>
              <w:rPr>
                <w:sz w:val="18"/>
              </w:rPr>
              <w:t xml:space="preserve">”</w:t>
            </w:r>
            <w:r>
              <w:rPr>
                <w:sz w:val="18"/>
              </w:rPr>
              <w:t xml:space="preserve"> </w:t>
            </w:r>
            <w:r>
              <w:rPr>
                <w:sz w:val="18"/>
              </w:rPr>
              <w:t xml:space="preserve">[VERIFY]</w:t>
            </w:r>
          </w:p>
        </w:tc>
        <w:tc>
          <w:tcPr>
            <w:tcW w:w="4110" w:type="dxa"/>
          </w:tcPr>
          <w:p>
            <w:pPr>
              <w:pStyle w:val="Compact"/>
              <w:spacing w:after="40"/>
              <w:jc w:val="left"/>
            </w:pPr>
            <w:r>
              <w:rPr>
                <w:sz w:val="18"/>
              </w:rPr>
              <w:t xml:space="preserve">Consumer credit reports obtained through a CIC consumer-partner channel (FW1) serve only the consumer, live in the wellness store and never feed pre-qualification, routing or any RE, except when the borrower attaches their own downloaded report to an application</w:t>
            </w:r>
          </w:p>
        </w:tc>
        <w:tc>
          <w:tcPr>
            <w:tcW w:w="2744" w:type="dxa"/>
          </w:tcPr>
          <w:p>
            <w:pPr>
              <w:pStyle w:val="Compact"/>
              <w:spacing w:after="40"/>
              <w:jc w:val="left"/>
            </w:pPr>
            <w:r>
              <w:rPr>
                <w:sz w:val="18"/>
              </w:rPr>
              <w:t xml:space="preserve">CIC Regulations reg 9 [VERIFY]; RBI instruction of 2019 on unregulated access; CIR para 6</w:t>
            </w:r>
          </w:p>
        </w:tc>
      </w:tr>
      <w:tr>
        <w:tc>
          <w:tcPr>
            <w:tcW w:w="698" w:type="dxa"/>
          </w:tcPr>
          <w:p>
            <w:pPr>
              <w:pStyle w:val="Compact"/>
              <w:spacing w:after="40"/>
              <w:jc w:val="left"/>
            </w:pPr>
            <w:r>
              <w:rPr>
                <w:sz w:val="18"/>
              </w:rPr>
              <w:t xml:space="preserve">12</w:t>
            </w:r>
          </w:p>
        </w:tc>
        <w:tc>
          <w:tcPr>
            <w:tcW w:w="2086" w:type="dxa"/>
          </w:tcPr>
          <w:p>
            <w:pPr>
              <w:pStyle w:val="Compact"/>
              <w:spacing w:after="40"/>
              <w:jc w:val="left"/>
            </w:pPr>
            <w:r>
              <w:rPr>
                <w:sz w:val="18"/>
              </w:rPr>
              <w:t xml:space="preserve">U17: TDS</w:t>
            </w:r>
            <w:r>
              <w:rPr>
                <w:sz w:val="18"/>
              </w:rPr>
              <w:t xml:space="preserve"> </w:t>
            </w:r>
            <w:r>
              <w:rPr>
                <w:sz w:val="18"/>
              </w:rPr>
              <w:t xml:space="preserve">“</w:t>
            </w:r>
            <w:r>
              <w:rPr>
                <w:sz w:val="18"/>
              </w:rPr>
              <w:t xml:space="preserve">reconciled with Form 26AS</w:t>
            </w:r>
            <w:r>
              <w:rPr>
                <w:sz w:val="18"/>
              </w:rPr>
              <w:t xml:space="preserve">”</w:t>
            </w:r>
          </w:p>
        </w:tc>
        <w:tc>
          <w:tcPr>
            <w:tcW w:w="4110" w:type="dxa"/>
          </w:tcPr>
          <w:p>
            <w:pPr>
              <w:pStyle w:val="Compact"/>
              <w:spacing w:after="40"/>
              <w:jc w:val="left"/>
            </w:pPr>
            <w:r>
              <w:rPr>
                <w:sz w:val="18"/>
              </w:rPr>
              <w:t xml:space="preserve">Income-tax Act 2025 references: s.393 TDS table, Form 131 TDS certificate, Form 168 annual statement; FY 2025-26 items under the 1961 Act; borrower certificates per UB2 (s.22, s.123, s.129; old-regime only under s.202)</w:t>
            </w:r>
          </w:p>
        </w:tc>
        <w:tc>
          <w:tcPr>
            <w:tcW w:w="2744" w:type="dxa"/>
          </w:tcPr>
          <w:p>
            <w:pPr>
              <w:pStyle w:val="Compact"/>
              <w:spacing w:after="40"/>
              <w:jc w:val="left"/>
            </w:pPr>
            <w:r>
              <w:rPr>
                <w:sz w:val="18"/>
              </w:rPr>
              <w:t xml:space="preserve">Income-tax Act, 2025 in force 1 Apr 2026 [VERIFY: concordance; s.131 as successor of 80EEA]</w:t>
            </w:r>
          </w:p>
        </w:tc>
      </w:tr>
      <w:tr>
        <w:tc>
          <w:tcPr>
            <w:tcW w:w="698" w:type="dxa"/>
          </w:tcPr>
          <w:p>
            <w:pPr>
              <w:pStyle w:val="Compact"/>
              <w:spacing w:after="40"/>
              <w:jc w:val="left"/>
            </w:pPr>
            <w:r>
              <w:rPr>
                <w:sz w:val="18"/>
              </w:rPr>
              <w:t xml:space="preserve">13</w:t>
            </w:r>
          </w:p>
        </w:tc>
        <w:tc>
          <w:tcPr>
            <w:tcW w:w="2086" w:type="dxa"/>
          </w:tcPr>
          <w:p>
            <w:pPr>
              <w:pStyle w:val="Compact"/>
              <w:spacing w:after="40"/>
              <w:jc w:val="left"/>
            </w:pPr>
            <w:r>
              <w:rPr>
                <w:sz w:val="18"/>
              </w:rPr>
              <w:t xml:space="preserve">Part 10.8 item 25 and Appendix B item 17:</w:t>
            </w:r>
            <w:r>
              <w:rPr>
                <w:sz w:val="18"/>
              </w:rPr>
              <w:t xml:space="preserve"> </w:t>
            </w:r>
            <w:r>
              <w:rPr>
                <w:sz w:val="18"/>
              </w:rPr>
              <w:t xml:space="preserve">“</w:t>
            </w:r>
            <w:r>
              <w:rPr>
                <w:sz w:val="18"/>
              </w:rPr>
              <w:t xml:space="preserve">ISO 27001 and SOC 2 Type II</w:t>
            </w:r>
            <w:r>
              <w:rPr>
                <w:sz w:val="18"/>
              </w:rPr>
              <w:t xml:space="preserve">”</w:t>
            </w:r>
            <w:r>
              <w:rPr>
                <w:sz w:val="18"/>
              </w:rPr>
              <w:t xml:space="preserve"> </w:t>
            </w:r>
            <w:r>
              <w:rPr>
                <w:sz w:val="18"/>
              </w:rPr>
              <w:t xml:space="preserve">as an obligation</w:t>
            </w:r>
          </w:p>
        </w:tc>
        <w:tc>
          <w:tcPr>
            <w:tcW w:w="4110" w:type="dxa"/>
          </w:tcPr>
          <w:p>
            <w:pPr>
              <w:pStyle w:val="Compact"/>
              <w:spacing w:after="40"/>
              <w:jc w:val="left"/>
            </w:pPr>
            <w:r>
              <w:rPr>
                <w:sz w:val="18"/>
              </w:rPr>
              <w:t xml:space="preserve">Certification is a programme (RA4.4): ISO/IEC 27001, SOC 2 Type 1 then Type 2, ISO/IEC 27701:2025, PCI DSS SAQ A for Udofin billing; nothing claimed before issue; a copy linter blocks claims</w:t>
            </w:r>
          </w:p>
        </w:tc>
        <w:tc>
          <w:tcPr>
            <w:tcW w:w="2744" w:type="dxa"/>
          </w:tcPr>
          <w:p>
            <w:pPr>
              <w:pStyle w:val="Compact"/>
              <w:spacing w:after="40"/>
              <w:jc w:val="left"/>
            </w:pPr>
            <w:r>
              <w:rPr>
                <w:sz w:val="18"/>
              </w:rPr>
              <w:t xml:space="preserve">OUT para 79; ISO/IEC 27701:2025 (14 Oct 2025); PCI DSS v4.0.1</w:t>
            </w:r>
          </w:p>
        </w:tc>
      </w:tr>
      <w:tr>
        <w:tc>
          <w:tcPr>
            <w:tcW w:w="698" w:type="dxa"/>
          </w:tcPr>
          <w:p>
            <w:pPr>
              <w:pStyle w:val="Compact"/>
              <w:spacing w:after="40"/>
              <w:jc w:val="left"/>
            </w:pPr>
            <w:r>
              <w:rPr>
                <w:sz w:val="18"/>
              </w:rPr>
              <w:t xml:space="preserve">14</w:t>
            </w:r>
          </w:p>
        </w:tc>
        <w:tc>
          <w:tcPr>
            <w:tcW w:w="2086" w:type="dxa"/>
          </w:tcPr>
          <w:p>
            <w:pPr>
              <w:pStyle w:val="Compact"/>
              <w:spacing w:after="40"/>
              <w:jc w:val="left"/>
            </w:pPr>
            <w:r>
              <w:rPr>
                <w:sz w:val="18"/>
              </w:rPr>
              <w:t xml:space="preserve">Audit and RBI access:</w:t>
            </w:r>
            <w:r>
              <w:rPr>
                <w:sz w:val="18"/>
              </w:rPr>
              <w:t xml:space="preserve"> </w:t>
            </w:r>
            <w:r>
              <w:rPr>
                <w:sz w:val="18"/>
              </w:rPr>
              <w:t xml:space="preserve">“</w:t>
            </w:r>
            <w:r>
              <w:rPr>
                <w:sz w:val="18"/>
              </w:rPr>
              <w:t xml:space="preserve">read-only, time-boxed roles</w:t>
            </w:r>
            <w:r>
              <w:rPr>
                <w:sz w:val="18"/>
              </w:rPr>
              <w:t xml:space="preserve">”</w:t>
            </w:r>
            <w:r>
              <w:rPr>
                <w:sz w:val="18"/>
              </w:rPr>
              <w:t xml:space="preserve"> </w:t>
            </w:r>
            <w:r>
              <w:rPr>
                <w:sz w:val="18"/>
              </w:rPr>
              <w:t xml:space="preserve">(U18)</w:t>
            </w:r>
          </w:p>
        </w:tc>
        <w:tc>
          <w:tcPr>
            <w:tcW w:w="4110" w:type="dxa"/>
          </w:tcPr>
          <w:p>
            <w:pPr>
              <w:pStyle w:val="Compact"/>
              <w:spacing w:after="40"/>
              <w:jc w:val="left"/>
            </w:pPr>
            <w:r>
              <w:rPr>
                <w:sz w:val="18"/>
              </w:rPr>
              <w:t xml:space="preserve">Full workflow in RA2: contract basis (Udofin is not inspected under statute unless a group company), one-RE scope, named users, 30-day default grant and a hard maximum of 90 days per grant, every query and export logged and reported to the RE; RE packs P1–P10 in UP3</w:t>
            </w:r>
          </w:p>
        </w:tc>
        <w:tc>
          <w:tcPr>
            <w:tcW w:w="2744" w:type="dxa"/>
          </w:tcPr>
          <w:p>
            <w:pPr>
              <w:pStyle w:val="Compact"/>
              <w:spacing w:after="40"/>
              <w:jc w:val="left"/>
            </w:pPr>
            <w:r>
              <w:rPr>
                <w:sz w:val="18"/>
              </w:rPr>
              <w:t xml:space="preserve">OUT paras 34(ii), 34(vii)–(ix), 74(xii), 81; CYB paras 46, 57 [REC: build for every RE]</w:t>
            </w:r>
          </w:p>
        </w:tc>
      </w:tr>
      <w:tr>
        <w:tc>
          <w:tcPr>
            <w:tcW w:w="698" w:type="dxa"/>
          </w:tcPr>
          <w:p>
            <w:pPr>
              <w:pStyle w:val="Compact"/>
              <w:spacing w:after="40"/>
              <w:jc w:val="left"/>
            </w:pPr>
            <w:r>
              <w:rPr>
                <w:sz w:val="18"/>
              </w:rPr>
              <w:t xml:space="preserve">15</w:t>
            </w:r>
          </w:p>
        </w:tc>
        <w:tc>
          <w:tcPr>
            <w:tcW w:w="2086" w:type="dxa"/>
          </w:tcPr>
          <w:p>
            <w:pPr>
              <w:pStyle w:val="Compact"/>
              <w:spacing w:after="40"/>
              <w:jc w:val="left"/>
            </w:pPr>
            <w:r>
              <w:rPr>
                <w:sz w:val="18"/>
              </w:rPr>
              <w:t xml:space="preserve">No storage-target rules</w:t>
            </w:r>
          </w:p>
        </w:tc>
        <w:tc>
          <w:tcPr>
            <w:tcW w:w="4110" w:type="dxa"/>
          </w:tcPr>
          <w:p>
            <w:pPr>
              <w:pStyle w:val="Compact"/>
              <w:spacing w:after="40"/>
              <w:jc w:val="left"/>
            </w:pPr>
            <w:r>
              <w:rPr>
                <w:sz w:val="18"/>
              </w:rPr>
              <w:t xml:space="preserve">RE-controlled storage only in India: AWS ap-south-1/ap-south-2, Azure India regions, Google Cloud Storage India regions, SharePoint or OneDrive only where the RE’s tenant data location is India, RE data centre; Google Drive only for non-regulated data and never borrower data, because Google Workspace offers no India data region</w:t>
            </w:r>
          </w:p>
        </w:tc>
        <w:tc>
          <w:tcPr>
            <w:tcW w:w="2744" w:type="dxa"/>
          </w:tcPr>
          <w:p>
            <w:pPr>
              <w:pStyle w:val="Compact"/>
              <w:spacing w:after="40"/>
              <w:jc w:val="left"/>
            </w:pPr>
            <w:r>
              <w:rPr>
                <w:sz w:val="18"/>
              </w:rPr>
              <w:t xml:space="preserve">CF para 14(4); OUT para 74(vi); vendor data-residency documentation</w:t>
            </w:r>
          </w:p>
        </w:tc>
      </w:tr>
      <w:tr>
        <w:tc>
          <w:tcPr>
            <w:tcW w:w="698" w:type="dxa"/>
          </w:tcPr>
          <w:p>
            <w:pPr>
              <w:pStyle w:val="Compact"/>
              <w:spacing w:after="40"/>
              <w:jc w:val="left"/>
            </w:pPr>
            <w:r>
              <w:rPr>
                <w:sz w:val="18"/>
              </w:rPr>
              <w:t xml:space="preserve">16</w:t>
            </w:r>
          </w:p>
        </w:tc>
        <w:tc>
          <w:tcPr>
            <w:tcW w:w="2086" w:type="dxa"/>
          </w:tcPr>
          <w:p>
            <w:pPr>
              <w:pStyle w:val="Compact"/>
              <w:spacing w:after="40"/>
              <w:jc w:val="left"/>
            </w:pPr>
            <w:r>
              <w:rPr>
                <w:sz w:val="18"/>
              </w:rPr>
              <w:t xml:space="preserve">Part 2: four products</w:t>
            </w:r>
          </w:p>
        </w:tc>
        <w:tc>
          <w:tcPr>
            <w:tcW w:w="4110" w:type="dxa"/>
          </w:tcPr>
          <w:p>
            <w:pPr>
              <w:pStyle w:val="Compact"/>
              <w:spacing w:after="40"/>
              <w:jc w:val="left"/>
            </w:pPr>
            <w:r>
              <w:rPr>
                <w:sz w:val="18"/>
              </w:rPr>
              <w:t xml:space="preserve">Adds the Infrabyx Operations Hub as the group’s internal platform; Udofin bills its own borrower plans on its own Razorpay account; the Hub receives only monthly</w:t>
            </w:r>
            <w:r>
              <w:rPr>
                <w:sz w:val="18"/>
              </w:rPr>
              <w:t xml:space="preserve"> </w:t>
            </w:r>
            <w:r>
              <w:rPr>
                <w:rStyle w:val="VerbatimChar"/>
                <w:sz w:val="18"/>
              </w:rPr>
              <w:t xml:space="preserve">UsageRecorded</w:t>
            </w:r>
            <w:r>
              <w:rPr>
                <w:sz w:val="18"/>
              </w:rPr>
              <w:t xml:space="preserve"> </w:t>
            </w:r>
            <w:r>
              <w:rPr>
                <w:sz w:val="18"/>
              </w:rPr>
              <w:t xml:space="preserve">statements (borrower-plan revenue as</w:t>
            </w:r>
            <w:r>
              <w:rPr>
                <w:sz w:val="18"/>
              </w:rPr>
              <w:t xml:space="preserve"> </w:t>
            </w:r>
            <w:r>
              <w:rPr>
                <w:rStyle w:val="VerbatimChar"/>
                <w:sz w:val="18"/>
              </w:rPr>
              <w:t xml:space="preserve">REVENUE_AGGREGATE</w:t>
            </w:r>
            <w:r>
              <w:rPr>
                <w:sz w:val="18"/>
              </w:rPr>
              <w:t xml:space="preserve">, no subscriber key); wellness data never leaves Udofin</w:t>
            </w:r>
          </w:p>
        </w:tc>
        <w:tc>
          <w:tcPr>
            <w:tcW w:w="2744" w:type="dxa"/>
          </w:tcPr>
          <w:p>
            <w:pPr>
              <w:pStyle w:val="Compact"/>
              <w:spacing w:after="40"/>
              <w:jc w:val="left"/>
            </w:pPr>
            <w:r>
              <w:rPr>
                <w:sz w:val="18"/>
              </w:rPr>
              <w:t xml:space="preserve">Owner requirement 5, 9 and 12; DPDP purpose limitation; CF para 14(1)</w:t>
            </w:r>
          </w:p>
        </w:tc>
      </w:tr>
      <w:tr>
        <w:tc>
          <w:tcPr>
            <w:tcW w:w="698" w:type="dxa"/>
          </w:tcPr>
          <w:p>
            <w:pPr>
              <w:pStyle w:val="Compact"/>
              <w:spacing w:after="40"/>
              <w:jc w:val="left"/>
            </w:pPr>
            <w:r>
              <w:rPr>
                <w:sz w:val="18"/>
              </w:rPr>
              <w:t xml:space="preserve">17</w:t>
            </w:r>
          </w:p>
        </w:tc>
        <w:tc>
          <w:tcPr>
            <w:tcW w:w="2086" w:type="dxa"/>
          </w:tcPr>
          <w:p>
            <w:pPr>
              <w:pStyle w:val="Compact"/>
              <w:spacing w:after="40"/>
              <w:jc w:val="left"/>
            </w:pPr>
            <w:r>
              <w:rPr>
                <w:sz w:val="18"/>
              </w:rPr>
              <w:t xml:space="preserve">Owner’s</w:t>
            </w:r>
            <w:r>
              <w:rPr>
                <w:sz w:val="18"/>
              </w:rPr>
              <w:t xml:space="preserve"> </w:t>
            </w:r>
            <w:r>
              <w:rPr>
                <w:sz w:val="18"/>
              </w:rPr>
              <w:t xml:space="preserve">“</w:t>
            </w:r>
            <w:r>
              <w:rPr>
                <w:sz w:val="18"/>
              </w:rPr>
              <w:t xml:space="preserve">autopilot</w:t>
            </w:r>
            <w:r>
              <w:rPr>
                <w:sz w:val="18"/>
              </w:rPr>
              <w:t xml:space="preserve">”</w:t>
            </w:r>
            <w:r>
              <w:rPr>
                <w:sz w:val="18"/>
              </w:rPr>
              <w:t xml:space="preserve"> </w:t>
            </w:r>
            <w:r>
              <w:rPr>
                <w:sz w:val="18"/>
              </w:rPr>
              <w:t xml:space="preserve">funnel reference</w:t>
            </w:r>
          </w:p>
        </w:tc>
        <w:tc>
          <w:tcPr>
            <w:tcW w:w="4110" w:type="dxa"/>
          </w:tcPr>
          <w:p>
            <w:pPr>
              <w:pStyle w:val="Compact"/>
              <w:spacing w:after="40"/>
              <w:jc w:val="left"/>
            </w:pPr>
            <w:r>
              <w:rPr>
                <w:sz w:val="18"/>
              </w:rPr>
              <w:t xml:space="preserve">Only legitimate automation: self-serve B2C plans, automated receipts and renewals; RE onboarding cannot be self-serve to production; no fake scarcity, countdowns, inflated value or unverifiable testimonials</w:t>
            </w:r>
          </w:p>
        </w:tc>
        <w:tc>
          <w:tcPr>
            <w:tcW w:w="2744" w:type="dxa"/>
          </w:tcPr>
          <w:p>
            <w:pPr>
              <w:pStyle w:val="Compact"/>
              <w:spacing w:after="40"/>
              <w:jc w:val="left"/>
            </w:pPr>
            <w:r>
              <w:rPr>
                <w:sz w:val="18"/>
              </w:rPr>
              <w:t xml:space="preserve">The referenced ptstdm.co.in page is a coaching workshop funnel, not a software model; CF para 6(2); CCPA Guidelines; ASCI Code</w:t>
            </w:r>
          </w:p>
        </w:tc>
      </w:tr>
    </w:tbl>
    <w:p>
      <w:pPr>
        <w:pStyle w:val="BodyText"/>
      </w:pPr>
      <w:r>
        <w:rPr>
          <w:bCs/>
          <w:b/>
        </w:rPr>
        <w:t xml:space="preserve">Owner’s requirements relevant to Udofin (numbering as in the owner’s v1.5 brief).</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26"/>
        <w:gridCol w:w="2523"/>
        <w:gridCol w:w="4627"/>
        <w:gridCol w:w="1062"/>
      </w:tblGrid>
      <w:tr>
        <w:trPr>
          <w:tblHeader w:val="true"/>
          <w:tblHeader w:val="true"/>
        </w:trPr>
        <w:tc>
          <w:tcPr>
            <w:tcW w:w="1426" w:type="dxa"/>
            <w:shd w:val="clear" w:color="auto" w:fill="1F3A5F"/>
          </w:tcPr>
          <w:p>
            <w:pPr>
              <w:pStyle w:val="Compact"/>
              <w:spacing w:after="40"/>
              <w:jc w:val="left"/>
            </w:pPr>
            <w:r>
              <w:rPr>
                <w:b/>
                <w:color w:val="FFFFFF"/>
                <w:sz w:val="18"/>
              </w:rPr>
              <w:t xml:space="preserve">Owner #</w:t>
            </w:r>
          </w:p>
        </w:tc>
        <w:tc>
          <w:tcPr>
            <w:tcW w:w="2523" w:type="dxa"/>
            <w:shd w:val="clear" w:color="auto" w:fill="1F3A5F"/>
          </w:tcPr>
          <w:p>
            <w:pPr>
              <w:pStyle w:val="Compact"/>
              <w:spacing w:after="40"/>
              <w:jc w:val="left"/>
            </w:pPr>
            <w:r>
              <w:rPr>
                <w:b/>
                <w:color w:val="FFFFFF"/>
                <w:sz w:val="18"/>
              </w:rPr>
              <w:t xml:space="preserve">Requirement</w:t>
            </w:r>
          </w:p>
        </w:tc>
        <w:tc>
          <w:tcPr>
            <w:tcW w:w="4627" w:type="dxa"/>
            <w:shd w:val="clear" w:color="auto" w:fill="1F3A5F"/>
          </w:tcPr>
          <w:p>
            <w:pPr>
              <w:pStyle w:val="Compact"/>
              <w:spacing w:after="40"/>
              <w:jc w:val="left"/>
            </w:pPr>
            <w:r>
              <w:rPr>
                <w:b/>
                <w:color w:val="FFFFFF"/>
                <w:sz w:val="18"/>
              </w:rPr>
              <w:t xml:space="preserve">Where in Udofin v1.2</w:t>
            </w:r>
          </w:p>
        </w:tc>
        <w:tc>
          <w:tcPr>
            <w:tcW w:w="1062" w:type="dxa"/>
            <w:shd w:val="clear" w:color="auto" w:fill="1F3A5F"/>
          </w:tcPr>
          <w:p>
            <w:pPr>
              <w:pStyle w:val="Compact"/>
              <w:spacing w:after="40"/>
              <w:jc w:val="left"/>
            </w:pPr>
            <w:r>
              <w:rPr>
                <w:b/>
                <w:color w:val="FFFFFF"/>
                <w:sz w:val="18"/>
              </w:rPr>
              <w:t xml:space="preserve">Phase</w:t>
            </w:r>
          </w:p>
        </w:tc>
      </w:tr>
      <w:tr>
        <w:tc>
          <w:tcPr>
            <w:tcW w:w="1426" w:type="dxa"/>
          </w:tcPr>
          <w:p>
            <w:pPr>
              <w:pStyle w:val="Compact"/>
              <w:spacing w:after="40"/>
              <w:jc w:val="left"/>
            </w:pPr>
            <w:r>
              <w:rPr>
                <w:sz w:val="18"/>
              </w:rPr>
              <w:t xml:space="preserve">2</w:t>
            </w:r>
          </w:p>
        </w:tc>
        <w:tc>
          <w:tcPr>
            <w:tcW w:w="2523" w:type="dxa"/>
          </w:tcPr>
          <w:p>
            <w:pPr>
              <w:pStyle w:val="Compact"/>
              <w:spacing w:after="40"/>
              <w:jc w:val="left"/>
            </w:pPr>
            <w:r>
              <w:rPr>
                <w:sz w:val="18"/>
              </w:rPr>
              <w:t xml:space="preserve">CIC submissions</w:t>
            </w:r>
          </w:p>
        </w:tc>
        <w:tc>
          <w:tcPr>
            <w:tcW w:w="4627" w:type="dxa"/>
          </w:tcPr>
          <w:p>
            <w:pPr>
              <w:pStyle w:val="Compact"/>
              <w:spacing w:after="40"/>
              <w:jc w:val="left"/>
            </w:pPr>
            <w:r>
              <w:rPr>
                <w:sz w:val="18"/>
              </w:rPr>
              <w:t xml:space="preserve">Lender-side reporting stays in the RE’s system (Finbyx Part 7B RR6); Udofin supplies captured data (U6, U7); consumer credit-report tracking is Part 7D FW1</w:t>
            </w:r>
          </w:p>
        </w:tc>
        <w:tc>
          <w:tcPr>
            <w:tcW w:w="1062" w:type="dxa"/>
          </w:tcPr>
          <w:p>
            <w:pPr>
              <w:pStyle w:val="Compact"/>
              <w:spacing w:after="40"/>
              <w:jc w:val="left"/>
            </w:pPr>
            <w:r>
              <w:rPr>
                <w:sz w:val="18"/>
              </w:rPr>
              <w:t xml:space="preserve">6 (existing); 20b</w:t>
            </w:r>
          </w:p>
        </w:tc>
      </w:tr>
      <w:tr>
        <w:tc>
          <w:tcPr>
            <w:tcW w:w="1426" w:type="dxa"/>
          </w:tcPr>
          <w:p>
            <w:pPr>
              <w:pStyle w:val="Compact"/>
              <w:spacing w:after="40"/>
              <w:jc w:val="left"/>
            </w:pPr>
            <w:r>
              <w:rPr>
                <w:sz w:val="18"/>
              </w:rPr>
              <w:t xml:space="preserve">4</w:t>
            </w:r>
          </w:p>
        </w:tc>
        <w:tc>
          <w:tcPr>
            <w:tcW w:w="2523" w:type="dxa"/>
          </w:tcPr>
          <w:p>
            <w:pPr>
              <w:pStyle w:val="Compact"/>
              <w:spacing w:after="40"/>
              <w:jc w:val="left"/>
            </w:pPr>
            <w:r>
              <w:rPr>
                <w:sz w:val="18"/>
              </w:rPr>
              <w:t xml:space="preserve">Audit ecosystem with data from Udofin</w:t>
            </w:r>
          </w:p>
        </w:tc>
        <w:tc>
          <w:tcPr>
            <w:tcW w:w="4627" w:type="dxa"/>
          </w:tcPr>
          <w:p>
            <w:pPr>
              <w:pStyle w:val="Compact"/>
              <w:spacing w:after="40"/>
              <w:jc w:val="left"/>
            </w:pPr>
            <w:r>
              <w:rPr>
                <w:sz w:val="18"/>
              </w:rPr>
              <w:t xml:space="preserve">Part 7B UP3 packs P1–P10; Part 7H RA2 workspace and RA3 archives</w:t>
            </w:r>
          </w:p>
        </w:tc>
        <w:tc>
          <w:tcPr>
            <w:tcW w:w="1062" w:type="dxa"/>
          </w:tcPr>
          <w:p>
            <w:pPr>
              <w:pStyle w:val="Compact"/>
              <w:spacing w:after="40"/>
              <w:jc w:val="left"/>
            </w:pPr>
            <w:r>
              <w:rPr>
                <w:sz w:val="18"/>
              </w:rPr>
              <w:t xml:space="preserve">3c, 16c</w:t>
            </w:r>
          </w:p>
        </w:tc>
      </w:tr>
      <w:tr>
        <w:tc>
          <w:tcPr>
            <w:tcW w:w="1426" w:type="dxa"/>
          </w:tcPr>
          <w:p>
            <w:pPr>
              <w:pStyle w:val="Compact"/>
              <w:spacing w:after="40"/>
              <w:jc w:val="left"/>
            </w:pPr>
            <w:r>
              <w:rPr>
                <w:sz w:val="18"/>
              </w:rPr>
              <w:t xml:space="preserve">5, 35</w:t>
            </w:r>
          </w:p>
        </w:tc>
        <w:tc>
          <w:tcPr>
            <w:tcW w:w="2523" w:type="dxa"/>
          </w:tcPr>
          <w:p>
            <w:pPr>
              <w:pStyle w:val="Compact"/>
              <w:spacing w:after="40"/>
              <w:jc w:val="left"/>
            </w:pPr>
            <w:r>
              <w:rPr>
                <w:sz w:val="18"/>
              </w:rPr>
              <w:t xml:space="preserve">Separate Infrabyx operations dashboard</w:t>
            </w:r>
          </w:p>
        </w:tc>
        <w:tc>
          <w:tcPr>
            <w:tcW w:w="4627" w:type="dxa"/>
          </w:tcPr>
          <w:p>
            <w:pPr>
              <w:pStyle w:val="Compact"/>
              <w:spacing w:after="40"/>
              <w:jc w:val="left"/>
            </w:pPr>
            <w:r>
              <w:rPr>
                <w:sz w:val="18"/>
              </w:rPr>
              <w:t xml:space="preserve">Operations Hub (Part 2); Udofin sends aggregated usage, revenue and engineering evidence only (RV1.6, RA4.1)</w:t>
            </w:r>
          </w:p>
        </w:tc>
        <w:tc>
          <w:tcPr>
            <w:tcW w:w="1062" w:type="dxa"/>
          </w:tcPr>
          <w:p>
            <w:pPr>
              <w:pStyle w:val="Compact"/>
              <w:spacing w:after="40"/>
              <w:jc w:val="left"/>
            </w:pPr>
            <w:r>
              <w:rPr>
                <w:sz w:val="18"/>
              </w:rPr>
              <w:t xml:space="preserve">16c, 20b</w:t>
            </w:r>
          </w:p>
        </w:tc>
      </w:tr>
      <w:tr>
        <w:tc>
          <w:tcPr>
            <w:tcW w:w="1426" w:type="dxa"/>
          </w:tcPr>
          <w:p>
            <w:pPr>
              <w:pStyle w:val="Compact"/>
              <w:spacing w:after="40"/>
              <w:jc w:val="left"/>
            </w:pPr>
            <w:r>
              <w:rPr>
                <w:sz w:val="18"/>
              </w:rPr>
              <w:t xml:space="preserve">7</w:t>
            </w:r>
          </w:p>
        </w:tc>
        <w:tc>
          <w:tcPr>
            <w:tcW w:w="2523" w:type="dxa"/>
          </w:tcPr>
          <w:p>
            <w:pPr>
              <w:pStyle w:val="Compact"/>
              <w:spacing w:after="40"/>
              <w:jc w:val="left"/>
            </w:pPr>
            <w:r>
              <w:rPr>
                <w:sz w:val="18"/>
              </w:rPr>
              <w:t xml:space="preserve">Microsoft 365 and Google Workspace</w:t>
            </w:r>
          </w:p>
        </w:tc>
        <w:tc>
          <w:tcPr>
            <w:tcW w:w="4627" w:type="dxa"/>
          </w:tcPr>
          <w:p>
            <w:pPr>
              <w:pStyle w:val="Compact"/>
              <w:spacing w:after="40"/>
              <w:jc w:val="left"/>
            </w:pPr>
            <w:r>
              <w:rPr>
                <w:sz w:val="18"/>
              </w:rPr>
              <w:t xml:space="preserve">SharePoint or OneDrive as RE storage targets (RA3.4); Google Workspace and Google Drive for non-regulated data only (Part 2)</w:t>
            </w:r>
          </w:p>
        </w:tc>
        <w:tc>
          <w:tcPr>
            <w:tcW w:w="1062" w:type="dxa"/>
          </w:tcPr>
          <w:p>
            <w:pPr>
              <w:pStyle w:val="Compact"/>
              <w:spacing w:after="40"/>
              <w:jc w:val="left"/>
            </w:pPr>
            <w:r>
              <w:rPr>
                <w:sz w:val="18"/>
              </w:rPr>
              <w:t xml:space="preserve">16c</w:t>
            </w:r>
          </w:p>
        </w:tc>
      </w:tr>
      <w:tr>
        <w:tc>
          <w:tcPr>
            <w:tcW w:w="1426" w:type="dxa"/>
          </w:tcPr>
          <w:p>
            <w:pPr>
              <w:pStyle w:val="Compact"/>
              <w:spacing w:after="40"/>
              <w:jc w:val="left"/>
            </w:pPr>
            <w:r>
              <w:rPr>
                <w:sz w:val="18"/>
              </w:rPr>
              <w:t xml:space="preserve">8, 34</w:t>
            </w:r>
          </w:p>
        </w:tc>
        <w:tc>
          <w:tcPr>
            <w:tcW w:w="2523" w:type="dxa"/>
          </w:tcPr>
          <w:p>
            <w:pPr>
              <w:pStyle w:val="Compact"/>
              <w:spacing w:after="40"/>
              <w:jc w:val="left"/>
            </w:pPr>
            <w:r>
              <w:rPr>
                <w:sz w:val="18"/>
              </w:rPr>
              <w:t xml:space="preserve">Self-explanatory exports; RE and society own-server backups</w:t>
            </w:r>
          </w:p>
        </w:tc>
        <w:tc>
          <w:tcPr>
            <w:tcW w:w="4627" w:type="dxa"/>
          </w:tcPr>
          <w:p>
            <w:pPr>
              <w:pStyle w:val="Compact"/>
              <w:spacing w:after="40"/>
              <w:jc w:val="left"/>
            </w:pPr>
            <w:r>
              <w:rPr>
                <w:sz w:val="18"/>
              </w:rPr>
              <w:t xml:space="preserve">Part 7H RA3 (archive standard, export jobs, RE-controlled storage, backups and restore tests); Part 7B UP5 (exit)</w:t>
            </w:r>
          </w:p>
        </w:tc>
        <w:tc>
          <w:tcPr>
            <w:tcW w:w="1062" w:type="dxa"/>
          </w:tcPr>
          <w:p>
            <w:pPr>
              <w:pStyle w:val="Compact"/>
              <w:spacing w:after="40"/>
              <w:jc w:val="left"/>
            </w:pPr>
            <w:r>
              <w:rPr>
                <w:sz w:val="18"/>
              </w:rPr>
              <w:t xml:space="preserve">16c, 3c</w:t>
            </w:r>
          </w:p>
        </w:tc>
      </w:tr>
      <w:tr>
        <w:tc>
          <w:tcPr>
            <w:tcW w:w="1426" w:type="dxa"/>
          </w:tcPr>
          <w:p>
            <w:pPr>
              <w:pStyle w:val="Compact"/>
              <w:spacing w:after="40"/>
              <w:jc w:val="left"/>
            </w:pPr>
            <w:r>
              <w:rPr>
                <w:sz w:val="18"/>
              </w:rPr>
              <w:t xml:space="preserve">9, 37</w:t>
            </w:r>
          </w:p>
        </w:tc>
        <w:tc>
          <w:tcPr>
            <w:tcW w:w="2523" w:type="dxa"/>
          </w:tcPr>
          <w:p>
            <w:pPr>
              <w:pStyle w:val="Compact"/>
              <w:spacing w:after="40"/>
              <w:jc w:val="left"/>
            </w:pPr>
            <w:r>
              <w:rPr>
                <w:sz w:val="18"/>
              </w:rPr>
              <w:t xml:space="preserve">Switchable revenue streams, legitimate automation, billing and plan pages, Razorpay, recurring revenue</w:t>
            </w:r>
          </w:p>
        </w:tc>
        <w:tc>
          <w:tcPr>
            <w:tcW w:w="4627" w:type="dxa"/>
          </w:tcPr>
          <w:p>
            <w:pPr>
              <w:pStyle w:val="Compact"/>
              <w:spacing w:after="40"/>
              <w:jc w:val="left"/>
            </w:pPr>
            <w:r>
              <w:rPr>
                <w:sz w:val="18"/>
              </w:rPr>
              <w:t xml:space="preserve">Part 7G RV1–RV4; Part 3.1</w:t>
            </w:r>
          </w:p>
        </w:tc>
        <w:tc>
          <w:tcPr>
            <w:tcW w:w="1062" w:type="dxa"/>
          </w:tcPr>
          <w:p>
            <w:pPr>
              <w:pStyle w:val="Compact"/>
              <w:spacing w:after="40"/>
              <w:jc w:val="left"/>
            </w:pPr>
            <w:r>
              <w:rPr>
                <w:sz w:val="18"/>
              </w:rPr>
              <w:t xml:space="preserve">20b</w:t>
            </w:r>
          </w:p>
        </w:tc>
      </w:tr>
      <w:tr>
        <w:tc>
          <w:tcPr>
            <w:tcW w:w="1426" w:type="dxa"/>
          </w:tcPr>
          <w:p>
            <w:pPr>
              <w:pStyle w:val="Compact"/>
              <w:spacing w:after="40"/>
              <w:jc w:val="left"/>
            </w:pPr>
            <w:r>
              <w:rPr>
                <w:sz w:val="18"/>
              </w:rPr>
              <w:t xml:space="preserve">10</w:t>
            </w:r>
          </w:p>
        </w:tc>
        <w:tc>
          <w:tcPr>
            <w:tcW w:w="2523" w:type="dxa"/>
          </w:tcPr>
          <w:p>
            <w:pPr>
              <w:pStyle w:val="Compact"/>
              <w:spacing w:after="40"/>
              <w:jc w:val="left"/>
            </w:pPr>
            <w:r>
              <w:rPr>
                <w:sz w:val="18"/>
              </w:rPr>
              <w:t xml:space="preserve">Advocate and professional directory</w:t>
            </w:r>
          </w:p>
        </w:tc>
        <w:tc>
          <w:tcPr>
            <w:tcW w:w="4627" w:type="dxa"/>
          </w:tcPr>
          <w:p>
            <w:pPr>
              <w:pStyle w:val="Compact"/>
              <w:spacing w:after="40"/>
              <w:jc w:val="left"/>
            </w:pPr>
            <w:r>
              <w:rPr>
                <w:sz w:val="18"/>
              </w:rPr>
              <w:t xml:space="preserve">Operations Hub OH9; Udofin takes no referral fees (RV1.1)</w:t>
            </w:r>
          </w:p>
        </w:tc>
        <w:tc>
          <w:tcPr>
            <w:tcW w:w="1062" w:type="dxa"/>
          </w:tcPr>
          <w:p>
            <w:pPr>
              <w:pStyle w:val="Compact"/>
              <w:spacing w:after="40"/>
              <w:jc w:val="left"/>
            </w:pPr>
            <w:r>
              <w:rPr>
                <w:sz w:val="18"/>
              </w:rPr>
              <w:t xml:space="preserve">—</w:t>
            </w:r>
          </w:p>
        </w:tc>
      </w:tr>
      <w:tr>
        <w:tc>
          <w:tcPr>
            <w:tcW w:w="1426" w:type="dxa"/>
          </w:tcPr>
          <w:p>
            <w:pPr>
              <w:pStyle w:val="Compact"/>
              <w:spacing w:after="40"/>
              <w:jc w:val="left"/>
            </w:pPr>
            <w:r>
              <w:rPr>
                <w:sz w:val="18"/>
              </w:rPr>
              <w:t xml:space="preserve">11</w:t>
            </w:r>
          </w:p>
        </w:tc>
        <w:tc>
          <w:tcPr>
            <w:tcW w:w="2523" w:type="dxa"/>
          </w:tcPr>
          <w:p>
            <w:pPr>
              <w:pStyle w:val="Compact"/>
              <w:spacing w:after="40"/>
              <w:jc w:val="left"/>
            </w:pPr>
            <w:r>
              <w:rPr>
                <w:sz w:val="18"/>
              </w:rPr>
              <w:t xml:space="preserve">Patch and change management, backups, VAPT, audit readiness</w:t>
            </w:r>
          </w:p>
        </w:tc>
        <w:tc>
          <w:tcPr>
            <w:tcW w:w="4627" w:type="dxa"/>
          </w:tcPr>
          <w:p>
            <w:pPr>
              <w:pStyle w:val="Compact"/>
              <w:spacing w:after="40"/>
              <w:jc w:val="left"/>
            </w:pPr>
            <w:r>
              <w:rPr>
                <w:sz w:val="18"/>
              </w:rPr>
              <w:t xml:space="preserve">Part 7H RA4</w:t>
            </w:r>
          </w:p>
        </w:tc>
        <w:tc>
          <w:tcPr>
            <w:tcW w:w="1062" w:type="dxa"/>
          </w:tcPr>
          <w:p>
            <w:pPr>
              <w:pStyle w:val="Compact"/>
              <w:spacing w:after="40"/>
              <w:jc w:val="left"/>
            </w:pPr>
            <w:r>
              <w:rPr>
                <w:sz w:val="18"/>
              </w:rPr>
              <w:t xml:space="preserve">16c</w:t>
            </w:r>
          </w:p>
        </w:tc>
      </w:tr>
      <w:tr>
        <w:tc>
          <w:tcPr>
            <w:tcW w:w="1426" w:type="dxa"/>
          </w:tcPr>
          <w:p>
            <w:pPr>
              <w:pStyle w:val="Compact"/>
              <w:spacing w:after="40"/>
              <w:jc w:val="left"/>
            </w:pPr>
            <w:r>
              <w:rPr>
                <w:sz w:val="18"/>
              </w:rPr>
              <w:t xml:space="preserve">12</w:t>
            </w:r>
          </w:p>
        </w:tc>
        <w:tc>
          <w:tcPr>
            <w:tcW w:w="2523" w:type="dxa"/>
          </w:tcPr>
          <w:p>
            <w:pPr>
              <w:pStyle w:val="Compact"/>
              <w:spacing w:after="40"/>
              <w:jc w:val="left"/>
            </w:pPr>
            <w:r>
              <w:rPr>
                <w:sz w:val="18"/>
              </w:rPr>
              <w:t xml:space="preserve">Cross-group roles and data with Equator and LawDocsComply</w:t>
            </w:r>
          </w:p>
        </w:tc>
        <w:tc>
          <w:tcPr>
            <w:tcW w:w="4627" w:type="dxa"/>
          </w:tcPr>
          <w:p>
            <w:pPr>
              <w:pStyle w:val="Compact"/>
              <w:spacing w:after="40"/>
              <w:jc w:val="left"/>
            </w:pPr>
            <w:r>
              <w:rPr>
                <w:sz w:val="18"/>
              </w:rPr>
              <w:t xml:space="preserve">Part 2 group boundaries; RA1.7 pseudonymised feed; Part 7A UR2 (Equator only on RE referral)</w:t>
            </w:r>
          </w:p>
        </w:tc>
        <w:tc>
          <w:tcPr>
            <w:tcW w:w="1062" w:type="dxa"/>
          </w:tcPr>
          <w:p>
            <w:pPr>
              <w:pStyle w:val="Compact"/>
              <w:spacing w:after="40"/>
              <w:jc w:val="left"/>
            </w:pPr>
            <w:r>
              <w:rPr>
                <w:sz w:val="18"/>
              </w:rPr>
              <w:t xml:space="preserve">16b, 16c</w:t>
            </w:r>
          </w:p>
        </w:tc>
      </w:tr>
      <w:tr>
        <w:tc>
          <w:tcPr>
            <w:tcW w:w="1426" w:type="dxa"/>
          </w:tcPr>
          <w:p>
            <w:pPr>
              <w:pStyle w:val="Compact"/>
              <w:spacing w:after="40"/>
              <w:jc w:val="left"/>
            </w:pPr>
            <w:r>
              <w:rPr>
                <w:sz w:val="18"/>
              </w:rPr>
              <w:t xml:space="preserve">14</w:t>
            </w:r>
          </w:p>
        </w:tc>
        <w:tc>
          <w:tcPr>
            <w:tcW w:w="2523" w:type="dxa"/>
          </w:tcPr>
          <w:p>
            <w:pPr>
              <w:pStyle w:val="Compact"/>
              <w:spacing w:after="40"/>
              <w:jc w:val="left"/>
            </w:pPr>
            <w:r>
              <w:rPr>
                <w:sz w:val="18"/>
              </w:rPr>
              <w:t xml:space="preserve">Read-only access for RBI supervisors and auditors</w:t>
            </w:r>
          </w:p>
        </w:tc>
        <w:tc>
          <w:tcPr>
            <w:tcW w:w="4627" w:type="dxa"/>
          </w:tcPr>
          <w:p>
            <w:pPr>
              <w:pStyle w:val="Compact"/>
              <w:spacing w:after="40"/>
              <w:jc w:val="left"/>
            </w:pPr>
            <w:r>
              <w:rPr>
                <w:sz w:val="18"/>
              </w:rPr>
              <w:t xml:space="preserve">Part 7H RA2; channel G (Part 3.2)</w:t>
            </w:r>
          </w:p>
        </w:tc>
        <w:tc>
          <w:tcPr>
            <w:tcW w:w="1062" w:type="dxa"/>
          </w:tcPr>
          <w:p>
            <w:pPr>
              <w:pStyle w:val="Compact"/>
              <w:spacing w:after="40"/>
              <w:jc w:val="left"/>
            </w:pPr>
            <w:r>
              <w:rPr>
                <w:sz w:val="18"/>
              </w:rPr>
              <w:t xml:space="preserve">16c</w:t>
            </w:r>
          </w:p>
        </w:tc>
      </w:tr>
      <w:tr>
        <w:tc>
          <w:tcPr>
            <w:tcW w:w="1426" w:type="dxa"/>
          </w:tcPr>
          <w:p>
            <w:pPr>
              <w:pStyle w:val="Compact"/>
              <w:spacing w:after="40"/>
              <w:jc w:val="left"/>
            </w:pPr>
            <w:r>
              <w:rPr>
                <w:sz w:val="18"/>
              </w:rPr>
              <w:t xml:space="preserve">15</w:t>
            </w:r>
          </w:p>
        </w:tc>
        <w:tc>
          <w:tcPr>
            <w:tcW w:w="2523" w:type="dxa"/>
          </w:tcPr>
          <w:p>
            <w:pPr>
              <w:pStyle w:val="Compact"/>
              <w:spacing w:after="40"/>
              <w:jc w:val="left"/>
            </w:pPr>
            <w:r>
              <w:rPr>
                <w:sz w:val="18"/>
              </w:rPr>
              <w:t xml:space="preserve">Risk function and data to LawDocsComply</w:t>
            </w:r>
          </w:p>
        </w:tc>
        <w:tc>
          <w:tcPr>
            <w:tcW w:w="4627" w:type="dxa"/>
          </w:tcPr>
          <w:p>
            <w:pPr>
              <w:pStyle w:val="Compact"/>
              <w:spacing w:after="40"/>
              <w:jc w:val="left"/>
            </w:pPr>
            <w:r>
              <w:rPr>
                <w:sz w:val="18"/>
              </w:rPr>
              <w:t xml:space="preserve">Part 7H RA1</w:t>
            </w:r>
          </w:p>
        </w:tc>
        <w:tc>
          <w:tcPr>
            <w:tcW w:w="1062" w:type="dxa"/>
          </w:tcPr>
          <w:p>
            <w:pPr>
              <w:pStyle w:val="Compact"/>
              <w:spacing w:after="40"/>
              <w:jc w:val="left"/>
            </w:pPr>
            <w:r>
              <w:rPr>
                <w:sz w:val="18"/>
              </w:rPr>
              <w:t xml:space="preserve">16c</w:t>
            </w:r>
          </w:p>
        </w:tc>
      </w:tr>
      <w:tr>
        <w:tc>
          <w:tcPr>
            <w:tcW w:w="1426" w:type="dxa"/>
          </w:tcPr>
          <w:p>
            <w:pPr>
              <w:pStyle w:val="Compact"/>
              <w:spacing w:after="40"/>
              <w:jc w:val="left"/>
            </w:pPr>
            <w:r>
              <w:rPr>
                <w:sz w:val="18"/>
              </w:rPr>
              <w:t xml:space="preserve">17</w:t>
            </w:r>
          </w:p>
        </w:tc>
        <w:tc>
          <w:tcPr>
            <w:tcW w:w="2523" w:type="dxa"/>
          </w:tcPr>
          <w:p>
            <w:pPr>
              <w:pStyle w:val="Compact"/>
              <w:spacing w:after="40"/>
              <w:jc w:val="left"/>
            </w:pPr>
            <w:r>
              <w:rPr>
                <w:sz w:val="18"/>
              </w:rPr>
              <w:t xml:space="preserve">Credit co-operative societies with members borrowing through Udofin</w:t>
            </w:r>
          </w:p>
        </w:tc>
        <w:tc>
          <w:tcPr>
            <w:tcW w:w="4627" w:type="dxa"/>
          </w:tcPr>
          <w:p>
            <w:pPr>
              <w:pStyle w:val="Compact"/>
              <w:spacing w:after="40"/>
              <w:jc w:val="left"/>
            </w:pPr>
            <w:r>
              <w:rPr>
                <w:sz w:val="18"/>
              </w:rPr>
              <w:t xml:space="preserve">Part 7B UP4; Part 7E MG1</w:t>
            </w:r>
          </w:p>
        </w:tc>
        <w:tc>
          <w:tcPr>
            <w:tcW w:w="1062" w:type="dxa"/>
          </w:tcPr>
          <w:p>
            <w:pPr>
              <w:pStyle w:val="Compact"/>
              <w:spacing w:after="40"/>
              <w:jc w:val="left"/>
            </w:pPr>
            <w:r>
              <w:rPr>
                <w:sz w:val="18"/>
              </w:rPr>
              <w:t xml:space="preserve">18c</w:t>
            </w:r>
          </w:p>
        </w:tc>
      </w:tr>
      <w:tr>
        <w:tc>
          <w:tcPr>
            <w:tcW w:w="1426" w:type="dxa"/>
          </w:tcPr>
          <w:p>
            <w:pPr>
              <w:pStyle w:val="Compact"/>
              <w:spacing w:after="40"/>
              <w:jc w:val="left"/>
            </w:pPr>
            <w:r>
              <w:rPr>
                <w:sz w:val="18"/>
              </w:rPr>
              <w:t xml:space="preserve">18</w:t>
            </w:r>
          </w:p>
        </w:tc>
        <w:tc>
          <w:tcPr>
            <w:tcW w:w="2523" w:type="dxa"/>
          </w:tcPr>
          <w:p>
            <w:pPr>
              <w:pStyle w:val="Compact"/>
              <w:spacing w:after="40"/>
              <w:jc w:val="left"/>
            </w:pPr>
            <w:r>
              <w:rPr>
                <w:sz w:val="18"/>
              </w:rPr>
              <w:t xml:space="preserve">Microfinance JLG and SHG workflow</w:t>
            </w:r>
          </w:p>
        </w:tc>
        <w:tc>
          <w:tcPr>
            <w:tcW w:w="4627" w:type="dxa"/>
          </w:tcPr>
          <w:p>
            <w:pPr>
              <w:pStyle w:val="Compact"/>
              <w:spacing w:after="40"/>
              <w:jc w:val="left"/>
            </w:pPr>
            <w:r>
              <w:rPr>
                <w:sz w:val="18"/>
              </w:rPr>
              <w:t xml:space="preserve">Part 7E MG2–MG4</w:t>
            </w:r>
          </w:p>
        </w:tc>
        <w:tc>
          <w:tcPr>
            <w:tcW w:w="1062" w:type="dxa"/>
          </w:tcPr>
          <w:p>
            <w:pPr>
              <w:pStyle w:val="Compact"/>
              <w:spacing w:after="40"/>
              <w:jc w:val="left"/>
            </w:pPr>
            <w:r>
              <w:rPr>
                <w:sz w:val="18"/>
              </w:rPr>
              <w:t xml:space="preserve">18c</w:t>
            </w:r>
          </w:p>
        </w:tc>
      </w:tr>
      <w:tr>
        <w:tc>
          <w:tcPr>
            <w:tcW w:w="1426" w:type="dxa"/>
          </w:tcPr>
          <w:p>
            <w:pPr>
              <w:pStyle w:val="Compact"/>
              <w:spacing w:after="40"/>
              <w:jc w:val="left"/>
            </w:pPr>
            <w:r>
              <w:rPr>
                <w:sz w:val="18"/>
              </w:rPr>
              <w:t xml:space="preserve">19</w:t>
            </w:r>
          </w:p>
        </w:tc>
        <w:tc>
          <w:tcPr>
            <w:tcW w:w="2523" w:type="dxa"/>
          </w:tcPr>
          <w:p>
            <w:pPr>
              <w:pStyle w:val="Compact"/>
              <w:spacing w:after="40"/>
              <w:jc w:val="left"/>
            </w:pPr>
            <w:r>
              <w:rPr>
                <w:sz w:val="18"/>
              </w:rPr>
              <w:t xml:space="preserve">Extensible products; insurance buy, pay, claim and complaint support</w:t>
            </w:r>
          </w:p>
        </w:tc>
        <w:tc>
          <w:tcPr>
            <w:tcW w:w="4627" w:type="dxa"/>
          </w:tcPr>
          <w:p>
            <w:pPr>
              <w:pStyle w:val="Compact"/>
              <w:spacing w:after="40"/>
              <w:jc w:val="left"/>
            </w:pPr>
            <w:r>
              <w:rPr>
                <w:sz w:val="18"/>
              </w:rPr>
              <w:t xml:space="preserve">Part 7F XP1–XP4; UB3 insurance route</w:t>
            </w:r>
          </w:p>
        </w:tc>
        <w:tc>
          <w:tcPr>
            <w:tcW w:w="1062" w:type="dxa"/>
          </w:tcPr>
          <w:p>
            <w:pPr>
              <w:pStyle w:val="Compact"/>
              <w:spacing w:after="40"/>
              <w:jc w:val="left"/>
            </w:pPr>
            <w:r>
              <w:rPr>
                <w:sz w:val="18"/>
              </w:rPr>
              <w:t xml:space="preserve">20c</w:t>
            </w:r>
          </w:p>
        </w:tc>
      </w:tr>
      <w:tr>
        <w:tc>
          <w:tcPr>
            <w:tcW w:w="1426" w:type="dxa"/>
          </w:tcPr>
          <w:p>
            <w:pPr>
              <w:pStyle w:val="Compact"/>
              <w:spacing w:after="40"/>
              <w:jc w:val="left"/>
            </w:pPr>
            <w:r>
              <w:rPr>
                <w:sz w:val="18"/>
              </w:rPr>
              <w:t xml:space="preserve">20</w:t>
            </w:r>
          </w:p>
        </w:tc>
        <w:tc>
          <w:tcPr>
            <w:tcW w:w="2523" w:type="dxa"/>
          </w:tcPr>
          <w:p>
            <w:pPr>
              <w:pStyle w:val="Compact"/>
              <w:spacing w:after="40"/>
              <w:jc w:val="left"/>
            </w:pPr>
            <w:r>
              <w:rPr>
                <w:sz w:val="18"/>
              </w:rPr>
              <w:t xml:space="preserve">Jio Business AI, voice and customer service</w:t>
            </w:r>
          </w:p>
        </w:tc>
        <w:tc>
          <w:tcPr>
            <w:tcW w:w="4627" w:type="dxa"/>
          </w:tcPr>
          <w:p>
            <w:pPr>
              <w:pStyle w:val="Compact"/>
              <w:spacing w:after="40"/>
              <w:jc w:val="left"/>
            </w:pPr>
            <w:r>
              <w:rPr>
                <w:sz w:val="18"/>
              </w:rPr>
              <w:t xml:space="preserve">Part 7H RA5</w:t>
            </w:r>
          </w:p>
        </w:tc>
        <w:tc>
          <w:tcPr>
            <w:tcW w:w="1062" w:type="dxa"/>
          </w:tcPr>
          <w:p>
            <w:pPr>
              <w:pStyle w:val="Compact"/>
              <w:spacing w:after="40"/>
              <w:jc w:val="left"/>
            </w:pPr>
            <w:r>
              <w:rPr>
                <w:sz w:val="18"/>
              </w:rPr>
              <w:t xml:space="preserve">20d</w:t>
            </w:r>
          </w:p>
        </w:tc>
      </w:tr>
      <w:tr>
        <w:tc>
          <w:tcPr>
            <w:tcW w:w="1426" w:type="dxa"/>
          </w:tcPr>
          <w:p>
            <w:pPr>
              <w:pStyle w:val="Compact"/>
              <w:spacing w:after="40"/>
              <w:jc w:val="left"/>
            </w:pPr>
            <w:r>
              <w:rPr>
                <w:sz w:val="18"/>
              </w:rPr>
              <w:t xml:space="preserve">24</w:t>
            </w:r>
          </w:p>
        </w:tc>
        <w:tc>
          <w:tcPr>
            <w:tcW w:w="2523" w:type="dxa"/>
          </w:tcPr>
          <w:p>
            <w:pPr>
              <w:pStyle w:val="Compact"/>
              <w:spacing w:after="40"/>
              <w:jc w:val="left"/>
            </w:pPr>
            <w:r>
              <w:rPr>
                <w:sz w:val="18"/>
              </w:rPr>
              <w:t xml:space="preserve">Co-lending; co-operatives cannot co-lend</w:t>
            </w:r>
          </w:p>
        </w:tc>
        <w:tc>
          <w:tcPr>
            <w:tcW w:w="4627" w:type="dxa"/>
          </w:tcPr>
          <w:p>
            <w:pPr>
              <w:pStyle w:val="Compact"/>
              <w:spacing w:after="40"/>
              <w:jc w:val="left"/>
            </w:pPr>
            <w:r>
              <w:rPr>
                <w:sz w:val="18"/>
              </w:rPr>
              <w:t xml:space="preserve">Part 3.4; Part 4.8; Part 7B UP4; Part 7E non-negotiable 5</w:t>
            </w:r>
          </w:p>
        </w:tc>
        <w:tc>
          <w:tcPr>
            <w:tcW w:w="1062" w:type="dxa"/>
          </w:tcPr>
          <w:p>
            <w:pPr>
              <w:pStyle w:val="Compact"/>
              <w:spacing w:after="40"/>
              <w:jc w:val="left"/>
            </w:pPr>
            <w:r>
              <w:rPr>
                <w:sz w:val="18"/>
              </w:rPr>
              <w:t xml:space="preserve">3c, 18c</w:t>
            </w:r>
          </w:p>
        </w:tc>
      </w:tr>
      <w:tr>
        <w:tc>
          <w:tcPr>
            <w:tcW w:w="1426" w:type="dxa"/>
          </w:tcPr>
          <w:p>
            <w:pPr>
              <w:pStyle w:val="Compact"/>
              <w:spacing w:after="40"/>
              <w:jc w:val="left"/>
            </w:pPr>
            <w:r>
              <w:rPr>
                <w:sz w:val="18"/>
              </w:rPr>
              <w:t xml:space="preserve">25</w:t>
            </w:r>
          </w:p>
        </w:tc>
        <w:tc>
          <w:tcPr>
            <w:tcW w:w="2523" w:type="dxa"/>
          </w:tcPr>
          <w:p>
            <w:pPr>
              <w:pStyle w:val="Compact"/>
              <w:spacing w:after="40"/>
              <w:jc w:val="left"/>
            </w:pPr>
            <w:r>
              <w:rPr>
                <w:sz w:val="18"/>
              </w:rPr>
              <w:t xml:space="preserve">Full audit trail</w:t>
            </w:r>
          </w:p>
        </w:tc>
        <w:tc>
          <w:tcPr>
            <w:tcW w:w="4627" w:type="dxa"/>
          </w:tcPr>
          <w:p>
            <w:pPr>
              <w:pStyle w:val="Compact"/>
              <w:spacing w:after="40"/>
              <w:jc w:val="left"/>
            </w:pPr>
            <w:r>
              <w:rPr>
                <w:sz w:val="18"/>
              </w:rPr>
              <w:t xml:space="preserve">U23 hash-chained trail (unchanged); RA2 access logs; RA3 folder 17; UP3 manifests</w:t>
            </w:r>
          </w:p>
        </w:tc>
        <w:tc>
          <w:tcPr>
            <w:tcW w:w="1062" w:type="dxa"/>
          </w:tcPr>
          <w:p>
            <w:pPr>
              <w:pStyle w:val="Compact"/>
              <w:spacing w:after="40"/>
              <w:jc w:val="left"/>
            </w:pPr>
            <w:r>
              <w:rPr>
                <w:sz w:val="18"/>
              </w:rPr>
              <w:t xml:space="preserve">3c, 16c</w:t>
            </w:r>
          </w:p>
        </w:tc>
      </w:tr>
      <w:tr>
        <w:tc>
          <w:tcPr>
            <w:tcW w:w="1426" w:type="dxa"/>
          </w:tcPr>
          <w:p>
            <w:pPr>
              <w:pStyle w:val="Compact"/>
              <w:spacing w:after="40"/>
              <w:jc w:val="left"/>
            </w:pPr>
            <w:r>
              <w:rPr>
                <w:sz w:val="18"/>
              </w:rPr>
              <w:t xml:space="preserve">26</w:t>
            </w:r>
          </w:p>
        </w:tc>
        <w:tc>
          <w:tcPr>
            <w:tcW w:w="2523" w:type="dxa"/>
          </w:tcPr>
          <w:p>
            <w:pPr>
              <w:pStyle w:val="Compact"/>
              <w:spacing w:after="40"/>
              <w:jc w:val="left"/>
            </w:pPr>
            <w:r>
              <w:rPr>
                <w:sz w:val="18"/>
              </w:rPr>
              <w:t xml:space="preserve">More phases</w:t>
            </w:r>
          </w:p>
        </w:tc>
        <w:tc>
          <w:tcPr>
            <w:tcW w:w="4627" w:type="dxa"/>
          </w:tcPr>
          <w:p>
            <w:pPr>
              <w:pStyle w:val="Compact"/>
              <w:spacing w:after="40"/>
              <w:jc w:val="left"/>
            </w:pPr>
            <w:r>
              <w:rPr>
                <w:sz w:val="18"/>
              </w:rPr>
              <w:t xml:space="preserve">Phases 3c, 11b, 14b, 16c, 18c, 20b, 20c, 20d</w:t>
            </w:r>
          </w:p>
        </w:tc>
        <w:tc>
          <w:tcPr>
            <w:tcW w:w="1062" w:type="dxa"/>
          </w:tcPr>
          <w:p>
            <w:pPr>
              <w:pStyle w:val="Compact"/>
              <w:spacing w:after="40"/>
              <w:jc w:val="left"/>
            </w:pPr>
            <w:r>
              <w:rPr>
                <w:sz w:val="18"/>
              </w:rPr>
              <w:t xml:space="preserve">—</w:t>
            </w:r>
          </w:p>
        </w:tc>
      </w:tr>
      <w:tr>
        <w:tc>
          <w:tcPr>
            <w:tcW w:w="1426" w:type="dxa"/>
          </w:tcPr>
          <w:p>
            <w:pPr>
              <w:pStyle w:val="Compact"/>
              <w:spacing w:after="40"/>
              <w:jc w:val="left"/>
            </w:pPr>
            <w:r>
              <w:rPr>
                <w:sz w:val="18"/>
              </w:rPr>
              <w:t xml:space="preserve">27</w:t>
            </w:r>
          </w:p>
        </w:tc>
        <w:tc>
          <w:tcPr>
            <w:tcW w:w="2523" w:type="dxa"/>
          </w:tcPr>
          <w:p>
            <w:pPr>
              <w:pStyle w:val="Compact"/>
              <w:spacing w:after="40"/>
              <w:jc w:val="left"/>
            </w:pPr>
            <w:r>
              <w:rPr>
                <w:sz w:val="18"/>
              </w:rPr>
              <w:t xml:space="preserve">Borrowers download their own documents and data</w:t>
            </w:r>
          </w:p>
        </w:tc>
        <w:tc>
          <w:tcPr>
            <w:tcW w:w="4627" w:type="dxa"/>
          </w:tcPr>
          <w:p>
            <w:pPr>
              <w:pStyle w:val="Compact"/>
              <w:spacing w:after="40"/>
              <w:jc w:val="left"/>
            </w:pPr>
            <w:r>
              <w:rPr>
                <w:sz w:val="18"/>
              </w:rPr>
              <w:t xml:space="preserve">Part 7C UB1</w:t>
            </w:r>
          </w:p>
        </w:tc>
        <w:tc>
          <w:tcPr>
            <w:tcW w:w="1062" w:type="dxa"/>
          </w:tcPr>
          <w:p>
            <w:pPr>
              <w:pStyle w:val="Compact"/>
              <w:spacing w:after="40"/>
              <w:jc w:val="left"/>
            </w:pPr>
            <w:r>
              <w:rPr>
                <w:sz w:val="18"/>
              </w:rPr>
              <w:t xml:space="preserve">11b</w:t>
            </w:r>
          </w:p>
        </w:tc>
      </w:tr>
      <w:tr>
        <w:tc>
          <w:tcPr>
            <w:tcW w:w="1426" w:type="dxa"/>
          </w:tcPr>
          <w:p>
            <w:pPr>
              <w:pStyle w:val="Compact"/>
              <w:spacing w:after="40"/>
              <w:jc w:val="left"/>
            </w:pPr>
            <w:r>
              <w:rPr>
                <w:sz w:val="18"/>
              </w:rPr>
              <w:t xml:space="preserve">28</w:t>
            </w:r>
          </w:p>
        </w:tc>
        <w:tc>
          <w:tcPr>
            <w:tcW w:w="2523" w:type="dxa"/>
          </w:tcPr>
          <w:p>
            <w:pPr>
              <w:pStyle w:val="Compact"/>
              <w:spacing w:after="40"/>
              <w:jc w:val="left"/>
            </w:pPr>
            <w:r>
              <w:rPr>
                <w:sz w:val="18"/>
              </w:rPr>
              <w:t xml:space="preserve">NBFC partnership onboarding per negotiated deal; RE audit exports</w:t>
            </w:r>
          </w:p>
        </w:tc>
        <w:tc>
          <w:tcPr>
            <w:tcW w:w="4627" w:type="dxa"/>
          </w:tcPr>
          <w:p>
            <w:pPr>
              <w:pStyle w:val="Compact"/>
              <w:spacing w:after="40"/>
              <w:jc w:val="left"/>
            </w:pPr>
            <w:r>
              <w:rPr>
                <w:sz w:val="18"/>
              </w:rPr>
              <w:t xml:space="preserve">Part 7B UP1–UP3, UP5</w:t>
            </w:r>
          </w:p>
        </w:tc>
        <w:tc>
          <w:tcPr>
            <w:tcW w:w="1062" w:type="dxa"/>
          </w:tcPr>
          <w:p>
            <w:pPr>
              <w:pStyle w:val="Compact"/>
              <w:spacing w:after="40"/>
              <w:jc w:val="left"/>
            </w:pPr>
            <w:r>
              <w:rPr>
                <w:sz w:val="18"/>
              </w:rPr>
              <w:t xml:space="preserve">3c</w:t>
            </w:r>
          </w:p>
        </w:tc>
      </w:tr>
      <w:tr>
        <w:tc>
          <w:tcPr>
            <w:tcW w:w="1426" w:type="dxa"/>
          </w:tcPr>
          <w:p>
            <w:pPr>
              <w:pStyle w:val="Compact"/>
              <w:spacing w:after="40"/>
              <w:jc w:val="left"/>
            </w:pPr>
            <w:r>
              <w:rPr>
                <w:sz w:val="18"/>
              </w:rPr>
              <w:t xml:space="preserve">30</w:t>
            </w:r>
          </w:p>
        </w:tc>
        <w:tc>
          <w:tcPr>
            <w:tcW w:w="2523" w:type="dxa"/>
          </w:tcPr>
          <w:p>
            <w:pPr>
              <w:pStyle w:val="Compact"/>
              <w:spacing w:after="40"/>
              <w:jc w:val="left"/>
            </w:pPr>
            <w:r>
              <w:rPr>
                <w:sz w:val="18"/>
              </w:rPr>
              <w:t xml:space="preserve">Borrower tax features</w:t>
            </w:r>
          </w:p>
        </w:tc>
        <w:tc>
          <w:tcPr>
            <w:tcW w:w="4627" w:type="dxa"/>
          </w:tcPr>
          <w:p>
            <w:pPr>
              <w:pStyle w:val="Compact"/>
              <w:spacing w:after="40"/>
              <w:jc w:val="left"/>
            </w:pPr>
            <w:r>
              <w:rPr>
                <w:sz w:val="18"/>
              </w:rPr>
              <w:t xml:space="preserve">Part 7C UB2</w:t>
            </w:r>
          </w:p>
        </w:tc>
        <w:tc>
          <w:tcPr>
            <w:tcW w:w="1062" w:type="dxa"/>
          </w:tcPr>
          <w:p>
            <w:pPr>
              <w:pStyle w:val="Compact"/>
              <w:spacing w:after="40"/>
              <w:jc w:val="left"/>
            </w:pPr>
            <w:r>
              <w:rPr>
                <w:sz w:val="18"/>
              </w:rPr>
              <w:t xml:space="preserve">11b</w:t>
            </w:r>
          </w:p>
        </w:tc>
      </w:tr>
      <w:tr>
        <w:tc>
          <w:tcPr>
            <w:tcW w:w="1426" w:type="dxa"/>
          </w:tcPr>
          <w:p>
            <w:pPr>
              <w:pStyle w:val="Compact"/>
              <w:spacing w:after="40"/>
              <w:jc w:val="left"/>
            </w:pPr>
            <w:r>
              <w:rPr>
                <w:sz w:val="18"/>
              </w:rPr>
              <w:t xml:space="preserve">31</w:t>
            </w:r>
          </w:p>
        </w:tc>
        <w:tc>
          <w:tcPr>
            <w:tcW w:w="2523" w:type="dxa"/>
          </w:tcPr>
          <w:p>
            <w:pPr>
              <w:pStyle w:val="Compact"/>
              <w:spacing w:after="40"/>
              <w:jc w:val="left"/>
            </w:pPr>
            <w:r>
              <w:rPr>
                <w:sz w:val="18"/>
              </w:rPr>
              <w:t xml:space="preserve">Credit-score tracking and simulator (freemium or subscription)</w:t>
            </w:r>
          </w:p>
        </w:tc>
        <w:tc>
          <w:tcPr>
            <w:tcW w:w="4627" w:type="dxa"/>
          </w:tcPr>
          <w:p>
            <w:pPr>
              <w:pStyle w:val="Compact"/>
              <w:spacing w:after="40"/>
              <w:jc w:val="left"/>
            </w:pPr>
            <w:r>
              <w:rPr>
                <w:sz w:val="18"/>
              </w:rPr>
              <w:t xml:space="preserve">Part 7D FW1, FW2, FW4; Part 7G RV2.3</w:t>
            </w:r>
          </w:p>
        </w:tc>
        <w:tc>
          <w:tcPr>
            <w:tcW w:w="1062" w:type="dxa"/>
          </w:tcPr>
          <w:p>
            <w:pPr>
              <w:pStyle w:val="Compact"/>
              <w:spacing w:after="40"/>
              <w:jc w:val="left"/>
            </w:pPr>
            <w:r>
              <w:rPr>
                <w:sz w:val="18"/>
              </w:rPr>
              <w:t xml:space="preserve">20b</w:t>
            </w:r>
          </w:p>
        </w:tc>
      </w:tr>
      <w:tr>
        <w:tc>
          <w:tcPr>
            <w:tcW w:w="1426" w:type="dxa"/>
          </w:tcPr>
          <w:p>
            <w:pPr>
              <w:pStyle w:val="Compact"/>
              <w:spacing w:after="40"/>
              <w:jc w:val="left"/>
            </w:pPr>
            <w:r>
              <w:rPr>
                <w:sz w:val="18"/>
              </w:rPr>
              <w:t xml:space="preserve">32</w:t>
            </w:r>
          </w:p>
        </w:tc>
        <w:tc>
          <w:tcPr>
            <w:tcW w:w="2523" w:type="dxa"/>
          </w:tcPr>
          <w:p>
            <w:pPr>
              <w:pStyle w:val="Compact"/>
              <w:spacing w:after="40"/>
              <w:jc w:val="left"/>
            </w:pPr>
            <w:r>
              <w:rPr>
                <w:sz w:val="18"/>
              </w:rPr>
              <w:t xml:space="preserve">Expense tracker and budget planner</w:t>
            </w:r>
          </w:p>
        </w:tc>
        <w:tc>
          <w:tcPr>
            <w:tcW w:w="4627" w:type="dxa"/>
          </w:tcPr>
          <w:p>
            <w:pPr>
              <w:pStyle w:val="Compact"/>
              <w:spacing w:after="40"/>
              <w:jc w:val="left"/>
            </w:pPr>
            <w:r>
              <w:rPr>
                <w:sz w:val="18"/>
              </w:rPr>
              <w:t xml:space="preserve">Part 7D FW3</w:t>
            </w:r>
          </w:p>
        </w:tc>
        <w:tc>
          <w:tcPr>
            <w:tcW w:w="1062" w:type="dxa"/>
          </w:tcPr>
          <w:p>
            <w:pPr>
              <w:pStyle w:val="Compact"/>
              <w:spacing w:after="40"/>
              <w:jc w:val="left"/>
            </w:pPr>
            <w:r>
              <w:rPr>
                <w:sz w:val="18"/>
              </w:rPr>
              <w:t xml:space="preserve">20b</w:t>
            </w:r>
          </w:p>
        </w:tc>
      </w:tr>
      <w:tr>
        <w:tc>
          <w:tcPr>
            <w:tcW w:w="1426" w:type="dxa"/>
          </w:tcPr>
          <w:p>
            <w:pPr>
              <w:pStyle w:val="Compact"/>
              <w:spacing w:after="40"/>
              <w:jc w:val="left"/>
            </w:pPr>
            <w:r>
              <w:rPr>
                <w:sz w:val="18"/>
              </w:rPr>
              <w:t xml:space="preserve">33</w:t>
            </w:r>
          </w:p>
        </w:tc>
        <w:tc>
          <w:tcPr>
            <w:tcW w:w="2523" w:type="dxa"/>
          </w:tcPr>
          <w:p>
            <w:pPr>
              <w:pStyle w:val="Compact"/>
              <w:spacing w:after="40"/>
              <w:jc w:val="left"/>
            </w:pPr>
            <w:r>
              <w:rPr>
                <w:sz w:val="18"/>
              </w:rPr>
              <w:t xml:space="preserve">Grievance escalation chain from the help section, with track, escalate, download, reopen and rate</w:t>
            </w:r>
          </w:p>
        </w:tc>
        <w:tc>
          <w:tcPr>
            <w:tcW w:w="4627" w:type="dxa"/>
          </w:tcPr>
          <w:p>
            <w:pPr>
              <w:pStyle w:val="Compact"/>
              <w:spacing w:after="40"/>
              <w:jc w:val="left"/>
            </w:pPr>
            <w:r>
              <w:rPr>
                <w:sz w:val="18"/>
              </w:rPr>
              <w:t xml:space="preserve">Part 7C UB3–UB4</w:t>
            </w:r>
          </w:p>
        </w:tc>
        <w:tc>
          <w:tcPr>
            <w:tcW w:w="1062" w:type="dxa"/>
          </w:tcPr>
          <w:p>
            <w:pPr>
              <w:pStyle w:val="Compact"/>
              <w:spacing w:after="40"/>
              <w:jc w:val="left"/>
            </w:pPr>
            <w:r>
              <w:rPr>
                <w:sz w:val="18"/>
              </w:rPr>
              <w:t xml:space="preserve">14b</w:t>
            </w:r>
          </w:p>
        </w:tc>
      </w:tr>
      <w:tr>
        <w:tc>
          <w:tcPr>
            <w:tcW w:w="1426" w:type="dxa"/>
          </w:tcPr>
          <w:p>
            <w:pPr>
              <w:pStyle w:val="Compact"/>
              <w:spacing w:after="40"/>
              <w:jc w:val="left"/>
            </w:pPr>
            <w:r>
              <w:rPr>
                <w:sz w:val="18"/>
              </w:rPr>
              <w:t xml:space="preserve">36</w:t>
            </w:r>
          </w:p>
        </w:tc>
        <w:tc>
          <w:tcPr>
            <w:tcW w:w="2523" w:type="dxa"/>
          </w:tcPr>
          <w:p>
            <w:pPr>
              <w:pStyle w:val="Compact"/>
              <w:spacing w:after="40"/>
              <w:jc w:val="left"/>
            </w:pPr>
            <w:r>
              <w:rPr>
                <w:sz w:val="18"/>
              </w:rPr>
              <w:t xml:space="preserve">PCI DSS, SOC 2 Type 1 and Type 2, ISO readiness</w:t>
            </w:r>
          </w:p>
        </w:tc>
        <w:tc>
          <w:tcPr>
            <w:tcW w:w="4627" w:type="dxa"/>
          </w:tcPr>
          <w:p>
            <w:pPr>
              <w:pStyle w:val="Compact"/>
              <w:spacing w:after="40"/>
              <w:jc w:val="left"/>
            </w:pPr>
            <w:r>
              <w:rPr>
                <w:sz w:val="18"/>
              </w:rPr>
              <w:t xml:space="preserve">Part 7H RA4.4; Part 10.8 item 25</w:t>
            </w:r>
          </w:p>
        </w:tc>
        <w:tc>
          <w:tcPr>
            <w:tcW w:w="1062" w:type="dxa"/>
          </w:tcPr>
          <w:p>
            <w:pPr>
              <w:pStyle w:val="Compact"/>
              <w:spacing w:after="40"/>
              <w:jc w:val="left"/>
            </w:pPr>
            <w:r>
              <w:rPr>
                <w:sz w:val="18"/>
              </w:rPr>
              <w:t xml:space="preserve">16c</w:t>
            </w:r>
          </w:p>
        </w:tc>
      </w:tr>
      <w:tr>
        <w:tc>
          <w:tcPr>
            <w:tcW w:w="1426" w:type="dxa"/>
          </w:tcPr>
          <w:p>
            <w:pPr>
              <w:pStyle w:val="Compact"/>
              <w:spacing w:after="40"/>
              <w:jc w:val="left"/>
            </w:pPr>
            <w:r>
              <w:rPr>
                <w:sz w:val="18"/>
              </w:rPr>
              <w:t xml:space="preserve">Owner’s instruction of 24 Oct 2026</w:t>
            </w:r>
          </w:p>
        </w:tc>
        <w:tc>
          <w:tcPr>
            <w:tcW w:w="2523" w:type="dxa"/>
          </w:tcPr>
          <w:p>
            <w:pPr>
              <w:pStyle w:val="Compact"/>
              <w:spacing w:after="40"/>
              <w:jc w:val="left"/>
            </w:pPr>
            <w:r>
              <w:rPr>
                <w:sz w:val="18"/>
              </w:rPr>
              <w:t xml:space="preserve">Improve the logic, workflows, options and menus so that better software can be built</w:t>
            </w:r>
          </w:p>
        </w:tc>
        <w:tc>
          <w:tcPr>
            <w:tcW w:w="4627" w:type="dxa"/>
          </w:tcPr>
          <w:p>
            <w:pPr>
              <w:pStyle w:val="Compact"/>
              <w:spacing w:after="40"/>
              <w:jc w:val="left"/>
            </w:pPr>
            <w:r>
              <w:rPr>
                <w:sz w:val="18"/>
              </w:rPr>
              <w:t xml:space="preserve">Tighter state machines with entry, exit, timers, owners and failure paths (for example XP2.3 insurance journey, RV2.5 plan changes with proration, RA2.3 access-grant lifecycle, RA5.5 voice-bot handover with recording consent);</w:t>
            </w:r>
            <w:r>
              <w:rPr>
                <w:sz w:val="18"/>
              </w:rPr>
              <w:t xml:space="preserve"> </w:t>
            </w:r>
            <w:r>
              <w:rPr>
                <w:rStyle w:val="VerbatimChar"/>
                <w:sz w:val="18"/>
              </w:rPr>
              <w:t xml:space="preserve">Settings and options</w:t>
            </w:r>
            <w:r>
              <w:rPr>
                <w:sz w:val="18"/>
              </w:rPr>
              <w:t xml:space="preserve"> </w:t>
            </w:r>
            <w:r>
              <w:rPr>
                <w:sz w:val="18"/>
              </w:rPr>
              <w:t xml:space="preserve">and</w:t>
            </w:r>
            <w:r>
              <w:rPr>
                <w:sz w:val="18"/>
              </w:rPr>
              <w:t xml:space="preserve"> </w:t>
            </w:r>
            <w:r>
              <w:rPr>
                <w:rStyle w:val="VerbatimChar"/>
                <w:sz w:val="18"/>
              </w:rPr>
              <w:t xml:space="preserve">Menu and screens</w:t>
            </w:r>
            <w:r>
              <w:rPr>
                <w:sz w:val="18"/>
              </w:rPr>
              <w:t xml:space="preserve"> </w:t>
            </w:r>
            <w:r>
              <w:rPr>
                <w:sz w:val="18"/>
              </w:rPr>
              <w:t xml:space="preserve">subsections in every Part 7B–7H module; Appendix G (navigation, menus, screens and settings map), referenced in HOW TO USE and produced and approved in Phase 0 (Appendix B item 42)</w:t>
            </w:r>
          </w:p>
        </w:tc>
        <w:tc>
          <w:tcPr>
            <w:tcW w:w="1062" w:type="dxa"/>
          </w:tcPr>
          <w:p>
            <w:pPr>
              <w:pStyle w:val="Compact"/>
              <w:spacing w:after="40"/>
              <w:jc w:val="left"/>
            </w:pPr>
            <w:r>
              <w:rPr>
                <w:sz w:val="18"/>
              </w:rPr>
              <w:t xml:space="preserve">0 and each v1.2 phase</w:t>
            </w:r>
          </w:p>
        </w:tc>
      </w:tr>
      <w:tr>
        <w:tc>
          <w:tcPr>
            <w:tcW w:w="1426" w:type="dxa"/>
          </w:tcPr>
          <w:p>
            <w:pPr>
              <w:pStyle w:val="Compact"/>
              <w:spacing w:after="40"/>
              <w:jc w:val="left"/>
            </w:pPr>
            <w:r>
              <w:rPr>
                <w:sz w:val="18"/>
              </w:rPr>
              <w:t xml:space="preserve">1 (part), 3, 6, 13, 16, 21, 22, 23, 29</w:t>
            </w:r>
          </w:p>
        </w:tc>
        <w:tc>
          <w:tcPr>
            <w:tcW w:w="2523" w:type="dxa"/>
          </w:tcPr>
          <w:p>
            <w:pPr>
              <w:pStyle w:val="Compact"/>
              <w:spacing w:after="40"/>
              <w:jc w:val="left"/>
            </w:pPr>
            <w:r>
              <w:rPr>
                <w:sz w:val="18"/>
              </w:rPr>
              <w:t xml:space="preserve">RBI portal filing, ICAI/ICSI, staff HRMS, client HRMS, Basel ratios, investments, ARCs, listed-company functions, IFSCA</w:t>
            </w:r>
          </w:p>
        </w:tc>
        <w:tc>
          <w:tcPr>
            <w:tcW w:w="4627" w:type="dxa"/>
          </w:tcPr>
          <w:p>
            <w:pPr>
              <w:pStyle w:val="Compact"/>
              <w:spacing w:after="40"/>
              <w:jc w:val="left"/>
            </w:pPr>
            <w:r>
              <w:rPr>
                <w:sz w:val="18"/>
              </w:rPr>
              <w:t xml:space="preserve">Lender-side or group-internal: Finbyx v1.5 or the Operations Hub v1.0. Udofin contributes data only through the Integration Specification (for item 1: the UP3 P1 CIMS DLA pack)</w:t>
            </w:r>
          </w:p>
        </w:tc>
        <w:tc>
          <w:tcPr>
            <w:tcW w:w="1062" w:type="dxa"/>
          </w:tcPr>
          <w:p>
            <w:pPr>
              <w:pStyle w:val="Compact"/>
              <w:spacing w:after="40"/>
              <w:jc w:val="left"/>
            </w:pPr>
            <w:r>
              <w:rPr>
                <w:sz w:val="18"/>
              </w:rPr>
              <w:t xml:space="preserve">—</w:t>
            </w:r>
          </w:p>
        </w:tc>
      </w:tr>
    </w:tbl>
    <w:p>
      <w:r>
        <w:pict>
          <v:rect style="width:0;height:1.5pt" o:hralign="center" o:hrstd="t" o:hr="t"/>
        </w:pict>
      </w:r>
    </w:p>
    <w:bookmarkEnd w:id="536"/>
    <w:bookmarkEnd w:id="537"/>
    <w:bookmarkStart w:id="538" w:name="X353f88d5f68d48963bc6b2e99c9c3628ee188dd"/>
    <w:p>
      <w:pPr>
        <w:pStyle w:val="Heading1"/>
      </w:pPr>
      <w:r>
        <w:t xml:space="preserve">APPENDIX F — DRAFTING SLIPS FOUND IN THE SUPPLIED RBI TEXTS</w:t>
      </w:r>
    </w:p>
    <w:p>
      <w:pPr>
        <w:pStyle w:val="FirstParagraph"/>
      </w:pPr>
      <w:r>
        <w:t xml:space="preserve">Seed</w:t>
      </w:r>
      <w:r>
        <w:t xml:space="preserve"> </w:t>
      </w:r>
      <w:r>
        <w:rPr>
          <w:rStyle w:val="VerbatimChar"/>
        </w:rPr>
        <w:t xml:space="preserve">docs/regulations/errata.md</w:t>
      </w:r>
      <w:r>
        <w:t xml:space="preserve"> </w:t>
      </w:r>
      <w:r>
        <w:t xml:space="preserve">from this list (Part 8A.0.1 rule 6). For each slip, implement the evident intent, record the interpretation, and re-check it when RBI issues a corrected or amended text.</w:t>
      </w:r>
    </w:p>
    <w:p>
      <w:pPr>
        <w:pStyle w:val="BodyText"/>
      </w:pPr>
      <w:r>
        <w:rPr>
          <w:bCs/>
          <w:b/>
        </w:rPr>
        <w:t xml:space="preserve">IRACP / RSA</w:t>
      </w:r>
    </w:p>
    <w:p>
      <w:pPr>
        <w:numPr>
          <w:ilvl w:val="0"/>
          <w:numId w:val="1535"/>
        </w:numPr>
        <w:pStyle w:val="Compact"/>
      </w:pPr>
      <w:r>
        <w:t xml:space="preserve">IRACP para 32(2)(i) says</w:t>
      </w:r>
      <w:r>
        <w:t xml:space="preserve"> </w:t>
      </w:r>
      <w:r>
        <w:t xml:space="preserve">“</w:t>
      </w:r>
      <w:r>
        <w:t xml:space="preserve">NBFC-BL</w:t>
      </w:r>
      <w:r>
        <w:t xml:space="preserve">”</w:t>
      </w:r>
      <w:r>
        <w:t xml:space="preserve"> </w:t>
      </w:r>
      <w:r>
        <w:t xml:space="preserve">in a Chapter II (all-NBFC) rule.</w:t>
      </w:r>
    </w:p>
    <w:p>
      <w:pPr>
        <w:numPr>
          <w:ilvl w:val="0"/>
          <w:numId w:val="1535"/>
        </w:numPr>
        <w:pStyle w:val="Compact"/>
      </w:pPr>
      <w:r>
        <w:t xml:space="preserve">IRACP para 5 repeats</w:t>
      </w:r>
      <w:r>
        <w:t xml:space="preserve"> </w:t>
      </w:r>
      <w:r>
        <w:t xml:space="preserve">“</w:t>
      </w:r>
      <w:r>
        <w:t xml:space="preserve">with these Directions</w:t>
      </w:r>
      <w:r>
        <w:t xml:space="preserve">”</w:t>
      </w:r>
      <w:r>
        <w:t xml:space="preserve">.</w:t>
      </w:r>
    </w:p>
    <w:p>
      <w:pPr>
        <w:numPr>
          <w:ilvl w:val="0"/>
          <w:numId w:val="1535"/>
        </w:numPr>
        <w:pStyle w:val="Compact"/>
      </w:pPr>
      <w:r>
        <w:t xml:space="preserve">RSA para 23 table: the last row repeats</w:t>
      </w:r>
      <w:r>
        <w:t xml:space="preserve"> </w:t>
      </w:r>
      <w:r>
        <w:t xml:space="preserve">“</w:t>
      </w:r>
      <w:r>
        <w:t xml:space="preserve">secured portion</w:t>
      </w:r>
      <w:r>
        <w:t xml:space="preserve">”</w:t>
      </w:r>
      <w:r>
        <w:t xml:space="preserve"> </w:t>
      </w:r>
      <w:r>
        <w:t xml:space="preserve">(evidently</w:t>
      </w:r>
      <w:r>
        <w:t xml:space="preserve"> </w:t>
      </w:r>
      <w:r>
        <w:t xml:space="preserve">“</w:t>
      </w:r>
      <w:r>
        <w:t xml:space="preserve">unsecured portion</w:t>
      </w:r>
      <w:r>
        <w:t xml:space="preserve">”</w:t>
      </w:r>
      <w:r>
        <w:t xml:space="preserve">).</w:t>
      </w:r>
    </w:p>
    <w:p>
      <w:pPr>
        <w:numPr>
          <w:ilvl w:val="0"/>
          <w:numId w:val="1535"/>
        </w:numPr>
        <w:pStyle w:val="Compact"/>
      </w:pPr>
      <w:r>
        <w:t xml:space="preserve">RSA para 66 cites para 63 for the additional specific provisions (evidently para 64).</w:t>
      </w:r>
    </w:p>
    <w:p>
      <w:pPr>
        <w:numPr>
          <w:ilvl w:val="0"/>
          <w:numId w:val="1535"/>
        </w:numPr>
        <w:pStyle w:val="Compact"/>
      </w:pPr>
      <w:r>
        <w:t xml:space="preserve">RSA para 72 cites para 70 for the freeze period, which is set in para 69.</w:t>
      </w:r>
    </w:p>
    <w:p>
      <w:pPr>
        <w:numPr>
          <w:ilvl w:val="0"/>
          <w:numId w:val="1535"/>
        </w:numPr>
        <w:pStyle w:val="Compact"/>
      </w:pPr>
      <w:r>
        <w:t xml:space="preserve">RSA para 84 contains the artefact “_bookmark20”.</w:t>
      </w:r>
    </w:p>
    <w:p>
      <w:pPr>
        <w:numPr>
          <w:ilvl w:val="0"/>
          <w:numId w:val="1535"/>
        </w:numPr>
        <w:pStyle w:val="Compact"/>
      </w:pPr>
      <w:r>
        <w:t xml:space="preserve">RSA para 108 says CRILC instructions</w:t>
      </w:r>
      <w:r>
        <w:t xml:space="preserve"> </w:t>
      </w:r>
      <w:r>
        <w:t xml:space="preserve">“</w:t>
      </w:r>
      <w:r>
        <w:t xml:space="preserve">as per paragraph 107</w:t>
      </w:r>
      <w:r>
        <w:t xml:space="preserve">”</w:t>
      </w:r>
      <w:r>
        <w:t xml:space="preserve">, which covers consortium intimation.</w:t>
      </w:r>
    </w:p>
    <w:p>
      <w:pPr>
        <w:numPr>
          <w:ilvl w:val="0"/>
          <w:numId w:val="1535"/>
        </w:numPr>
        <w:pStyle w:val="Compact"/>
      </w:pPr>
      <w:r>
        <w:t xml:space="preserve">RSA para 138 is truncated in the official PDF (text reads only</w:t>
      </w:r>
      <w:r>
        <w:t xml:space="preserve"> </w:t>
      </w:r>
      <w:r>
        <w:t xml:space="preserve">“</w:t>
      </w:r>
      <w:r>
        <w:t xml:space="preserve">A</w:t>
      </w:r>
      <w:r>
        <w:t xml:space="preserve">”</w:t>
      </w:r>
      <w:r>
        <w:t xml:space="preserve">).</w:t>
      </w:r>
    </w:p>
    <w:p>
      <w:pPr>
        <w:numPr>
          <w:ilvl w:val="0"/>
          <w:numId w:val="1535"/>
        </w:numPr>
        <w:pStyle w:val="Compact"/>
      </w:pPr>
      <w:r>
        <w:t xml:space="preserve">RSA Part B uses</w:t>
      </w:r>
      <w:r>
        <w:t xml:space="preserve"> </w:t>
      </w:r>
      <w:r>
        <w:t xml:space="preserve">“</w:t>
      </w:r>
      <w:r>
        <w:t xml:space="preserve">compromise settlement</w:t>
      </w:r>
      <w:r>
        <w:t xml:space="preserve">”</w:t>
      </w:r>
      <w:r>
        <w:t xml:space="preserve"> </w:t>
      </w:r>
      <w:r>
        <w:t xml:space="preserve">without defining it (definition is Part A para 10(2), not applied by para 157).</w:t>
      </w:r>
    </w:p>
    <w:p>
      <w:pPr>
        <w:pStyle w:val="FirstParagraph"/>
      </w:pPr>
      <w:r>
        <w:rPr>
          <w:bCs/>
          <w:b/>
        </w:rPr>
        <w:t xml:space="preserve">RBC / WD</w:t>
      </w:r>
    </w:p>
    <w:p>
      <w:pPr>
        <w:numPr>
          <w:ilvl w:val="0"/>
          <w:numId w:val="1536"/>
        </w:numPr>
        <w:pStyle w:val="Compact"/>
      </w:pPr>
      <w:r>
        <w:t xml:space="preserve">RBC para 37:</w:t>
      </w:r>
      <w:r>
        <w:t xml:space="preserve"> </w:t>
      </w:r>
      <w:r>
        <w:t xml:space="preserve">“</w:t>
      </w:r>
      <w:r>
        <w:t xml:space="preserve">sanction letters issued on or December 1, 2023</w:t>
      </w:r>
      <w:r>
        <w:t xml:space="preserve">”</w:t>
      </w:r>
      <w:r>
        <w:t xml:space="preserve"> </w:t>
      </w:r>
      <w:r>
        <w:t xml:space="preserve">(word</w:t>
      </w:r>
      <w:r>
        <w:t xml:space="preserve"> </w:t>
      </w:r>
      <w:r>
        <w:t xml:space="preserve">“</w:t>
      </w:r>
      <w:r>
        <w:t xml:space="preserve">after</w:t>
      </w:r>
      <w:r>
        <w:t xml:space="preserve">”</w:t>
      </w:r>
      <w:r>
        <w:t xml:space="preserve"> </w:t>
      </w:r>
      <w:r>
        <w:t xml:space="preserve">missing).</w:t>
      </w:r>
    </w:p>
    <w:p>
      <w:pPr>
        <w:numPr>
          <w:ilvl w:val="0"/>
          <w:numId w:val="1536"/>
        </w:numPr>
        <w:pStyle w:val="Compact"/>
      </w:pPr>
      <w:r>
        <w:t xml:space="preserve">RBC para 31(3) Note:</w:t>
      </w:r>
      <w:r>
        <w:t xml:space="preserve"> </w:t>
      </w:r>
      <w:r>
        <w:t xml:space="preserve">“</w:t>
      </w:r>
      <w:r>
        <w:t xml:space="preserve">where such an option is provided by the bank</w:t>
      </w:r>
      <w:r>
        <w:t xml:space="preserve">”</w:t>
      </w:r>
      <w:r>
        <w:t xml:space="preserve"> </w:t>
      </w:r>
      <w:r>
        <w:t xml:space="preserve">(should read NBFC).</w:t>
      </w:r>
    </w:p>
    <w:p>
      <w:pPr>
        <w:numPr>
          <w:ilvl w:val="0"/>
          <w:numId w:val="1536"/>
        </w:numPr>
        <w:pStyle w:val="Compact"/>
      </w:pPr>
      <w:r>
        <w:t xml:space="preserve">RBC para 43: unclosed parenthesis</w:t>
      </w:r>
      <w:r>
        <w:t xml:space="preserve"> </w:t>
      </w:r>
      <w:r>
        <w:t xml:space="preserve">“</w:t>
      </w:r>
      <w:r>
        <w:t xml:space="preserve">(and timeline for serving an auction notice…</w:t>
      </w:r>
      <w:r>
        <w:t xml:space="preserve">”</w:t>
      </w:r>
      <w:r>
        <w:t xml:space="preserve">.</w:t>
      </w:r>
    </w:p>
    <w:p>
      <w:pPr>
        <w:numPr>
          <w:ilvl w:val="0"/>
          <w:numId w:val="1536"/>
        </w:numPr>
        <w:pStyle w:val="Compact"/>
      </w:pPr>
      <w:r>
        <w:t xml:space="preserve">RBC para 6(9): defines microfinance loan by reference to an</w:t>
      </w:r>
      <w:r>
        <w:t xml:space="preserve"> </w:t>
      </w:r>
      <w:r>
        <w:t xml:space="preserve">“</w:t>
      </w:r>
      <w:r>
        <w:t xml:space="preserve">NBFC – Microfinance Institution Directions, 2025</w:t>
      </w:r>
      <w:r>
        <w:t xml:space="preserve">”</w:t>
      </w:r>
      <w:r>
        <w:t xml:space="preserve">, whereas microfinance rules sit in CF Ch V [VERIFY].</w:t>
      </w:r>
    </w:p>
    <w:p>
      <w:pPr>
        <w:numPr>
          <w:ilvl w:val="0"/>
          <w:numId w:val="1536"/>
        </w:numPr>
        <w:pStyle w:val="Compact"/>
      </w:pPr>
      <w:r>
        <w:t xml:space="preserve">RBC paras 89–97 (recovery and agent rules) sit under Section H (microfinance), while para 100 excludes microfinance loans; the general agent rules are in paras 98–100 only.</w:t>
      </w:r>
    </w:p>
    <w:p>
      <w:pPr>
        <w:numPr>
          <w:ilvl w:val="0"/>
          <w:numId w:val="1536"/>
        </w:numPr>
        <w:pStyle w:val="Compact"/>
      </w:pPr>
      <w:r>
        <w:t xml:space="preserve">WD Annex I field 10: valid values list</w:t>
      </w:r>
      <w:r>
        <w:t xml:space="preserve"> </w:t>
      </w:r>
      <w:r>
        <w:t xml:space="preserve">“</w:t>
      </w:r>
      <w:r>
        <w:t xml:space="preserve">01 - Suit filed</w:t>
      </w:r>
      <w:r>
        <w:t xml:space="preserve">”</w:t>
      </w:r>
      <w:r>
        <w:t xml:space="preserve"> </w:t>
      </w:r>
      <w:r>
        <w:t xml:space="preserve">and</w:t>
      </w:r>
      <w:r>
        <w:t xml:space="preserve"> </w:t>
      </w:r>
      <w:r>
        <w:t xml:space="preserve">“</w:t>
      </w:r>
      <w:r>
        <w:t xml:space="preserve">– Non-Suit Filed</w:t>
      </w:r>
      <w:r>
        <w:t xml:space="preserve">”</w:t>
      </w:r>
      <w:r>
        <w:t xml:space="preserve"> </w:t>
      </w:r>
      <w:r>
        <w:t xml:space="preserve">without the code</w:t>
      </w:r>
      <w:r>
        <w:t xml:space="preserve"> </w:t>
      </w:r>
      <w:r>
        <w:t xml:space="preserve">“</w:t>
      </w:r>
      <w:r>
        <w:t xml:space="preserve">02</w:t>
      </w:r>
      <w:r>
        <w:t xml:space="preserve">”</w:t>
      </w:r>
      <w:r>
        <w:t xml:space="preserve"> </w:t>
      </w:r>
      <w:r>
        <w:t xml:space="preserve">(Annex II shows 02).</w:t>
      </w:r>
    </w:p>
    <w:p>
      <w:pPr>
        <w:numPr>
          <w:ilvl w:val="0"/>
          <w:numId w:val="1536"/>
        </w:numPr>
        <w:pStyle w:val="Compact"/>
      </w:pPr>
      <w:r>
        <w:t xml:space="preserve">WD Annex I: field 11 uses</w:t>
      </w:r>
      <w:r>
        <w:t xml:space="preserve"> </w:t>
      </w:r>
      <w:r>
        <w:t xml:space="preserve">“</w:t>
      </w:r>
      <w:r>
        <w:t xml:space="preserve">SUBST</w:t>
      </w:r>
      <w:r>
        <w:t xml:space="preserve">”</w:t>
      </w:r>
      <w:r>
        <w:t xml:space="preserve"> </w:t>
      </w:r>
      <w:r>
        <w:t xml:space="preserve">and field 12 uses</w:t>
      </w:r>
      <w:r>
        <w:t xml:space="preserve"> </w:t>
      </w:r>
      <w:r>
        <w:t xml:space="preserve">“</w:t>
      </w:r>
      <w:r>
        <w:t xml:space="preserve">SUBSTD</w:t>
      </w:r>
      <w:r>
        <w:t xml:space="preserve">”</w:t>
      </w:r>
      <w:r>
        <w:t xml:space="preserve">.</w:t>
      </w:r>
    </w:p>
    <w:p>
      <w:pPr>
        <w:numPr>
          <w:ilvl w:val="0"/>
          <w:numId w:val="1536"/>
        </w:numPr>
        <w:pStyle w:val="Compact"/>
      </w:pPr>
      <w:r>
        <w:t xml:space="preserve">WD Annex II: field numbering skips 17 (16 → 18).</w:t>
      </w:r>
    </w:p>
    <w:p>
      <w:pPr>
        <w:numPr>
          <w:ilvl w:val="0"/>
          <w:numId w:val="1536"/>
        </w:numPr>
        <w:pStyle w:val="Compact"/>
      </w:pPr>
      <w:r>
        <w:t xml:space="preserve">WD para 5(15) requires non-whole-time/independent/nominee directors to be flagged in Annex II, but Annex II has no such field, and the Annex I note excludes them.</w:t>
      </w:r>
    </w:p>
    <w:p>
      <w:pPr>
        <w:numPr>
          <w:ilvl w:val="0"/>
          <w:numId w:val="1536"/>
        </w:numPr>
        <w:pStyle w:val="Compact"/>
      </w:pPr>
      <w:r>
        <w:t xml:space="preserve">WD para 3(1)(xii)(e): cites the SBR</w:t>
      </w:r>
      <w:r>
        <w:t xml:space="preserve"> </w:t>
      </w:r>
      <w:r>
        <w:t xml:space="preserve">“</w:t>
      </w:r>
      <w:r>
        <w:t xml:space="preserve">Guidelines, 2025</w:t>
      </w:r>
      <w:r>
        <w:t xml:space="preserve">”</w:t>
      </w:r>
      <w:r>
        <w:t xml:space="preserve"> </w:t>
      </w:r>
      <w:r>
        <w:t xml:space="preserve">(the instrument is a Directions).</w:t>
      </w:r>
    </w:p>
    <w:p>
      <w:pPr>
        <w:numPr>
          <w:ilvl w:val="0"/>
          <w:numId w:val="1536"/>
        </w:numPr>
        <w:pStyle w:val="Compact"/>
      </w:pPr>
      <w:r>
        <w:t xml:space="preserve">WD para 21(1): cites the</w:t>
      </w:r>
      <w:r>
        <w:t xml:space="preserve"> </w:t>
      </w:r>
      <w:r>
        <w:t xml:space="preserve">“</w:t>
      </w:r>
      <w:r>
        <w:t xml:space="preserve">Fraud Risk Management in NBFCs Directions, 2024</w:t>
      </w:r>
      <w:r>
        <w:t xml:space="preserve">”</w:t>
      </w:r>
      <w:r>
        <w:t xml:space="preserve"> </w:t>
      </w:r>
      <w:r>
        <w:t xml:space="preserve">(now RBI/DoS/2026-27/463, 2026).</w:t>
      </w:r>
    </w:p>
    <w:p>
      <w:pPr>
        <w:pStyle w:val="FirstParagraph"/>
      </w:pPr>
      <w:r>
        <w:rPr>
          <w:bCs/>
          <w:b/>
        </w:rPr>
        <w:t xml:space="preserve">KYC</w:t>
      </w:r>
    </w:p>
    <w:p>
      <w:pPr>
        <w:numPr>
          <w:ilvl w:val="0"/>
          <w:numId w:val="1537"/>
        </w:numPr>
        <w:pStyle w:val="Compact"/>
      </w:pPr>
      <w:r>
        <w:t xml:space="preserve">KYC para 23 proviso (v) and para 27(2)(vi)(c) refer to</w:t>
      </w:r>
      <w:r>
        <w:t xml:space="preserve"> </w:t>
      </w:r>
      <w:r>
        <w:t xml:space="preserve">“</w:t>
      </w:r>
      <w:r>
        <w:t xml:space="preserve">paragraph 62</w:t>
      </w:r>
      <w:r>
        <w:t xml:space="preserve">”</w:t>
      </w:r>
      <w:r>
        <w:t xml:space="preserve"> </w:t>
      </w:r>
      <w:r>
        <w:t xml:space="preserve">for CKYCR. CKYCR is para 63; para 62 is FCRA.</w:t>
      </w:r>
    </w:p>
    <w:p>
      <w:pPr>
        <w:numPr>
          <w:ilvl w:val="0"/>
          <w:numId w:val="1537"/>
        </w:numPr>
        <w:pStyle w:val="Compact"/>
      </w:pPr>
      <w:r>
        <w:t xml:space="preserve">KYC para 63(7) refers to</w:t>
      </w:r>
      <w:r>
        <w:t xml:space="preserve"> </w:t>
      </w:r>
      <w:r>
        <w:t xml:space="preserve">“</w:t>
      </w:r>
      <w:r>
        <w:t xml:space="preserve">clauses (5) and (6)</w:t>
      </w:r>
      <w:r>
        <w:t xml:space="preserve">”</w:t>
      </w:r>
      <w:r>
        <w:t xml:space="preserve"> </w:t>
      </w:r>
      <w:r>
        <w:t xml:space="preserve">for the 1 Apr 2017 / 1 Apr 2021 cut-off dates; they are in clauses (4) and (5). It also cites a</w:t>
      </w:r>
      <w:r>
        <w:t xml:space="preserve"> </w:t>
      </w:r>
      <w:r>
        <w:t xml:space="preserve">“</w:t>
      </w:r>
      <w:r>
        <w:t xml:space="preserve">clause (10)</w:t>
      </w:r>
      <w:r>
        <w:t xml:space="preserve">”</w:t>
      </w:r>
      <w:r>
        <w:t xml:space="preserve"> </w:t>
      </w:r>
      <w:r>
        <w:t xml:space="preserve">that does not exist (para 63 has nine clauses).</w:t>
      </w:r>
    </w:p>
    <w:p>
      <w:pPr>
        <w:numPr>
          <w:ilvl w:val="0"/>
          <w:numId w:val="1537"/>
        </w:numPr>
        <w:pStyle w:val="Compact"/>
      </w:pPr>
      <w:r>
        <w:t xml:space="preserve">KYC para 28(vi)–(vii) say</w:t>
      </w:r>
      <w:r>
        <w:t xml:space="preserve"> </w:t>
      </w:r>
      <w:r>
        <w:t xml:space="preserve">“</w:t>
      </w:r>
      <w:r>
        <w:t xml:space="preserve">Directions (4) and (5)</w:t>
      </w:r>
      <w:r>
        <w:t xml:space="preserve">”</w:t>
      </w:r>
      <w:r>
        <w:t xml:space="preserve"> </w:t>
      </w:r>
      <w:r>
        <w:t xml:space="preserve">where they mean clauses (iv) and (v) of para 28.</w:t>
      </w:r>
    </w:p>
    <w:p>
      <w:pPr>
        <w:numPr>
          <w:ilvl w:val="0"/>
          <w:numId w:val="1537"/>
        </w:numPr>
        <w:pStyle w:val="Compact"/>
      </w:pPr>
      <w:r>
        <w:t xml:space="preserve">Annex I (MHA UAPA Order) numbering skips para 3.3; the Order also cites</w:t>
      </w:r>
      <w:r>
        <w:t xml:space="preserve"> </w:t>
      </w:r>
      <w:r>
        <w:t xml:space="preserve">“</w:t>
      </w:r>
      <w:r>
        <w:t xml:space="preserve">Para 4(i)</w:t>
      </w:r>
      <w:r>
        <w:t xml:space="preserve">”</w:t>
      </w:r>
      <w:r>
        <w:t xml:space="preserve"> </w:t>
      </w:r>
      <w:r>
        <w:t xml:space="preserve">and</w:t>
      </w:r>
      <w:r>
        <w:t xml:space="preserve"> </w:t>
      </w:r>
      <w:r>
        <w:t xml:space="preserve">“</w:t>
      </w:r>
      <w:r>
        <w:t xml:space="preserve">Paragraph 5 (i)</w:t>
      </w:r>
      <w:r>
        <w:t xml:space="preserve">”</w:t>
      </w:r>
      <w:r>
        <w:t xml:space="preserve">, which do not exist in that form. These are reproduced Government text; no software impact.</w:t>
      </w:r>
    </w:p>
    <w:p>
      <w:pPr>
        <w:pStyle w:val="FirstParagraph"/>
      </w:pPr>
      <w:r>
        <w:rPr>
          <w:bCs/>
          <w:b/>
        </w:rPr>
        <w:t xml:space="preserve">TDCR / SEC</w:t>
      </w:r>
    </w:p>
    <w:p>
      <w:pPr>
        <w:numPr>
          <w:ilvl w:val="0"/>
          <w:numId w:val="1538"/>
        </w:numPr>
        <w:pStyle w:val="Compact"/>
      </w:pPr>
      <w:r>
        <w:rPr>
          <w:bCs/>
          <w:b/>
        </w:rPr>
        <w:t xml:space="preserve">TDCR para 2, second proviso vs para 96:</w:t>
      </w:r>
      <w:r>
        <w:t xml:space="preserve"> </w:t>
      </w:r>
      <w:r>
        <w:t xml:space="preserve">para 2 defines existing CLAs as those</w:t>
      </w:r>
      <w:r>
        <w:t xml:space="preserve"> </w:t>
      </w:r>
      <w:r>
        <w:t xml:space="preserve">“</w:t>
      </w:r>
      <w:r>
        <w:t xml:space="preserve">executed before August 06, 2025</w:t>
      </w:r>
      <w:r>
        <w:t xml:space="preserve">”</w:t>
      </w:r>
      <w:r>
        <w:t xml:space="preserve">; para 96 says</w:t>
      </w:r>
      <w:r>
        <w:t xml:space="preserve"> </w:t>
      </w:r>
      <w:r>
        <w:t xml:space="preserve">“</w:t>
      </w:r>
      <w:r>
        <w:t xml:space="preserve">executed before the date of issuance of these Directions</w:t>
      </w:r>
      <w:r>
        <w:t xml:space="preserve">”</w:t>
      </w:r>
      <w:r>
        <w:t xml:space="preserve"> </w:t>
      </w:r>
      <w:r>
        <w:t xml:space="preserve">(28 Nov 2025). Implement: CLAs entered into before the effective date follow the earlier rules, and record both dates.</w:t>
      </w:r>
    </w:p>
    <w:p>
      <w:pPr>
        <w:numPr>
          <w:ilvl w:val="0"/>
          <w:numId w:val="1538"/>
        </w:numPr>
        <w:pStyle w:val="Compact"/>
      </w:pPr>
      <w:r>
        <w:rPr>
          <w:bCs/>
          <w:b/>
        </w:rPr>
        <w:t xml:space="preserve">TDCR para 83 proviso:</w:t>
      </w:r>
      <w:r>
        <w:t xml:space="preserve"> </w:t>
      </w:r>
      <w:r>
        <w:t xml:space="preserve">cross-refers to</w:t>
      </w:r>
      <w:r>
        <w:t xml:space="preserve"> </w:t>
      </w:r>
      <w:r>
        <w:t xml:space="preserve">“</w:t>
      </w:r>
      <w:r>
        <w:t xml:space="preserve">sub-clause (a)</w:t>
      </w:r>
      <w:r>
        <w:t xml:space="preserve">”</w:t>
      </w:r>
      <w:r>
        <w:t xml:space="preserve">, but the items are numbered (i)–(iv). It is a legacy 2021 transition running to FY 2025-26.</w:t>
      </w:r>
    </w:p>
    <w:p>
      <w:pPr>
        <w:numPr>
          <w:ilvl w:val="0"/>
          <w:numId w:val="1538"/>
        </w:numPr>
        <w:pStyle w:val="Compact"/>
      </w:pPr>
      <w:r>
        <w:rPr>
          <w:bCs/>
          <w:b/>
        </w:rPr>
        <w:t xml:space="preserve">TDCR:</w:t>
      </w:r>
      <w:r>
        <w:t xml:space="preserve"> </w:t>
      </w:r>
      <w:r>
        <w:t xml:space="preserve">paras 1–2 read</w:t>
      </w:r>
      <w:r>
        <w:t xml:space="preserve"> </w:t>
      </w:r>
      <w:r>
        <w:t xml:space="preserve">“</w:t>
      </w:r>
      <w:r>
        <w:t xml:space="preserve">Reserve Bank of India of India</w:t>
      </w:r>
      <w:r>
        <w:t xml:space="preserve">”</w:t>
      </w:r>
      <w:r>
        <w:t xml:space="preserve">; para 95 refers to</w:t>
      </w:r>
      <w:r>
        <w:t xml:space="preserve"> </w:t>
      </w:r>
      <w:r>
        <w:t xml:space="preserve">“</w:t>
      </w:r>
      <w:r>
        <w:t xml:space="preserve">a RE</w:t>
      </w:r>
      <w:r>
        <w:t xml:space="preserve">”</w:t>
      </w:r>
      <w:r>
        <w:t xml:space="preserve">; para 92(2) has</w:t>
      </w:r>
      <w:r>
        <w:t xml:space="preserve"> </w:t>
      </w:r>
      <w:r>
        <w:t xml:space="preserve">“</w:t>
      </w:r>
      <w:r>
        <w:t xml:space="preserve">perspective buyers</w:t>
      </w:r>
      <w:r>
        <w:t xml:space="preserve">”</w:t>
      </w:r>
      <w:r>
        <w:t xml:space="preserve">.</w:t>
      </w:r>
    </w:p>
    <w:p>
      <w:pPr>
        <w:numPr>
          <w:ilvl w:val="0"/>
          <w:numId w:val="1538"/>
        </w:numPr>
        <w:pStyle w:val="Compact"/>
      </w:pPr>
      <w:r>
        <w:rPr>
          <w:bCs/>
          <w:b/>
        </w:rPr>
        <w:t xml:space="preserve">SEC para 84(3):</w:t>
      </w:r>
      <w:r>
        <w:t xml:space="preserve"> </w:t>
      </w:r>
      <w:r>
        <w:t xml:space="preserve">reads</w:t>
      </w:r>
      <w:r>
        <w:t xml:space="preserve"> </w:t>
      </w:r>
      <w:r>
        <w:t xml:space="preserve">“</w:t>
      </w:r>
      <w:r>
        <w:t xml:space="preserve">rest</w:t>
      </w:r>
      <w:r>
        <w:t xml:space="preserve">”</w:t>
      </w:r>
      <w:r>
        <w:t xml:space="preserve"> </w:t>
      </w:r>
      <w:r>
        <w:t xml:space="preserve">for</w:t>
      </w:r>
      <w:r>
        <w:t xml:space="preserve"> </w:t>
      </w:r>
      <w:r>
        <w:t xml:space="preserve">“</w:t>
      </w:r>
      <w:r>
        <w:t xml:space="preserve">reset</w:t>
      </w:r>
      <w:r>
        <w:t xml:space="preserve">”</w:t>
      </w:r>
      <w:r>
        <w:t xml:space="preserve">.</w:t>
      </w:r>
    </w:p>
    <w:p>
      <w:pPr>
        <w:numPr>
          <w:ilvl w:val="0"/>
          <w:numId w:val="1538"/>
        </w:numPr>
        <w:pStyle w:val="Compact"/>
      </w:pPr>
      <w:r>
        <w:rPr>
          <w:bCs/>
          <w:b/>
        </w:rPr>
        <w:t xml:space="preserve">SEC para 114:</w:t>
      </w:r>
      <w:r>
        <w:t xml:space="preserve"> </w:t>
      </w:r>
      <w:r>
        <w:t xml:space="preserve">omits</w:t>
      </w:r>
      <w:r>
        <w:t xml:space="preserve"> </w:t>
      </w:r>
      <w:r>
        <w:t xml:space="preserve">“</w:t>
      </w:r>
      <w:r>
        <w:t xml:space="preserve">2025</w:t>
      </w:r>
      <w:r>
        <w:t xml:space="preserve">”</w:t>
      </w:r>
      <w:r>
        <w:t xml:space="preserve"> </w:t>
      </w:r>
      <w:r>
        <w:t xml:space="preserve">from the FS Directions title.</w:t>
      </w:r>
    </w:p>
    <w:p>
      <w:pPr>
        <w:numPr>
          <w:ilvl w:val="0"/>
          <w:numId w:val="1538"/>
        </w:numPr>
        <w:pStyle w:val="Compact"/>
      </w:pPr>
      <w:r>
        <w:rPr>
          <w:bCs/>
          <w:b/>
        </w:rPr>
        <w:t xml:space="preserve">SEC para 4(10) vs TDCR para 12(4):</w:t>
      </w:r>
      <w:r>
        <w:t xml:space="preserve"> </w:t>
      </w:r>
      <w:r>
        <w:t xml:space="preserve">the SEC AIFI list omits NaBFID; TDCR includes it. Treat as intended; do not harmonise.</w:t>
      </w:r>
    </w:p>
    <w:p>
      <w:pPr>
        <w:pStyle w:val="FirstParagraph"/>
      </w:pPr>
      <w:r>
        <w:rPr>
          <w:bCs/>
          <w:b/>
        </w:rPr>
        <w:t xml:space="preserve">CAP / SBR / DIV / MISC</w:t>
      </w:r>
    </w:p>
    <w:p>
      <w:pPr>
        <w:numPr>
          <w:ilvl w:val="0"/>
          <w:numId w:val="1539"/>
        </w:numPr>
        <w:pStyle w:val="Compact"/>
      </w:pPr>
      <w:r>
        <w:t xml:space="preserve">CAP 12(8)(iii) refers to</w:t>
      </w:r>
      <w:r>
        <w:t xml:space="preserve"> </w:t>
      </w:r>
      <w:r>
        <w:t xml:space="preserve">“</w:t>
      </w:r>
      <w:r>
        <w:t xml:space="preserve">paragraph 8(i)</w:t>
      </w:r>
      <w:r>
        <w:t xml:space="preserve">”</w:t>
      </w:r>
      <w:r>
        <w:t xml:space="preserve"> </w:t>
      </w:r>
      <w:r>
        <w:t xml:space="preserve">(para 8 is CET1 deductions); the intended cross-reference is within 12(8).</w:t>
      </w:r>
    </w:p>
    <w:p>
      <w:pPr>
        <w:numPr>
          <w:ilvl w:val="0"/>
          <w:numId w:val="1539"/>
        </w:numPr>
        <w:pStyle w:val="Compact"/>
      </w:pPr>
      <w:r>
        <w:t xml:space="preserve">CAP 18(9)(iii) refers to</w:t>
      </w:r>
      <w:r>
        <w:t xml:space="preserve"> </w:t>
      </w:r>
      <w:r>
        <w:t xml:space="preserve">“</w:t>
      </w:r>
      <w:r>
        <w:t xml:space="preserve">8(i) and 8(ii)</w:t>
      </w:r>
      <w:r>
        <w:t xml:space="preserve">”</w:t>
      </w:r>
      <w:r>
        <w:t xml:space="preserve">; it means 18(9)(i)–(ii).</w:t>
      </w:r>
    </w:p>
    <w:p>
      <w:pPr>
        <w:numPr>
          <w:ilvl w:val="0"/>
          <w:numId w:val="1539"/>
        </w:numPr>
        <w:pStyle w:val="Compact"/>
      </w:pPr>
      <w:r>
        <w:t xml:space="preserve">CAP 50 refers to</w:t>
      </w:r>
      <w:r>
        <w:t xml:space="preserve"> </w:t>
      </w:r>
      <w:r>
        <w:t xml:space="preserve">“</w:t>
      </w:r>
      <w:r>
        <w:t xml:space="preserve">paragraph 44</w:t>
      </w:r>
      <w:r>
        <w:t xml:space="preserve">”</w:t>
      </w:r>
      <w:r>
        <w:t xml:space="preserve"> </w:t>
      </w:r>
      <w:r>
        <w:t xml:space="preserve">for the thickness adjustment; the formula is in para 45.</w:t>
      </w:r>
    </w:p>
    <w:p>
      <w:pPr>
        <w:numPr>
          <w:ilvl w:val="0"/>
          <w:numId w:val="1539"/>
        </w:numPr>
        <w:pStyle w:val="Compact"/>
      </w:pPr>
      <w:r>
        <w:t xml:space="preserve">CAP 18(1) places the Sr (2)(e) infrastructure loans under the</w:t>
      </w:r>
      <w:r>
        <w:t xml:space="preserve"> </w:t>
      </w:r>
      <w:r>
        <w:t xml:space="preserve">“</w:t>
      </w:r>
      <w:r>
        <w:t xml:space="preserve">Investments</w:t>
      </w:r>
      <w:r>
        <w:t xml:space="preserve">”</w:t>
      </w:r>
      <w:r>
        <w:t xml:space="preserve"> </w:t>
      </w:r>
      <w:r>
        <w:t xml:space="preserve">heading.</w:t>
      </w:r>
    </w:p>
    <w:p>
      <w:pPr>
        <w:numPr>
          <w:ilvl w:val="0"/>
          <w:numId w:val="1539"/>
        </w:numPr>
        <w:pStyle w:val="Compact"/>
      </w:pPr>
      <w:r>
        <w:t xml:space="preserve">DIV para 3 numbers item (x) twice; para 11 numbers item (i) twice; para 7 says</w:t>
      </w:r>
      <w:r>
        <w:t xml:space="preserve"> </w:t>
      </w:r>
      <w:r>
        <w:t xml:space="preserve">“</w:t>
      </w:r>
      <w:r>
        <w:t xml:space="preserve">this Master Direction</w:t>
      </w:r>
      <w:r>
        <w:t xml:space="preserve">”</w:t>
      </w:r>
      <w:r>
        <w:t xml:space="preserve">.</w:t>
      </w:r>
    </w:p>
    <w:p>
      <w:pPr>
        <w:pStyle w:val="FirstParagraph"/>
      </w:pPr>
      <w:r>
        <w:rPr>
          <w:bCs/>
          <w:b/>
        </w:rPr>
        <w:t xml:space="preserve">CF / GOV / OUT / ORM</w:t>
      </w:r>
    </w:p>
    <w:p>
      <w:pPr>
        <w:numPr>
          <w:ilvl w:val="0"/>
          <w:numId w:val="1540"/>
        </w:numPr>
        <w:pStyle w:val="Compact"/>
      </w:pPr>
      <w:r>
        <w:t xml:space="preserve">CF para 62(2) cites a</w:t>
      </w:r>
      <w:r>
        <w:t xml:space="preserve"> </w:t>
      </w:r>
      <w:r>
        <w:t xml:space="preserve">“</w:t>
      </w:r>
      <w:r>
        <w:t xml:space="preserve">Reserve Bank of India (NBFCs – Management of Third-Party Dependencies) Directions, 2025</w:t>
      </w:r>
      <w:r>
        <w:t xml:space="preserve">”</w:t>
      </w:r>
      <w:r>
        <w:t xml:space="preserve">. No such Direction exists; the correct reference is OUT 363 (</w:t>
      </w:r>
      <w:r>
        <w:t xml:space="preserve">“</w:t>
      </w:r>
      <w:r>
        <w:t xml:space="preserve">Managing Risks in Outsourcing</w:t>
      </w:r>
      <w:r>
        <w:t xml:space="preserve">”</w:t>
      </w:r>
      <w:r>
        <w:t xml:space="preserve">; para 1), which CF para 6(6) cites correctly.</w:t>
      </w:r>
    </w:p>
    <w:p>
      <w:pPr>
        <w:numPr>
          <w:ilvl w:val="0"/>
          <w:numId w:val="1540"/>
        </w:numPr>
        <w:pStyle w:val="Compact"/>
      </w:pPr>
      <w:r>
        <w:t xml:space="preserve">GOV para 17(2) takes the IS audit periodicity from the Outsourcing Directions, which prescribe none. Use CYB para 56 for BL ≥ ₹500 crore (at least once a year, preferably before the statutory audit); ML and above set the periodicity in their IS Audit Policy (CYB para 150).</w:t>
      </w:r>
    </w:p>
    <w:p>
      <w:pPr>
        <w:numPr>
          <w:ilvl w:val="0"/>
          <w:numId w:val="1540"/>
        </w:numPr>
        <w:pStyle w:val="Compact"/>
      </w:pPr>
      <w:r>
        <w:t xml:space="preserve">OUT para 4(2)(i) and para 5(1) cross-refer to para 58(1)/(2)</w:t>
      </w:r>
      <w:r>
        <w:t xml:space="preserve"> </w:t>
      </w:r>
      <w:r>
        <w:t xml:space="preserve">“</w:t>
      </w:r>
      <w:r>
        <w:t xml:space="preserve">above</w:t>
      </w:r>
      <w:r>
        <w:t xml:space="preserve">”</w:t>
      </w:r>
      <w:r>
        <w:t xml:space="preserve">; para 58 comes later.</w:t>
      </w:r>
    </w:p>
    <w:p>
      <w:pPr>
        <w:numPr>
          <w:ilvl w:val="0"/>
          <w:numId w:val="1540"/>
        </w:numPr>
        <w:pStyle w:val="Compact"/>
      </w:pPr>
      <w:r>
        <w:t xml:space="preserve">OUT para 6(2) defines</w:t>
      </w:r>
      <w:r>
        <w:t xml:space="preserve"> </w:t>
      </w:r>
      <w:r>
        <w:t xml:space="preserve">“</w:t>
      </w:r>
      <w:r>
        <w:t xml:space="preserve">Group</w:t>
      </w:r>
      <w:r>
        <w:t xml:space="preserve">”</w:t>
      </w:r>
      <w:r>
        <w:t xml:space="preserve"> </w:t>
      </w:r>
      <w:r>
        <w:t xml:space="preserve">by reference to the Reserve Bank of India (Commercial Banks – Concentration Risk Management) Directions, 2025, not the NBFC Directions. NBFC CON 351 contains no</w:t>
      </w:r>
      <w:r>
        <w:t xml:space="preserve"> </w:t>
      </w:r>
      <w:r>
        <w:t xml:space="preserve">“</w:t>
      </w:r>
      <w:r>
        <w:t xml:space="preserve">group</w:t>
      </w:r>
      <w:r>
        <w:t xml:space="preserve">”</w:t>
      </w:r>
      <w:r>
        <w:t xml:space="preserve"> </w:t>
      </w:r>
      <w:r>
        <w:t xml:space="preserve">definition [VERIFY the Commercial Banks text].</w:t>
      </w:r>
    </w:p>
    <w:p>
      <w:pPr>
        <w:numPr>
          <w:ilvl w:val="0"/>
          <w:numId w:val="1540"/>
        </w:numPr>
        <w:pStyle w:val="Compact"/>
      </w:pPr>
      <w:r>
        <w:t xml:space="preserve">OUT para 57(4) cites the RBI Integrated Ombudsman Scheme, 2021, which RB-IOS 2026 has superseded for complaints received from 1 Jul 2026 (cl.20) [VERIFY: official RB-IOS 2026 text to be committed; Part 8A.17].</w:t>
      </w:r>
    </w:p>
    <w:p>
      <w:pPr>
        <w:numPr>
          <w:ilvl w:val="0"/>
          <w:numId w:val="1540"/>
        </w:numPr>
        <w:pStyle w:val="Compact"/>
      </w:pPr>
      <w:r>
        <w:t xml:space="preserve">The ORM Guidance Note’s RBI number is printed blank (</w:t>
      </w:r>
      <w:r>
        <w:t xml:space="preserve">“</w:t>
      </w:r>
      <w:r>
        <w:t xml:space="preserve">RBI/2025-26/</w:t>
      </w:r>
      <w:r>
        <w:t xml:space="preserve">”</w:t>
      </w:r>
      <w:r>
        <w:t xml:space="preserve">) in the supplied copy.</w:t>
      </w:r>
    </w:p>
    <w:p>
      <w:pPr>
        <w:pStyle w:val="FirstParagraph"/>
      </w:pPr>
      <w:r>
        <w:rPr>
          <w:bCs/>
          <w:b/>
        </w:rPr>
        <w:t xml:space="preserve">SA / IAF / ALM / CON / SR</w:t>
      </w:r>
    </w:p>
    <w:p>
      <w:pPr>
        <w:numPr>
          <w:ilvl w:val="0"/>
          <w:numId w:val="1541"/>
        </w:numPr>
        <w:pStyle w:val="Compact"/>
      </w:pPr>
      <w:r>
        <w:t xml:space="preserve">SA para 23:</w:t>
      </w:r>
      <w:r>
        <w:t xml:space="preserve"> </w:t>
      </w:r>
      <w:r>
        <w:t xml:space="preserve">“</w:t>
      </w:r>
      <w:r>
        <w:t xml:space="preserve">the outgoing SCAs / SAs</w:t>
      </w:r>
      <w:r>
        <w:t xml:space="preserve"> </w:t>
      </w:r>
      <w:r>
        <w:rPr>
          <w:bCs/>
          <w:b/>
        </w:rPr>
        <w:t xml:space="preserve">of the bank</w:t>
      </w:r>
      <w:r>
        <w:t xml:space="preserve">”</w:t>
      </w:r>
      <w:r>
        <w:t xml:space="preserve"> </w:t>
      </w:r>
      <w:r>
        <w:t xml:space="preserve">in NBFC Directions.</w:t>
      </w:r>
    </w:p>
    <w:p>
      <w:pPr>
        <w:numPr>
          <w:ilvl w:val="0"/>
          <w:numId w:val="1541"/>
        </w:numPr>
        <w:pStyle w:val="Compact"/>
      </w:pPr>
      <w:r>
        <w:t xml:space="preserve">IAF para 29 uses a 3-level risk scale (high, medium, low). Para 34 uses 5 levels (low, medium, high, very high, extremely high). Make the scale configurable.</w:t>
      </w:r>
    </w:p>
    <w:p>
      <w:pPr>
        <w:numPr>
          <w:ilvl w:val="0"/>
          <w:numId w:val="1541"/>
        </w:numPr>
        <w:pStyle w:val="Compact"/>
      </w:pPr>
      <w:r>
        <w:t xml:space="preserve">ALM para 58 cites the</w:t>
      </w:r>
      <w:r>
        <w:t xml:space="preserve"> </w:t>
      </w:r>
      <w:r>
        <w:t xml:space="preserve">“</w:t>
      </w:r>
      <w:r>
        <w:t xml:space="preserve">Reserve Bank of India (Filing of Supervisory Returns) Directions, 2024</w:t>
      </w:r>
      <w:r>
        <w:t xml:space="preserve">”</w:t>
      </w:r>
      <w:r>
        <w:t xml:space="preserve">. Use SR 2026 instead.</w:t>
      </w:r>
    </w:p>
    <w:p>
      <w:pPr>
        <w:numPr>
          <w:ilvl w:val="0"/>
          <w:numId w:val="1541"/>
        </w:numPr>
        <w:pStyle w:val="Compact"/>
      </w:pPr>
      <w:r>
        <w:t xml:space="preserve">CON Annex I is headed</w:t>
      </w:r>
      <w:r>
        <w:t xml:space="preserve"> </w:t>
      </w:r>
      <w:r>
        <w:t xml:space="preserve">“</w:t>
      </w:r>
      <w:r>
        <w:t xml:space="preserve">Return for the Month</w:t>
      </w:r>
      <w:r>
        <w:t xml:space="preserve">”</w:t>
      </w:r>
      <w:r>
        <w:t xml:space="preserve"> </w:t>
      </w:r>
      <w:r>
        <w:t xml:space="preserve">and para 48(4) says</w:t>
      </w:r>
      <w:r>
        <w:t xml:space="preserve"> </w:t>
      </w:r>
      <w:r>
        <w:t xml:space="preserve">“</w:t>
      </w:r>
      <w:r>
        <w:t xml:space="preserve">10 largest exposures</w:t>
      </w:r>
      <w:r>
        <w:t xml:space="preserve">”</w:t>
      </w:r>
      <w:r>
        <w:t xml:space="preserve">. SR para 21 item 12 lists the LE Framework return as quarterly, with the</w:t>
      </w:r>
      <w:r>
        <w:t xml:space="preserve"> </w:t>
      </w:r>
      <w:r>
        <w:t xml:space="preserve">“</w:t>
      </w:r>
      <w:r>
        <w:t xml:space="preserve">20 largest exposures</w:t>
      </w:r>
      <w:r>
        <w:t xml:space="preserve">”</w:t>
      </w:r>
      <w:r>
        <w:t xml:space="preserve">.</w:t>
      </w:r>
    </w:p>
    <w:p>
      <w:pPr>
        <w:numPr>
          <w:ilvl w:val="0"/>
          <w:numId w:val="1541"/>
        </w:numPr>
        <w:pStyle w:val="Compact"/>
      </w:pPr>
      <w:r>
        <w:t xml:space="preserve">SR para 21 table: DNBS09 shares CRILC’s merged applicability cell, and FUA and FMR4/RBR share FMR’s merged cell. Plain-text extraction loses this; confirmed from the PDF (pp. 8, 10–11).</w:t>
      </w:r>
    </w:p>
    <w:p>
      <w:pPr>
        <w:pStyle w:val="FirstParagraph"/>
      </w:pPr>
      <w:r>
        <w:rPr>
          <w:bCs/>
          <w:b/>
        </w:rPr>
        <w:t xml:space="preserve">Found while drafting Udofin</w:t>
      </w:r>
    </w:p>
    <w:p>
      <w:pPr>
        <w:numPr>
          <w:ilvl w:val="0"/>
          <w:numId w:val="1542"/>
        </w:numPr>
        <w:pStyle w:val="Compact"/>
      </w:pPr>
      <w:r>
        <w:t xml:space="preserve">CF para 4(1)(xix) says a payment aggregator acting as an LSP must comply with</w:t>
      </w:r>
      <w:r>
        <w:t xml:space="preserve"> </w:t>
      </w:r>
      <w:r>
        <w:t xml:space="preserve">“</w:t>
      </w:r>
      <w:r>
        <w:t xml:space="preserve">Chapter IV</w:t>
      </w:r>
      <w:r>
        <w:t xml:space="preserve">”</w:t>
      </w:r>
      <w:r>
        <w:t xml:space="preserve"> </w:t>
      </w:r>
      <w:r>
        <w:t xml:space="preserve">(gold and silver); it evidently means Chapter III (digital lending).</w:t>
      </w:r>
    </w:p>
    <w:p>
      <w:r>
        <w:pict>
          <v:rect style="width:0;height:1.5pt" o:hralign="center" o:hrstd="t" o:hr="t"/>
        </w:pict>
      </w:r>
    </w:p>
    <w:bookmarkEnd w:id="538"/>
    <w:bookmarkStart w:id="567" w:name="X0cd05e9faf3c697269bf4fe313f1d62c3b4c8aa"/>
    <w:p>
      <w:pPr>
        <w:pStyle w:val="Heading1"/>
      </w:pPr>
      <w:r>
        <w:t xml:space="preserve">APPENDIX G — NAVIGATION, MENUS, SCREENS AND SETTINGS MAP</w:t>
      </w:r>
    </w:p>
    <w:p>
      <w:pPr>
        <w:pStyle w:val="FirstParagraph"/>
      </w:pPr>
      <w:r>
        <w:t xml:space="preserve">The single navigation and settings map for channels A–G (Part 3.2): it consolidates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Parts 7B–7H, designs menus for U1–U25 and UR1–UR6, and harmonises conflicting paths (G.13).</w:t>
      </w:r>
      <w:r>
        <w:t xml:space="preserve"> </w:t>
      </w:r>
      <w:r>
        <w:rPr>
          <w:bCs/>
          <w:b/>
        </w:rPr>
        <w:t xml:space="preserve">Precedence:</w:t>
      </w:r>
      <w:r>
        <w:t xml:space="preserve"> </w:t>
      </w:r>
      <w:r>
        <w:t xml:space="preserve">this Appendix governs paths, labels and placement; the module governs behaviour, states and controls. The owner approves the tree and commercial defaults in Phase 0 (Appendix B item 42); regulatory floors are not open for decision. Keep the map in</w:t>
      </w:r>
      <w:r>
        <w:t xml:space="preserve"> </w:t>
      </w:r>
      <w:r>
        <w:rPr>
          <w:rStyle w:val="VerbatimChar"/>
        </w:rPr>
        <w:t xml:space="preserve">docs/ux/navigation-map.md</w:t>
      </w:r>
      <w:r>
        <w:t xml:space="preserve"> </w:t>
      </w:r>
      <w:r>
        <w:t xml:space="preserve">and generate route constants, role guards and Storybook stories from one</w:t>
      </w:r>
      <w:r>
        <w:t xml:space="preserve"> </w:t>
      </w:r>
      <w:r>
        <w:rPr>
          <w:rStyle w:val="VerbatimChar"/>
        </w:rPr>
        <w:t xml:space="preserve">navigation.yaml</w:t>
      </w:r>
      <w:r>
        <w:t xml:space="preserve">.</w:t>
      </w:r>
    </w:p>
    <w:p>
      <w:pPr>
        <w:pStyle w:val="BodyText"/>
      </w:pPr>
      <w:r>
        <w:rPr>
          <w:bCs/>
          <w:b/>
        </w:rPr>
        <w:t xml:space="preserve">Notation.</w:t>
      </w:r>
      <w:r>
        <w:t xml:space="preserve"> </w:t>
      </w:r>
      <w:r>
        <w:t xml:space="preserve">Paths use</w:t>
      </w:r>
      <w:r>
        <w:t xml:space="preserve"> </w:t>
      </w:r>
      <w:r>
        <w:rPr>
          <w:rStyle w:val="VerbatimChar"/>
        </w:rPr>
        <w:t xml:space="preserve">›</w:t>
      </w:r>
      <w:r>
        <w:t xml:space="preserve">. Channels: A borrower app, B borrower web, C operations portal, D lender (RE) portal, E field and assisted app, F platform administration, G auditor and supervisor workspace.</w:t>
      </w:r>
      <w:r>
        <w:t xml:space="preserve"> </w:t>
      </w:r>
      <w:r>
        <w:t xml:space="preserve">“</w:t>
      </w:r>
      <w:r>
        <w:t xml:space="preserve">[RE name]</w:t>
      </w:r>
      <w:r>
        <w:t xml:space="preserve">”</w:t>
      </w:r>
      <w:r>
        <w:t xml:space="preserve"> </w:t>
      </w:r>
      <w:r>
        <w:t xml:space="preserve">is the lender’s registered name as published in</w:t>
      </w:r>
      <w:r>
        <w:t xml:space="preserve"> </w:t>
      </w:r>
      <w:r>
        <w:rPr>
          <w:rStyle w:val="VerbatimChar"/>
        </w:rPr>
        <w:t xml:space="preserve">ProductCatalogPublished</w:t>
      </w:r>
      <w:r>
        <w:t xml:space="preserve">. [REC] marks a Udofin default to be confirmed in Phase 0.</w:t>
      </w:r>
    </w:p>
    <w:bookmarkStart w:id="539" w:name="g.1-design-rules"/>
    <w:p>
      <w:pPr>
        <w:pStyle w:val="Heading2"/>
      </w:pPr>
      <w:r>
        <w:t xml:space="preserve">G.1 Design rules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38"/>
        <w:gridCol w:w="4344"/>
        <w:gridCol w:w="2117"/>
        <w:gridCol w:w="2439"/>
      </w:tblGrid>
      <w:tr>
        <w:trPr>
          <w:tblHeader w:val="true"/>
          <w:tblHeader w:val="true"/>
        </w:trPr>
        <w:tc>
          <w:tcPr>
            <w:tcW w:w="738" w:type="dxa"/>
            <w:shd w:val="clear" w:color="auto" w:fill="1F3A5F"/>
          </w:tcPr>
          <w:p>
            <w:pPr>
              <w:pStyle w:val="Compact"/>
              <w:spacing w:after="40"/>
              <w:jc w:val="left"/>
            </w:pPr>
            <w:r>
              <w:rPr>
                <w:b/>
                <w:color w:val="FFFFFF"/>
                <w:sz w:val="18"/>
              </w:rPr>
              <w:t xml:space="preserve">#</w:t>
            </w:r>
          </w:p>
        </w:tc>
        <w:tc>
          <w:tcPr>
            <w:tcW w:w="4344" w:type="dxa"/>
            <w:shd w:val="clear" w:color="auto" w:fill="1F3A5F"/>
          </w:tcPr>
          <w:p>
            <w:pPr>
              <w:pStyle w:val="Compact"/>
              <w:spacing w:after="40"/>
              <w:jc w:val="left"/>
            </w:pPr>
            <w:r>
              <w:rPr>
                <w:b/>
                <w:color w:val="FFFFFF"/>
                <w:sz w:val="18"/>
              </w:rPr>
              <w:t xml:space="preserve">Rule</w:t>
            </w:r>
          </w:p>
        </w:tc>
        <w:tc>
          <w:tcPr>
            <w:tcW w:w="2117" w:type="dxa"/>
            <w:shd w:val="clear" w:color="auto" w:fill="1F3A5F"/>
          </w:tcPr>
          <w:p>
            <w:pPr>
              <w:pStyle w:val="Compact"/>
              <w:spacing w:after="40"/>
              <w:jc w:val="left"/>
            </w:pPr>
            <w:r>
              <w:rPr>
                <w:b/>
                <w:color w:val="FFFFFF"/>
                <w:sz w:val="18"/>
              </w:rPr>
              <w:t xml:space="preserve">Build check</w:t>
            </w:r>
          </w:p>
        </w:tc>
        <w:tc>
          <w:tcPr>
            <w:tcW w:w="2439" w:type="dxa"/>
            <w:shd w:val="clear" w:color="auto" w:fill="1F3A5F"/>
          </w:tcPr>
          <w:p>
            <w:pPr>
              <w:pStyle w:val="Compact"/>
              <w:spacing w:after="40"/>
              <w:jc w:val="left"/>
            </w:pPr>
            <w:r>
              <w:rPr>
                <w:b/>
                <w:color w:val="FFFFFF"/>
                <w:sz w:val="18"/>
              </w:rPr>
              <w:t xml:space="preserve">Basis</w:t>
            </w:r>
          </w:p>
        </w:tc>
      </w:tr>
      <w:tr>
        <w:tc>
          <w:tcPr>
            <w:tcW w:w="738" w:type="dxa"/>
          </w:tcPr>
          <w:p>
            <w:pPr>
              <w:pStyle w:val="Compact"/>
              <w:spacing w:after="40"/>
              <w:jc w:val="left"/>
            </w:pPr>
            <w:r>
              <w:rPr>
                <w:sz w:val="18"/>
              </w:rPr>
              <w:t xml:space="preserve">1</w:t>
            </w:r>
          </w:p>
        </w:tc>
        <w:tc>
          <w:tcPr>
            <w:tcW w:w="4344" w:type="dxa"/>
          </w:tcPr>
          <w:p>
            <w:pPr>
              <w:pStyle w:val="Compact"/>
              <w:spacing w:after="40"/>
              <w:jc w:val="left"/>
            </w:pPr>
            <w:r>
              <w:rPr>
                <w:bCs/>
                <w:b/>
                <w:sz w:val="18"/>
              </w:rPr>
              <w:t xml:space="preserve">Journey-first.</w:t>
            </w:r>
            <w:r>
              <w:rPr>
                <w:sz w:val="18"/>
              </w:rPr>
              <w:t xml:space="preserve"> </w:t>
            </w:r>
            <w:r>
              <w:rPr>
                <w:sz w:val="18"/>
              </w:rPr>
              <w:t xml:space="preserve">Menus follow tasks (apply, pay, get help, manage account); one primary action per journey screen; a resume banner returns to the server-side step on any channel</w:t>
            </w:r>
          </w:p>
        </w:tc>
        <w:tc>
          <w:tcPr>
            <w:tcW w:w="2117" w:type="dxa"/>
          </w:tcPr>
          <w:p>
            <w:pPr>
              <w:pStyle w:val="Compact"/>
              <w:spacing w:after="40"/>
              <w:jc w:val="left"/>
            </w:pPr>
            <w:r>
              <w:rPr>
                <w:sz w:val="18"/>
              </w:rPr>
              <w:t xml:space="preserve">Lint: one</w:t>
            </w:r>
            <w:r>
              <w:rPr>
                <w:sz w:val="18"/>
              </w:rPr>
              <w:t xml:space="preserve"> </w:t>
            </w:r>
            <w:r>
              <w:rPr>
                <w:rStyle w:val="VerbatimChar"/>
                <w:sz w:val="18"/>
              </w:rPr>
              <w:t xml:space="preserve">primary</w:t>
            </w:r>
            <w:r>
              <w:rPr>
                <w:sz w:val="18"/>
              </w:rPr>
              <w:t xml:space="preserve"> </w:t>
            </w:r>
            <w:r>
              <w:rPr>
                <w:sz w:val="18"/>
              </w:rPr>
              <w:t xml:space="preserve">button per journey screen; cross-channel resume test</w:t>
            </w:r>
          </w:p>
        </w:tc>
        <w:tc>
          <w:tcPr>
            <w:tcW w:w="2439" w:type="dxa"/>
          </w:tcPr>
          <w:p>
            <w:pPr>
              <w:pStyle w:val="Compact"/>
              <w:spacing w:after="40"/>
              <w:jc w:val="left"/>
            </w:pPr>
            <w:r>
              <w:rPr>
                <w:sz w:val="18"/>
              </w:rPr>
              <w:t xml:space="preserve">Part 3.3 items 1, 4; Part 10.7</w:t>
            </w:r>
          </w:p>
        </w:tc>
      </w:tr>
      <w:tr>
        <w:tc>
          <w:tcPr>
            <w:tcW w:w="738" w:type="dxa"/>
          </w:tcPr>
          <w:p>
            <w:pPr>
              <w:pStyle w:val="Compact"/>
              <w:spacing w:after="40"/>
              <w:jc w:val="left"/>
            </w:pPr>
            <w:r>
              <w:rPr>
                <w:sz w:val="18"/>
              </w:rPr>
              <w:t xml:space="preserve">2</w:t>
            </w:r>
          </w:p>
        </w:tc>
        <w:tc>
          <w:tcPr>
            <w:tcW w:w="4344" w:type="dxa"/>
          </w:tcPr>
          <w:p>
            <w:pPr>
              <w:pStyle w:val="Compact"/>
              <w:spacing w:after="40"/>
              <w:jc w:val="left"/>
            </w:pPr>
            <w:r>
              <w:rPr>
                <w:bCs/>
                <w:b/>
                <w:sz w:val="18"/>
              </w:rPr>
              <w:t xml:space="preserve">Consent-first.</w:t>
            </w:r>
            <w:r>
              <w:rPr>
                <w:sz w:val="18"/>
              </w:rPr>
              <w:t xml:space="preserve"> </w:t>
            </w:r>
            <w:r>
              <w:rPr>
                <w:sz w:val="18"/>
              </w:rPr>
              <w:t xml:space="preserve">No processing before the platform notice; a purpose screen before every OS prompt and data request, naming the recipient RE(s) and retention; one artefact per purpose; every consent and marketing choice</w:t>
            </w:r>
            <w:r>
              <w:rPr>
                <w:sz w:val="18"/>
              </w:rPr>
              <w:t xml:space="preserve"> </w:t>
            </w:r>
            <w:r>
              <w:rPr>
                <w:bCs/>
                <w:b/>
                <w:sz w:val="18"/>
              </w:rPr>
              <w:t xml:space="preserve">defaults to No</w:t>
            </w:r>
            <w:r>
              <w:rPr>
                <w:sz w:val="18"/>
              </w:rPr>
              <w:t xml:space="preserve">; withdrawal takes no more taps than giving</w:t>
            </w:r>
          </w:p>
        </w:tc>
        <w:tc>
          <w:tcPr>
            <w:tcW w:w="2117" w:type="dxa"/>
          </w:tcPr>
          <w:p>
            <w:pPr>
              <w:pStyle w:val="Compact"/>
              <w:spacing w:after="40"/>
              <w:jc w:val="left"/>
            </w:pPr>
            <w:r>
              <w:rPr>
                <w:sz w:val="18"/>
              </w:rPr>
              <w:t xml:space="preserve">No pre-ticked control; API rejects bundled purposes; tap-count test</w:t>
            </w:r>
          </w:p>
        </w:tc>
        <w:tc>
          <w:tcPr>
            <w:tcW w:w="2439" w:type="dxa"/>
          </w:tcPr>
          <w:p>
            <w:pPr>
              <w:pStyle w:val="Compact"/>
              <w:spacing w:after="40"/>
              <w:jc w:val="left"/>
            </w:pPr>
            <w:r>
              <w:rPr>
                <w:sz w:val="18"/>
              </w:rPr>
              <w:t xml:space="preserve">CF paras 13(1)–(4); DPDP s.6; RBC Second Amendment paras 101G, 101I applied as policy [VERIFY: final NBFC numbering]; Part 4.5</w:t>
            </w:r>
          </w:p>
        </w:tc>
      </w:tr>
      <w:tr>
        <w:tc>
          <w:tcPr>
            <w:tcW w:w="738" w:type="dxa"/>
          </w:tcPr>
          <w:p>
            <w:pPr>
              <w:pStyle w:val="Compact"/>
              <w:spacing w:after="40"/>
              <w:jc w:val="left"/>
            </w:pPr>
            <w:r>
              <w:rPr>
                <w:sz w:val="18"/>
              </w:rPr>
              <w:t xml:space="preserve">3</w:t>
            </w:r>
          </w:p>
        </w:tc>
        <w:tc>
          <w:tcPr>
            <w:tcW w:w="4344" w:type="dxa"/>
          </w:tcPr>
          <w:p>
            <w:pPr>
              <w:pStyle w:val="Compact"/>
              <w:spacing w:after="40"/>
              <w:jc w:val="left"/>
            </w:pPr>
            <w:r>
              <w:rPr>
                <w:bCs/>
                <w:b/>
                <w:sz w:val="18"/>
              </w:rPr>
              <w:t xml:space="preserve">No dark patterns.</w:t>
            </w:r>
            <w:r>
              <w:rPr>
                <w:sz w:val="18"/>
              </w:rPr>
              <w:t xml:space="preserve"> </w:t>
            </w:r>
            <w:r>
              <w:rPr>
                <w:sz w:val="18"/>
              </w:rPr>
              <w:t xml:space="preserve">None of the 13 CCPA specified patterns (FW4 list); decline and accept carry equal weight; no countdown timers or scarcity claims; validity shown as a plain date, never a ticking timer</w:t>
            </w:r>
          </w:p>
        </w:tc>
        <w:tc>
          <w:tcPr>
            <w:tcW w:w="2117" w:type="dxa"/>
          </w:tcPr>
          <w:p>
            <w:pPr>
              <w:pStyle w:val="Compact"/>
              <w:spacing w:after="40"/>
              <w:jc w:val="left"/>
            </w:pPr>
            <w:r>
              <w:rPr>
                <w:sz w:val="18"/>
              </w:rPr>
              <w:t xml:space="preserve">Release-blocking UI audit per module (XP4.3, FW4)</w:t>
            </w:r>
          </w:p>
        </w:tc>
        <w:tc>
          <w:tcPr>
            <w:tcW w:w="2439" w:type="dxa"/>
          </w:tcPr>
          <w:p>
            <w:pPr>
              <w:pStyle w:val="Compact"/>
              <w:spacing w:after="40"/>
              <w:jc w:val="left"/>
            </w:pPr>
            <w:r>
              <w:rPr>
                <w:sz w:val="18"/>
              </w:rPr>
              <w:t xml:space="preserve">CF para 7(4) and Note; CCPA Dark Patterns Guidelines, 2023 [VERIFY: current Annexure 1 list]</w:t>
            </w:r>
          </w:p>
        </w:tc>
      </w:tr>
      <w:tr>
        <w:tc>
          <w:tcPr>
            <w:tcW w:w="738" w:type="dxa"/>
          </w:tcPr>
          <w:p>
            <w:pPr>
              <w:pStyle w:val="Compact"/>
              <w:spacing w:after="40"/>
              <w:jc w:val="left"/>
            </w:pPr>
            <w:r>
              <w:rPr>
                <w:sz w:val="18"/>
              </w:rPr>
              <w:t xml:space="preserve">4</w:t>
            </w:r>
          </w:p>
        </w:tc>
        <w:tc>
          <w:tcPr>
            <w:tcW w:w="4344" w:type="dxa"/>
          </w:tcPr>
          <w:p>
            <w:pPr>
              <w:pStyle w:val="Compact"/>
              <w:spacing w:after="40"/>
              <w:jc w:val="left"/>
            </w:pPr>
            <w:r>
              <w:rPr>
                <w:bCs/>
                <w:b/>
                <w:sz w:val="18"/>
              </w:rPr>
              <w:t xml:space="preserve">Neutral multi-lender offer view.</w:t>
            </w:r>
            <w:r>
              <w:rPr>
                <w:sz w:val="18"/>
              </w:rPr>
              <w:t xml:space="preserve"> </w:t>
            </w:r>
            <w:r>
              <w:rPr>
                <w:sz w:val="18"/>
              </w:rPr>
              <w:t xml:space="preserve">All matching offers in one view; unmatched lenders named with a reason; ranking metric shown first with a link to its public description; default APR low to high, ties by monthly repayment obligation; equal card and logo size; no pre-selection,</w:t>
            </w:r>
            <w:r>
              <w:rPr>
                <w:sz w:val="18"/>
              </w:rPr>
              <w:t xml:space="preserve"> </w:t>
            </w:r>
            <w:r>
              <w:rPr>
                <w:sz w:val="18"/>
              </w:rPr>
              <w:t xml:space="preserve">“</w:t>
            </w:r>
            <w:r>
              <w:rPr>
                <w:sz w:val="18"/>
              </w:rPr>
              <w:t xml:space="preserve">recommended</w:t>
            </w:r>
            <w:r>
              <w:rPr>
                <w:sz w:val="18"/>
              </w:rPr>
              <w:t xml:space="preserve">”</w:t>
            </w:r>
            <w:r>
              <w:rPr>
                <w:sz w:val="18"/>
              </w:rPr>
              <w:t xml:space="preserve">,</w:t>
            </w:r>
            <w:r>
              <w:rPr>
                <w:sz w:val="18"/>
              </w:rPr>
              <w:t xml:space="preserve"> </w:t>
            </w:r>
            <w:r>
              <w:rPr>
                <w:sz w:val="18"/>
              </w:rPr>
              <w:t xml:space="preserve">“</w:t>
            </w:r>
            <w:r>
              <w:rPr>
                <w:sz w:val="18"/>
              </w:rPr>
              <w:t xml:space="preserve">best</w:t>
            </w:r>
            <w:r>
              <w:rPr>
                <w:sz w:val="18"/>
              </w:rPr>
              <w:t xml:space="preserve">”</w:t>
            </w:r>
            <w:r>
              <w:rPr>
                <w:sz w:val="18"/>
              </w:rPr>
              <w:t xml:space="preserve"> </w:t>
            </w:r>
            <w:r>
              <w:rPr>
                <w:sz w:val="18"/>
              </w:rPr>
              <w:t xml:space="preserve">or sponsored badge;</w:t>
            </w:r>
            <w:r>
              <w:rPr>
                <w:sz w:val="18"/>
              </w:rPr>
              <w:t xml:space="preserve"> </w:t>
            </w:r>
            <w:r>
              <w:rPr>
                <w:bCs/>
                <w:b/>
                <w:sz w:val="18"/>
              </w:rPr>
              <w:t xml:space="preserve">no sponsored ranking, paid placement or advertising</w:t>
            </w:r>
            <w:r>
              <w:rPr>
                <w:sz w:val="18"/>
              </w:rPr>
              <w:t xml:space="preserve">; same content and order on A and B; store-filtered lenders listed as</w:t>
            </w:r>
            <w:r>
              <w:rPr>
                <w:sz w:val="18"/>
              </w:rPr>
              <w:t xml:space="preserve"> </w:t>
            </w:r>
            <w:r>
              <w:rPr>
                <w:sz w:val="18"/>
              </w:rPr>
              <w:t xml:space="preserve">“</w:t>
            </w:r>
            <w:r>
              <w:rPr>
                <w:sz w:val="18"/>
              </w:rPr>
              <w:t xml:space="preserve">not available in this app; available on the web</w:t>
            </w:r>
            <w:r>
              <w:rPr>
                <w:sz w:val="18"/>
              </w:rPr>
              <w:t xml:space="preserve">”</w:t>
            </w:r>
          </w:p>
        </w:tc>
        <w:tc>
          <w:tcPr>
            <w:tcW w:w="2117" w:type="dxa"/>
          </w:tcPr>
          <w:p>
            <w:pPr>
              <w:pStyle w:val="Compact"/>
              <w:spacing w:after="40"/>
              <w:jc w:val="left"/>
            </w:pPr>
            <w:r>
              <w:rPr>
                <w:sz w:val="18"/>
              </w:rPr>
              <w:t xml:space="preserve">Ranking engine has no fee, DLG or ad input; card snapshot and channel-parity tests</w:t>
            </w:r>
          </w:p>
        </w:tc>
        <w:tc>
          <w:tcPr>
            <w:tcW w:w="2439" w:type="dxa"/>
          </w:tcPr>
          <w:p>
            <w:pPr>
              <w:pStyle w:val="Compact"/>
              <w:spacing w:after="40"/>
              <w:jc w:val="left"/>
            </w:pPr>
            <w:r>
              <w:rPr>
                <w:sz w:val="18"/>
              </w:rPr>
              <w:t xml:space="preserve">CF para 7(1)–(4); Part 4.6; U8; RV4.1</w:t>
            </w:r>
          </w:p>
        </w:tc>
      </w:tr>
      <w:tr>
        <w:tc>
          <w:tcPr>
            <w:tcW w:w="738" w:type="dxa"/>
          </w:tcPr>
          <w:p>
            <w:pPr>
              <w:pStyle w:val="Compact"/>
              <w:spacing w:after="40"/>
              <w:jc w:val="left"/>
            </w:pPr>
            <w:r>
              <w:rPr>
                <w:sz w:val="18"/>
              </w:rPr>
              <w:t xml:space="preserve">5</w:t>
            </w:r>
          </w:p>
        </w:tc>
        <w:tc>
          <w:tcPr>
            <w:tcW w:w="4344" w:type="dxa"/>
          </w:tcPr>
          <w:p>
            <w:pPr>
              <w:pStyle w:val="Compact"/>
              <w:spacing w:after="40"/>
              <w:jc w:val="left"/>
            </w:pPr>
            <w:r>
              <w:rPr>
                <w:bCs/>
                <w:b/>
                <w:sz w:val="18"/>
              </w:rPr>
              <w:t xml:space="preserve">Lender identity on every loan screen.</w:t>
            </w:r>
            <w:r>
              <w:rPr>
                <w:sz w:val="18"/>
              </w:rPr>
              <w:t xml:space="preserve"> </w:t>
            </w:r>
            <w:r>
              <w:rPr>
                <w:sz w:val="18"/>
              </w:rPr>
              <w:t xml:space="preserve">A fixed lender strip on every application, offer detail, KFS, signing, mandate, disbursal, loan, payment, overdue, notice and loan-complaint screen:</w:t>
            </w:r>
            <w:r>
              <w:rPr>
                <w:sz w:val="18"/>
              </w:rPr>
              <w:t xml:space="preserve"> </w:t>
            </w:r>
            <w:r>
              <w:rPr>
                <w:sz w:val="18"/>
              </w:rPr>
              <w:t xml:space="preserve">“</w:t>
            </w:r>
            <w:r>
              <w:rPr>
                <w:sz w:val="18"/>
              </w:rPr>
              <w:t xml:space="preserve">Loan from [RE name] · facilitated by Udofin, a lending service provider</w:t>
            </w:r>
            <w:r>
              <w:rPr>
                <w:sz w:val="18"/>
              </w:rPr>
              <w:t xml:space="preserve">”</w:t>
            </w:r>
            <w:r>
              <w:rPr>
                <w:sz w:val="18"/>
              </w:rPr>
              <w:t xml:space="preserve">, RE logo, link to the RE’s disclosure page and GRO contacts; never</w:t>
            </w:r>
            <w:r>
              <w:rPr>
                <w:sz w:val="18"/>
              </w:rPr>
              <w:t xml:space="preserve"> </w:t>
            </w:r>
            <w:r>
              <w:rPr>
                <w:sz w:val="18"/>
              </w:rPr>
              <w:t xml:space="preserve">“</w:t>
            </w:r>
            <w:r>
              <w:rPr>
                <w:sz w:val="18"/>
              </w:rPr>
              <w:t xml:space="preserve">Udofin loan</w:t>
            </w:r>
            <w:r>
              <w:rPr>
                <w:sz w:val="18"/>
              </w:rPr>
              <w:t xml:space="preserve">”</w:t>
            </w:r>
            <w:r>
              <w:rPr>
                <w:sz w:val="18"/>
              </w:rPr>
              <w:t xml:space="preserve"> </w:t>
            </w:r>
            <w:r>
              <w:rPr>
                <w:sz w:val="18"/>
              </w:rPr>
              <w:t xml:space="preserve">or</w:t>
            </w:r>
            <w:r>
              <w:rPr>
                <w:sz w:val="18"/>
              </w:rPr>
              <w:t xml:space="preserve"> </w:t>
            </w:r>
            <w:r>
              <w:rPr>
                <w:sz w:val="18"/>
              </w:rPr>
              <w:t xml:space="preserve">“</w:t>
            </w:r>
            <w:r>
              <w:rPr>
                <w:sz w:val="18"/>
              </w:rPr>
              <w:t xml:space="preserve">approved by Udofin</w:t>
            </w:r>
            <w:r>
              <w:rPr>
                <w:sz w:val="18"/>
              </w:rPr>
              <w:t xml:space="preserve">”</w:t>
            </w:r>
          </w:p>
        </w:tc>
        <w:tc>
          <w:tcPr>
            <w:tcW w:w="2117" w:type="dxa"/>
          </w:tcPr>
          <w:p>
            <w:pPr>
              <w:pStyle w:val="Compact"/>
              <w:spacing w:after="40"/>
              <w:jc w:val="left"/>
            </w:pPr>
            <w:r>
              <w:rPr>
                <w:sz w:val="18"/>
              </w:rPr>
              <w:t xml:space="preserve">Every</w:t>
            </w:r>
            <w:r>
              <w:rPr>
                <w:sz w:val="18"/>
              </w:rPr>
              <w:t xml:space="preserve"> </w:t>
            </w:r>
            <w:r>
              <w:rPr>
                <w:rStyle w:val="VerbatimChar"/>
                <w:sz w:val="18"/>
              </w:rPr>
              <w:t xml:space="preserve">loan_context</w:t>
            </w:r>
            <w:r>
              <w:rPr>
                <w:sz w:val="18"/>
              </w:rPr>
              <w:t xml:space="preserve"> </w:t>
            </w:r>
            <w:r>
              <w:rPr>
                <w:sz w:val="18"/>
              </w:rPr>
              <w:t xml:space="preserve">route renders the strip; copy linter blocks banned phrases</w:t>
            </w:r>
          </w:p>
        </w:tc>
        <w:tc>
          <w:tcPr>
            <w:tcW w:w="2439" w:type="dxa"/>
          </w:tcPr>
          <w:p>
            <w:pPr>
              <w:pStyle w:val="Compact"/>
              <w:spacing w:after="40"/>
              <w:jc w:val="left"/>
            </w:pPr>
            <w:r>
              <w:rPr>
                <w:sz w:val="18"/>
              </w:rPr>
              <w:t xml:space="preserve">CF paras 9(5), 12(2), 18(6); Part 4.1</w:t>
            </w:r>
          </w:p>
        </w:tc>
      </w:tr>
      <w:tr>
        <w:tc>
          <w:tcPr>
            <w:tcW w:w="738" w:type="dxa"/>
          </w:tcPr>
          <w:p>
            <w:pPr>
              <w:pStyle w:val="Compact"/>
              <w:spacing w:after="40"/>
              <w:jc w:val="left"/>
            </w:pPr>
            <w:r>
              <w:rPr>
                <w:sz w:val="18"/>
              </w:rPr>
              <w:t xml:space="preserve">6</w:t>
            </w:r>
          </w:p>
        </w:tc>
        <w:tc>
          <w:tcPr>
            <w:tcW w:w="4344" w:type="dxa"/>
          </w:tcPr>
          <w:p>
            <w:pPr>
              <w:pStyle w:val="Compact"/>
              <w:spacing w:after="40"/>
              <w:jc w:val="left"/>
            </w:pPr>
            <w:r>
              <w:rPr>
                <w:bCs/>
                <w:b/>
                <w:sz w:val="18"/>
              </w:rPr>
              <w:t xml:space="preserve">Regulatory text is not themeable.</w:t>
            </w:r>
            <w:r>
              <w:rPr>
                <w:sz w:val="18"/>
              </w:rPr>
              <w:t xml:space="preserve"> </w:t>
            </w:r>
            <w:r>
              <w:rPr>
                <w:sz w:val="18"/>
              </w:rPr>
              <w:t xml:space="preserve">KFS, fixed statements (RV2), disclosures and grievance blocks render in the default reading style; themes cannot hide, shrink or restyle them</w:t>
            </w:r>
          </w:p>
        </w:tc>
        <w:tc>
          <w:tcPr>
            <w:tcW w:w="2117" w:type="dxa"/>
          </w:tcPr>
          <w:p>
            <w:pPr>
              <w:pStyle w:val="Compact"/>
              <w:spacing w:after="40"/>
              <w:jc w:val="left"/>
            </w:pPr>
            <w:r>
              <w:rPr>
                <w:sz w:val="18"/>
              </w:rPr>
              <w:t xml:space="preserve">Theme contrast and size test on every theme (U23)</w:t>
            </w:r>
          </w:p>
        </w:tc>
        <w:tc>
          <w:tcPr>
            <w:tcW w:w="2439" w:type="dxa"/>
          </w:tcPr>
          <w:p>
            <w:pPr>
              <w:pStyle w:val="Compact"/>
              <w:spacing w:after="40"/>
              <w:jc w:val="left"/>
            </w:pPr>
            <w:r>
              <w:rPr>
                <w:sz w:val="18"/>
              </w:rPr>
              <w:t xml:space="preserve">Part 10.7</w:t>
            </w:r>
          </w:p>
        </w:tc>
      </w:tr>
      <w:tr>
        <w:tc>
          <w:tcPr>
            <w:tcW w:w="738" w:type="dxa"/>
          </w:tcPr>
          <w:p>
            <w:pPr>
              <w:pStyle w:val="Compact"/>
              <w:spacing w:after="40"/>
              <w:jc w:val="left"/>
            </w:pPr>
            <w:r>
              <w:rPr>
                <w:sz w:val="18"/>
              </w:rPr>
              <w:t xml:space="preserve">7</w:t>
            </w:r>
          </w:p>
        </w:tc>
        <w:tc>
          <w:tcPr>
            <w:tcW w:w="4344" w:type="dxa"/>
          </w:tcPr>
          <w:p>
            <w:pPr>
              <w:pStyle w:val="Compact"/>
              <w:spacing w:after="40"/>
              <w:jc w:val="left"/>
            </w:pPr>
            <w:r>
              <w:rPr>
                <w:bCs/>
                <w:b/>
                <w:sz w:val="18"/>
              </w:rPr>
              <w:t xml:space="preserve">Explain why, never dead-end.</w:t>
            </w:r>
            <w:r>
              <w:rPr>
                <w:sz w:val="18"/>
              </w:rPr>
              <w:t xml:space="preserve"> </w:t>
            </w:r>
            <w:r>
              <w:rPr>
                <w:sz w:val="18"/>
              </w:rPr>
              <w:t xml:space="preserve">A disabled action states the reason and next step (</w:t>
            </w:r>
            <w:r>
              <w:rPr>
                <w:sz w:val="18"/>
              </w:rPr>
              <w:t xml:space="preserve">“</w:t>
            </w:r>
            <w:r>
              <w:rPr>
                <w:sz w:val="18"/>
              </w:rPr>
              <w:t xml:space="preserve">Escalation opens on 14-11-2026, when [RE name]’s 30-day period ends</w:t>
            </w:r>
            <w:r>
              <w:rPr>
                <w:sz w:val="18"/>
              </w:rPr>
              <w:t xml:space="preserve">”</w:t>
            </w:r>
            <w:r>
              <w:rPr>
                <w:sz w:val="18"/>
              </w:rPr>
              <w:t xml:space="preserve">); errors say what happened, whether data was saved and what to do; never a raw provider error</w:t>
            </w:r>
          </w:p>
        </w:tc>
        <w:tc>
          <w:tcPr>
            <w:tcW w:w="2117" w:type="dxa"/>
          </w:tcPr>
          <w:p>
            <w:pPr>
              <w:pStyle w:val="Compact"/>
              <w:spacing w:after="40"/>
              <w:jc w:val="left"/>
            </w:pPr>
            <w:r>
              <w:rPr>
                <w:sz w:val="18"/>
              </w:rPr>
              <w:t xml:space="preserve">Every disabled control has</w:t>
            </w:r>
            <w:r>
              <w:rPr>
                <w:sz w:val="18"/>
              </w:rPr>
              <w:t xml:space="preserve"> </w:t>
            </w:r>
            <w:r>
              <w:rPr>
                <w:rStyle w:val="VerbatimChar"/>
                <w:sz w:val="18"/>
              </w:rPr>
              <w:t xml:space="preserve">reason_text</w:t>
            </w:r>
            <w:r>
              <w:rPr>
                <w:sz w:val="18"/>
              </w:rPr>
              <w:t xml:space="preserve">; error-catalogue coverage</w:t>
            </w:r>
          </w:p>
        </w:tc>
        <w:tc>
          <w:tcPr>
            <w:tcW w:w="2439" w:type="dxa"/>
          </w:tcPr>
          <w:p>
            <w:pPr>
              <w:pStyle w:val="Compact"/>
              <w:spacing w:after="40"/>
              <w:jc w:val="left"/>
            </w:pPr>
            <w:r>
              <w:rPr>
                <w:sz w:val="18"/>
              </w:rPr>
              <w:t xml:space="preserve">Part 3.3 item 10</w:t>
            </w:r>
          </w:p>
        </w:tc>
      </w:tr>
      <w:tr>
        <w:tc>
          <w:tcPr>
            <w:tcW w:w="738" w:type="dxa"/>
          </w:tcPr>
          <w:p>
            <w:pPr>
              <w:pStyle w:val="Compact"/>
              <w:spacing w:after="40"/>
              <w:jc w:val="left"/>
            </w:pPr>
            <w:r>
              <w:rPr>
                <w:sz w:val="18"/>
              </w:rPr>
              <w:t xml:space="preserve">8</w:t>
            </w:r>
          </w:p>
        </w:tc>
        <w:tc>
          <w:tcPr>
            <w:tcW w:w="4344" w:type="dxa"/>
          </w:tcPr>
          <w:p>
            <w:pPr>
              <w:pStyle w:val="Compact"/>
              <w:spacing w:after="40"/>
              <w:jc w:val="left"/>
            </w:pPr>
            <w:r>
              <w:rPr>
                <w:bCs/>
                <w:b/>
                <w:sz w:val="18"/>
              </w:rPr>
              <w:t xml:space="preserve">Non-loan areas are separate.</w:t>
            </w:r>
            <w:r>
              <w:rPr>
                <w:sz w:val="18"/>
              </w:rPr>
              <w:t xml:space="preserve"> </w:t>
            </w:r>
            <w:r>
              <w:rPr>
                <w:sz w:val="18"/>
              </w:rPr>
              <w:t xml:space="preserve">Money tools, Protect, Plans and billing and ads never appear in or link from any loan, offer, KFS, signing, mandate, payment, disbursal, overdue, settlement, notice, recovery or grievance screen, nor the Loans or Pay tabs; no non-loan card on Home at launch [REC]; XP4 suppression hides all non-loan prompts</w:t>
            </w:r>
          </w:p>
        </w:tc>
        <w:tc>
          <w:tcPr>
            <w:tcW w:w="2117" w:type="dxa"/>
          </w:tcPr>
          <w:p>
            <w:pPr>
              <w:pStyle w:val="Compact"/>
              <w:spacing w:after="40"/>
              <w:jc w:val="left"/>
            </w:pPr>
            <w:r>
              <w:rPr>
                <w:sz w:val="18"/>
              </w:rPr>
              <w:t xml:space="preserve">Route-graph test: no edge from a</w:t>
            </w:r>
            <w:r>
              <w:rPr>
                <w:sz w:val="18"/>
              </w:rPr>
              <w:t xml:space="preserve"> </w:t>
            </w:r>
            <w:r>
              <w:rPr>
                <w:rStyle w:val="VerbatimChar"/>
                <w:sz w:val="18"/>
              </w:rPr>
              <w:t xml:space="preserve">loan_context</w:t>
            </w:r>
            <w:r>
              <w:rPr>
                <w:sz w:val="18"/>
              </w:rPr>
              <w:t xml:space="preserve"> </w:t>
            </w:r>
            <w:r>
              <w:rPr>
                <w:sz w:val="18"/>
              </w:rPr>
              <w:t xml:space="preserve">route to a non-loan route</w:t>
            </w:r>
          </w:p>
        </w:tc>
        <w:tc>
          <w:tcPr>
            <w:tcW w:w="2439" w:type="dxa"/>
          </w:tcPr>
          <w:p>
            <w:pPr>
              <w:pStyle w:val="Compact"/>
              <w:spacing w:after="40"/>
              <w:jc w:val="left"/>
            </w:pPr>
            <w:r>
              <w:rPr>
                <w:sz w:val="18"/>
              </w:rPr>
              <w:t xml:space="preserve">FW4 structural separation; XP2.2; RV4.1; XP4</w:t>
            </w:r>
          </w:p>
        </w:tc>
      </w:tr>
      <w:tr>
        <w:tc>
          <w:tcPr>
            <w:tcW w:w="738" w:type="dxa"/>
          </w:tcPr>
          <w:p>
            <w:pPr>
              <w:pStyle w:val="Compact"/>
              <w:spacing w:after="40"/>
              <w:jc w:val="left"/>
            </w:pPr>
            <w:r>
              <w:rPr>
                <w:sz w:val="18"/>
              </w:rPr>
              <w:t xml:space="preserve">9</w:t>
            </w:r>
          </w:p>
        </w:tc>
        <w:tc>
          <w:tcPr>
            <w:tcW w:w="4344" w:type="dxa"/>
          </w:tcPr>
          <w:p>
            <w:pPr>
              <w:pStyle w:val="Compact"/>
              <w:spacing w:after="40"/>
              <w:jc w:val="left"/>
            </w:pPr>
            <w:r>
              <w:rPr>
                <w:bCs/>
                <w:b/>
                <w:sz w:val="18"/>
              </w:rPr>
              <w:t xml:space="preserve">Vernacular and low-literacy.</w:t>
            </w:r>
            <w:r>
              <w:rPr>
                <w:sz w:val="18"/>
              </w:rPr>
              <w:t xml:space="preserve"> </w:t>
            </w:r>
            <w:r>
              <w:rPr>
                <w:sz w:val="18"/>
              </w:rPr>
              <w:t xml:space="preserve">Language switch on every screen; English and Hindi at launch, regional languages as string sets are approved; icons always labelled; read-aloud for KFS summaries, documents, help and complaint status; voice-note complaints; ₹1,00,000 grouping, DD-MM-YYYY, IST; reading age 12; assisted mode and low-literacy consent (MG4.4)</w:t>
            </w:r>
          </w:p>
        </w:tc>
        <w:tc>
          <w:tcPr>
            <w:tcW w:w="2117" w:type="dxa"/>
          </w:tcPr>
          <w:p>
            <w:pPr>
              <w:pStyle w:val="Compact"/>
              <w:spacing w:after="40"/>
              <w:jc w:val="left"/>
            </w:pPr>
            <w:r>
              <w:rPr>
                <w:sz w:val="18"/>
              </w:rPr>
              <w:t xml:space="preserve">i18n completeness gate; read-aloud smoke test</w:t>
            </w:r>
          </w:p>
        </w:tc>
        <w:tc>
          <w:tcPr>
            <w:tcW w:w="2439" w:type="dxa"/>
          </w:tcPr>
          <w:p>
            <w:pPr>
              <w:pStyle w:val="Compact"/>
              <w:spacing w:after="40"/>
              <w:jc w:val="left"/>
            </w:pPr>
            <w:r>
              <w:rPr>
                <w:sz w:val="18"/>
              </w:rPr>
              <w:t xml:space="preserve">RBC paras 10, 29(1); Part 10.3; MG4.4</w:t>
            </w:r>
          </w:p>
        </w:tc>
      </w:tr>
      <w:tr>
        <w:tc>
          <w:tcPr>
            <w:tcW w:w="738" w:type="dxa"/>
          </w:tcPr>
          <w:p>
            <w:pPr>
              <w:pStyle w:val="Compact"/>
              <w:spacing w:after="40"/>
              <w:jc w:val="left"/>
            </w:pPr>
            <w:r>
              <w:rPr>
                <w:sz w:val="18"/>
              </w:rPr>
              <w:t xml:space="preserve">10</w:t>
            </w:r>
          </w:p>
        </w:tc>
        <w:tc>
          <w:tcPr>
            <w:tcW w:w="4344" w:type="dxa"/>
          </w:tcPr>
          <w:p>
            <w:pPr>
              <w:pStyle w:val="Compact"/>
              <w:spacing w:after="40"/>
              <w:jc w:val="left"/>
            </w:pPr>
            <w:r>
              <w:rPr>
                <w:bCs/>
                <w:b/>
                <w:sz w:val="18"/>
              </w:rPr>
              <w:t xml:space="preserve">Accessibility, WCAG 2.2 AA,</w:t>
            </w:r>
            <w:r>
              <w:rPr>
                <w:sz w:val="18"/>
              </w:rPr>
              <w:t xml:space="preserve"> </w:t>
            </w:r>
            <w:r>
              <w:rPr>
                <w:sz w:val="18"/>
              </w:rPr>
              <w:t xml:space="preserve">including 2.4.11 focus not obscured, 2.5.7 dragging alternatives, 2.5.8 target size (Udofin: 48 dp or 44 pt), 3.2.6 consistent help, 3.3.7 redundant entry, 3.3.8 accessible authentication (OTP paste and autofill; accessible CAPTCHA alternative); dynamic type to 200%; no colour-only signals; liveness without gesture dependence</w:t>
            </w:r>
          </w:p>
        </w:tc>
        <w:tc>
          <w:tcPr>
            <w:tcW w:w="2117" w:type="dxa"/>
          </w:tcPr>
          <w:p>
            <w:pPr>
              <w:pStyle w:val="Compact"/>
              <w:spacing w:after="40"/>
              <w:jc w:val="left"/>
            </w:pPr>
            <w:r>
              <w:rPr>
                <w:sz w:val="18"/>
              </w:rPr>
              <w:t xml:space="preserve">axe-core in CI (B, C, D, F, G); React Native accessibility lint; TalkBack and VoiceOver scripts</w:t>
            </w:r>
          </w:p>
        </w:tc>
        <w:tc>
          <w:tcPr>
            <w:tcW w:w="2439" w:type="dxa"/>
          </w:tcPr>
          <w:p>
            <w:pPr>
              <w:pStyle w:val="Compact"/>
              <w:spacing w:after="40"/>
              <w:jc w:val="left"/>
            </w:pPr>
            <w:r>
              <w:rPr>
                <w:sz w:val="18"/>
              </w:rPr>
              <w:t xml:space="preserve">Part 10.3, 10.5; KYC para 27 Explanation; RBC para 105</w:t>
            </w:r>
          </w:p>
        </w:tc>
      </w:tr>
      <w:tr>
        <w:tc>
          <w:tcPr>
            <w:tcW w:w="738" w:type="dxa"/>
          </w:tcPr>
          <w:p>
            <w:pPr>
              <w:pStyle w:val="Compact"/>
              <w:spacing w:after="40"/>
              <w:jc w:val="left"/>
            </w:pPr>
            <w:r>
              <w:rPr>
                <w:sz w:val="18"/>
              </w:rPr>
              <w:t xml:space="preserve">11</w:t>
            </w:r>
          </w:p>
        </w:tc>
        <w:tc>
          <w:tcPr>
            <w:tcW w:w="4344" w:type="dxa"/>
          </w:tcPr>
          <w:p>
            <w:pPr>
              <w:pStyle w:val="Compact"/>
              <w:spacing w:after="40"/>
              <w:jc w:val="left"/>
            </w:pPr>
            <w:r>
              <w:rPr>
                <w:bCs/>
                <w:b/>
                <w:sz w:val="18"/>
              </w:rPr>
              <w:t xml:space="preserve">Low bandwidth.</w:t>
            </w:r>
            <w:r>
              <w:rPr>
                <w:sz w:val="18"/>
              </w:rPr>
              <w:t xml:space="preserve"> </w:t>
            </w:r>
            <w:r>
              <w:rPr>
                <w:sz w:val="18"/>
              </w:rPr>
              <w:t xml:space="preserve">Text-first; Lite mode on automatically on 2G, slow 3G or Save-Data (no images, video or web fonts); compressed, resumable uploads; progress state for any wait over 10 seconds; offline read-only cache with</w:t>
            </w:r>
            <w:r>
              <w:rPr>
                <w:sz w:val="18"/>
              </w:rPr>
              <w:t xml:space="preserve"> </w:t>
            </w:r>
            <w:r>
              <w:rPr>
                <w:sz w:val="18"/>
              </w:rPr>
              <w:t xml:space="preserve">“</w:t>
            </w:r>
            <w:r>
              <w:rPr>
                <w:sz w:val="18"/>
              </w:rPr>
              <w:t xml:space="preserve">as at</w:t>
            </w:r>
            <w:r>
              <w:rPr>
                <w:sz w:val="18"/>
              </w:rPr>
              <w:t xml:space="preserve">”</w:t>
            </w:r>
            <w:r>
              <w:rPr>
                <w:sz w:val="18"/>
              </w:rPr>
              <w:t xml:space="preserve"> </w:t>
            </w:r>
            <w:r>
              <w:rPr>
                <w:sz w:val="18"/>
              </w:rPr>
              <w:t xml:space="preserve">time; no KYC, consent, signing, mandate or payment offline</w:t>
            </w:r>
          </w:p>
        </w:tc>
        <w:tc>
          <w:tcPr>
            <w:tcW w:w="2117" w:type="dxa"/>
          </w:tcPr>
          <w:p>
            <w:pPr>
              <w:pStyle w:val="Compact"/>
              <w:spacing w:after="40"/>
              <w:jc w:val="left"/>
            </w:pPr>
            <w:r>
              <w:rPr>
                <w:sz w:val="18"/>
              </w:rPr>
              <w:t xml:space="preserve">2G-throttled E2E; bundle budget (Part 10.5)</w:t>
            </w:r>
          </w:p>
        </w:tc>
        <w:tc>
          <w:tcPr>
            <w:tcW w:w="2439" w:type="dxa"/>
          </w:tcPr>
          <w:p>
            <w:pPr>
              <w:pStyle w:val="Compact"/>
              <w:spacing w:after="40"/>
              <w:jc w:val="left"/>
            </w:pPr>
            <w:r>
              <w:rPr>
                <w:sz w:val="18"/>
              </w:rPr>
              <w:t xml:space="preserve">Part 10.3, 10.5</w:t>
            </w:r>
          </w:p>
        </w:tc>
      </w:tr>
      <w:tr>
        <w:tc>
          <w:tcPr>
            <w:tcW w:w="738" w:type="dxa"/>
          </w:tcPr>
          <w:p>
            <w:pPr>
              <w:pStyle w:val="Compact"/>
              <w:spacing w:after="40"/>
              <w:jc w:val="left"/>
            </w:pPr>
            <w:r>
              <w:rPr>
                <w:sz w:val="18"/>
              </w:rPr>
              <w:t xml:space="preserve">12</w:t>
            </w:r>
          </w:p>
        </w:tc>
        <w:tc>
          <w:tcPr>
            <w:tcW w:w="4344" w:type="dxa"/>
          </w:tcPr>
          <w:p>
            <w:pPr>
              <w:pStyle w:val="Compact"/>
              <w:spacing w:after="40"/>
              <w:jc w:val="left"/>
            </w:pPr>
            <w:r>
              <w:rPr>
                <w:bCs/>
                <w:b/>
                <w:sz w:val="18"/>
              </w:rPr>
              <w:t xml:space="preserve">Sensitive screens.</w:t>
            </w:r>
            <w:r>
              <w:rPr>
                <w:sz w:val="18"/>
              </w:rPr>
              <w:t xml:space="preserve"> </w:t>
            </w:r>
            <w:r>
              <w:rPr>
                <w:sz w:val="18"/>
              </w:rPr>
              <w:t xml:space="preserve">Screenshot blocking on KYC, offer, KFS, signing, bank-account, payment and document screens (A); visible watermark on web documents (B); masked PAN, Aadhaar reference and account numbers; push and SMS carry no PII, amounts or case content; every deep link lands on an authenticated screen</w:t>
            </w:r>
          </w:p>
        </w:tc>
        <w:tc>
          <w:tcPr>
            <w:tcW w:w="2117" w:type="dxa"/>
          </w:tcPr>
          <w:p>
            <w:pPr>
              <w:pStyle w:val="Compact"/>
              <w:spacing w:after="40"/>
              <w:jc w:val="left"/>
            </w:pPr>
            <w:r>
              <w:rPr>
                <w:sz w:val="18"/>
              </w:rPr>
              <w:t xml:space="preserve">Security test pack (U24, RA4.3)</w:t>
            </w:r>
          </w:p>
        </w:tc>
        <w:tc>
          <w:tcPr>
            <w:tcW w:w="2439" w:type="dxa"/>
          </w:tcPr>
          <w:p>
            <w:pPr>
              <w:pStyle w:val="Compact"/>
              <w:spacing w:after="40"/>
              <w:jc w:val="left"/>
            </w:pPr>
            <w:r>
              <w:rPr>
                <w:sz w:val="18"/>
              </w:rPr>
              <w:t xml:space="preserve">Part 10.3; UB1; UR1</w:t>
            </w:r>
          </w:p>
        </w:tc>
      </w:tr>
      <w:tr>
        <w:tc>
          <w:tcPr>
            <w:tcW w:w="738" w:type="dxa"/>
          </w:tcPr>
          <w:p>
            <w:pPr>
              <w:pStyle w:val="Compact"/>
              <w:spacing w:after="40"/>
              <w:jc w:val="left"/>
            </w:pPr>
            <w:r>
              <w:rPr>
                <w:sz w:val="18"/>
              </w:rPr>
              <w:t xml:space="preserve">13</w:t>
            </w:r>
          </w:p>
        </w:tc>
        <w:tc>
          <w:tcPr>
            <w:tcW w:w="4344" w:type="dxa"/>
          </w:tcPr>
          <w:p>
            <w:pPr>
              <w:pStyle w:val="Compact"/>
              <w:spacing w:after="40"/>
              <w:jc w:val="left"/>
            </w:pPr>
            <w:r>
              <w:rPr>
                <w:bCs/>
                <w:b/>
                <w:sz w:val="18"/>
              </w:rPr>
              <w:t xml:space="preserve">Staff portals.</w:t>
            </w:r>
            <w:r>
              <w:rPr>
                <w:sz w:val="18"/>
              </w:rPr>
              <w:t xml:space="preserve"> </w:t>
            </w:r>
            <w:r>
              <w:rPr>
                <w:sz w:val="18"/>
              </w:rPr>
              <w:t xml:space="preserve">My queue sorted by SLA, saved views, global search with masked identifiers, keyboard shortcuts on heavy queues, bulk actions only with maker-checker, export by permission, no borrower PII in URLs; every screen has empty, loading, error and permission-denied states</w:t>
            </w:r>
          </w:p>
        </w:tc>
        <w:tc>
          <w:tcPr>
            <w:tcW w:w="2117" w:type="dxa"/>
          </w:tcPr>
          <w:p>
            <w:pPr>
              <w:pStyle w:val="Compact"/>
              <w:spacing w:after="40"/>
              <w:jc w:val="left"/>
            </w:pPr>
            <w:r>
              <w:rPr>
                <w:sz w:val="18"/>
              </w:rPr>
              <w:t xml:space="preserve">Storybook state coverage; permission-matrix tests</w:t>
            </w:r>
          </w:p>
        </w:tc>
        <w:tc>
          <w:tcPr>
            <w:tcW w:w="2439" w:type="dxa"/>
          </w:tcPr>
          <w:p>
            <w:pPr>
              <w:pStyle w:val="Compact"/>
              <w:spacing w:after="40"/>
              <w:jc w:val="left"/>
            </w:pPr>
            <w:r>
              <w:rPr>
                <w:sz w:val="18"/>
              </w:rPr>
              <w:t xml:space="preserve">Part 10.4, 10.7</w:t>
            </w:r>
          </w:p>
        </w:tc>
      </w:tr>
      <w:tr>
        <w:tc>
          <w:tcPr>
            <w:tcW w:w="738" w:type="dxa"/>
          </w:tcPr>
          <w:p>
            <w:pPr>
              <w:pStyle w:val="Compact"/>
              <w:spacing w:after="40"/>
              <w:jc w:val="left"/>
            </w:pPr>
            <w:r>
              <w:rPr>
                <w:sz w:val="18"/>
              </w:rPr>
              <w:t xml:space="preserve">14</w:t>
            </w:r>
          </w:p>
        </w:tc>
        <w:tc>
          <w:tcPr>
            <w:tcW w:w="4344" w:type="dxa"/>
          </w:tcPr>
          <w:p>
            <w:pPr>
              <w:pStyle w:val="Compact"/>
              <w:spacing w:after="40"/>
              <w:jc w:val="left"/>
            </w:pPr>
            <w:r>
              <w:rPr>
                <w:bCs/>
                <w:b/>
                <w:sz w:val="18"/>
              </w:rPr>
              <w:t xml:space="preserve">Automation with human authority.</w:t>
            </w:r>
            <w:r>
              <w:rPr>
                <w:sz w:val="18"/>
              </w:rPr>
              <w:t xml:space="preserve"> </w:t>
            </w:r>
            <w:r>
              <w:rPr>
                <w:sz w:val="18"/>
              </w:rPr>
              <w:t xml:space="preserve">AI may draft, classify and explain; no regulated decision (credit, KYC, settlement, waiver, complaint closure) is taken by AI or by Udofin; RE decisions show the named RE user or RE rule set</w:t>
            </w:r>
          </w:p>
        </w:tc>
        <w:tc>
          <w:tcPr>
            <w:tcW w:w="2117" w:type="dxa"/>
          </w:tcPr>
          <w:p>
            <w:pPr>
              <w:pStyle w:val="Compact"/>
              <w:spacing w:after="40"/>
              <w:jc w:val="left"/>
            </w:pPr>
            <w:r>
              <w:rPr>
                <w:sz w:val="18"/>
              </w:rPr>
              <w:t xml:space="preserve">Permission matrix; AI policy tests (U20)</w:t>
            </w:r>
          </w:p>
        </w:tc>
        <w:tc>
          <w:tcPr>
            <w:tcW w:w="2439" w:type="dxa"/>
          </w:tcPr>
          <w:p>
            <w:pPr>
              <w:pStyle w:val="Compact"/>
              <w:spacing w:after="40"/>
              <w:jc w:val="left"/>
            </w:pPr>
            <w:r>
              <w:rPr>
                <w:sz w:val="18"/>
              </w:rPr>
              <w:t xml:space="preserve">OUT para 15; U20; RA5.4</w:t>
            </w:r>
          </w:p>
        </w:tc>
      </w:tr>
    </w:tbl>
    <w:bookmarkEnd w:id="539"/>
    <w:bookmarkStart w:id="548" w:name="g.2-borrower-app-channel-a"/>
    <w:p>
      <w:pPr>
        <w:pStyle w:val="Heading2"/>
      </w:pPr>
      <w:r>
        <w:t xml:space="preserve">G.2 Borrower app (channel A)</w:t>
      </w:r>
    </w:p>
    <w:bookmarkStart w:id="540" w:name="g.2.1-tab-bar"/>
    <w:p>
      <w:pPr>
        <w:pStyle w:val="Heading3"/>
      </w:pPr>
      <w:r>
        <w:t xml:space="preserve">G.2.1 Tab bar</w:t>
      </w:r>
    </w:p>
    <w:p>
      <w:pPr>
        <w:pStyle w:val="FirstParagraph"/>
      </w:pPr>
      <w:r>
        <w:t xml:space="preserve">The app has</w:t>
      </w:r>
      <w:r>
        <w:t xml:space="preserve"> </w:t>
      </w:r>
      <w:r>
        <w:rPr>
          <w:bCs/>
          <w:b/>
        </w:rPr>
        <w:t xml:space="preserve">exactly five bottom tabs</w:t>
      </w:r>
      <w:r>
        <w:t xml:space="preserve">. No other tab may be added by configuration, theme or feature flag; new areas go under Account.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94"/>
        <w:gridCol w:w="3054"/>
        <w:gridCol w:w="2111"/>
        <w:gridCol w:w="3379"/>
      </w:tblGrid>
      <w:tr>
        <w:trPr>
          <w:tblHeader w:val="true"/>
          <w:tblHeader w:val="true"/>
        </w:trPr>
        <w:tc>
          <w:tcPr>
            <w:tcW w:w="1094" w:type="dxa"/>
            <w:shd w:val="clear" w:color="auto" w:fill="1F3A5F"/>
          </w:tcPr>
          <w:p>
            <w:pPr>
              <w:pStyle w:val="Compact"/>
              <w:spacing w:after="40"/>
              <w:jc w:val="left"/>
            </w:pPr>
            <w:r>
              <w:rPr>
                <w:b/>
                <w:color w:val="FFFFFF"/>
                <w:sz w:val="18"/>
              </w:rPr>
              <w:t xml:space="preserve">Tab</w:t>
            </w:r>
          </w:p>
        </w:tc>
        <w:tc>
          <w:tcPr>
            <w:tcW w:w="3054" w:type="dxa"/>
            <w:shd w:val="clear" w:color="auto" w:fill="1F3A5F"/>
          </w:tcPr>
          <w:p>
            <w:pPr>
              <w:pStyle w:val="Compact"/>
              <w:spacing w:after="40"/>
              <w:jc w:val="left"/>
            </w:pPr>
            <w:r>
              <w:rPr>
                <w:b/>
                <w:color w:val="FFFFFF"/>
                <w:sz w:val="18"/>
              </w:rPr>
              <w:t xml:space="preserve">Purpose</w:t>
            </w:r>
          </w:p>
        </w:tc>
        <w:tc>
          <w:tcPr>
            <w:tcW w:w="2111" w:type="dxa"/>
            <w:shd w:val="clear" w:color="auto" w:fill="1F3A5F"/>
          </w:tcPr>
          <w:p>
            <w:pPr>
              <w:pStyle w:val="Compact"/>
              <w:spacing w:after="40"/>
              <w:jc w:val="left"/>
            </w:pPr>
            <w:r>
              <w:rPr>
                <w:b/>
                <w:color w:val="FFFFFF"/>
                <w:sz w:val="18"/>
              </w:rPr>
              <w:t xml:space="preserve">Badge</w:t>
            </w:r>
          </w:p>
        </w:tc>
        <w:tc>
          <w:tcPr>
            <w:tcW w:w="3379" w:type="dxa"/>
            <w:shd w:val="clear" w:color="auto" w:fill="1F3A5F"/>
          </w:tcPr>
          <w:p>
            <w:pPr>
              <w:pStyle w:val="Compact"/>
              <w:spacing w:after="40"/>
              <w:jc w:val="left"/>
            </w:pPr>
            <w:r>
              <w:rPr>
                <w:b/>
                <w:color w:val="FFFFFF"/>
                <w:sz w:val="18"/>
              </w:rPr>
              <w:t xml:space="preserve">Never contains</w:t>
            </w:r>
          </w:p>
        </w:tc>
      </w:tr>
      <w:tr>
        <w:tc>
          <w:tcPr>
            <w:tcW w:w="1094" w:type="dxa"/>
          </w:tcPr>
          <w:p>
            <w:pPr>
              <w:pStyle w:val="Compact"/>
              <w:spacing w:after="40"/>
              <w:jc w:val="left"/>
            </w:pPr>
            <w:r>
              <w:rPr>
                <w:bCs/>
                <w:b/>
                <w:sz w:val="18"/>
              </w:rPr>
              <w:t xml:space="preserve">Home</w:t>
            </w:r>
          </w:p>
        </w:tc>
        <w:tc>
          <w:tcPr>
            <w:tcW w:w="3054" w:type="dxa"/>
          </w:tcPr>
          <w:p>
            <w:pPr>
              <w:pStyle w:val="Compact"/>
              <w:spacing w:after="40"/>
              <w:jc w:val="left"/>
            </w:pPr>
            <w:r>
              <w:rPr>
                <w:sz w:val="18"/>
              </w:rPr>
              <w:t xml:space="preserve">Today’s status: next due, open tasks, resume banner, alerts, inbox</w:t>
            </w:r>
          </w:p>
        </w:tc>
        <w:tc>
          <w:tcPr>
            <w:tcW w:w="2111" w:type="dxa"/>
          </w:tcPr>
          <w:p>
            <w:pPr>
              <w:pStyle w:val="Compact"/>
              <w:spacing w:after="40"/>
              <w:jc w:val="left"/>
            </w:pPr>
            <w:r>
              <w:rPr>
                <w:sz w:val="18"/>
              </w:rPr>
              <w:t xml:space="preserve">Count of open tasks</w:t>
            </w:r>
          </w:p>
        </w:tc>
        <w:tc>
          <w:tcPr>
            <w:tcW w:w="3379" w:type="dxa"/>
          </w:tcPr>
          <w:p>
            <w:pPr>
              <w:pStyle w:val="Compact"/>
              <w:spacing w:after="40"/>
              <w:jc w:val="left"/>
            </w:pPr>
            <w:r>
              <w:rPr>
                <w:sz w:val="18"/>
              </w:rPr>
              <w:t xml:space="preserve">Offers ranked or promoted outside the offer view; non-loan cards [REC]; advertising inside any journey (RV4.1)</w:t>
            </w:r>
          </w:p>
        </w:tc>
      </w:tr>
      <w:tr>
        <w:tc>
          <w:tcPr>
            <w:tcW w:w="1094" w:type="dxa"/>
          </w:tcPr>
          <w:p>
            <w:pPr>
              <w:pStyle w:val="Compact"/>
              <w:spacing w:after="40"/>
              <w:jc w:val="left"/>
            </w:pPr>
            <w:r>
              <w:rPr>
                <w:bCs/>
                <w:b/>
                <w:sz w:val="18"/>
              </w:rPr>
              <w:t xml:space="preserve">Loans</w:t>
            </w:r>
          </w:p>
        </w:tc>
        <w:tc>
          <w:tcPr>
            <w:tcW w:w="3054" w:type="dxa"/>
          </w:tcPr>
          <w:p>
            <w:pPr>
              <w:pStyle w:val="Compact"/>
              <w:spacing w:after="40"/>
              <w:jc w:val="left"/>
            </w:pPr>
            <w:r>
              <w:rPr>
                <w:sz w:val="18"/>
              </w:rPr>
              <w:t xml:space="preserve">Apply, applications, active and closed loans, society, group and SHG loans</w:t>
            </w:r>
          </w:p>
        </w:tc>
        <w:tc>
          <w:tcPr>
            <w:tcW w:w="2111" w:type="dxa"/>
          </w:tcPr>
          <w:p>
            <w:pPr>
              <w:pStyle w:val="Compact"/>
              <w:spacing w:after="40"/>
              <w:jc w:val="left"/>
            </w:pPr>
            <w:r>
              <w:rPr>
                <w:sz w:val="18"/>
              </w:rPr>
              <w:t xml:space="preserve">Pending action on an application</w:t>
            </w:r>
          </w:p>
        </w:tc>
        <w:tc>
          <w:tcPr>
            <w:tcW w:w="3379" w:type="dxa"/>
          </w:tcPr>
          <w:p>
            <w:pPr>
              <w:pStyle w:val="Compact"/>
              <w:spacing w:after="40"/>
              <w:jc w:val="left"/>
            </w:pPr>
            <w:r>
              <w:rPr>
                <w:sz w:val="18"/>
              </w:rPr>
              <w:t xml:space="preserve">Money tools, Protect, plans, ads</w:t>
            </w:r>
          </w:p>
        </w:tc>
      </w:tr>
      <w:tr>
        <w:tc>
          <w:tcPr>
            <w:tcW w:w="1094" w:type="dxa"/>
          </w:tcPr>
          <w:p>
            <w:pPr>
              <w:pStyle w:val="Compact"/>
              <w:spacing w:after="40"/>
              <w:jc w:val="left"/>
            </w:pPr>
            <w:r>
              <w:rPr>
                <w:bCs/>
                <w:b/>
                <w:sz w:val="18"/>
              </w:rPr>
              <w:t xml:space="preserve">Pay</w:t>
            </w:r>
          </w:p>
        </w:tc>
        <w:tc>
          <w:tcPr>
            <w:tcW w:w="3054" w:type="dxa"/>
          </w:tcPr>
          <w:p>
            <w:pPr>
              <w:pStyle w:val="Compact"/>
              <w:spacing w:after="40"/>
              <w:jc w:val="left"/>
            </w:pPr>
            <w:r>
              <w:rPr>
                <w:sz w:val="18"/>
              </w:rPr>
              <w:t xml:space="preserve">Dues, pay now, mandates, payment history, overdue and settlement centre</w:t>
            </w:r>
          </w:p>
        </w:tc>
        <w:tc>
          <w:tcPr>
            <w:tcW w:w="2111" w:type="dxa"/>
          </w:tcPr>
          <w:p>
            <w:pPr>
              <w:pStyle w:val="Compact"/>
              <w:spacing w:after="40"/>
              <w:jc w:val="left"/>
            </w:pPr>
            <w:r>
              <w:rPr>
                <w:sz w:val="18"/>
              </w:rPr>
              <w:t xml:space="preserve">Due within 3 days or overdue</w:t>
            </w:r>
          </w:p>
        </w:tc>
        <w:tc>
          <w:tcPr>
            <w:tcW w:w="3379" w:type="dxa"/>
          </w:tcPr>
          <w:p>
            <w:pPr>
              <w:pStyle w:val="Compact"/>
              <w:spacing w:after="40"/>
              <w:jc w:val="left"/>
            </w:pPr>
            <w:r>
              <w:rPr>
                <w:sz w:val="18"/>
              </w:rPr>
              <w:t xml:space="preserve">Non-loan products, plans, ads</w:t>
            </w:r>
          </w:p>
        </w:tc>
      </w:tr>
      <w:tr>
        <w:tc>
          <w:tcPr>
            <w:tcW w:w="1094" w:type="dxa"/>
          </w:tcPr>
          <w:p>
            <w:pPr>
              <w:pStyle w:val="Compact"/>
              <w:spacing w:after="40"/>
              <w:jc w:val="left"/>
            </w:pPr>
            <w:r>
              <w:rPr>
                <w:bCs/>
                <w:b/>
                <w:sz w:val="18"/>
              </w:rPr>
              <w:t xml:space="preserve">Help</w:t>
            </w:r>
          </w:p>
        </w:tc>
        <w:tc>
          <w:tcPr>
            <w:tcW w:w="3054" w:type="dxa"/>
          </w:tcPr>
          <w:p>
            <w:pPr>
              <w:pStyle w:val="Compact"/>
              <w:spacing w:after="40"/>
              <w:jc w:val="left"/>
            </w:pPr>
            <w:r>
              <w:rPr>
                <w:sz w:val="18"/>
              </w:rPr>
              <w:t xml:space="preserve">Help centre, raise a complaint, my complaints, disputes and ADR, verify an agent, callback</w:t>
            </w:r>
          </w:p>
        </w:tc>
        <w:tc>
          <w:tcPr>
            <w:tcW w:w="2111" w:type="dxa"/>
          </w:tcPr>
          <w:p>
            <w:pPr>
              <w:pStyle w:val="Compact"/>
              <w:spacing w:after="40"/>
              <w:jc w:val="left"/>
            </w:pPr>
            <w:r>
              <w:rPr>
                <w:sz w:val="18"/>
              </w:rPr>
              <w:t xml:space="preserve">Reply awaiting the borrower</w:t>
            </w:r>
          </w:p>
        </w:tc>
        <w:tc>
          <w:tcPr>
            <w:tcW w:w="3379" w:type="dxa"/>
          </w:tcPr>
          <w:p>
            <w:pPr>
              <w:pStyle w:val="Compact"/>
              <w:spacing w:after="40"/>
              <w:jc w:val="left"/>
            </w:pPr>
            <w:r>
              <w:rPr>
                <w:sz w:val="18"/>
              </w:rPr>
              <w:t xml:space="preserve">Deflection gates; ads</w:t>
            </w:r>
          </w:p>
        </w:tc>
      </w:tr>
      <w:tr>
        <w:tc>
          <w:tcPr>
            <w:tcW w:w="1094" w:type="dxa"/>
          </w:tcPr>
          <w:p>
            <w:pPr>
              <w:pStyle w:val="Compact"/>
              <w:spacing w:after="40"/>
              <w:jc w:val="left"/>
            </w:pPr>
            <w:r>
              <w:rPr>
                <w:bCs/>
                <w:b/>
                <w:sz w:val="18"/>
              </w:rPr>
              <w:t xml:space="preserve">Account</w:t>
            </w:r>
          </w:p>
        </w:tc>
        <w:tc>
          <w:tcPr>
            <w:tcW w:w="3054" w:type="dxa"/>
          </w:tcPr>
          <w:p>
            <w:pPr>
              <w:pStyle w:val="Compact"/>
              <w:spacing w:after="40"/>
              <w:jc w:val="left"/>
            </w:pPr>
            <w:r>
              <w:rPr>
                <w:sz w:val="18"/>
              </w:rPr>
              <w:t xml:space="preserve">Profile, Documents and data, Plans and billing, Money tools, Protect, Settings</w:t>
            </w:r>
          </w:p>
        </w:tc>
        <w:tc>
          <w:tcPr>
            <w:tcW w:w="2111" w:type="dxa"/>
          </w:tcPr>
          <w:p>
            <w:pPr>
              <w:pStyle w:val="Compact"/>
              <w:spacing w:after="40"/>
              <w:jc w:val="left"/>
            </w:pPr>
            <w:r>
              <w:rPr>
                <w:sz w:val="18"/>
              </w:rPr>
              <w:t xml:space="preserve">Expiring consent or document request update</w:t>
            </w:r>
          </w:p>
        </w:tc>
        <w:tc>
          <w:tcPr>
            <w:tcW w:w="3379" w:type="dxa"/>
          </w:tcPr>
          <w:p>
            <w:pPr>
              <w:pStyle w:val="Compact"/>
              <w:spacing w:after="40"/>
              <w:jc w:val="left"/>
            </w:pPr>
            <w:r>
              <w:rPr>
                <w:sz w:val="18"/>
              </w:rPr>
              <w:t xml:space="preserve">Loan offers</w:t>
            </w:r>
          </w:p>
        </w:tc>
      </w:tr>
    </w:tbl>
    <w:bookmarkEnd w:id="540"/>
    <w:bookmarkStart w:id="541" w:name="g.2.2-global-elements"/>
    <w:p>
      <w:pPr>
        <w:pStyle w:val="Heading3"/>
      </w:pPr>
      <w:r>
        <w:t xml:space="preserve">G.2.2 Global elements</w:t>
      </w:r>
    </w:p>
    <w:p>
      <w:pPr>
        <w:numPr>
          <w:ilvl w:val="0"/>
          <w:numId w:val="1543"/>
        </w:numPr>
        <w:pStyle w:val="Compact"/>
      </w:pPr>
      <w:r>
        <w:rPr>
          <w:bCs/>
          <w:b/>
        </w:rPr>
        <w:t xml:space="preserve">Header:</w:t>
      </w:r>
      <w:r>
        <w:t xml:space="preserve"> </w:t>
      </w:r>
      <w:r>
        <w:t xml:space="preserve">screen title, language switch, inbox bell (Home only), Help shortcut on journey screens (rule 10, consistent help).</w:t>
      </w:r>
    </w:p>
    <w:p>
      <w:pPr>
        <w:numPr>
          <w:ilvl w:val="0"/>
          <w:numId w:val="1543"/>
        </w:numPr>
        <w:pStyle w:val="Compact"/>
      </w:pPr>
      <w:r>
        <w:rPr>
          <w:bCs/>
          <w:b/>
        </w:rPr>
        <w:t xml:space="preserve">Lender strip</w:t>
      </w:r>
      <w:r>
        <w:t xml:space="preserve"> </w:t>
      </w:r>
      <w:r>
        <w:t xml:space="preserve">on every loan-context screen (rule 5).</w:t>
      </w:r>
    </w:p>
    <w:p>
      <w:pPr>
        <w:numPr>
          <w:ilvl w:val="0"/>
          <w:numId w:val="1543"/>
        </w:numPr>
        <w:pStyle w:val="Compact"/>
      </w:pPr>
      <w:r>
        <w:rPr>
          <w:bCs/>
          <w:b/>
        </w:rPr>
        <w:t xml:space="preserve">Banners:</w:t>
      </w:r>
      <w:r>
        <w:t xml:space="preserve"> </w:t>
      </w:r>
      <w:r>
        <w:t xml:space="preserve">offline, Lite mode, forced update (U3), RE deal suspension (UP5), maintenance.</w:t>
      </w:r>
    </w:p>
    <w:p>
      <w:pPr>
        <w:numPr>
          <w:ilvl w:val="0"/>
          <w:numId w:val="1543"/>
        </w:numPr>
        <w:pStyle w:val="Compact"/>
      </w:pPr>
      <w:r>
        <w:rPr>
          <w:bCs/>
          <w:b/>
        </w:rPr>
        <w:t xml:space="preserve">Step-up sheet:</w:t>
      </w:r>
      <w:r>
        <w:t xml:space="preserve"> </w:t>
      </w:r>
      <w:r>
        <w:t xml:space="preserve">OTP, passkey or device biometric unlock for KFS acceptance, eSign, mandate set-up, bank-account change, contact change, downloads of originals and data exports (U3; UB1).</w:t>
      </w:r>
    </w:p>
    <w:p>
      <w:pPr>
        <w:numPr>
          <w:ilvl w:val="0"/>
          <w:numId w:val="1543"/>
        </w:numPr>
        <w:pStyle w:val="Compact"/>
      </w:pPr>
      <w:r>
        <w:rPr>
          <w:bCs/>
          <w:b/>
        </w:rPr>
        <w:t xml:space="preserve">Disclosure footer</w:t>
      </w:r>
      <w:r>
        <w:t xml:space="preserve"> </w:t>
      </w:r>
      <w:r>
        <w:t xml:space="preserve">on Help and Account: partner REs and the activities Udofin performs for each, RE website disclosure links, Udofin nodal grievance officer, privacy policy with the third-party list, data storage and destruction policy, ranking metric,</w:t>
      </w:r>
      <w:r>
        <w:t xml:space="preserve"> </w:t>
      </w:r>
      <w:r>
        <w:t xml:space="preserve">“</w:t>
      </w:r>
      <w:r>
        <w:t xml:space="preserve">what Udofin can access on this phone</w:t>
      </w:r>
      <w:r>
        <w:t xml:space="preserve">”</w:t>
      </w:r>
      <w:r>
        <w:t xml:space="preserve"> </w:t>
      </w:r>
      <w:r>
        <w:t xml:space="preserve">(CF paras 7(4), 9(4)–(5), 12(2), 14(2), 15; U25).</w:t>
      </w:r>
    </w:p>
    <w:bookmarkEnd w:id="541"/>
    <w:bookmarkStart w:id="542" w:name="g.2.3-home"/>
    <w:p>
      <w:pPr>
        <w:pStyle w:val="Heading3"/>
      </w:pPr>
      <w:r>
        <w:t xml:space="preserve">G.2.3 Home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18"/>
        <w:gridCol w:w="5372"/>
        <w:gridCol w:w="3148"/>
      </w:tblGrid>
      <w:tr>
        <w:trPr>
          <w:tblHeader w:val="true"/>
          <w:tblHeader w:val="true"/>
        </w:trPr>
        <w:tc>
          <w:tcPr>
            <w:tcW w:w="1118" w:type="dxa"/>
            <w:shd w:val="clear" w:color="auto" w:fill="1F3A5F"/>
          </w:tcPr>
          <w:p>
            <w:pPr>
              <w:pStyle w:val="Compact"/>
              <w:spacing w:after="40"/>
              <w:jc w:val="left"/>
            </w:pPr>
            <w:r>
              <w:rPr>
                <w:b/>
                <w:color w:val="FFFFFF"/>
                <w:sz w:val="18"/>
              </w:rPr>
              <w:t xml:space="preserve">Screen</w:t>
            </w:r>
          </w:p>
        </w:tc>
        <w:tc>
          <w:tcPr>
            <w:tcW w:w="5372" w:type="dxa"/>
            <w:shd w:val="clear" w:color="auto" w:fill="1F3A5F"/>
          </w:tcPr>
          <w:p>
            <w:pPr>
              <w:pStyle w:val="Compact"/>
              <w:spacing w:after="40"/>
              <w:jc w:val="left"/>
            </w:pPr>
            <w:r>
              <w:rPr>
                <w:b/>
                <w:color w:val="FFFFFF"/>
                <w:sz w:val="18"/>
              </w:rPr>
              <w:t xml:space="preserve">Key content and actions</w:t>
            </w:r>
          </w:p>
        </w:tc>
        <w:tc>
          <w:tcPr>
            <w:tcW w:w="3148" w:type="dxa"/>
            <w:shd w:val="clear" w:color="auto" w:fill="1F3A5F"/>
          </w:tcPr>
          <w:p>
            <w:pPr>
              <w:pStyle w:val="Compact"/>
              <w:spacing w:after="40"/>
              <w:jc w:val="left"/>
            </w:pPr>
            <w:r>
              <w:rPr>
                <w:b/>
                <w:color w:val="FFFFFF"/>
                <w:sz w:val="18"/>
              </w:rPr>
              <w:t xml:space="preserve">States</w:t>
            </w:r>
          </w:p>
        </w:tc>
      </w:tr>
      <w:tr>
        <w:tc>
          <w:tcPr>
            <w:tcW w:w="1118" w:type="dxa"/>
          </w:tcPr>
          <w:p>
            <w:pPr>
              <w:pStyle w:val="Compact"/>
              <w:spacing w:after="40"/>
              <w:jc w:val="left"/>
            </w:pPr>
            <w:r>
              <w:rPr>
                <w:rStyle w:val="VerbatimChar"/>
                <w:sz w:val="18"/>
              </w:rPr>
              <w:t xml:space="preserve">Home</w:t>
            </w:r>
          </w:p>
        </w:tc>
        <w:tc>
          <w:tcPr>
            <w:tcW w:w="5372" w:type="dxa"/>
          </w:tcPr>
          <w:p>
            <w:pPr>
              <w:pStyle w:val="Compact"/>
              <w:spacing w:after="40"/>
              <w:jc w:val="left"/>
            </w:pPr>
            <w:r>
              <w:rPr>
                <w:sz w:val="18"/>
              </w:rPr>
              <w:t xml:space="preserve">Cards in fixed order: action needed (information request, KFS awaiting acceptance, eSign pending, mandate failed); next due per loan with lender strip and</w:t>
            </w:r>
            <w:r>
              <w:rPr>
                <w:sz w:val="18"/>
              </w:rPr>
              <w:t xml:space="preserve"> </w:t>
            </w:r>
            <w:r>
              <w:rPr>
                <w:bCs/>
                <w:b/>
                <w:sz w:val="18"/>
              </w:rPr>
              <w:t xml:space="preserve">Pay</w:t>
            </w:r>
            <w:r>
              <w:rPr>
                <w:sz w:val="18"/>
              </w:rPr>
              <w:t xml:space="preserve">; cooling-off card with end date and</w:t>
            </w:r>
            <w:r>
              <w:rPr>
                <w:sz w:val="18"/>
              </w:rPr>
              <w:t xml:space="preserve"> </w:t>
            </w:r>
            <w:r>
              <w:rPr>
                <w:bCs/>
                <w:b/>
                <w:sz w:val="18"/>
              </w:rPr>
              <w:t xml:space="preserve">Exit this loan</w:t>
            </w:r>
            <w:r>
              <w:rPr>
                <w:sz w:val="18"/>
              </w:rPr>
              <w:t xml:space="preserve"> </w:t>
            </w:r>
            <w:r>
              <w:rPr>
                <w:sz w:val="18"/>
              </w:rPr>
              <w:t xml:space="preserve">while the period runs; open complaint status;</w:t>
            </w:r>
            <w:r>
              <w:rPr>
                <w:sz w:val="18"/>
              </w:rPr>
              <w:t xml:space="preserve"> </w:t>
            </w:r>
            <w:r>
              <w:rPr>
                <w:bCs/>
                <w:b/>
                <w:sz w:val="18"/>
              </w:rPr>
              <w:t xml:space="preserve">Apply for a loan</w:t>
            </w:r>
            <w:r>
              <w:rPr>
                <w:sz w:val="18"/>
              </w:rPr>
              <w:t xml:space="preserve"> </w:t>
            </w:r>
            <w:r>
              <w:rPr>
                <w:sz w:val="18"/>
              </w:rPr>
              <w:t xml:space="preserve">(opens the product chooser)</w:t>
            </w:r>
          </w:p>
        </w:tc>
        <w:tc>
          <w:tcPr>
            <w:tcW w:w="3148" w:type="dxa"/>
          </w:tcPr>
          <w:p>
            <w:pPr>
              <w:pStyle w:val="Compact"/>
              <w:spacing w:after="40"/>
              <w:jc w:val="left"/>
            </w:pPr>
            <w:r>
              <w:rPr>
                <w:sz w:val="18"/>
              </w:rPr>
              <w:t xml:space="preserve">First run:</w:t>
            </w:r>
            <w:r>
              <w:rPr>
                <w:sz w:val="18"/>
              </w:rPr>
              <w:t xml:space="preserve"> </w:t>
            </w:r>
            <w:r>
              <w:rPr>
                <w:sz w:val="18"/>
              </w:rPr>
              <w:t xml:space="preserve">“</w:t>
            </w:r>
            <w:r>
              <w:rPr>
                <w:sz w:val="18"/>
              </w:rPr>
              <w:t xml:space="preserve">Start an application in 4 steps</w:t>
            </w:r>
            <w:r>
              <w:rPr>
                <w:sz w:val="18"/>
              </w:rPr>
              <w:t xml:space="preserve">”</w:t>
            </w:r>
            <w:r>
              <w:rPr>
                <w:sz w:val="18"/>
              </w:rPr>
              <w:t xml:space="preserve"> </w:t>
            </w:r>
            <w:r>
              <w:rPr>
                <w:sz w:val="18"/>
              </w:rPr>
              <w:t xml:space="preserve">plus partner-lender list; no loan: education articles only</w:t>
            </w:r>
          </w:p>
        </w:tc>
      </w:tr>
      <w:tr>
        <w:tc>
          <w:tcPr>
            <w:tcW w:w="1118" w:type="dxa"/>
          </w:tcPr>
          <w:p>
            <w:pPr>
              <w:pStyle w:val="Compact"/>
              <w:spacing w:after="40"/>
              <w:jc w:val="left"/>
            </w:pPr>
            <w:r>
              <w:rPr>
                <w:rStyle w:val="VerbatimChar"/>
                <w:sz w:val="18"/>
              </w:rPr>
              <w:t xml:space="preserve">Home › Inbox</w:t>
            </w:r>
          </w:p>
        </w:tc>
        <w:tc>
          <w:tcPr>
            <w:tcW w:w="5372" w:type="dxa"/>
          </w:tcPr>
          <w:p>
            <w:pPr>
              <w:pStyle w:val="Compact"/>
              <w:spacing w:after="40"/>
              <w:jc w:val="left"/>
            </w:pPr>
            <w:r>
              <w:rPr>
                <w:sz w:val="18"/>
              </w:rPr>
              <w:t xml:space="preserve">Service messages and RE communications; a new RE notice shows only</w:t>
            </w:r>
            <w:r>
              <w:rPr>
                <w:sz w:val="18"/>
              </w:rPr>
              <w:t xml:space="preserve"> </w:t>
            </w:r>
            <w:r>
              <w:rPr>
                <w:sz w:val="18"/>
              </w:rPr>
              <w:t xml:space="preserve">“</w:t>
            </w:r>
            <w:r>
              <w:rPr>
                <w:sz w:val="18"/>
              </w:rPr>
              <w:t xml:space="preserve">You have a new notice from [RE name]</w:t>
            </w:r>
            <w:r>
              <w:rPr>
                <w:sz w:val="18"/>
              </w:rPr>
              <w:t xml:space="preserve">”</w:t>
            </w:r>
            <w:r>
              <w:rPr>
                <w:sz w:val="18"/>
              </w:rPr>
              <w:t xml:space="preserve"> </w:t>
            </w:r>
            <w:r>
              <w:rPr>
                <w:sz w:val="18"/>
              </w:rPr>
              <w:t xml:space="preserve">and opens</w:t>
            </w:r>
            <w:r>
              <w:rPr>
                <w:sz w:val="18"/>
              </w:rPr>
              <w:t xml:space="preserve"> </w:t>
            </w:r>
            <w:r>
              <w:rPr>
                <w:rStyle w:val="VerbatimChar"/>
                <w:sz w:val="18"/>
              </w:rPr>
              <w:t xml:space="preserve">Loans › [loan] › Notices</w:t>
            </w:r>
            <w:r>
              <w:rPr>
                <w:sz w:val="18"/>
              </w:rPr>
              <w:t xml:space="preserve"> </w:t>
            </w:r>
            <w:r>
              <w:rPr>
                <w:sz w:val="18"/>
              </w:rPr>
              <w:t xml:space="preserve">after authentication</w:t>
            </w:r>
          </w:p>
        </w:tc>
        <w:tc>
          <w:tcPr>
            <w:tcW w:w="3148" w:type="dxa"/>
          </w:tcPr>
          <w:p>
            <w:pPr>
              <w:pStyle w:val="Compact"/>
              <w:spacing w:after="40"/>
              <w:jc w:val="left"/>
            </w:pPr>
            <w:r>
              <w:rPr>
                <w:sz w:val="18"/>
              </w:rPr>
              <w:t xml:space="preserve">Empty:</w:t>
            </w:r>
            <w:r>
              <w:rPr>
                <w:sz w:val="18"/>
              </w:rPr>
              <w:t xml:space="preserve"> </w:t>
            </w:r>
            <w:r>
              <w:rPr>
                <w:sz w:val="18"/>
              </w:rPr>
              <w:t xml:space="preserve">“</w:t>
            </w:r>
            <w:r>
              <w:rPr>
                <w:sz w:val="18"/>
              </w:rPr>
              <w:t xml:space="preserve">No messages</w:t>
            </w:r>
            <w:r>
              <w:rPr>
                <w:sz w:val="18"/>
              </w:rPr>
              <w:t xml:space="preserve">”</w:t>
            </w:r>
          </w:p>
        </w:tc>
      </w:tr>
      <w:tr>
        <w:tc>
          <w:tcPr>
            <w:tcW w:w="1118" w:type="dxa"/>
          </w:tcPr>
          <w:p>
            <w:pPr>
              <w:pStyle w:val="Compact"/>
              <w:spacing w:after="40"/>
              <w:jc w:val="left"/>
            </w:pPr>
            <w:r>
              <w:rPr>
                <w:rStyle w:val="VerbatimChar"/>
                <w:sz w:val="18"/>
              </w:rPr>
              <w:t xml:space="preserve">Home › Resume</w:t>
            </w:r>
          </w:p>
        </w:tc>
        <w:tc>
          <w:tcPr>
            <w:tcW w:w="5372" w:type="dxa"/>
          </w:tcPr>
          <w:p>
            <w:pPr>
              <w:pStyle w:val="Compact"/>
              <w:spacing w:after="40"/>
              <w:jc w:val="left"/>
            </w:pPr>
            <w:r>
              <w:rPr>
                <w:sz w:val="18"/>
              </w:rPr>
              <w:t xml:space="preserve">Returns to the saved step; shows what is saved and what expires (consent, offer, KFS validity)</w:t>
            </w:r>
          </w:p>
        </w:tc>
        <w:tc>
          <w:tcPr>
            <w:tcW w:w="3148" w:type="dxa"/>
          </w:tcPr>
          <w:p>
            <w:pPr>
              <w:pStyle w:val="Compact"/>
              <w:spacing w:after="40"/>
              <w:jc w:val="left"/>
            </w:pPr>
            <w:r>
              <w:rPr>
                <w:sz w:val="18"/>
              </w:rPr>
              <w:t xml:space="preserve">Expired: explains why and restarts at the earliest valid step</w:t>
            </w:r>
          </w:p>
        </w:tc>
      </w:tr>
    </w:tbl>
    <w:bookmarkEnd w:id="542"/>
    <w:bookmarkStart w:id="543" w:name="g.2.4-loans"/>
    <w:p>
      <w:pPr>
        <w:pStyle w:val="Heading3"/>
      </w:pPr>
      <w:r>
        <w:t xml:space="preserve">G.2.4 Loans</w:t>
      </w:r>
    </w:p>
    <w:p>
      <w:pPr>
        <w:pStyle w:val="FirstParagraph"/>
      </w:pPr>
      <w:r>
        <w:rPr>
          <w:bCs/>
          <w:b/>
        </w:rPr>
        <w:t xml:space="preserve">Application journey (</w:t>
      </w:r>
      <w:r>
        <w:rPr>
          <w:rStyle w:val="VerbatimChar"/>
          <w:bCs/>
          <w:b/>
        </w:rPr>
        <w:t xml:space="preserve">Loans › Apply</w:t>
      </w:r>
      <w:r>
        <w:rPr>
          <w:bCs/>
          <w:b/>
        </w:rPr>
        <w:t xml:space="preserve">)</w:t>
      </w:r>
      <w:r>
        <w:t xml:space="preserve"> </w:t>
      </w:r>
      <w:r>
        <w:t xml:space="preserve">— order per the RE journey template (U2); first four interactions per Part 3.3 item 1.</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08"/>
        <w:gridCol w:w="3780"/>
        <w:gridCol w:w="2633"/>
        <w:gridCol w:w="2317"/>
      </w:tblGrid>
      <w:tr>
        <w:trPr>
          <w:tblHeader w:val="true"/>
          <w:tblHeader w:val="true"/>
        </w:trPr>
        <w:tc>
          <w:tcPr>
            <w:tcW w:w="908" w:type="dxa"/>
            <w:shd w:val="clear" w:color="auto" w:fill="1F3A5F"/>
          </w:tcPr>
          <w:p>
            <w:pPr>
              <w:pStyle w:val="Compact"/>
              <w:spacing w:after="40"/>
              <w:jc w:val="left"/>
            </w:pPr>
            <w:r>
              <w:rPr>
                <w:b/>
                <w:color w:val="FFFFFF"/>
                <w:sz w:val="18"/>
              </w:rPr>
              <w:t xml:space="preserve">Step</w:t>
            </w:r>
          </w:p>
        </w:tc>
        <w:tc>
          <w:tcPr>
            <w:tcW w:w="3780" w:type="dxa"/>
            <w:shd w:val="clear" w:color="auto" w:fill="1F3A5F"/>
          </w:tcPr>
          <w:p>
            <w:pPr>
              <w:pStyle w:val="Compact"/>
              <w:spacing w:after="40"/>
              <w:jc w:val="left"/>
            </w:pPr>
            <w:r>
              <w:rPr>
                <w:b/>
                <w:color w:val="FFFFFF"/>
                <w:sz w:val="18"/>
              </w:rPr>
              <w:t xml:space="preserve">Screen and key actions</w:t>
            </w:r>
          </w:p>
        </w:tc>
        <w:tc>
          <w:tcPr>
            <w:tcW w:w="2633" w:type="dxa"/>
            <w:shd w:val="clear" w:color="auto" w:fill="1F3A5F"/>
          </w:tcPr>
          <w:p>
            <w:pPr>
              <w:pStyle w:val="Compact"/>
              <w:spacing w:after="40"/>
              <w:jc w:val="left"/>
            </w:pPr>
            <w:r>
              <w:rPr>
                <w:b/>
                <w:color w:val="FFFFFF"/>
                <w:sz w:val="18"/>
              </w:rPr>
              <w:t xml:space="preserve">Rules</w:t>
            </w:r>
          </w:p>
        </w:tc>
        <w:tc>
          <w:tcPr>
            <w:tcW w:w="2317" w:type="dxa"/>
            <w:shd w:val="clear" w:color="auto" w:fill="1F3A5F"/>
          </w:tcPr>
          <w:p>
            <w:pPr>
              <w:pStyle w:val="Compact"/>
              <w:spacing w:after="40"/>
              <w:jc w:val="left"/>
            </w:pPr>
            <w:r>
              <w:rPr>
                <w:b/>
                <w:color w:val="FFFFFF"/>
                <w:sz w:val="18"/>
              </w:rPr>
              <w:t xml:space="preserve">States</w:t>
            </w:r>
          </w:p>
        </w:tc>
      </w:tr>
      <w:tr>
        <w:tc>
          <w:tcPr>
            <w:tcW w:w="908" w:type="dxa"/>
          </w:tcPr>
          <w:p>
            <w:pPr>
              <w:pStyle w:val="Compact"/>
              <w:spacing w:after="40"/>
              <w:jc w:val="left"/>
            </w:pPr>
            <w:r>
              <w:rPr>
                <w:sz w:val="18"/>
              </w:rPr>
              <w:t xml:space="preserve">1</w:t>
            </w:r>
          </w:p>
        </w:tc>
        <w:tc>
          <w:tcPr>
            <w:tcW w:w="3780" w:type="dxa"/>
          </w:tcPr>
          <w:p>
            <w:pPr>
              <w:pStyle w:val="Compact"/>
              <w:spacing w:after="40"/>
              <w:jc w:val="left"/>
            </w:pPr>
            <w:r>
              <w:rPr>
                <w:bCs/>
                <w:b/>
                <w:sz w:val="18"/>
              </w:rPr>
              <w:t xml:space="preserve">Start:</w:t>
            </w:r>
            <w:r>
              <w:rPr>
                <w:sz w:val="18"/>
              </w:rPr>
              <w:t xml:space="preserve"> </w:t>
            </w:r>
            <w:r>
              <w:rPr>
                <w:sz w:val="18"/>
              </w:rPr>
              <w:t xml:space="preserve">mobile number and platform notice → OTP (autofill)</w:t>
            </w:r>
          </w:p>
        </w:tc>
        <w:tc>
          <w:tcPr>
            <w:tcW w:w="2633" w:type="dxa"/>
          </w:tcPr>
          <w:p>
            <w:pPr>
              <w:pStyle w:val="Compact"/>
              <w:spacing w:after="40"/>
              <w:jc w:val="left"/>
            </w:pPr>
            <w:r>
              <w:rPr>
                <w:sz w:val="18"/>
              </w:rPr>
              <w:t xml:space="preserve">No SMS permission; age 18+ check first (U3)</w:t>
            </w:r>
          </w:p>
        </w:tc>
        <w:tc>
          <w:tcPr>
            <w:tcW w:w="2317" w:type="dxa"/>
          </w:tcPr>
          <w:p>
            <w:pPr>
              <w:pStyle w:val="Compact"/>
              <w:spacing w:after="40"/>
              <w:jc w:val="left"/>
            </w:pPr>
            <w:r>
              <w:rPr>
                <w:sz w:val="18"/>
              </w:rPr>
              <w:t xml:space="preserve">Lockout shows retry time</w:t>
            </w:r>
          </w:p>
        </w:tc>
      </w:tr>
      <w:tr>
        <w:tc>
          <w:tcPr>
            <w:tcW w:w="908" w:type="dxa"/>
          </w:tcPr>
          <w:p>
            <w:pPr>
              <w:pStyle w:val="Compact"/>
              <w:spacing w:after="40"/>
              <w:jc w:val="left"/>
            </w:pPr>
            <w:r>
              <w:rPr>
                <w:sz w:val="18"/>
              </w:rPr>
              <w:t xml:space="preserve">2</w:t>
            </w:r>
          </w:p>
        </w:tc>
        <w:tc>
          <w:tcPr>
            <w:tcW w:w="3780" w:type="dxa"/>
          </w:tcPr>
          <w:p>
            <w:pPr>
              <w:pStyle w:val="Compact"/>
              <w:spacing w:after="40"/>
              <w:jc w:val="left"/>
            </w:pPr>
            <w:r>
              <w:rPr>
                <w:bCs/>
                <w:b/>
                <w:sz w:val="18"/>
              </w:rPr>
              <w:t xml:space="preserve">Product chooser:</w:t>
            </w:r>
            <w:r>
              <w:rPr>
                <w:sz w:val="18"/>
              </w:rPr>
              <w:t xml:space="preserve"> </w:t>
            </w:r>
            <w:r>
              <w:rPr>
                <w:sz w:val="18"/>
              </w:rPr>
              <w:t xml:space="preserve">loan products only; amount and tenor (slider and typed entry)</w:t>
            </w:r>
          </w:p>
        </w:tc>
        <w:tc>
          <w:tcPr>
            <w:tcW w:w="2633" w:type="dxa"/>
          </w:tcPr>
          <w:p>
            <w:pPr>
              <w:pStyle w:val="Compact"/>
              <w:spacing w:after="40"/>
              <w:jc w:val="left"/>
            </w:pPr>
            <w:r>
              <w:rPr>
                <w:sz w:val="18"/>
              </w:rPr>
              <w:t xml:space="preserve">No ads, plans or Protect; store-filtered products hidden in the app</w:t>
            </w:r>
          </w:p>
        </w:tc>
        <w:tc>
          <w:tcPr>
            <w:tcW w:w="2317" w:type="dxa"/>
          </w:tcPr>
          <w:p>
            <w:pPr>
              <w:pStyle w:val="Compact"/>
              <w:spacing w:after="40"/>
              <w:jc w:val="left"/>
            </w:pPr>
            <w:r>
              <w:rPr>
                <w:sz w:val="18"/>
              </w:rPr>
              <w:t xml:space="preserve">None in the borrower’s State: explain</w:t>
            </w:r>
          </w:p>
        </w:tc>
      </w:tr>
      <w:tr>
        <w:tc>
          <w:tcPr>
            <w:tcW w:w="908" w:type="dxa"/>
          </w:tcPr>
          <w:p>
            <w:pPr>
              <w:pStyle w:val="Compact"/>
              <w:spacing w:after="40"/>
              <w:jc w:val="left"/>
            </w:pPr>
            <w:r>
              <w:rPr>
                <w:sz w:val="18"/>
              </w:rPr>
              <w:t xml:space="preserve">3</w:t>
            </w:r>
          </w:p>
        </w:tc>
        <w:tc>
          <w:tcPr>
            <w:tcW w:w="3780" w:type="dxa"/>
          </w:tcPr>
          <w:p>
            <w:pPr>
              <w:pStyle w:val="Compact"/>
              <w:spacing w:after="40"/>
              <w:jc w:val="left"/>
            </w:pPr>
            <w:r>
              <w:rPr>
                <w:bCs/>
                <w:b/>
                <w:sz w:val="18"/>
              </w:rPr>
              <w:t xml:space="preserve">Consents for the first eligibility check:</w:t>
            </w:r>
            <w:r>
              <w:rPr>
                <w:sz w:val="18"/>
              </w:rPr>
              <w:t xml:space="preserve"> </w:t>
            </w:r>
            <w:r>
              <w:rPr>
                <w:sz w:val="18"/>
              </w:rPr>
              <w:t xml:space="preserve">one per purpose, all off</w:t>
            </w:r>
          </w:p>
        </w:tc>
        <w:tc>
          <w:tcPr>
            <w:tcW w:w="2633" w:type="dxa"/>
          </w:tcPr>
          <w:p>
            <w:pPr>
              <w:pStyle w:val="Compact"/>
              <w:spacing w:after="40"/>
              <w:jc w:val="left"/>
            </w:pPr>
            <w:r>
              <w:rPr>
                <w:sz w:val="18"/>
              </w:rPr>
              <w:t xml:space="preserve">Names each recipient RE (CF para 13(3))</w:t>
            </w:r>
          </w:p>
        </w:tc>
        <w:tc>
          <w:tcPr>
            <w:tcW w:w="2317" w:type="dxa"/>
          </w:tcPr>
          <w:p>
            <w:pPr>
              <w:pStyle w:val="Compact"/>
              <w:spacing w:after="40"/>
              <w:jc w:val="left"/>
            </w:pPr>
            <w:r>
              <w:rPr>
                <w:sz w:val="18"/>
              </w:rPr>
              <w:t xml:space="preserve">Decline:</w:t>
            </w:r>
            <w:r>
              <w:rPr>
                <w:sz w:val="18"/>
              </w:rPr>
              <w:t xml:space="preserve"> </w:t>
            </w:r>
            <w:r>
              <w:rPr>
                <w:sz w:val="18"/>
              </w:rPr>
              <w:t xml:space="preserve">“</w:t>
            </w:r>
            <w:r>
              <w:rPr>
                <w:sz w:val="18"/>
              </w:rPr>
              <w:t xml:space="preserve">what you can do instead</w:t>
            </w:r>
            <w:r>
              <w:rPr>
                <w:sz w:val="18"/>
              </w:rPr>
              <w:t xml:space="preserve">”</w:t>
            </w:r>
          </w:p>
        </w:tc>
      </w:tr>
      <w:tr>
        <w:tc>
          <w:tcPr>
            <w:tcW w:w="908" w:type="dxa"/>
          </w:tcPr>
          <w:p>
            <w:pPr>
              <w:pStyle w:val="Compact"/>
              <w:spacing w:after="40"/>
              <w:jc w:val="left"/>
            </w:pPr>
            <w:r>
              <w:rPr>
                <w:sz w:val="18"/>
              </w:rPr>
              <w:t xml:space="preserve">4</w:t>
            </w:r>
          </w:p>
        </w:tc>
        <w:tc>
          <w:tcPr>
            <w:tcW w:w="3780" w:type="dxa"/>
          </w:tcPr>
          <w:p>
            <w:pPr>
              <w:pStyle w:val="Compact"/>
              <w:spacing w:after="40"/>
              <w:jc w:val="left"/>
            </w:pPr>
            <w:r>
              <w:rPr>
                <w:bCs/>
                <w:b/>
                <w:sz w:val="18"/>
              </w:rPr>
              <w:t xml:space="preserve">About you:</w:t>
            </w:r>
            <w:r>
              <w:rPr>
                <w:sz w:val="18"/>
              </w:rPr>
              <w:t xml:space="preserve"> </w:t>
            </w:r>
            <w:r>
              <w:rPr>
                <w:sz w:val="18"/>
              </w:rPr>
              <w:t xml:space="preserve">age, occupation, income; household income for collateral-free loans</w:t>
            </w:r>
          </w:p>
        </w:tc>
        <w:tc>
          <w:tcPr>
            <w:tcW w:w="2633" w:type="dxa"/>
          </w:tcPr>
          <w:p>
            <w:pPr>
              <w:pStyle w:val="Compact"/>
              <w:spacing w:after="40"/>
              <w:jc w:val="left"/>
            </w:pPr>
            <w:r>
              <w:rPr>
                <w:sz w:val="18"/>
              </w:rPr>
              <w:t xml:space="preserve">Mandatory (CF paras 8(1), 51)</w:t>
            </w:r>
          </w:p>
        </w:tc>
        <w:tc>
          <w:tcPr>
            <w:tcW w:w="2317" w:type="dxa"/>
          </w:tcPr>
          <w:p>
            <w:pPr>
              <w:pStyle w:val="Compact"/>
              <w:spacing w:after="40"/>
              <w:jc w:val="left"/>
            </w:pPr>
            <w:r>
              <w:rPr>
                <w:sz w:val="18"/>
              </w:rPr>
              <w:t xml:space="preserve">Inline validation; save as draft</w:t>
            </w:r>
          </w:p>
        </w:tc>
      </w:tr>
      <w:tr>
        <w:tc>
          <w:tcPr>
            <w:tcW w:w="908" w:type="dxa"/>
          </w:tcPr>
          <w:p>
            <w:pPr>
              <w:pStyle w:val="Compact"/>
              <w:spacing w:after="40"/>
              <w:jc w:val="left"/>
            </w:pPr>
            <w:r>
              <w:rPr>
                <w:sz w:val="18"/>
              </w:rPr>
              <w:t xml:space="preserve">5</w:t>
            </w:r>
          </w:p>
        </w:tc>
        <w:tc>
          <w:tcPr>
            <w:tcW w:w="3780" w:type="dxa"/>
          </w:tcPr>
          <w:p>
            <w:pPr>
              <w:pStyle w:val="Compact"/>
              <w:spacing w:after="40"/>
              <w:jc w:val="left"/>
            </w:pPr>
            <w:r>
              <w:rPr>
                <w:bCs/>
                <w:b/>
                <w:sz w:val="18"/>
              </w:rPr>
              <w:t xml:space="preserve">Checking with lenders:</w:t>
            </w:r>
            <w:r>
              <w:rPr>
                <w:sz w:val="18"/>
              </w:rPr>
              <w:t xml:space="preserve"> </w:t>
            </w:r>
            <w:r>
              <w:rPr>
                <w:sz w:val="18"/>
              </w:rPr>
              <w:t xml:space="preserve">progress per RE</w:t>
            </w:r>
          </w:p>
        </w:tc>
        <w:tc>
          <w:tcPr>
            <w:tcW w:w="2633" w:type="dxa"/>
          </w:tcPr>
          <w:p>
            <w:pPr>
              <w:pStyle w:val="Compact"/>
              <w:spacing w:after="40"/>
              <w:jc w:val="left"/>
            </w:pPr>
            <w:r>
              <w:rPr>
                <w:sz w:val="18"/>
              </w:rPr>
              <w:t xml:space="preserve">Time-out shows</w:t>
            </w:r>
            <w:r>
              <w:rPr>
                <w:sz w:val="18"/>
              </w:rPr>
              <w:t xml:space="preserve"> </w:t>
            </w:r>
            <w:r>
              <w:rPr>
                <w:sz w:val="18"/>
              </w:rPr>
              <w:t xml:space="preserve">“</w:t>
            </w:r>
            <w:r>
              <w:rPr>
                <w:sz w:val="18"/>
              </w:rPr>
              <w:t xml:space="preserve">lender unavailable</w:t>
            </w:r>
            <w:r>
              <w:rPr>
                <w:sz w:val="18"/>
              </w:rPr>
              <w:t xml:space="preserve">”</w:t>
            </w:r>
            <w:r>
              <w:rPr>
                <w:sz w:val="18"/>
              </w:rPr>
              <w:t xml:space="preserve"> </w:t>
            </w:r>
            <w:r>
              <w:rPr>
                <w:sz w:val="18"/>
              </w:rPr>
              <w:t xml:space="preserve">(Part 5.2)</w:t>
            </w:r>
          </w:p>
        </w:tc>
        <w:tc>
          <w:tcPr>
            <w:tcW w:w="2317" w:type="dxa"/>
          </w:tcPr>
          <w:p>
            <w:pPr>
              <w:pStyle w:val="Compact"/>
              <w:spacing w:after="40"/>
              <w:jc w:val="left"/>
            </w:pPr>
            <w:r>
              <w:rPr>
                <w:sz w:val="18"/>
              </w:rPr>
              <w:t xml:space="preserve">Results once all checks finish or time out</w:t>
            </w:r>
          </w:p>
        </w:tc>
      </w:tr>
      <w:tr>
        <w:tc>
          <w:tcPr>
            <w:tcW w:w="908" w:type="dxa"/>
          </w:tcPr>
          <w:p>
            <w:pPr>
              <w:pStyle w:val="Compact"/>
              <w:spacing w:after="40"/>
              <w:jc w:val="left"/>
            </w:pPr>
            <w:r>
              <w:rPr>
                <w:sz w:val="18"/>
              </w:rPr>
              <w:t xml:space="preserve">6</w:t>
            </w:r>
          </w:p>
        </w:tc>
        <w:tc>
          <w:tcPr>
            <w:tcW w:w="3780" w:type="dxa"/>
          </w:tcPr>
          <w:p>
            <w:pPr>
              <w:pStyle w:val="Compact"/>
              <w:spacing w:after="40"/>
              <w:jc w:val="left"/>
            </w:pPr>
            <w:r>
              <w:rPr>
                <w:bCs/>
                <w:b/>
                <w:sz w:val="18"/>
              </w:rPr>
              <w:t xml:space="preserve">Offers:</w:t>
            </w:r>
            <w:r>
              <w:rPr>
                <w:sz w:val="18"/>
              </w:rPr>
              <w:t xml:space="preserve"> </w:t>
            </w:r>
            <w:r>
              <w:rPr>
                <w:sz w:val="18"/>
              </w:rPr>
              <w:t xml:space="preserve">neutral comparison (rule 4); card with lender, amount, tenor, APR, monthly repayment obligation, penal charges,</w:t>
            </w:r>
            <w:r>
              <w:rPr>
                <w:sz w:val="18"/>
              </w:rPr>
              <w:t xml:space="preserve"> </w:t>
            </w:r>
            <w:r>
              <w:rPr>
                <w:bCs/>
                <w:b/>
                <w:sz w:val="18"/>
              </w:rPr>
              <w:t xml:space="preserve">View KFS</w:t>
            </w:r>
            <w:r>
              <w:rPr>
                <w:sz w:val="18"/>
              </w:rPr>
              <w:t xml:space="preserve">; unmatched lenders with reasons; metric link;</w:t>
            </w:r>
            <w:r>
              <w:rPr>
                <w:sz w:val="18"/>
              </w:rPr>
              <w:t xml:space="preserve"> </w:t>
            </w:r>
            <w:r>
              <w:rPr>
                <w:bCs/>
                <w:b/>
                <w:sz w:val="18"/>
              </w:rPr>
              <w:t xml:space="preserve">Compare</w:t>
            </w:r>
            <w:r>
              <w:rPr>
                <w:sz w:val="18"/>
              </w:rPr>
              <w:t xml:space="preserve"> </w:t>
            </w:r>
            <w:r>
              <w:rPr>
                <w:sz w:val="18"/>
              </w:rPr>
              <w:t xml:space="preserve">(up to 3);</w:t>
            </w:r>
            <w:r>
              <w:rPr>
                <w:sz w:val="18"/>
              </w:rPr>
              <w:t xml:space="preserve"> </w:t>
            </w:r>
            <w:r>
              <w:rPr>
                <w:bCs/>
                <w:b/>
                <w:sz w:val="18"/>
              </w:rPr>
              <w:t xml:space="preserve">Choose</w:t>
            </w:r>
          </w:p>
        </w:tc>
        <w:tc>
          <w:tcPr>
            <w:tcW w:w="2633" w:type="dxa"/>
          </w:tcPr>
          <w:p>
            <w:pPr>
              <w:pStyle w:val="Compact"/>
              <w:spacing w:after="40"/>
              <w:jc w:val="left"/>
            </w:pPr>
            <w:r>
              <w:rPr>
                <w:sz w:val="18"/>
              </w:rPr>
              <w:t xml:space="preserve">Mechanism and metric versions stored with the view (U8)</w:t>
            </w:r>
          </w:p>
        </w:tc>
        <w:tc>
          <w:tcPr>
            <w:tcW w:w="2317" w:type="dxa"/>
          </w:tcPr>
          <w:p>
            <w:pPr>
              <w:pStyle w:val="Compact"/>
              <w:spacing w:after="40"/>
              <w:jc w:val="left"/>
            </w:pPr>
            <w:r>
              <w:rPr>
                <w:sz w:val="18"/>
              </w:rPr>
              <w:t xml:space="preserve">No match: reasons; APR mismatch: offer withheld, RE exception</w:t>
            </w:r>
          </w:p>
        </w:tc>
      </w:tr>
      <w:tr>
        <w:tc>
          <w:tcPr>
            <w:tcW w:w="908" w:type="dxa"/>
          </w:tcPr>
          <w:p>
            <w:pPr>
              <w:pStyle w:val="Compact"/>
              <w:spacing w:after="40"/>
              <w:jc w:val="left"/>
            </w:pPr>
            <w:r>
              <w:rPr>
                <w:sz w:val="18"/>
              </w:rPr>
              <w:t xml:space="preserve">7</w:t>
            </w:r>
          </w:p>
        </w:tc>
        <w:tc>
          <w:tcPr>
            <w:tcW w:w="3780" w:type="dxa"/>
          </w:tcPr>
          <w:p>
            <w:pPr>
              <w:pStyle w:val="Compact"/>
              <w:spacing w:after="40"/>
              <w:jc w:val="left"/>
            </w:pPr>
            <w:r>
              <w:rPr>
                <w:bCs/>
                <w:b/>
                <w:sz w:val="18"/>
              </w:rPr>
              <w:t xml:space="preserve">KYC for the chosen RE:</w:t>
            </w:r>
            <w:r>
              <w:rPr>
                <w:sz w:val="18"/>
              </w:rPr>
              <w:t xml:space="preserve"> </w:t>
            </w:r>
            <w:r>
              <w:rPr>
                <w:sz w:val="18"/>
              </w:rPr>
              <w:t xml:space="preserve">DigiLocker or offline XML, CKYC identifier, PAN, selfie and liveness, or V-CIP in the RE’s session</w:t>
            </w:r>
          </w:p>
        </w:tc>
        <w:tc>
          <w:tcPr>
            <w:tcW w:w="2633" w:type="dxa"/>
          </w:tcPr>
          <w:p>
            <w:pPr>
              <w:pStyle w:val="Compact"/>
              <w:spacing w:after="40"/>
              <w:jc w:val="left"/>
            </w:pPr>
            <w:r>
              <w:rPr>
                <w:sz w:val="18"/>
              </w:rPr>
              <w:t xml:space="preserve">Purpose screen before camera; one-time location (Part 4.5)</w:t>
            </w:r>
          </w:p>
        </w:tc>
        <w:tc>
          <w:tcPr>
            <w:tcW w:w="2317" w:type="dxa"/>
          </w:tcPr>
          <w:p>
            <w:pPr>
              <w:pStyle w:val="Compact"/>
              <w:spacing w:after="40"/>
              <w:jc w:val="left"/>
            </w:pPr>
            <w:r>
              <w:rPr>
                <w:sz w:val="18"/>
              </w:rPr>
              <w:t xml:space="preserve">Liveness failure: assisted or V-CIP route; outage: save and notify</w:t>
            </w:r>
          </w:p>
        </w:tc>
      </w:tr>
      <w:tr>
        <w:tc>
          <w:tcPr>
            <w:tcW w:w="908" w:type="dxa"/>
          </w:tcPr>
          <w:p>
            <w:pPr>
              <w:pStyle w:val="Compact"/>
              <w:spacing w:after="40"/>
              <w:jc w:val="left"/>
            </w:pPr>
            <w:r>
              <w:rPr>
                <w:sz w:val="18"/>
              </w:rPr>
              <w:t xml:space="preserve">8</w:t>
            </w:r>
          </w:p>
        </w:tc>
        <w:tc>
          <w:tcPr>
            <w:tcW w:w="3780" w:type="dxa"/>
          </w:tcPr>
          <w:p>
            <w:pPr>
              <w:pStyle w:val="Compact"/>
              <w:spacing w:after="40"/>
              <w:jc w:val="left"/>
            </w:pPr>
            <w:r>
              <w:rPr>
                <w:bCs/>
                <w:b/>
                <w:sz w:val="18"/>
              </w:rPr>
              <w:t xml:space="preserve">Bank account:</w:t>
            </w:r>
            <w:r>
              <w:rPr>
                <w:sz w:val="18"/>
              </w:rPr>
              <w:t xml:space="preserve"> </w:t>
            </w:r>
            <w:r>
              <w:rPr>
                <w:sz w:val="18"/>
              </w:rPr>
              <w:t xml:space="preserve">penny-drop name match</w:t>
            </w:r>
          </w:p>
        </w:tc>
        <w:tc>
          <w:tcPr>
            <w:tcW w:w="2633" w:type="dxa"/>
          </w:tcPr>
          <w:p>
            <w:pPr>
              <w:pStyle w:val="Compact"/>
              <w:spacing w:after="40"/>
              <w:jc w:val="left"/>
            </w:pPr>
            <w:r>
              <w:rPr>
                <w:sz w:val="18"/>
              </w:rPr>
              <w:t xml:space="preserve">Only the borrower’s account or a verified end-beneficiary (CF para 10(1))</w:t>
            </w:r>
          </w:p>
        </w:tc>
        <w:tc>
          <w:tcPr>
            <w:tcW w:w="2317" w:type="dxa"/>
          </w:tcPr>
          <w:p>
            <w:pPr>
              <w:pStyle w:val="Compact"/>
              <w:spacing w:after="40"/>
              <w:jc w:val="left"/>
            </w:pPr>
            <w:r>
              <w:rPr>
                <w:sz w:val="18"/>
              </w:rPr>
              <w:t xml:space="preserve">Name mismatch: RE review task, plain explanation</w:t>
            </w:r>
          </w:p>
        </w:tc>
      </w:tr>
      <w:tr>
        <w:tc>
          <w:tcPr>
            <w:tcW w:w="908" w:type="dxa"/>
          </w:tcPr>
          <w:p>
            <w:pPr>
              <w:pStyle w:val="Compact"/>
              <w:spacing w:after="40"/>
              <w:jc w:val="left"/>
            </w:pPr>
            <w:r>
              <w:rPr>
                <w:sz w:val="18"/>
              </w:rPr>
              <w:t xml:space="preserve">9</w:t>
            </w:r>
          </w:p>
        </w:tc>
        <w:tc>
          <w:tcPr>
            <w:tcW w:w="3780" w:type="dxa"/>
          </w:tcPr>
          <w:p>
            <w:pPr>
              <w:pStyle w:val="Compact"/>
              <w:spacing w:after="40"/>
              <w:jc w:val="left"/>
            </w:pPr>
            <w:r>
              <w:rPr>
                <w:bCs/>
                <w:b/>
                <w:sz w:val="18"/>
              </w:rPr>
              <w:t xml:space="preserve">Submit to [RE name]:</w:t>
            </w:r>
            <w:r>
              <w:rPr>
                <w:sz w:val="18"/>
              </w:rPr>
              <w:t xml:space="preserve"> </w:t>
            </w:r>
            <w:r>
              <w:rPr>
                <w:sz w:val="18"/>
              </w:rPr>
              <w:t xml:space="preserve">review summary</w:t>
            </w:r>
          </w:p>
        </w:tc>
        <w:tc>
          <w:tcPr>
            <w:tcW w:w="2633" w:type="dxa"/>
          </w:tcPr>
          <w:p>
            <w:pPr>
              <w:pStyle w:val="Compact"/>
              <w:spacing w:after="40"/>
              <w:jc w:val="left"/>
            </w:pPr>
            <w:r>
              <w:rPr>
                <w:sz w:val="18"/>
              </w:rPr>
              <w:t xml:space="preserve">Chosen RE only</w:t>
            </w:r>
          </w:p>
        </w:tc>
        <w:tc>
          <w:tcPr>
            <w:tcW w:w="2317" w:type="dxa"/>
          </w:tcPr>
          <w:p>
            <w:pPr>
              <w:pStyle w:val="Compact"/>
              <w:spacing w:after="40"/>
              <w:jc w:val="left"/>
            </w:pPr>
            <w:r>
              <w:rPr>
                <w:sz w:val="18"/>
              </w:rPr>
              <w:t xml:space="preserve">Idempotent retry; RE requests become tasks</w:t>
            </w:r>
          </w:p>
        </w:tc>
      </w:tr>
      <w:tr>
        <w:tc>
          <w:tcPr>
            <w:tcW w:w="908" w:type="dxa"/>
          </w:tcPr>
          <w:p>
            <w:pPr>
              <w:pStyle w:val="Compact"/>
              <w:spacing w:after="40"/>
              <w:jc w:val="left"/>
            </w:pPr>
            <w:r>
              <w:rPr>
                <w:sz w:val="18"/>
              </w:rPr>
              <w:t xml:space="preserve">10</w:t>
            </w:r>
          </w:p>
        </w:tc>
        <w:tc>
          <w:tcPr>
            <w:tcW w:w="3780" w:type="dxa"/>
          </w:tcPr>
          <w:p>
            <w:pPr>
              <w:pStyle w:val="Compact"/>
              <w:spacing w:after="40"/>
              <w:jc w:val="left"/>
            </w:pPr>
            <w:r>
              <w:rPr>
                <w:bCs/>
                <w:b/>
                <w:sz w:val="18"/>
              </w:rPr>
              <w:t xml:space="preserve">Decision:</w:t>
            </w:r>
            <w:r>
              <w:rPr>
                <w:sz w:val="18"/>
              </w:rPr>
              <w:t xml:space="preserve"> </w:t>
            </w:r>
            <w:r>
              <w:rPr>
                <w:sz w:val="18"/>
              </w:rPr>
              <w:t xml:space="preserve">RE status and reason codes in plain language</w:t>
            </w:r>
          </w:p>
        </w:tc>
        <w:tc>
          <w:tcPr>
            <w:tcW w:w="2633" w:type="dxa"/>
          </w:tcPr>
          <w:p>
            <w:pPr>
              <w:pStyle w:val="Compact"/>
              <w:spacing w:after="40"/>
              <w:jc w:val="left"/>
            </w:pPr>
            <w:r>
              <w:rPr>
                <w:sz w:val="18"/>
              </w:rPr>
              <w:t xml:space="preserve">Never inferred by Udofin</w:t>
            </w:r>
          </w:p>
        </w:tc>
        <w:tc>
          <w:tcPr>
            <w:tcW w:w="2317" w:type="dxa"/>
          </w:tcPr>
          <w:p>
            <w:pPr>
              <w:pStyle w:val="Compact"/>
              <w:spacing w:after="40"/>
              <w:jc w:val="left"/>
            </w:pPr>
            <w:r>
              <w:rPr>
                <w:sz w:val="18"/>
              </w:rPr>
              <w:t xml:space="preserve">Rejection: grievance route and other matched offers still valid</w:t>
            </w:r>
          </w:p>
        </w:tc>
      </w:tr>
      <w:tr>
        <w:tc>
          <w:tcPr>
            <w:tcW w:w="908" w:type="dxa"/>
          </w:tcPr>
          <w:p>
            <w:pPr>
              <w:pStyle w:val="Compact"/>
              <w:spacing w:after="40"/>
              <w:jc w:val="left"/>
            </w:pPr>
            <w:r>
              <w:rPr>
                <w:sz w:val="18"/>
              </w:rPr>
              <w:t xml:space="preserve">11</w:t>
            </w:r>
          </w:p>
        </w:tc>
        <w:tc>
          <w:tcPr>
            <w:tcW w:w="3780" w:type="dxa"/>
          </w:tcPr>
          <w:p>
            <w:pPr>
              <w:pStyle w:val="Compact"/>
              <w:spacing w:after="40"/>
              <w:jc w:val="left"/>
            </w:pPr>
            <w:r>
              <w:rPr>
                <w:bCs/>
                <w:b/>
                <w:sz w:val="18"/>
              </w:rPr>
              <w:t xml:space="preserve">KFS:</w:t>
            </w:r>
            <w:r>
              <w:rPr>
                <w:sz w:val="18"/>
              </w:rPr>
              <w:t xml:space="preserve"> </w:t>
            </w:r>
            <w:r>
              <w:rPr>
                <w:sz w:val="18"/>
              </w:rPr>
              <w:t xml:space="preserve">RE-issued KFS in the chosen language with proposal number and</w:t>
            </w:r>
            <w:r>
              <w:rPr>
                <w:sz w:val="18"/>
              </w:rPr>
              <w:t xml:space="preserve"> </w:t>
            </w:r>
            <w:r>
              <w:rPr>
                <w:sz w:val="18"/>
              </w:rPr>
              <w:t xml:space="preserve">“</w:t>
            </w:r>
            <w:r>
              <w:rPr>
                <w:sz w:val="18"/>
              </w:rPr>
              <w:t xml:space="preserve">valid until [date]</w:t>
            </w:r>
            <w:r>
              <w:rPr>
                <w:sz w:val="18"/>
              </w:rPr>
              <w:t xml:space="preserve">”</w:t>
            </w:r>
            <w:r>
              <w:rPr>
                <w:sz w:val="18"/>
              </w:rPr>
              <w:t xml:space="preserve">; explanation screens;</w:t>
            </w:r>
            <w:r>
              <w:rPr>
                <w:sz w:val="18"/>
              </w:rPr>
              <w:t xml:space="preserve"> </w:t>
            </w:r>
            <w:r>
              <w:rPr>
                <w:bCs/>
                <w:b/>
                <w:sz w:val="18"/>
              </w:rPr>
              <w:t xml:space="preserve">I have read and understood</w:t>
            </w:r>
            <w:r>
              <w:rPr>
                <w:sz w:val="18"/>
              </w:rPr>
              <w:t xml:space="preserve">;</w:t>
            </w:r>
            <w:r>
              <w:rPr>
                <w:sz w:val="18"/>
              </w:rPr>
              <w:t xml:space="preserve"> </w:t>
            </w:r>
            <w:r>
              <w:rPr>
                <w:bCs/>
                <w:b/>
                <w:sz w:val="18"/>
              </w:rPr>
              <w:t xml:space="preserve">Accept</w:t>
            </w:r>
            <w:r>
              <w:rPr>
                <w:sz w:val="18"/>
              </w:rPr>
              <w:t xml:space="preserve"> </w:t>
            </w:r>
            <w:r>
              <w:rPr>
                <w:sz w:val="18"/>
              </w:rPr>
              <w:t xml:space="preserve">(step-up)</w:t>
            </w:r>
          </w:p>
        </w:tc>
        <w:tc>
          <w:tcPr>
            <w:tcW w:w="2633" w:type="dxa"/>
          </w:tcPr>
          <w:p>
            <w:pPr>
              <w:pStyle w:val="Compact"/>
              <w:spacing w:after="40"/>
              <w:jc w:val="left"/>
            </w:pPr>
            <w:r>
              <w:rPr>
                <w:sz w:val="18"/>
              </w:rPr>
              <w:t xml:space="preserve">No acceptance after validity; cooling-off terms shown before acceptance (RBC para 29; CF para 11)</w:t>
            </w:r>
          </w:p>
        </w:tc>
        <w:tc>
          <w:tcPr>
            <w:tcW w:w="2317" w:type="dxa"/>
          </w:tcPr>
          <w:p>
            <w:pPr>
              <w:pStyle w:val="Compact"/>
              <w:spacing w:after="40"/>
              <w:jc w:val="left"/>
            </w:pPr>
            <w:r>
              <w:rPr>
                <w:sz w:val="18"/>
              </w:rPr>
              <w:t xml:space="preserve">Validity lapsed: request re-issue from the RE</w:t>
            </w:r>
          </w:p>
        </w:tc>
      </w:tr>
      <w:tr>
        <w:tc>
          <w:tcPr>
            <w:tcW w:w="908" w:type="dxa"/>
          </w:tcPr>
          <w:p>
            <w:pPr>
              <w:pStyle w:val="Compact"/>
              <w:spacing w:after="40"/>
              <w:jc w:val="left"/>
            </w:pPr>
            <w:r>
              <w:rPr>
                <w:sz w:val="18"/>
              </w:rPr>
              <w:t xml:space="preserve">12</w:t>
            </w:r>
          </w:p>
        </w:tc>
        <w:tc>
          <w:tcPr>
            <w:tcW w:w="3780" w:type="dxa"/>
          </w:tcPr>
          <w:p>
            <w:pPr>
              <w:pStyle w:val="Compact"/>
              <w:spacing w:after="40"/>
              <w:jc w:val="left"/>
            </w:pPr>
            <w:r>
              <w:rPr>
                <w:bCs/>
                <w:b/>
                <w:sz w:val="18"/>
              </w:rPr>
              <w:t xml:space="preserve">Sign:</w:t>
            </w:r>
            <w:r>
              <w:rPr>
                <w:sz w:val="18"/>
              </w:rPr>
              <w:t xml:space="preserve"> </w:t>
            </w:r>
            <w:r>
              <w:rPr>
                <w:sz w:val="18"/>
              </w:rPr>
              <w:t xml:space="preserve">sanction letter, agreement, enclosures; Aadhaar eSign; eStamp status</w:t>
            </w:r>
          </w:p>
        </w:tc>
        <w:tc>
          <w:tcPr>
            <w:tcW w:w="2633" w:type="dxa"/>
          </w:tcPr>
          <w:p>
            <w:pPr>
              <w:pStyle w:val="Compact"/>
              <w:spacing w:after="40"/>
              <w:jc w:val="left"/>
            </w:pPr>
            <w:r>
              <w:rPr>
                <w:sz w:val="18"/>
              </w:rPr>
              <w:t xml:space="preserve">Never</w:t>
            </w:r>
            <w:r>
              <w:rPr>
                <w:sz w:val="18"/>
              </w:rPr>
              <w:t xml:space="preserve"> </w:t>
            </w:r>
            <w:r>
              <w:rPr>
                <w:sz w:val="18"/>
              </w:rPr>
              <w:t xml:space="preserve">“</w:t>
            </w:r>
            <w:r>
              <w:rPr>
                <w:sz w:val="18"/>
              </w:rPr>
              <w:t xml:space="preserve">signed</w:t>
            </w:r>
            <w:r>
              <w:rPr>
                <w:sz w:val="18"/>
              </w:rPr>
              <w:t xml:space="preserve">”</w:t>
            </w:r>
            <w:r>
              <w:rPr>
                <w:sz w:val="18"/>
              </w:rPr>
              <w:t xml:space="preserve"> </w:t>
            </w:r>
            <w:r>
              <w:rPr>
                <w:sz w:val="18"/>
              </w:rPr>
              <w:t xml:space="preserve">without ESP evidence (U9)</w:t>
            </w:r>
          </w:p>
        </w:tc>
        <w:tc>
          <w:tcPr>
            <w:tcW w:w="2317" w:type="dxa"/>
          </w:tcPr>
          <w:p>
            <w:pPr>
              <w:pStyle w:val="Compact"/>
              <w:spacing w:after="40"/>
              <w:jc w:val="left"/>
            </w:pPr>
            <w:r>
              <w:rPr>
                <w:sz w:val="18"/>
              </w:rPr>
              <w:t xml:space="preserve">ESP failure: retry; physical hand-off where the IT Act excludes e-execution</w:t>
            </w:r>
          </w:p>
        </w:tc>
      </w:tr>
      <w:tr>
        <w:tc>
          <w:tcPr>
            <w:tcW w:w="908" w:type="dxa"/>
          </w:tcPr>
          <w:p>
            <w:pPr>
              <w:pStyle w:val="Compact"/>
              <w:spacing w:after="40"/>
              <w:jc w:val="left"/>
            </w:pPr>
            <w:r>
              <w:rPr>
                <w:sz w:val="18"/>
              </w:rPr>
              <w:t xml:space="preserve">13</w:t>
            </w:r>
          </w:p>
        </w:tc>
        <w:tc>
          <w:tcPr>
            <w:tcW w:w="3780" w:type="dxa"/>
          </w:tcPr>
          <w:p>
            <w:pPr>
              <w:pStyle w:val="Compact"/>
              <w:spacing w:after="40"/>
              <w:jc w:val="left"/>
            </w:pPr>
            <w:r>
              <w:rPr>
                <w:bCs/>
                <w:b/>
                <w:sz w:val="18"/>
              </w:rPr>
              <w:t xml:space="preserve">AutoPay:</w:t>
            </w:r>
            <w:r>
              <w:rPr>
                <w:sz w:val="18"/>
              </w:rPr>
              <w:t xml:space="preserve"> </w:t>
            </w:r>
            <w:r>
              <w:rPr>
                <w:sz w:val="18"/>
              </w:rPr>
              <w:t xml:space="preserve">eNACH or UPI AutoPay in the RE’s favour</w:t>
            </w:r>
          </w:p>
        </w:tc>
        <w:tc>
          <w:tcPr>
            <w:tcW w:w="2633" w:type="dxa"/>
          </w:tcPr>
          <w:p>
            <w:pPr>
              <w:pStyle w:val="Compact"/>
              <w:spacing w:after="40"/>
              <w:jc w:val="left"/>
            </w:pPr>
            <w:r>
              <w:rPr>
                <w:sz w:val="18"/>
              </w:rPr>
              <w:t xml:space="preserve">Mandate on the RE’s sponsor bank (CF para 10(2)–(3))</w:t>
            </w:r>
          </w:p>
        </w:tc>
        <w:tc>
          <w:tcPr>
            <w:tcW w:w="2317" w:type="dxa"/>
          </w:tcPr>
          <w:p>
            <w:pPr>
              <w:pStyle w:val="Compact"/>
              <w:spacing w:after="40"/>
              <w:jc w:val="left"/>
            </w:pPr>
            <w:r>
              <w:rPr>
                <w:sz w:val="18"/>
              </w:rPr>
              <w:t xml:space="preserve">Failure: retry or pay by link each month</w:t>
            </w:r>
          </w:p>
        </w:tc>
      </w:tr>
      <w:tr>
        <w:tc>
          <w:tcPr>
            <w:tcW w:w="908" w:type="dxa"/>
          </w:tcPr>
          <w:p>
            <w:pPr>
              <w:pStyle w:val="Compact"/>
              <w:spacing w:after="40"/>
              <w:jc w:val="left"/>
            </w:pPr>
            <w:r>
              <w:rPr>
                <w:sz w:val="18"/>
              </w:rPr>
              <w:t xml:space="preserve">14</w:t>
            </w:r>
          </w:p>
        </w:tc>
        <w:tc>
          <w:tcPr>
            <w:tcW w:w="3780" w:type="dxa"/>
          </w:tcPr>
          <w:p>
            <w:pPr>
              <w:pStyle w:val="Compact"/>
              <w:spacing w:after="40"/>
              <w:jc w:val="left"/>
            </w:pPr>
            <w:r>
              <w:rPr>
                <w:bCs/>
                <w:b/>
                <w:sz w:val="18"/>
              </w:rPr>
              <w:t xml:space="preserve">Disbursal status:</w:t>
            </w:r>
            <w:r>
              <w:rPr>
                <w:sz w:val="18"/>
              </w:rPr>
              <w:t xml:space="preserve"> </w:t>
            </w:r>
            <w:r>
              <w:rPr>
                <w:sz w:val="18"/>
              </w:rPr>
              <w:t xml:space="preserve">tracker until</w:t>
            </w:r>
            <w:r>
              <w:rPr>
                <w:sz w:val="18"/>
              </w:rPr>
              <w:t xml:space="preserve"> </w:t>
            </w:r>
            <w:r>
              <w:rPr>
                <w:rStyle w:val="VerbatimChar"/>
                <w:sz w:val="18"/>
              </w:rPr>
              <w:t xml:space="preserve">LoanDisbursed</w:t>
            </w:r>
            <w:r>
              <w:rPr>
                <w:sz w:val="18"/>
              </w:rPr>
              <w:t xml:space="preserve"> </w:t>
            </w:r>
            <w:r>
              <w:rPr>
                <w:sz w:val="18"/>
              </w:rPr>
              <w:t xml:space="preserve">(UTR, amount, date) or</w:t>
            </w:r>
            <w:r>
              <w:rPr>
                <w:sz w:val="18"/>
              </w:rPr>
              <w:t xml:space="preserve"> </w:t>
            </w:r>
            <w:r>
              <w:rPr>
                <w:rStyle w:val="VerbatimChar"/>
                <w:sz w:val="18"/>
              </w:rPr>
              <w:t xml:space="preserve">DisbursementFailed</w:t>
            </w:r>
          </w:p>
        </w:tc>
        <w:tc>
          <w:tcPr>
            <w:tcW w:w="2633" w:type="dxa"/>
          </w:tcPr>
          <w:p>
            <w:pPr>
              <w:pStyle w:val="Compact"/>
              <w:spacing w:after="40"/>
              <w:jc w:val="left"/>
            </w:pPr>
            <w:r>
              <w:rPr>
                <w:sz w:val="18"/>
              </w:rPr>
              <w:t xml:space="preserve">No</w:t>
            </w:r>
            <w:r>
              <w:rPr>
                <w:sz w:val="18"/>
              </w:rPr>
              <w:t xml:space="preserve"> </w:t>
            </w:r>
            <w:r>
              <w:rPr>
                <w:sz w:val="18"/>
              </w:rPr>
              <w:t xml:space="preserve">“</w:t>
            </w:r>
            <w:r>
              <w:rPr>
                <w:sz w:val="18"/>
              </w:rPr>
              <w:t xml:space="preserve">disbursed</w:t>
            </w:r>
            <w:r>
              <w:rPr>
                <w:sz w:val="18"/>
              </w:rPr>
              <w:t xml:space="preserve">”</w:t>
            </w:r>
            <w:r>
              <w:rPr>
                <w:sz w:val="18"/>
              </w:rPr>
              <w:t xml:space="preserve"> </w:t>
            </w:r>
            <w:r>
              <w:rPr>
                <w:sz w:val="18"/>
              </w:rPr>
              <w:t xml:space="preserve">state otherwise (U10)</w:t>
            </w:r>
          </w:p>
        </w:tc>
        <w:tc>
          <w:tcPr>
            <w:tcW w:w="2317" w:type="dxa"/>
          </w:tcPr>
          <w:p>
            <w:pPr>
              <w:pStyle w:val="Compact"/>
              <w:spacing w:after="40"/>
              <w:jc w:val="left"/>
            </w:pPr>
            <w:r>
              <w:rPr>
                <w:sz w:val="18"/>
              </w:rPr>
              <w:t xml:space="preserve">Failure: RE’s next step; cooling-off starts only on</w:t>
            </w:r>
            <w:r>
              <w:rPr>
                <w:sz w:val="18"/>
              </w:rPr>
              <w:t xml:space="preserve"> </w:t>
            </w:r>
            <w:r>
              <w:rPr>
                <w:rStyle w:val="VerbatimChar"/>
                <w:sz w:val="18"/>
              </w:rPr>
              <w:t xml:space="preserve">LoanDisbursed</w:t>
            </w:r>
          </w:p>
        </w:tc>
      </w:tr>
    </w:tbl>
    <w:p>
      <w:pPr>
        <w:pStyle w:val="BodyText"/>
      </w:pPr>
      <w:r>
        <w:rPr>
          <w:bCs/>
          <w:b/>
        </w:rPr>
        <w:t xml:space="preserve">Other Loans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00"/>
        <w:gridCol w:w="4432"/>
        <w:gridCol w:w="3406"/>
      </w:tblGrid>
      <w:tr>
        <w:trPr>
          <w:tblHeader w:val="true"/>
          <w:tblHeader w:val="true"/>
        </w:trPr>
        <w:tc>
          <w:tcPr>
            <w:tcW w:w="1800" w:type="dxa"/>
            <w:shd w:val="clear" w:color="auto" w:fill="1F3A5F"/>
          </w:tcPr>
          <w:p>
            <w:pPr>
              <w:pStyle w:val="Compact"/>
              <w:spacing w:after="40"/>
              <w:jc w:val="left"/>
            </w:pPr>
            <w:r>
              <w:rPr>
                <w:b/>
                <w:color w:val="FFFFFF"/>
                <w:sz w:val="18"/>
              </w:rPr>
              <w:t xml:space="preserve">Path</w:t>
            </w:r>
          </w:p>
        </w:tc>
        <w:tc>
          <w:tcPr>
            <w:tcW w:w="4432" w:type="dxa"/>
            <w:shd w:val="clear" w:color="auto" w:fill="1F3A5F"/>
          </w:tcPr>
          <w:p>
            <w:pPr>
              <w:pStyle w:val="Compact"/>
              <w:spacing w:after="40"/>
              <w:jc w:val="left"/>
            </w:pPr>
            <w:r>
              <w:rPr>
                <w:b/>
                <w:color w:val="FFFFFF"/>
                <w:sz w:val="18"/>
              </w:rPr>
              <w:t xml:space="preserve">Key content and actions</w:t>
            </w:r>
          </w:p>
        </w:tc>
        <w:tc>
          <w:tcPr>
            <w:tcW w:w="3406" w:type="dxa"/>
            <w:shd w:val="clear" w:color="auto" w:fill="1F3A5F"/>
          </w:tcPr>
          <w:p>
            <w:pPr>
              <w:pStyle w:val="Compact"/>
              <w:spacing w:after="40"/>
              <w:jc w:val="left"/>
            </w:pPr>
            <w:r>
              <w:rPr>
                <w:b/>
                <w:color w:val="FFFFFF"/>
                <w:sz w:val="18"/>
              </w:rPr>
              <w:t xml:space="preserve">States</w:t>
            </w:r>
          </w:p>
        </w:tc>
      </w:tr>
      <w:tr>
        <w:tc>
          <w:tcPr>
            <w:tcW w:w="1800" w:type="dxa"/>
          </w:tcPr>
          <w:p>
            <w:pPr>
              <w:pStyle w:val="Compact"/>
              <w:spacing w:after="40"/>
              <w:jc w:val="left"/>
            </w:pPr>
            <w:r>
              <w:rPr>
                <w:rStyle w:val="VerbatimChar"/>
                <w:sz w:val="18"/>
              </w:rPr>
              <w:t xml:space="preserve">Loans › Applications</w:t>
            </w:r>
          </w:p>
        </w:tc>
        <w:tc>
          <w:tcPr>
            <w:tcW w:w="4432" w:type="dxa"/>
          </w:tcPr>
          <w:p>
            <w:pPr>
              <w:pStyle w:val="Compact"/>
              <w:spacing w:after="40"/>
              <w:jc w:val="left"/>
            </w:pPr>
            <w:r>
              <w:rPr>
                <w:sz w:val="18"/>
              </w:rPr>
              <w:t xml:space="preserve">Each application with lender strip, state chip, next step, expiry;</w:t>
            </w:r>
            <w:r>
              <w:rPr>
                <w:sz w:val="18"/>
              </w:rPr>
              <w:t xml:space="preserve"> </w:t>
            </w:r>
            <w:r>
              <w:rPr>
                <w:bCs/>
                <w:b/>
                <w:sz w:val="18"/>
              </w:rPr>
              <w:t xml:space="preserve">Continue</w:t>
            </w:r>
            <w:r>
              <w:rPr>
                <w:sz w:val="18"/>
              </w:rPr>
              <w:t xml:space="preserve">,</w:t>
            </w:r>
            <w:r>
              <w:rPr>
                <w:sz w:val="18"/>
              </w:rPr>
              <w:t xml:space="preserve"> </w:t>
            </w:r>
            <w:r>
              <w:rPr>
                <w:bCs/>
                <w:b/>
                <w:sz w:val="18"/>
              </w:rPr>
              <w:t xml:space="preserve">Withdraw</w:t>
            </w:r>
          </w:p>
        </w:tc>
        <w:tc>
          <w:tcPr>
            <w:tcW w:w="3406" w:type="dxa"/>
          </w:tcPr>
          <w:p>
            <w:pPr>
              <w:pStyle w:val="Compact"/>
              <w:spacing w:after="40"/>
              <w:jc w:val="left"/>
            </w:pPr>
            <w:r>
              <w:rPr>
                <w:sz w:val="18"/>
              </w:rPr>
              <w:t xml:space="preserve">Empty:</w:t>
            </w:r>
            <w:r>
              <w:rPr>
                <w:sz w:val="18"/>
              </w:rPr>
              <w:t xml:space="preserve"> </w:t>
            </w:r>
            <w:r>
              <w:rPr>
                <w:sz w:val="18"/>
              </w:rPr>
              <w:t xml:space="preserve">“</w:t>
            </w:r>
            <w:r>
              <w:rPr>
                <w:sz w:val="18"/>
              </w:rPr>
              <w:t xml:space="preserve">No applications</w:t>
            </w:r>
            <w:r>
              <w:rPr>
                <w:sz w:val="18"/>
              </w:rPr>
              <w:t xml:space="preserve">”</w:t>
            </w:r>
            <w:r>
              <w:rPr>
                <w:sz w:val="18"/>
              </w:rPr>
              <w:t xml:space="preserve"> </w:t>
            </w:r>
            <w:r>
              <w:rPr>
                <w:sz w:val="18"/>
              </w:rPr>
              <w:t xml:space="preserve">with</w:t>
            </w:r>
            <w:r>
              <w:rPr>
                <w:sz w:val="18"/>
              </w:rPr>
              <w:t xml:space="preserve"> </w:t>
            </w:r>
            <w:r>
              <w:rPr>
                <w:bCs/>
                <w:b/>
                <w:sz w:val="18"/>
              </w:rPr>
              <w:t xml:space="preserve">Apply</w:t>
            </w:r>
          </w:p>
        </w:tc>
      </w:tr>
      <w:tr>
        <w:tc>
          <w:tcPr>
            <w:tcW w:w="1800" w:type="dxa"/>
          </w:tcPr>
          <w:p>
            <w:pPr>
              <w:pStyle w:val="Compact"/>
              <w:spacing w:after="40"/>
              <w:jc w:val="left"/>
            </w:pPr>
            <w:r>
              <w:rPr>
                <w:rStyle w:val="VerbatimChar"/>
                <w:sz w:val="18"/>
              </w:rPr>
              <w:t xml:space="preserve">Loans › My loans</w:t>
            </w:r>
          </w:p>
        </w:tc>
        <w:tc>
          <w:tcPr>
            <w:tcW w:w="4432" w:type="dxa"/>
          </w:tcPr>
          <w:p>
            <w:pPr>
              <w:pStyle w:val="Compact"/>
              <w:spacing w:after="40"/>
              <w:jc w:val="left"/>
            </w:pPr>
            <w:r>
              <w:rPr>
                <w:sz w:val="18"/>
              </w:rPr>
              <w:t xml:space="preserve">Active and closed loans by lender; outstanding and next due</w:t>
            </w:r>
          </w:p>
        </w:tc>
        <w:tc>
          <w:tcPr>
            <w:tcW w:w="3406" w:type="dxa"/>
          </w:tcPr>
          <w:p>
            <w:pPr>
              <w:pStyle w:val="Compact"/>
              <w:spacing w:after="40"/>
              <w:jc w:val="left"/>
            </w:pPr>
            <w:r>
              <w:rPr>
                <w:sz w:val="18"/>
              </w:rPr>
              <w:t xml:space="preserve">Empty:</w:t>
            </w:r>
            <w:r>
              <w:rPr>
                <w:sz w:val="18"/>
              </w:rPr>
              <w:t xml:space="preserve"> </w:t>
            </w:r>
            <w:r>
              <w:rPr>
                <w:sz w:val="18"/>
              </w:rPr>
              <w:t xml:space="preserve">“</w:t>
            </w:r>
            <w:r>
              <w:rPr>
                <w:sz w:val="18"/>
              </w:rPr>
              <w:t xml:space="preserve">No loans yet</w:t>
            </w:r>
            <w:r>
              <w:rPr>
                <w:sz w:val="18"/>
              </w:rPr>
              <w:t xml:space="preserve">”</w:t>
            </w:r>
          </w:p>
        </w:tc>
      </w:tr>
      <w:tr>
        <w:tc>
          <w:tcPr>
            <w:tcW w:w="1800" w:type="dxa"/>
          </w:tcPr>
          <w:p>
            <w:pPr>
              <w:pStyle w:val="Compact"/>
              <w:spacing w:after="40"/>
              <w:jc w:val="left"/>
            </w:pPr>
            <w:r>
              <w:rPr>
                <w:rStyle w:val="VerbatimChar"/>
                <w:sz w:val="18"/>
              </w:rPr>
              <w:t xml:space="preserve">Loans › [loan] › Overview</w:t>
            </w:r>
          </w:p>
        </w:tc>
        <w:tc>
          <w:tcPr>
            <w:tcW w:w="4432" w:type="dxa"/>
          </w:tcPr>
          <w:p>
            <w:pPr>
              <w:pStyle w:val="Compact"/>
              <w:spacing w:after="40"/>
              <w:jc w:val="left"/>
            </w:pPr>
            <w:r>
              <w:rPr>
                <w:sz w:val="18"/>
              </w:rPr>
              <w:t xml:space="preserve">U25 books-of-accounts view with</w:t>
            </w:r>
            <w:r>
              <w:rPr>
                <w:sz w:val="18"/>
              </w:rPr>
              <w:t xml:space="preserve"> </w:t>
            </w:r>
            <w:r>
              <w:rPr>
                <w:sz w:val="18"/>
              </w:rPr>
              <w:t xml:space="preserve">“</w:t>
            </w:r>
            <w:r>
              <w:rPr>
                <w:sz w:val="18"/>
              </w:rPr>
              <w:t xml:space="preserve">as at</w:t>
            </w:r>
            <w:r>
              <w:rPr>
                <w:sz w:val="18"/>
              </w:rPr>
              <w:t xml:space="preserve">”</w:t>
            </w:r>
            <w:r>
              <w:rPr>
                <w:sz w:val="18"/>
              </w:rPr>
              <w:t xml:space="preserve"> </w:t>
            </w:r>
            <w:r>
              <w:rPr>
                <w:sz w:val="18"/>
              </w:rPr>
              <w:t xml:space="preserve">time;</w:t>
            </w:r>
            <w:r>
              <w:rPr>
                <w:sz w:val="18"/>
              </w:rPr>
              <w:t xml:space="preserve"> </w:t>
            </w:r>
            <w:r>
              <w:rPr>
                <w:bCs/>
                <w:b/>
                <w:sz w:val="18"/>
              </w:rPr>
              <w:t xml:space="preserve">Exit this loan</w:t>
            </w:r>
            <w:r>
              <w:rPr>
                <w:sz w:val="18"/>
              </w:rPr>
              <w:t xml:space="preserve"> </w:t>
            </w:r>
            <w:r>
              <w:rPr>
                <w:sz w:val="18"/>
              </w:rPr>
              <w:t xml:space="preserve">during cooling-off (RE-computed amount, step-up,</w:t>
            </w:r>
            <w:r>
              <w:rPr>
                <w:sz w:val="18"/>
              </w:rPr>
              <w:t xml:space="preserve"> </w:t>
            </w:r>
            <w:r>
              <w:rPr>
                <w:rStyle w:val="VerbatimChar"/>
                <w:sz w:val="18"/>
              </w:rPr>
              <w:t xml:space="preserve">CoolingOffExitRequested</w:t>
            </w:r>
            <w:r>
              <w:rPr>
                <w:sz w:val="18"/>
              </w:rPr>
              <w:t xml:space="preserve">, payment to the RE); limit increase only on request (CF para 8(2))</w:t>
            </w:r>
          </w:p>
        </w:tc>
        <w:tc>
          <w:tcPr>
            <w:tcW w:w="3406" w:type="dxa"/>
          </w:tcPr>
          <w:p>
            <w:pPr>
              <w:pStyle w:val="Compact"/>
              <w:spacing w:after="40"/>
              <w:jc w:val="left"/>
            </w:pPr>
            <w:r>
              <w:rPr>
                <w:sz w:val="18"/>
              </w:rPr>
              <w:t xml:space="preserve">Stale mirror or connector down: last known data labelled</w:t>
            </w:r>
          </w:p>
        </w:tc>
      </w:tr>
      <w:tr>
        <w:tc>
          <w:tcPr>
            <w:tcW w:w="1800" w:type="dxa"/>
          </w:tcPr>
          <w:p>
            <w:pPr>
              <w:pStyle w:val="Compact"/>
              <w:spacing w:after="40"/>
              <w:jc w:val="left"/>
            </w:pPr>
            <w:r>
              <w:rPr>
                <w:rStyle w:val="VerbatimChar"/>
                <w:sz w:val="18"/>
              </w:rPr>
              <w:t xml:space="preserve">Loans › [loan] › Schedule</w:t>
            </w:r>
          </w:p>
        </w:tc>
        <w:tc>
          <w:tcPr>
            <w:tcW w:w="4432" w:type="dxa"/>
          </w:tcPr>
          <w:p>
            <w:pPr>
              <w:pStyle w:val="Compact"/>
              <w:spacing w:after="40"/>
              <w:jc w:val="left"/>
            </w:pPr>
            <w:r>
              <w:rPr>
                <w:sz w:val="18"/>
              </w:rPr>
              <w:t xml:space="preserve">Repayment schedule, revisions after part-disbursement or rate change, quarterly statements where issued</w:t>
            </w:r>
          </w:p>
        </w:tc>
        <w:tc>
          <w:tcPr>
            <w:tcW w:w="3406" w:type="dxa"/>
          </w:tcPr>
          <w:p>
            <w:pPr>
              <w:pStyle w:val="Compact"/>
              <w:spacing w:after="40"/>
              <w:jc w:val="left"/>
            </w:pPr>
            <w:r>
              <w:rPr>
                <w:sz w:val="18"/>
              </w:rPr>
              <w:t xml:space="preserve">Not yet issued:</w:t>
            </w:r>
            <w:r>
              <w:rPr>
                <w:sz w:val="18"/>
              </w:rPr>
              <w:t xml:space="preserve"> </w:t>
            </w:r>
            <w:r>
              <w:rPr>
                <w:sz w:val="18"/>
              </w:rPr>
              <w:t xml:space="preserve">“</w:t>
            </w:r>
            <w:r>
              <w:rPr>
                <w:sz w:val="18"/>
              </w:rPr>
              <w:t xml:space="preserve">Not yet issued by [RE name]</w:t>
            </w:r>
            <w:r>
              <w:rPr>
                <w:sz w:val="18"/>
              </w:rPr>
              <w:t xml:space="preserve">”</w:t>
            </w:r>
            <w:r>
              <w:rPr>
                <w:sz w:val="18"/>
              </w:rPr>
              <w:t xml:space="preserve"> </w:t>
            </w:r>
            <w:r>
              <w:rPr>
                <w:sz w:val="18"/>
              </w:rPr>
              <w:t xml:space="preserve">with</w:t>
            </w:r>
            <w:r>
              <w:rPr>
                <w:sz w:val="18"/>
              </w:rPr>
              <w:t xml:space="preserve"> </w:t>
            </w:r>
            <w:r>
              <w:rPr>
                <w:bCs/>
                <w:b/>
                <w:sz w:val="18"/>
              </w:rPr>
              <w:t xml:space="preserve">Request</w:t>
            </w:r>
          </w:p>
        </w:tc>
      </w:tr>
      <w:tr>
        <w:tc>
          <w:tcPr>
            <w:tcW w:w="1800" w:type="dxa"/>
          </w:tcPr>
          <w:p>
            <w:pPr>
              <w:pStyle w:val="Compact"/>
              <w:spacing w:after="40"/>
              <w:jc w:val="left"/>
            </w:pPr>
            <w:r>
              <w:rPr>
                <w:rStyle w:val="VerbatimChar"/>
                <w:sz w:val="18"/>
              </w:rPr>
              <w:t xml:space="preserve">Loans › [loan] › Payments</w:t>
            </w:r>
          </w:p>
        </w:tc>
        <w:tc>
          <w:tcPr>
            <w:tcW w:w="4432" w:type="dxa"/>
          </w:tcPr>
          <w:p>
            <w:pPr>
              <w:pStyle w:val="Compact"/>
              <w:spacing w:after="40"/>
              <w:jc w:val="left"/>
            </w:pPr>
            <w:r>
              <w:rPr>
                <w:sz w:val="18"/>
              </w:rPr>
              <w:t xml:space="preserve">Payments and RE receipts; Udofin acknowledgements labelled</w:t>
            </w:r>
            <w:r>
              <w:rPr>
                <w:sz w:val="18"/>
              </w:rPr>
              <w:t xml:space="preserve"> </w:t>
            </w:r>
            <w:r>
              <w:rPr>
                <w:sz w:val="18"/>
              </w:rPr>
              <w:t xml:space="preserve">“</w:t>
            </w:r>
            <w:r>
              <w:rPr>
                <w:sz w:val="18"/>
              </w:rPr>
              <w:t xml:space="preserve">payment initiated</w:t>
            </w:r>
            <w:r>
              <w:rPr>
                <w:sz w:val="18"/>
              </w:rPr>
              <w:t xml:space="preserve">”</w:t>
            </w:r>
          </w:p>
        </w:tc>
        <w:tc>
          <w:tcPr>
            <w:tcW w:w="3406" w:type="dxa"/>
          </w:tcPr>
          <w:p>
            <w:pPr>
              <w:pStyle w:val="Compact"/>
              <w:spacing w:after="40"/>
              <w:jc w:val="left"/>
            </w:pPr>
            <w:r>
              <w:rPr>
                <w:sz w:val="18"/>
              </w:rPr>
              <w:t xml:space="preserve">—</w:t>
            </w:r>
          </w:p>
        </w:tc>
      </w:tr>
      <w:tr>
        <w:tc>
          <w:tcPr>
            <w:tcW w:w="1800" w:type="dxa"/>
          </w:tcPr>
          <w:p>
            <w:pPr>
              <w:pStyle w:val="Compact"/>
              <w:spacing w:after="40"/>
              <w:jc w:val="left"/>
            </w:pPr>
            <w:r>
              <w:rPr>
                <w:rStyle w:val="VerbatimChar"/>
                <w:sz w:val="18"/>
              </w:rPr>
              <w:t xml:space="preserve">Loans › [loan] › Documents</w:t>
            </w:r>
          </w:p>
        </w:tc>
        <w:tc>
          <w:tcPr>
            <w:tcW w:w="4432" w:type="dxa"/>
          </w:tcPr>
          <w:p>
            <w:pPr>
              <w:pStyle w:val="Compact"/>
              <w:spacing w:after="40"/>
              <w:jc w:val="left"/>
            </w:pPr>
            <w:r>
              <w:rPr>
                <w:sz w:val="18"/>
              </w:rPr>
              <w:t xml:space="preserve">Filtered view of</w:t>
            </w:r>
            <w:r>
              <w:rPr>
                <w:sz w:val="18"/>
              </w:rPr>
              <w:t xml:space="preserve"> </w:t>
            </w:r>
            <w:r>
              <w:rPr>
                <w:rStyle w:val="VerbatimChar"/>
                <w:sz w:val="18"/>
              </w:rPr>
              <w:t xml:space="preserve">Account › Documents and data</w:t>
            </w:r>
            <w:r>
              <w:rPr>
                <w:sz w:val="18"/>
              </w:rPr>
              <w:t xml:space="preserve"> </w:t>
            </w:r>
            <w:r>
              <w:rPr>
                <w:sz w:val="18"/>
              </w:rPr>
              <w:t xml:space="preserve">for this loan</w:t>
            </w:r>
          </w:p>
        </w:tc>
        <w:tc>
          <w:tcPr>
            <w:tcW w:w="3406" w:type="dxa"/>
          </w:tcPr>
          <w:p>
            <w:pPr>
              <w:pStyle w:val="Compact"/>
              <w:spacing w:after="40"/>
              <w:jc w:val="left"/>
            </w:pPr>
            <w:r>
              <w:rPr>
                <w:sz w:val="18"/>
              </w:rPr>
              <w:t xml:space="preserve">As UB1</w:t>
            </w:r>
          </w:p>
        </w:tc>
      </w:tr>
      <w:tr>
        <w:tc>
          <w:tcPr>
            <w:tcW w:w="1800" w:type="dxa"/>
          </w:tcPr>
          <w:p>
            <w:pPr>
              <w:pStyle w:val="Compact"/>
              <w:spacing w:after="40"/>
              <w:jc w:val="left"/>
            </w:pPr>
            <w:r>
              <w:rPr>
                <w:rStyle w:val="VerbatimChar"/>
                <w:sz w:val="18"/>
              </w:rPr>
              <w:t xml:space="preserve">Loans › [loan] › Requests</w:t>
            </w:r>
          </w:p>
        </w:tc>
        <w:tc>
          <w:tcPr>
            <w:tcW w:w="4432" w:type="dxa"/>
          </w:tcPr>
          <w:p>
            <w:pPr>
              <w:pStyle w:val="Compact"/>
              <w:spacing w:after="40"/>
              <w:jc w:val="left"/>
            </w:pPr>
            <w:r>
              <w:rPr>
                <w:sz w:val="18"/>
              </w:rPr>
              <w:t xml:space="preserve">Statement, foreclosure quote, part-prepayment, NOC, document release with the 30-day clock, contact or mandate change (U12)</w:t>
            </w:r>
          </w:p>
        </w:tc>
        <w:tc>
          <w:tcPr>
            <w:tcW w:w="3406" w:type="dxa"/>
          </w:tcPr>
          <w:p>
            <w:pPr>
              <w:pStyle w:val="Compact"/>
              <w:spacing w:after="40"/>
              <w:jc w:val="left"/>
            </w:pPr>
            <w:r>
              <w:rPr>
                <w:sz w:val="18"/>
              </w:rPr>
              <w:t xml:space="preserve">Request overdue: escalation shown</w:t>
            </w:r>
          </w:p>
        </w:tc>
      </w:tr>
      <w:tr>
        <w:tc>
          <w:tcPr>
            <w:tcW w:w="1800" w:type="dxa"/>
          </w:tcPr>
          <w:p>
            <w:pPr>
              <w:pStyle w:val="Compact"/>
              <w:spacing w:after="40"/>
              <w:jc w:val="left"/>
            </w:pPr>
            <w:r>
              <w:rPr>
                <w:rStyle w:val="VerbatimChar"/>
                <w:sz w:val="18"/>
              </w:rPr>
              <w:t xml:space="preserve">Loans › [loan] › Notices</w:t>
            </w:r>
          </w:p>
        </w:tc>
        <w:tc>
          <w:tcPr>
            <w:tcW w:w="4432" w:type="dxa"/>
          </w:tcPr>
          <w:p>
            <w:pPr>
              <w:pStyle w:val="Compact"/>
              <w:spacing w:after="40"/>
              <w:jc w:val="left"/>
            </w:pPr>
            <w:r>
              <w:rPr>
                <w:sz w:val="18"/>
              </w:rPr>
              <w:t xml:space="preserve">UR3 inbox (only instruments the RE’s visibility policy allows);</w:t>
            </w:r>
            <w:r>
              <w:rPr>
                <w:sz w:val="18"/>
              </w:rPr>
              <w:t xml:space="preserve"> </w:t>
            </w:r>
            <w:r>
              <w:rPr>
                <w:bCs/>
                <w:b/>
                <w:sz w:val="18"/>
              </w:rPr>
              <w:t xml:space="preserve">Confirm receipt</w:t>
            </w:r>
            <w:r>
              <w:rPr>
                <w:sz w:val="18"/>
              </w:rPr>
              <w:t xml:space="preserve"> </w:t>
            </w:r>
            <w:r>
              <w:rPr>
                <w:sz w:val="18"/>
              </w:rPr>
              <w:t xml:space="preserve">(never an admission),</w:t>
            </w:r>
            <w:r>
              <w:rPr>
                <w:sz w:val="18"/>
              </w:rPr>
              <w:t xml:space="preserve"> </w:t>
            </w:r>
            <w:r>
              <w:rPr>
                <w:bCs/>
                <w:b/>
                <w:sz w:val="18"/>
              </w:rPr>
              <w:t xml:space="preserve">Another language</w:t>
            </w:r>
            <w:r>
              <w:rPr>
                <w:sz w:val="18"/>
              </w:rPr>
              <w:t xml:space="preserve">,</w:t>
            </w:r>
            <w:r>
              <w:rPr>
                <w:sz w:val="18"/>
              </w:rPr>
              <w:t xml:space="preserve"> </w:t>
            </w:r>
            <w:r>
              <w:rPr>
                <w:bCs/>
                <w:b/>
                <w:sz w:val="18"/>
              </w:rPr>
              <w:t xml:space="preserve">Dispute with [RE name]</w:t>
            </w:r>
            <w:r>
              <w:rPr>
                <w:sz w:val="18"/>
              </w:rPr>
              <w:t xml:space="preserve">,</w:t>
            </w:r>
            <w:r>
              <w:rPr>
                <w:sz w:val="18"/>
              </w:rPr>
              <w:t xml:space="preserve"> </w:t>
            </w:r>
            <w:r>
              <w:rPr>
                <w:bCs/>
                <w:b/>
                <w:sz w:val="18"/>
              </w:rPr>
              <w:t xml:space="preserve">Download</w:t>
            </w:r>
          </w:p>
        </w:tc>
        <w:tc>
          <w:tcPr>
            <w:tcW w:w="3406" w:type="dxa"/>
          </w:tcPr>
          <w:p>
            <w:pPr>
              <w:pStyle w:val="Compact"/>
              <w:spacing w:after="40"/>
              <w:jc w:val="left"/>
            </w:pPr>
            <w:r>
              <w:rPr>
                <w:sz w:val="18"/>
              </w:rPr>
              <w:t xml:space="preserve">Hash mismatch: notice withheld,</w:t>
            </w:r>
            <w:r>
              <w:rPr>
                <w:sz w:val="18"/>
              </w:rPr>
              <w:t xml:space="preserve"> </w:t>
            </w:r>
            <w:r>
              <w:rPr>
                <w:sz w:val="18"/>
              </w:rPr>
              <w:t xml:space="preserve">“</w:t>
            </w:r>
            <w:r>
              <w:rPr>
                <w:sz w:val="18"/>
              </w:rPr>
              <w:t xml:space="preserve">contact [RE name]</w:t>
            </w:r>
            <w:r>
              <w:rPr>
                <w:sz w:val="18"/>
              </w:rPr>
              <w:t xml:space="preserve">”</w:t>
            </w:r>
          </w:p>
        </w:tc>
      </w:tr>
      <w:tr>
        <w:tc>
          <w:tcPr>
            <w:tcW w:w="1800" w:type="dxa"/>
          </w:tcPr>
          <w:p>
            <w:pPr>
              <w:pStyle w:val="Compact"/>
              <w:spacing w:after="40"/>
              <w:jc w:val="left"/>
            </w:pPr>
            <w:r>
              <w:rPr>
                <w:rStyle w:val="VerbatimChar"/>
                <w:sz w:val="18"/>
              </w:rPr>
              <w:t xml:space="preserve">Loans › [loan] › Recovery contact</w:t>
            </w:r>
          </w:p>
        </w:tc>
        <w:tc>
          <w:tcPr>
            <w:tcW w:w="4432" w:type="dxa"/>
          </w:tcPr>
          <w:p>
            <w:pPr>
              <w:pStyle w:val="Compact"/>
              <w:spacing w:after="40"/>
              <w:jc w:val="left"/>
            </w:pPr>
            <w:r>
              <w:rPr>
                <w:sz w:val="18"/>
              </w:rPr>
              <w:t xml:space="preserve">Shown only when an agent is allocated: agent particulars as notified (CF para 9(6)),</w:t>
            </w:r>
            <w:r>
              <w:rPr>
                <w:sz w:val="18"/>
              </w:rPr>
              <w:t xml:space="preserve"> </w:t>
            </w:r>
            <w:r>
              <w:rPr>
                <w:bCs/>
                <w:b/>
                <w:sz w:val="18"/>
              </w:rPr>
              <w:t xml:space="preserve">Verify this agent</w:t>
            </w:r>
            <w:r>
              <w:rPr>
                <w:sz w:val="18"/>
              </w:rPr>
              <w:t xml:space="preserve">,</w:t>
            </w:r>
            <w:r>
              <w:rPr>
                <w:sz w:val="18"/>
              </w:rPr>
              <w:t xml:space="preserve"> </w:t>
            </w:r>
            <w:r>
              <w:rPr>
                <w:bCs/>
                <w:b/>
                <w:sz w:val="18"/>
              </w:rPr>
              <w:t xml:space="preserve">Complain about recovery conduct</w:t>
            </w:r>
          </w:p>
        </w:tc>
        <w:tc>
          <w:tcPr>
            <w:tcW w:w="3406" w:type="dxa"/>
          </w:tcPr>
          <w:p>
            <w:pPr>
              <w:pStyle w:val="Compact"/>
              <w:spacing w:after="40"/>
              <w:jc w:val="left"/>
            </w:pPr>
            <w:r>
              <w:rPr>
                <w:sz w:val="18"/>
              </w:rPr>
              <w:t xml:space="preserve">Agent changed: new particulars before contact</w:t>
            </w:r>
          </w:p>
        </w:tc>
      </w:tr>
      <w:tr>
        <w:tc>
          <w:tcPr>
            <w:tcW w:w="1800" w:type="dxa"/>
          </w:tcPr>
          <w:p>
            <w:pPr>
              <w:pStyle w:val="Compact"/>
              <w:spacing w:after="40"/>
              <w:jc w:val="left"/>
            </w:pPr>
            <w:r>
              <w:rPr>
                <w:rStyle w:val="VerbatimChar"/>
                <w:sz w:val="18"/>
              </w:rPr>
              <w:t xml:space="preserve">Loans › Your society</w:t>
            </w:r>
          </w:p>
        </w:tc>
        <w:tc>
          <w:tcPr>
            <w:tcW w:w="4432" w:type="dxa"/>
          </w:tcPr>
          <w:p>
            <w:pPr>
              <w:pStyle w:val="Compact"/>
              <w:spacing w:after="40"/>
              <w:jc w:val="left"/>
            </w:pPr>
            <w:r>
              <w:rPr>
                <w:sz w:val="18"/>
              </w:rPr>
              <w:t xml:space="preserve">MG1 member space: society picker,</w:t>
            </w:r>
            <w:r>
              <w:rPr>
                <w:sz w:val="18"/>
              </w:rPr>
              <w:t xml:space="preserve"> </w:t>
            </w:r>
            <w:r>
              <w:rPr>
                <w:bCs/>
                <w:b/>
                <w:sz w:val="18"/>
              </w:rPr>
              <w:t xml:space="preserve">Verify membership</w:t>
            </w:r>
            <w:r>
              <w:rPr>
                <w:sz w:val="18"/>
              </w:rPr>
              <w:t xml:space="preserve">, member card, products, application, loan fact sheet, sureties,</w:t>
            </w:r>
            <w:r>
              <w:rPr>
                <w:sz w:val="18"/>
              </w:rPr>
              <w:t xml:space="preserve"> </w:t>
            </w:r>
            <w:r>
              <w:rPr>
                <w:bCs/>
                <w:b/>
                <w:sz w:val="18"/>
              </w:rPr>
              <w:t xml:space="preserve">Apply for membership</w:t>
            </w:r>
          </w:p>
        </w:tc>
        <w:tc>
          <w:tcPr>
            <w:tcW w:w="3406" w:type="dxa"/>
          </w:tcPr>
          <w:p>
            <w:pPr>
              <w:pStyle w:val="Compact"/>
              <w:spacing w:after="40"/>
              <w:jc w:val="left"/>
            </w:pPr>
            <w:r>
              <w:rPr>
                <w:sz w:val="18"/>
              </w:rPr>
              <w:t xml:space="preserve">Hidden in A by</w:t>
            </w:r>
            <w:r>
              <w:rPr>
                <w:sz w:val="18"/>
              </w:rPr>
              <w:t xml:space="preserve"> </w:t>
            </w:r>
            <w:r>
              <w:rPr>
                <w:rStyle w:val="VerbatimChar"/>
                <w:sz w:val="18"/>
              </w:rPr>
              <w:t xml:space="preserve">coop_channel_gate</w:t>
            </w:r>
            <w:r>
              <w:rPr>
                <w:sz w:val="18"/>
              </w:rPr>
              <w:t xml:space="preserve"> </w:t>
            </w:r>
            <w:r>
              <w:rPr>
                <w:sz w:val="18"/>
              </w:rPr>
              <w:t xml:space="preserve">until app-store policy for non-RE lenders is confirmed; available on B and assisted E</w:t>
            </w:r>
          </w:p>
        </w:tc>
      </w:tr>
      <w:tr>
        <w:tc>
          <w:tcPr>
            <w:tcW w:w="1800" w:type="dxa"/>
          </w:tcPr>
          <w:p>
            <w:pPr>
              <w:pStyle w:val="Compact"/>
              <w:spacing w:after="40"/>
              <w:jc w:val="left"/>
            </w:pPr>
            <w:r>
              <w:rPr>
                <w:rStyle w:val="VerbatimChar"/>
                <w:sz w:val="18"/>
              </w:rPr>
              <w:t xml:space="preserve">Loans › Group loan</w:t>
            </w:r>
          </w:p>
        </w:tc>
        <w:tc>
          <w:tcPr>
            <w:tcW w:w="4432" w:type="dxa"/>
          </w:tcPr>
          <w:p>
            <w:pPr>
              <w:pStyle w:val="Compact"/>
              <w:spacing w:after="40"/>
              <w:jc w:val="left"/>
            </w:pPr>
            <w:r>
              <w:rPr>
                <w:sz w:val="18"/>
              </w:rPr>
              <w:t xml:space="preserve">MG2 member view on own device: my KFS, loan card, schedule, payments,</w:t>
            </w:r>
            <w:r>
              <w:rPr>
                <w:sz w:val="18"/>
              </w:rPr>
              <w:t xml:space="preserve"> </w:t>
            </w:r>
            <w:r>
              <w:rPr>
                <w:bCs/>
                <w:b/>
                <w:sz w:val="18"/>
              </w:rPr>
              <w:t xml:space="preserve">Pay my instalment</w:t>
            </w:r>
            <w:r>
              <w:rPr>
                <w:sz w:val="18"/>
              </w:rPr>
              <w:t xml:space="preserve">, grievance, verify agent</w:t>
            </w:r>
          </w:p>
        </w:tc>
        <w:tc>
          <w:tcPr>
            <w:tcW w:w="3406" w:type="dxa"/>
          </w:tcPr>
          <w:p>
            <w:pPr>
              <w:pStyle w:val="Compact"/>
              <w:spacing w:after="40"/>
              <w:jc w:val="left"/>
            </w:pPr>
            <w:r>
              <w:rPr>
                <w:sz w:val="18"/>
              </w:rPr>
              <w:t xml:space="preserve">—</w:t>
            </w:r>
          </w:p>
        </w:tc>
      </w:tr>
      <w:tr>
        <w:tc>
          <w:tcPr>
            <w:tcW w:w="1800" w:type="dxa"/>
          </w:tcPr>
          <w:p>
            <w:pPr>
              <w:pStyle w:val="Compact"/>
              <w:spacing w:after="40"/>
              <w:jc w:val="left"/>
            </w:pPr>
            <w:r>
              <w:rPr>
                <w:rStyle w:val="VerbatimChar"/>
                <w:sz w:val="18"/>
              </w:rPr>
              <w:t xml:space="preserve">Loans › My SHG</w:t>
            </w:r>
          </w:p>
        </w:tc>
        <w:tc>
          <w:tcPr>
            <w:tcW w:w="4432" w:type="dxa"/>
          </w:tcPr>
          <w:p>
            <w:pPr>
              <w:pStyle w:val="Compact"/>
              <w:spacing w:after="40"/>
              <w:jc w:val="left"/>
            </w:pPr>
            <w:r>
              <w:rPr>
                <w:sz w:val="18"/>
              </w:rPr>
              <w:t xml:space="preserve">MG3: profile, office bearers, Books, approvals,</w:t>
            </w:r>
            <w:r>
              <w:rPr>
                <w:sz w:val="18"/>
              </w:rPr>
              <w:t xml:space="preserve"> </w:t>
            </w:r>
            <w:r>
              <w:rPr>
                <w:bCs/>
                <w:b/>
                <w:sz w:val="18"/>
              </w:rPr>
              <w:t xml:space="preserve">Apply for bank linkage</w:t>
            </w:r>
            <w:r>
              <w:rPr>
                <w:sz w:val="18"/>
              </w:rPr>
              <w:t xml:space="preserve">, statements</w:t>
            </w:r>
          </w:p>
        </w:tc>
        <w:tc>
          <w:tcPr>
            <w:tcW w:w="3406" w:type="dxa"/>
          </w:tcPr>
          <w:p>
            <w:pPr>
              <w:pStyle w:val="Compact"/>
              <w:spacing w:after="40"/>
              <w:jc w:val="left"/>
            </w:pPr>
            <w:r>
              <w:rPr>
                <w:sz w:val="18"/>
              </w:rPr>
              <w:t xml:space="preserve">Member view limited to her own data and the group summary</w:t>
            </w:r>
          </w:p>
        </w:tc>
      </w:tr>
    </w:tbl>
    <w:bookmarkEnd w:id="543"/>
    <w:bookmarkStart w:id="544" w:name="g.2.5-pay"/>
    <w:p>
      <w:pPr>
        <w:pStyle w:val="Heading3"/>
      </w:pPr>
      <w:r>
        <w:t xml:space="preserve">G.2.5 Pay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48"/>
        <w:gridCol w:w="4872"/>
        <w:gridCol w:w="3318"/>
      </w:tblGrid>
      <w:tr>
        <w:trPr>
          <w:tblHeader w:val="true"/>
          <w:tblHeader w:val="true"/>
        </w:trPr>
        <w:tc>
          <w:tcPr>
            <w:tcW w:w="1448" w:type="dxa"/>
            <w:shd w:val="clear" w:color="auto" w:fill="1F3A5F"/>
          </w:tcPr>
          <w:p>
            <w:pPr>
              <w:pStyle w:val="Compact"/>
              <w:spacing w:after="40"/>
              <w:jc w:val="left"/>
            </w:pPr>
            <w:r>
              <w:rPr>
                <w:b/>
                <w:color w:val="FFFFFF"/>
                <w:sz w:val="18"/>
              </w:rPr>
              <w:t xml:space="preserve">Path</w:t>
            </w:r>
          </w:p>
        </w:tc>
        <w:tc>
          <w:tcPr>
            <w:tcW w:w="4872" w:type="dxa"/>
            <w:shd w:val="clear" w:color="auto" w:fill="1F3A5F"/>
          </w:tcPr>
          <w:p>
            <w:pPr>
              <w:pStyle w:val="Compact"/>
              <w:spacing w:after="40"/>
              <w:jc w:val="left"/>
            </w:pPr>
            <w:r>
              <w:rPr>
                <w:b/>
                <w:color w:val="FFFFFF"/>
                <w:sz w:val="18"/>
              </w:rPr>
              <w:t xml:space="preserve">Key content and actions</w:t>
            </w:r>
          </w:p>
        </w:tc>
        <w:tc>
          <w:tcPr>
            <w:tcW w:w="3318" w:type="dxa"/>
            <w:shd w:val="clear" w:color="auto" w:fill="1F3A5F"/>
          </w:tcPr>
          <w:p>
            <w:pPr>
              <w:pStyle w:val="Compact"/>
              <w:spacing w:after="40"/>
              <w:jc w:val="left"/>
            </w:pPr>
            <w:r>
              <w:rPr>
                <w:b/>
                <w:color w:val="FFFFFF"/>
                <w:sz w:val="18"/>
              </w:rPr>
              <w:t xml:space="preserve">States</w:t>
            </w:r>
          </w:p>
        </w:tc>
      </w:tr>
      <w:tr>
        <w:tc>
          <w:tcPr>
            <w:tcW w:w="1448" w:type="dxa"/>
          </w:tcPr>
          <w:p>
            <w:pPr>
              <w:pStyle w:val="Compact"/>
              <w:spacing w:after="40"/>
              <w:jc w:val="left"/>
            </w:pPr>
            <w:r>
              <w:rPr>
                <w:rStyle w:val="VerbatimChar"/>
                <w:sz w:val="18"/>
              </w:rPr>
              <w:t xml:space="preserve">Pay</w:t>
            </w:r>
          </w:p>
        </w:tc>
        <w:tc>
          <w:tcPr>
            <w:tcW w:w="4872" w:type="dxa"/>
          </w:tcPr>
          <w:p>
            <w:pPr>
              <w:pStyle w:val="Compact"/>
              <w:spacing w:after="40"/>
              <w:jc w:val="left"/>
            </w:pPr>
            <w:r>
              <w:rPr>
                <w:sz w:val="18"/>
              </w:rPr>
              <w:t xml:space="preserve">Dues by loan with lender strip;</w:t>
            </w:r>
            <w:r>
              <w:rPr>
                <w:sz w:val="18"/>
              </w:rPr>
              <w:t xml:space="preserve"> </w:t>
            </w:r>
            <w:r>
              <w:rPr>
                <w:bCs/>
                <w:b/>
                <w:sz w:val="18"/>
              </w:rPr>
              <w:t xml:space="preserve">Pay now</w:t>
            </w:r>
          </w:p>
        </w:tc>
        <w:tc>
          <w:tcPr>
            <w:tcW w:w="3318" w:type="dxa"/>
          </w:tcPr>
          <w:p>
            <w:pPr>
              <w:pStyle w:val="Compact"/>
              <w:spacing w:after="40"/>
              <w:jc w:val="left"/>
            </w:pPr>
            <w:r>
              <w:rPr>
                <w:sz w:val="18"/>
              </w:rPr>
              <w:t xml:space="preserve">No loan:</w:t>
            </w:r>
            <w:r>
              <w:rPr>
                <w:sz w:val="18"/>
              </w:rPr>
              <w:t xml:space="preserve"> </w:t>
            </w:r>
            <w:r>
              <w:rPr>
                <w:sz w:val="18"/>
              </w:rPr>
              <w:t xml:space="preserve">“</w:t>
            </w:r>
            <w:r>
              <w:rPr>
                <w:sz w:val="18"/>
              </w:rPr>
              <w:t xml:space="preserve">Nothing to pay</w:t>
            </w:r>
            <w:r>
              <w:rPr>
                <w:sz w:val="18"/>
              </w:rPr>
              <w:t xml:space="preserve">”</w:t>
            </w:r>
            <w:r>
              <w:rPr>
                <w:sz w:val="18"/>
              </w:rPr>
              <w:t xml:space="preserve">; all paid: next due date</w:t>
            </w:r>
          </w:p>
        </w:tc>
      </w:tr>
      <w:tr>
        <w:tc>
          <w:tcPr>
            <w:tcW w:w="1448" w:type="dxa"/>
          </w:tcPr>
          <w:p>
            <w:pPr>
              <w:pStyle w:val="Compact"/>
              <w:spacing w:after="40"/>
              <w:jc w:val="left"/>
            </w:pPr>
            <w:r>
              <w:rPr>
                <w:rStyle w:val="VerbatimChar"/>
                <w:sz w:val="18"/>
              </w:rPr>
              <w:t xml:space="preserve">Pay › Pay now</w:t>
            </w:r>
          </w:p>
        </w:tc>
        <w:tc>
          <w:tcPr>
            <w:tcW w:w="4872" w:type="dxa"/>
          </w:tcPr>
          <w:p>
            <w:pPr>
              <w:pStyle w:val="Compact"/>
              <w:spacing w:after="40"/>
              <w:jc w:val="left"/>
            </w:pPr>
            <w:r>
              <w:rPr>
                <w:sz w:val="18"/>
              </w:rPr>
              <w:t xml:space="preserve">Amount choices the RE allows; UPI intent, payment link or card on the RE’s merchant account; status after RE confirmation</w:t>
            </w:r>
          </w:p>
        </w:tc>
        <w:tc>
          <w:tcPr>
            <w:tcW w:w="3318" w:type="dxa"/>
          </w:tcPr>
          <w:p>
            <w:pPr>
              <w:pStyle w:val="Compact"/>
              <w:spacing w:after="40"/>
              <w:jc w:val="left"/>
            </w:pPr>
            <w:r>
              <w:rPr>
                <w:sz w:val="18"/>
              </w:rPr>
              <w:t xml:space="preserve">Gateway success but no RE confirmation:</w:t>
            </w:r>
            <w:r>
              <w:rPr>
                <w:sz w:val="18"/>
              </w:rPr>
              <w:t xml:space="preserve"> </w:t>
            </w:r>
            <w:r>
              <w:rPr>
                <w:sz w:val="18"/>
              </w:rPr>
              <w:t xml:space="preserve">“</w:t>
            </w:r>
            <w:r>
              <w:rPr>
                <w:sz w:val="18"/>
              </w:rPr>
              <w:t xml:space="preserve">payment initiated, awaiting [RE name]</w:t>
            </w:r>
            <w:r>
              <w:rPr>
                <w:sz w:val="18"/>
              </w:rPr>
              <w:t xml:space="preserve">”</w:t>
            </w:r>
            <w:r>
              <w:rPr>
                <w:sz w:val="18"/>
              </w:rPr>
              <w:t xml:space="preserve">; failure: nothing debited or refund path; duplicate tap: idempotent</w:t>
            </w:r>
          </w:p>
        </w:tc>
      </w:tr>
      <w:tr>
        <w:tc>
          <w:tcPr>
            <w:tcW w:w="1448" w:type="dxa"/>
          </w:tcPr>
          <w:p>
            <w:pPr>
              <w:pStyle w:val="Compact"/>
              <w:spacing w:after="40"/>
              <w:jc w:val="left"/>
            </w:pPr>
            <w:r>
              <w:rPr>
                <w:rStyle w:val="VerbatimChar"/>
                <w:sz w:val="18"/>
              </w:rPr>
              <w:t xml:space="preserve">Pay › AutoPay</w:t>
            </w:r>
          </w:p>
        </w:tc>
        <w:tc>
          <w:tcPr>
            <w:tcW w:w="4872" w:type="dxa"/>
          </w:tcPr>
          <w:p>
            <w:pPr>
              <w:pStyle w:val="Compact"/>
              <w:spacing w:after="40"/>
              <w:jc w:val="left"/>
            </w:pPr>
            <w:r>
              <w:rPr>
                <w:sz w:val="18"/>
              </w:rPr>
              <w:t xml:space="preserve">Mandates per loan with status;</w:t>
            </w:r>
            <w:r>
              <w:rPr>
                <w:sz w:val="18"/>
              </w:rPr>
              <w:t xml:space="preserve"> </w:t>
            </w:r>
            <w:r>
              <w:rPr>
                <w:bCs/>
                <w:b/>
                <w:sz w:val="18"/>
              </w:rPr>
              <w:t xml:space="preserve">Set up</w:t>
            </w:r>
            <w:r>
              <w:rPr>
                <w:sz w:val="18"/>
              </w:rPr>
              <w:t xml:space="preserve">,</w:t>
            </w:r>
            <w:r>
              <w:rPr>
                <w:sz w:val="18"/>
              </w:rPr>
              <w:t xml:space="preserve"> </w:t>
            </w:r>
            <w:r>
              <w:rPr>
                <w:bCs/>
                <w:b/>
                <w:sz w:val="18"/>
              </w:rPr>
              <w:t xml:space="preserve">Change</w:t>
            </w:r>
            <w:r>
              <w:rPr>
                <w:sz w:val="18"/>
              </w:rPr>
              <w:t xml:space="preserve">,</w:t>
            </w:r>
            <w:r>
              <w:rPr>
                <w:sz w:val="18"/>
              </w:rPr>
              <w:t xml:space="preserve"> </w:t>
            </w:r>
            <w:r>
              <w:rPr>
                <w:bCs/>
                <w:b/>
                <w:sz w:val="18"/>
              </w:rPr>
              <w:t xml:space="preserve">Pause or revoke</w:t>
            </w:r>
            <w:r>
              <w:rPr>
                <w:sz w:val="18"/>
              </w:rPr>
              <w:t xml:space="preserve"> </w:t>
            </w:r>
            <w:r>
              <w:rPr>
                <w:sz w:val="18"/>
              </w:rPr>
              <w:t xml:space="preserve">(routed to the RE)</w:t>
            </w:r>
          </w:p>
        </w:tc>
        <w:tc>
          <w:tcPr>
            <w:tcW w:w="3318" w:type="dxa"/>
          </w:tcPr>
          <w:p>
            <w:pPr>
              <w:pStyle w:val="Compact"/>
              <w:spacing w:after="40"/>
              <w:jc w:val="left"/>
            </w:pPr>
            <w:r>
              <w:rPr>
                <w:sz w:val="18"/>
              </w:rPr>
              <w:t xml:space="preserve">Mandate failed: reason and retry</w:t>
            </w:r>
          </w:p>
        </w:tc>
      </w:tr>
      <w:tr>
        <w:tc>
          <w:tcPr>
            <w:tcW w:w="1448" w:type="dxa"/>
          </w:tcPr>
          <w:p>
            <w:pPr>
              <w:pStyle w:val="Compact"/>
              <w:spacing w:after="40"/>
              <w:jc w:val="left"/>
            </w:pPr>
            <w:r>
              <w:rPr>
                <w:rStyle w:val="VerbatimChar"/>
                <w:sz w:val="18"/>
              </w:rPr>
              <w:t xml:space="preserve">Pay › History and receipts</w:t>
            </w:r>
          </w:p>
        </w:tc>
        <w:tc>
          <w:tcPr>
            <w:tcW w:w="4872" w:type="dxa"/>
          </w:tcPr>
          <w:p>
            <w:pPr>
              <w:pStyle w:val="Compact"/>
              <w:spacing w:after="40"/>
              <w:jc w:val="left"/>
            </w:pPr>
            <w:r>
              <w:rPr>
                <w:sz w:val="18"/>
              </w:rPr>
              <w:t xml:space="preserve">Payments, RE receipts, filters by loan and year, download</w:t>
            </w:r>
          </w:p>
        </w:tc>
        <w:tc>
          <w:tcPr>
            <w:tcW w:w="3318" w:type="dxa"/>
          </w:tcPr>
          <w:p>
            <w:pPr>
              <w:pStyle w:val="Compact"/>
              <w:spacing w:after="40"/>
              <w:jc w:val="left"/>
            </w:pPr>
            <w:r>
              <w:rPr>
                <w:sz w:val="18"/>
              </w:rPr>
              <w:t xml:space="preserve">—</w:t>
            </w:r>
          </w:p>
        </w:tc>
      </w:tr>
      <w:tr>
        <w:tc>
          <w:tcPr>
            <w:tcW w:w="1448" w:type="dxa"/>
          </w:tcPr>
          <w:p>
            <w:pPr>
              <w:pStyle w:val="Compact"/>
              <w:spacing w:after="40"/>
              <w:jc w:val="left"/>
            </w:pPr>
            <w:r>
              <w:rPr>
                <w:rStyle w:val="VerbatimChar"/>
                <w:sz w:val="18"/>
              </w:rPr>
              <w:t xml:space="preserve">Pay › Overdue and settlement</w:t>
            </w:r>
          </w:p>
        </w:tc>
        <w:tc>
          <w:tcPr>
            <w:tcW w:w="4872" w:type="dxa"/>
          </w:tcPr>
          <w:p>
            <w:pPr>
              <w:pStyle w:val="Compact"/>
              <w:spacing w:after="40"/>
              <w:jc w:val="left"/>
            </w:pPr>
            <w:r>
              <w:rPr>
                <w:sz w:val="18"/>
              </w:rPr>
              <w:t xml:space="preserve">Only when a loan is overdue or a settlement is open (UR1): DPD and each penal charge with reason;</w:t>
            </w:r>
            <w:r>
              <w:rPr>
                <w:sz w:val="18"/>
              </w:rPr>
              <w:t xml:space="preserve"> </w:t>
            </w:r>
            <w:r>
              <w:rPr>
                <w:bCs/>
                <w:b/>
                <w:sz w:val="18"/>
              </w:rPr>
              <w:t xml:space="preserve">Pay now</w:t>
            </w:r>
            <w:r>
              <w:rPr>
                <w:sz w:val="18"/>
              </w:rPr>
              <w:t xml:space="preserve">;</w:t>
            </w:r>
            <w:r>
              <w:rPr>
                <w:sz w:val="18"/>
              </w:rPr>
              <w:t xml:space="preserve"> </w:t>
            </w:r>
            <w:r>
              <w:rPr>
                <w:bCs/>
                <w:b/>
                <w:sz w:val="18"/>
              </w:rPr>
              <w:t xml:space="preserve">Promise to pay</w:t>
            </w:r>
            <w:r>
              <w:rPr>
                <w:sz w:val="18"/>
              </w:rPr>
              <w:t xml:space="preserve"> </w:t>
            </w:r>
            <w:r>
              <w:rPr>
                <w:sz w:val="18"/>
              </w:rPr>
              <w:t xml:space="preserve">(no acknowledgement-of-debt wording unless RE-approved);</w:t>
            </w:r>
            <w:r>
              <w:rPr>
                <w:sz w:val="18"/>
              </w:rPr>
              <w:t xml:space="preserve"> </w:t>
            </w:r>
            <w:r>
              <w:rPr>
                <w:bCs/>
                <w:b/>
                <w:sz w:val="18"/>
              </w:rPr>
              <w:t xml:space="preserve">I am facing difficulty</w:t>
            </w:r>
            <w:r>
              <w:rPr>
                <w:sz w:val="18"/>
              </w:rPr>
              <w:t xml:space="preserve">;</w:t>
            </w:r>
            <w:r>
              <w:rPr>
                <w:sz w:val="18"/>
              </w:rPr>
              <w:t xml:space="preserve"> </w:t>
            </w:r>
            <w:r>
              <w:rPr>
                <w:bCs/>
                <w:b/>
                <w:sz w:val="18"/>
              </w:rPr>
              <w:t xml:space="preserve">Ask for a settlement</w:t>
            </w:r>
            <w:r>
              <w:rPr>
                <w:sz w:val="18"/>
              </w:rPr>
              <w:t xml:space="preserve">; RE offer with characterisation block,</w:t>
            </w:r>
            <w:r>
              <w:rPr>
                <w:sz w:val="18"/>
              </w:rPr>
              <w:t xml:space="preserve"> </w:t>
            </w:r>
            <w:r>
              <w:rPr>
                <w:bCs/>
                <w:b/>
                <w:sz w:val="18"/>
              </w:rPr>
              <w:t xml:space="preserve">Accept</w:t>
            </w:r>
            <w:r>
              <w:rPr>
                <w:sz w:val="18"/>
              </w:rPr>
              <w:t xml:space="preserve"> </w:t>
            </w:r>
            <w:r>
              <w:rPr>
                <w:sz w:val="18"/>
              </w:rPr>
              <w:t xml:space="preserve">(OTP or eSign within validity),</w:t>
            </w:r>
            <w:r>
              <w:rPr>
                <w:sz w:val="18"/>
              </w:rPr>
              <w:t xml:space="preserve"> </w:t>
            </w:r>
            <w:r>
              <w:rPr>
                <w:bCs/>
                <w:b/>
                <w:sz w:val="18"/>
              </w:rPr>
              <w:t xml:space="preserve">Counter-propose</w:t>
            </w:r>
          </w:p>
        </w:tc>
        <w:tc>
          <w:tcPr>
            <w:tcW w:w="3318" w:type="dxa"/>
          </w:tcPr>
          <w:p>
            <w:pPr>
              <w:pStyle w:val="Compact"/>
              <w:spacing w:after="40"/>
              <w:jc w:val="left"/>
            </w:pPr>
            <w:r>
              <w:rPr>
                <w:sz w:val="18"/>
              </w:rPr>
              <w:t xml:space="preserve">No characterisation block: offer hidden; lapsed:</w:t>
            </w:r>
            <w:r>
              <w:rPr>
                <w:sz w:val="18"/>
              </w:rPr>
              <w:t xml:space="preserve"> </w:t>
            </w:r>
            <w:r>
              <w:rPr>
                <w:sz w:val="18"/>
              </w:rPr>
              <w:t xml:space="preserve">“</w:t>
            </w:r>
            <w:r>
              <w:rPr>
                <w:sz w:val="18"/>
              </w:rPr>
              <w:t xml:space="preserve">ask [RE name]</w:t>
            </w:r>
            <w:r>
              <w:rPr>
                <w:sz w:val="18"/>
              </w:rPr>
              <w:t xml:space="preserve">”</w:t>
            </w:r>
            <w:r>
              <w:rPr>
                <w:sz w:val="18"/>
              </w:rPr>
              <w:t xml:space="preserve">; servicer changed: old links off</w:t>
            </w:r>
          </w:p>
        </w:tc>
      </w:tr>
      <w:tr>
        <w:tc>
          <w:tcPr>
            <w:tcW w:w="1448" w:type="dxa"/>
          </w:tcPr>
          <w:p>
            <w:pPr>
              <w:pStyle w:val="Compact"/>
              <w:spacing w:after="40"/>
              <w:jc w:val="left"/>
            </w:pPr>
            <w:r>
              <w:rPr>
                <w:rStyle w:val="VerbatimChar"/>
                <w:sz w:val="18"/>
              </w:rPr>
              <w:t xml:space="preserve">Pay › Report a fraud payment</w:t>
            </w:r>
          </w:p>
        </w:tc>
        <w:tc>
          <w:tcPr>
            <w:tcW w:w="4872" w:type="dxa"/>
          </w:tcPr>
          <w:p>
            <w:pPr>
              <w:pStyle w:val="Compact"/>
              <w:spacing w:after="40"/>
              <w:jc w:val="left"/>
            </w:pPr>
            <w:r>
              <w:rPr>
                <w:sz w:val="18"/>
              </w:rPr>
              <w:t xml:space="preserve">Report as fraud (U11; DPS para 66 baseline) →</w:t>
            </w:r>
            <w:r>
              <w:rPr>
                <w:sz w:val="18"/>
              </w:rPr>
              <w:t xml:space="preserve"> </w:t>
            </w:r>
            <w:r>
              <w:rPr>
                <w:rStyle w:val="VerbatimChar"/>
                <w:sz w:val="18"/>
              </w:rPr>
              <w:t xml:space="preserve">fraud</w:t>
            </w:r>
            <w:r>
              <w:rPr>
                <w:sz w:val="18"/>
              </w:rPr>
              <w:t xml:space="preserve"> </w:t>
            </w:r>
            <w:r>
              <w:rPr>
                <w:sz w:val="18"/>
              </w:rPr>
              <w:t xml:space="preserve">complaint category</w:t>
            </w:r>
          </w:p>
        </w:tc>
        <w:tc>
          <w:tcPr>
            <w:tcW w:w="3318" w:type="dxa"/>
          </w:tcPr>
          <w:p>
            <w:pPr>
              <w:pStyle w:val="Compact"/>
              <w:spacing w:after="40"/>
              <w:jc w:val="left"/>
            </w:pPr>
            <w:r>
              <w:rPr>
                <w:sz w:val="18"/>
              </w:rPr>
              <w:t xml:space="preserve">—</w:t>
            </w:r>
          </w:p>
        </w:tc>
      </w:tr>
    </w:tbl>
    <w:bookmarkEnd w:id="544"/>
    <w:bookmarkStart w:id="545" w:name="g.2.6-help"/>
    <w:p>
      <w:pPr>
        <w:pStyle w:val="Heading3"/>
      </w:pPr>
      <w:r>
        <w:t xml:space="preserve">G.2.6 Help</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18"/>
        <w:gridCol w:w="4722"/>
        <w:gridCol w:w="3398"/>
      </w:tblGrid>
      <w:tr>
        <w:trPr>
          <w:tblHeader w:val="true"/>
          <w:tblHeader w:val="true"/>
        </w:trPr>
        <w:tc>
          <w:tcPr>
            <w:tcW w:w="1518" w:type="dxa"/>
            <w:shd w:val="clear" w:color="auto" w:fill="1F3A5F"/>
          </w:tcPr>
          <w:p>
            <w:pPr>
              <w:pStyle w:val="Compact"/>
              <w:spacing w:after="40"/>
              <w:jc w:val="left"/>
            </w:pPr>
            <w:r>
              <w:rPr>
                <w:b/>
                <w:color w:val="FFFFFF"/>
                <w:sz w:val="18"/>
              </w:rPr>
              <w:t xml:space="preserve">Path</w:t>
            </w:r>
          </w:p>
        </w:tc>
        <w:tc>
          <w:tcPr>
            <w:tcW w:w="4722" w:type="dxa"/>
            <w:shd w:val="clear" w:color="auto" w:fill="1F3A5F"/>
          </w:tcPr>
          <w:p>
            <w:pPr>
              <w:pStyle w:val="Compact"/>
              <w:spacing w:after="40"/>
              <w:jc w:val="left"/>
            </w:pPr>
            <w:r>
              <w:rPr>
                <w:b/>
                <w:color w:val="FFFFFF"/>
                <w:sz w:val="18"/>
              </w:rPr>
              <w:t xml:space="preserve">Key content and actions</w:t>
            </w:r>
          </w:p>
        </w:tc>
        <w:tc>
          <w:tcPr>
            <w:tcW w:w="3398" w:type="dxa"/>
            <w:shd w:val="clear" w:color="auto" w:fill="1F3A5F"/>
          </w:tcPr>
          <w:p>
            <w:pPr>
              <w:pStyle w:val="Compact"/>
              <w:spacing w:after="40"/>
              <w:jc w:val="left"/>
            </w:pPr>
            <w:r>
              <w:rPr>
                <w:b/>
                <w:color w:val="FFFFFF"/>
                <w:sz w:val="18"/>
              </w:rPr>
              <w:t xml:space="preserve">States</w:t>
            </w:r>
          </w:p>
        </w:tc>
      </w:tr>
      <w:tr>
        <w:tc>
          <w:tcPr>
            <w:tcW w:w="1518" w:type="dxa"/>
          </w:tcPr>
          <w:p>
            <w:pPr>
              <w:pStyle w:val="Compact"/>
              <w:spacing w:after="40"/>
              <w:jc w:val="left"/>
            </w:pPr>
            <w:r>
              <w:rPr>
                <w:rStyle w:val="VerbatimChar"/>
                <w:sz w:val="18"/>
              </w:rPr>
              <w:t xml:space="preserve">Help</w:t>
            </w:r>
          </w:p>
        </w:tc>
        <w:tc>
          <w:tcPr>
            <w:tcW w:w="4722" w:type="dxa"/>
          </w:tcPr>
          <w:p>
            <w:pPr>
              <w:pStyle w:val="Compact"/>
              <w:spacing w:after="40"/>
              <w:jc w:val="left"/>
            </w:pPr>
            <w:r>
              <w:rPr>
                <w:sz w:val="18"/>
              </w:rPr>
              <w:t xml:space="preserve">Search, top articles for the borrower’s loans, AI assistant (disclosed;</w:t>
            </w:r>
            <w:r>
              <w:rPr>
                <w:sz w:val="18"/>
              </w:rPr>
              <w:t xml:space="preserve"> </w:t>
            </w:r>
            <w:r>
              <w:rPr>
                <w:bCs/>
                <w:b/>
                <w:sz w:val="18"/>
              </w:rPr>
              <w:t xml:space="preserve">Talk to a person</w:t>
            </w:r>
            <w:r>
              <w:rPr>
                <w:sz w:val="18"/>
              </w:rPr>
              <w:t xml:space="preserve">),</w:t>
            </w:r>
            <w:r>
              <w:rPr>
                <w:sz w:val="18"/>
              </w:rPr>
              <w:t xml:space="preserve"> </w:t>
            </w:r>
            <w:r>
              <w:rPr>
                <w:bCs/>
                <w:b/>
                <w:sz w:val="18"/>
              </w:rPr>
              <w:t xml:space="preserve">Raise a complaint</w:t>
            </w:r>
            <w:r>
              <w:rPr>
                <w:sz w:val="18"/>
              </w:rPr>
              <w:t xml:space="preserve"> </w:t>
            </w:r>
            <w:r>
              <w:rPr>
                <w:sz w:val="18"/>
              </w:rPr>
              <w:t xml:space="preserve">(always visible),</w:t>
            </w:r>
            <w:r>
              <w:rPr>
                <w:sz w:val="18"/>
              </w:rPr>
              <w:t xml:space="preserve"> </w:t>
            </w:r>
            <w:r>
              <w:rPr>
                <w:bCs/>
                <w:b/>
                <w:sz w:val="18"/>
              </w:rPr>
              <w:t xml:space="preserve">My complaints</w:t>
            </w:r>
            <w:r>
              <w:rPr>
                <w:sz w:val="18"/>
              </w:rPr>
              <w:t xml:space="preserve">,</w:t>
            </w:r>
            <w:r>
              <w:rPr>
                <w:sz w:val="18"/>
              </w:rPr>
              <w:t xml:space="preserve"> </w:t>
            </w:r>
            <w:r>
              <w:rPr>
                <w:bCs/>
                <w:b/>
                <w:sz w:val="18"/>
              </w:rPr>
              <w:t xml:space="preserve">Disputes and ADR</w:t>
            </w:r>
            <w:r>
              <w:rPr>
                <w:sz w:val="18"/>
              </w:rPr>
              <w:t xml:space="preserve">,</w:t>
            </w:r>
            <w:r>
              <w:rPr>
                <w:sz w:val="18"/>
              </w:rPr>
              <w:t xml:space="preserve"> </w:t>
            </w:r>
            <w:r>
              <w:rPr>
                <w:bCs/>
                <w:b/>
                <w:sz w:val="18"/>
              </w:rPr>
              <w:t xml:space="preserve">Verify an agent</w:t>
            </w:r>
            <w:r>
              <w:rPr>
                <w:sz w:val="18"/>
              </w:rPr>
              <w:t xml:space="preserve">,</w:t>
            </w:r>
            <w:r>
              <w:rPr>
                <w:sz w:val="18"/>
              </w:rPr>
              <w:t xml:space="preserve"> </w:t>
            </w:r>
            <w:r>
              <w:rPr>
                <w:bCs/>
                <w:b/>
                <w:sz w:val="18"/>
              </w:rPr>
              <w:t xml:space="preserve">Call me back</w:t>
            </w:r>
            <w:r>
              <w:rPr>
                <w:sz w:val="18"/>
              </w:rPr>
              <w:t xml:space="preserve">; GRO and nodal officer contacts</w:t>
            </w:r>
          </w:p>
        </w:tc>
        <w:tc>
          <w:tcPr>
            <w:tcW w:w="3398" w:type="dxa"/>
          </w:tcPr>
          <w:p>
            <w:pPr>
              <w:pStyle w:val="Compact"/>
              <w:spacing w:after="40"/>
              <w:jc w:val="left"/>
            </w:pPr>
            <w:r>
              <w:rPr>
                <w:sz w:val="18"/>
              </w:rPr>
              <w:t xml:space="preserve">Offline: cached articles; complaint drafts sent on reconnect</w:t>
            </w:r>
          </w:p>
        </w:tc>
      </w:tr>
      <w:tr>
        <w:tc>
          <w:tcPr>
            <w:tcW w:w="1518" w:type="dxa"/>
          </w:tcPr>
          <w:p>
            <w:pPr>
              <w:pStyle w:val="Compact"/>
              <w:spacing w:after="40"/>
              <w:jc w:val="left"/>
            </w:pPr>
            <w:r>
              <w:rPr>
                <w:rStyle w:val="VerbatimChar"/>
                <w:sz w:val="18"/>
              </w:rPr>
              <w:t xml:space="preserve">Help › Raise a complaint</w:t>
            </w:r>
          </w:p>
        </w:tc>
        <w:tc>
          <w:tcPr>
            <w:tcW w:w="4722" w:type="dxa"/>
          </w:tcPr>
          <w:p>
            <w:pPr>
              <w:pStyle w:val="Compact"/>
              <w:spacing w:after="40"/>
              <w:jc w:val="left"/>
            </w:pPr>
            <w:r>
              <w:rPr>
                <w:sz w:val="18"/>
              </w:rPr>
              <w:t xml:space="preserve">UB4 wizard: topic in plain words → loan or lender (pre-filled from the screen it was opened from) → describe (text or voice note) → attach (system picker) → contact preference and language → review → submit</w:t>
            </w:r>
          </w:p>
        </w:tc>
        <w:tc>
          <w:tcPr>
            <w:tcW w:w="3398" w:type="dxa"/>
          </w:tcPr>
          <w:p>
            <w:pPr>
              <w:pStyle w:val="Compact"/>
              <w:spacing w:after="40"/>
              <w:jc w:val="left"/>
            </w:pPr>
            <w:r>
              <w:rPr>
                <w:sz w:val="18"/>
              </w:rPr>
              <w:t xml:space="preserve">Inline validation (bank or UPI details for credit-information complaints); never blocked by article or bot-turn minimums</w:t>
            </w:r>
          </w:p>
        </w:tc>
      </w:tr>
      <w:tr>
        <w:tc>
          <w:tcPr>
            <w:tcW w:w="1518" w:type="dxa"/>
          </w:tcPr>
          <w:p>
            <w:pPr>
              <w:pStyle w:val="Compact"/>
              <w:spacing w:after="40"/>
              <w:jc w:val="left"/>
            </w:pPr>
            <w:r>
              <w:rPr>
                <w:rStyle w:val="VerbatimChar"/>
                <w:sz w:val="18"/>
              </w:rPr>
              <w:t xml:space="preserve">Help › My complaints</w:t>
            </w:r>
          </w:p>
        </w:tc>
        <w:tc>
          <w:tcPr>
            <w:tcW w:w="4722" w:type="dxa"/>
          </w:tcPr>
          <w:p>
            <w:pPr>
              <w:pStyle w:val="Compact"/>
              <w:spacing w:after="40"/>
              <w:jc w:val="left"/>
            </w:pPr>
            <w:r>
              <w:rPr>
                <w:sz w:val="18"/>
              </w:rPr>
              <w:t xml:space="preserve">List with owner, tier and next-option date; case page with timeline, clocks,</w:t>
            </w:r>
            <w:r>
              <w:rPr>
                <w:sz w:val="18"/>
              </w:rPr>
              <w:t xml:space="preserve"> </w:t>
            </w:r>
            <w:r>
              <w:rPr>
                <w:bCs/>
                <w:b/>
                <w:sz w:val="18"/>
              </w:rPr>
              <w:t xml:space="preserve">Reply</w:t>
            </w:r>
            <w:r>
              <w:rPr>
                <w:sz w:val="18"/>
              </w:rPr>
              <w:t xml:space="preserve">,</w:t>
            </w:r>
            <w:r>
              <w:rPr>
                <w:sz w:val="18"/>
              </w:rPr>
              <w:t xml:space="preserve"> </w:t>
            </w:r>
            <w:r>
              <w:rPr>
                <w:bCs/>
                <w:b/>
                <w:sz w:val="18"/>
              </w:rPr>
              <w:t xml:space="preserve">Escalate</w:t>
            </w:r>
            <w:r>
              <w:rPr>
                <w:sz w:val="18"/>
              </w:rPr>
              <w:t xml:space="preserve"> </w:t>
            </w:r>
            <w:r>
              <w:rPr>
                <w:sz w:val="18"/>
              </w:rPr>
              <w:t xml:space="preserve">(explain-why when disabled),</w:t>
            </w:r>
            <w:r>
              <w:rPr>
                <w:sz w:val="18"/>
              </w:rPr>
              <w:t xml:space="preserve"> </w:t>
            </w:r>
            <w:r>
              <w:rPr>
                <w:bCs/>
                <w:b/>
                <w:sz w:val="18"/>
              </w:rPr>
              <w:t xml:space="preserve">Download case pack</w:t>
            </w:r>
            <w:r>
              <w:rPr>
                <w:sz w:val="18"/>
              </w:rPr>
              <w:t xml:space="preserve">,</w:t>
            </w:r>
            <w:r>
              <w:rPr>
                <w:sz w:val="18"/>
              </w:rPr>
              <w:t xml:space="preserve"> </w:t>
            </w:r>
            <w:r>
              <w:rPr>
                <w:bCs/>
                <w:b/>
                <w:sz w:val="18"/>
              </w:rPr>
              <w:t xml:space="preserve">Reopen</w:t>
            </w:r>
            <w:r>
              <w:rPr>
                <w:sz w:val="18"/>
              </w:rPr>
              <w:t xml:space="preserve">,</w:t>
            </w:r>
            <w:r>
              <w:rPr>
                <w:sz w:val="18"/>
              </w:rPr>
              <w:t xml:space="preserve"> </w:t>
            </w:r>
            <w:r>
              <w:rPr>
                <w:bCs/>
                <w:b/>
                <w:sz w:val="18"/>
              </w:rPr>
              <w:t xml:space="preserve">Rate</w:t>
            </w:r>
            <w:r>
              <w:rPr>
                <w:sz w:val="18"/>
              </w:rPr>
              <w:t xml:space="preserve">,</w:t>
            </w:r>
            <w:r>
              <w:rPr>
                <w:sz w:val="18"/>
              </w:rPr>
              <w:t xml:space="preserve"> </w:t>
            </w:r>
            <w:r>
              <w:rPr>
                <w:bCs/>
                <w:b/>
                <w:sz w:val="18"/>
              </w:rPr>
              <w:t xml:space="preserve">Withdraw</w:t>
            </w:r>
            <w:r>
              <w:rPr>
                <w:sz w:val="18"/>
              </w:rPr>
              <w:t xml:space="preserve">,</w:t>
            </w:r>
            <w:r>
              <w:rPr>
                <w:sz w:val="18"/>
              </w:rPr>
              <w:t xml:space="preserve"> </w:t>
            </w:r>
            <w:r>
              <w:rPr>
                <w:bCs/>
                <w:b/>
                <w:sz w:val="18"/>
              </w:rPr>
              <w:t xml:space="preserve">Add representative</w:t>
            </w:r>
            <w:r>
              <w:rPr>
                <w:sz w:val="18"/>
              </w:rPr>
              <w:t xml:space="preserve">; external-route panel with the 90-day countdown</w:t>
            </w:r>
          </w:p>
        </w:tc>
        <w:tc>
          <w:tcPr>
            <w:tcW w:w="3398" w:type="dxa"/>
          </w:tcPr>
          <w:p>
            <w:pPr>
              <w:pStyle w:val="Compact"/>
              <w:spacing w:after="40"/>
              <w:jc w:val="left"/>
            </w:pPr>
            <w:r>
              <w:rPr>
                <w:sz w:val="18"/>
              </w:rPr>
              <w:t xml:space="preserve">Empty:</w:t>
            </w:r>
            <w:r>
              <w:rPr>
                <w:sz w:val="18"/>
              </w:rPr>
              <w:t xml:space="preserve"> </w:t>
            </w:r>
            <w:r>
              <w:rPr>
                <w:sz w:val="18"/>
              </w:rPr>
              <w:t xml:space="preserve">“</w:t>
            </w:r>
            <w:r>
              <w:rPr>
                <w:sz w:val="18"/>
              </w:rPr>
              <w:t xml:space="preserve">No complaints. If something is wrong, tell us here.</w:t>
            </w:r>
            <w:r>
              <w:rPr>
                <w:sz w:val="18"/>
              </w:rPr>
              <w:t xml:space="preserve">”</w:t>
            </w:r>
          </w:p>
        </w:tc>
      </w:tr>
      <w:tr>
        <w:tc>
          <w:tcPr>
            <w:tcW w:w="1518" w:type="dxa"/>
          </w:tcPr>
          <w:p>
            <w:pPr>
              <w:pStyle w:val="Compact"/>
              <w:spacing w:after="40"/>
              <w:jc w:val="left"/>
            </w:pPr>
            <w:r>
              <w:rPr>
                <w:rStyle w:val="VerbatimChar"/>
                <w:sz w:val="18"/>
              </w:rPr>
              <w:t xml:space="preserve">Help › Disputes and ADR</w:t>
            </w:r>
          </w:p>
        </w:tc>
        <w:tc>
          <w:tcPr>
            <w:tcW w:w="4722" w:type="dxa"/>
          </w:tcPr>
          <w:p>
            <w:pPr>
              <w:pStyle w:val="Compact"/>
              <w:spacing w:after="40"/>
              <w:jc w:val="left"/>
            </w:pPr>
            <w:r>
              <w:rPr>
                <w:sz w:val="18"/>
              </w:rPr>
              <w:t xml:space="preserve">UR2 view of RE-referred cases (track, basis, neutral, hearings, outcome); signed link into the provider’s flow;</w:t>
            </w:r>
            <w:r>
              <w:rPr>
                <w:sz w:val="18"/>
              </w:rPr>
              <w:t xml:space="preserve"> </w:t>
            </w:r>
            <w:r>
              <w:rPr>
                <w:bCs/>
                <w:b/>
                <w:sz w:val="18"/>
              </w:rPr>
              <w:t xml:space="preserve">Ask [RE name] for ADR</w:t>
            </w:r>
            <w:r>
              <w:rPr>
                <w:sz w:val="18"/>
              </w:rPr>
              <w:t xml:space="preserve"> </w:t>
            </w:r>
            <w:r>
              <w:rPr>
                <w:sz w:val="18"/>
              </w:rPr>
              <w:t xml:space="preserve">(</w:t>
            </w:r>
            <w:r>
              <w:rPr>
                <w:rStyle w:val="VerbatimChar"/>
                <w:sz w:val="18"/>
              </w:rPr>
              <w:t xml:space="preserve">GrievanceRaised</w:t>
            </w:r>
            <w:r>
              <w:rPr>
                <w:sz w:val="18"/>
              </w:rPr>
              <w:t xml:space="preserve">); CMS route on every screen</w:t>
            </w:r>
          </w:p>
        </w:tc>
        <w:tc>
          <w:tcPr>
            <w:tcW w:w="3398" w:type="dxa"/>
          </w:tcPr>
          <w:p>
            <w:pPr>
              <w:pStyle w:val="Compact"/>
              <w:spacing w:after="40"/>
              <w:jc w:val="left"/>
            </w:pPr>
            <w:r>
              <w:rPr>
                <w:sz w:val="18"/>
              </w:rPr>
              <w:t xml:space="preserve">No case: ADR starts only through the lender or with consent; holds hide actions</w:t>
            </w:r>
          </w:p>
        </w:tc>
      </w:tr>
      <w:tr>
        <w:tc>
          <w:tcPr>
            <w:tcW w:w="1518" w:type="dxa"/>
          </w:tcPr>
          <w:p>
            <w:pPr>
              <w:pStyle w:val="Compact"/>
              <w:spacing w:after="40"/>
              <w:jc w:val="left"/>
            </w:pPr>
            <w:r>
              <w:rPr>
                <w:rStyle w:val="VerbatimChar"/>
                <w:sz w:val="18"/>
              </w:rPr>
              <w:t xml:space="preserve">Help › Verify an agent</w:t>
            </w:r>
          </w:p>
        </w:tc>
        <w:tc>
          <w:tcPr>
            <w:tcW w:w="4722" w:type="dxa"/>
          </w:tcPr>
          <w:p>
            <w:pPr>
              <w:pStyle w:val="Compact"/>
              <w:spacing w:after="40"/>
              <w:jc w:val="left"/>
            </w:pPr>
            <w:r>
              <w:rPr>
                <w:sz w:val="18"/>
              </w:rPr>
              <w:t xml:space="preserve">Scan the QR on the agent’s ID or enter the ID; shows the RE’s authorisation status</w:t>
            </w:r>
          </w:p>
        </w:tc>
        <w:tc>
          <w:tcPr>
            <w:tcW w:w="3398" w:type="dxa"/>
          </w:tcPr>
          <w:p>
            <w:pPr>
              <w:pStyle w:val="Compact"/>
              <w:spacing w:after="40"/>
              <w:jc w:val="left"/>
            </w:pPr>
            <w:r>
              <w:rPr>
                <w:sz w:val="18"/>
              </w:rPr>
              <w:t xml:space="preserve">Not found:</w:t>
            </w:r>
            <w:r>
              <w:rPr>
                <w:sz w:val="18"/>
              </w:rPr>
              <w:t xml:space="preserve"> </w:t>
            </w:r>
            <w:r>
              <w:rPr>
                <w:sz w:val="18"/>
              </w:rPr>
              <w:t xml:space="preserve">“</w:t>
            </w:r>
            <w:r>
              <w:rPr>
                <w:sz w:val="18"/>
              </w:rPr>
              <w:t xml:space="preserve">Do not pay; report it</w:t>
            </w:r>
            <w:r>
              <w:rPr>
                <w:sz w:val="18"/>
              </w:rPr>
              <w:t xml:space="preserve">”</w:t>
            </w:r>
            <w:r>
              <w:rPr>
                <w:sz w:val="18"/>
              </w:rPr>
              <w:t xml:space="preserve"> </w:t>
            </w:r>
            <w:r>
              <w:rPr>
                <w:sz w:val="18"/>
              </w:rPr>
              <w:t xml:space="preserve">with recovery-conduct complaint</w:t>
            </w:r>
          </w:p>
        </w:tc>
      </w:tr>
      <w:tr>
        <w:tc>
          <w:tcPr>
            <w:tcW w:w="1518" w:type="dxa"/>
          </w:tcPr>
          <w:p>
            <w:pPr>
              <w:pStyle w:val="Compact"/>
              <w:spacing w:after="40"/>
              <w:jc w:val="left"/>
            </w:pPr>
            <w:r>
              <w:rPr>
                <w:rStyle w:val="VerbatimChar"/>
                <w:sz w:val="18"/>
              </w:rPr>
              <w:t xml:space="preserve">Help › Call me back</w:t>
            </w:r>
          </w:p>
        </w:tc>
        <w:tc>
          <w:tcPr>
            <w:tcW w:w="4722" w:type="dxa"/>
          </w:tcPr>
          <w:p>
            <w:pPr>
              <w:pStyle w:val="Compact"/>
              <w:spacing w:after="40"/>
              <w:jc w:val="left"/>
            </w:pPr>
            <w:r>
              <w:rPr>
                <w:sz w:val="18"/>
              </w:rPr>
              <w:t xml:space="preserve">Window within lawful hours and the borrower’s preference, language</w:t>
            </w:r>
          </w:p>
        </w:tc>
        <w:tc>
          <w:tcPr>
            <w:tcW w:w="3398" w:type="dxa"/>
          </w:tcPr>
          <w:p>
            <w:pPr>
              <w:pStyle w:val="Compact"/>
              <w:spacing w:after="40"/>
              <w:jc w:val="left"/>
            </w:pPr>
            <w:r>
              <w:rPr>
                <w:sz w:val="18"/>
              </w:rPr>
              <w:t xml:space="preserve">No slot today: next available</w:t>
            </w:r>
          </w:p>
        </w:tc>
      </w:tr>
    </w:tbl>
    <w:bookmarkEnd w:id="545"/>
    <w:bookmarkStart w:id="546" w:name="g.2.7-account"/>
    <w:p>
      <w:pPr>
        <w:pStyle w:val="Heading3"/>
      </w:pPr>
      <w:r>
        <w:t xml:space="preserve">G.2.7 Account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84"/>
        <w:gridCol w:w="5027"/>
        <w:gridCol w:w="3127"/>
      </w:tblGrid>
      <w:tr>
        <w:trPr>
          <w:tblHeader w:val="true"/>
          <w:tblHeader w:val="true"/>
        </w:trPr>
        <w:tc>
          <w:tcPr>
            <w:tcW w:w="1484" w:type="dxa"/>
            <w:shd w:val="clear" w:color="auto" w:fill="1F3A5F"/>
          </w:tcPr>
          <w:p>
            <w:pPr>
              <w:pStyle w:val="Compact"/>
              <w:spacing w:after="40"/>
              <w:jc w:val="left"/>
            </w:pPr>
            <w:r>
              <w:rPr>
                <w:b/>
                <w:color w:val="FFFFFF"/>
                <w:sz w:val="18"/>
              </w:rPr>
              <w:t xml:space="preserve">Path</w:t>
            </w:r>
          </w:p>
        </w:tc>
        <w:tc>
          <w:tcPr>
            <w:tcW w:w="5027" w:type="dxa"/>
            <w:shd w:val="clear" w:color="auto" w:fill="1F3A5F"/>
          </w:tcPr>
          <w:p>
            <w:pPr>
              <w:pStyle w:val="Compact"/>
              <w:spacing w:after="40"/>
              <w:jc w:val="left"/>
            </w:pPr>
            <w:r>
              <w:rPr>
                <w:b/>
                <w:color w:val="FFFFFF"/>
                <w:sz w:val="18"/>
              </w:rPr>
              <w:t xml:space="preserve">Key content and actions</w:t>
            </w:r>
          </w:p>
        </w:tc>
        <w:tc>
          <w:tcPr>
            <w:tcW w:w="3127" w:type="dxa"/>
            <w:shd w:val="clear" w:color="auto" w:fill="1F3A5F"/>
          </w:tcPr>
          <w:p>
            <w:pPr>
              <w:pStyle w:val="Compact"/>
              <w:spacing w:after="40"/>
              <w:jc w:val="left"/>
            </w:pPr>
            <w:r>
              <w:rPr>
                <w:b/>
                <w:color w:val="FFFFFF"/>
                <w:sz w:val="18"/>
              </w:rPr>
              <w:t xml:space="preserve">States</w:t>
            </w:r>
          </w:p>
        </w:tc>
      </w:tr>
      <w:tr>
        <w:tc>
          <w:tcPr>
            <w:tcW w:w="1484" w:type="dxa"/>
          </w:tcPr>
          <w:p>
            <w:pPr>
              <w:pStyle w:val="Compact"/>
              <w:spacing w:after="40"/>
              <w:jc w:val="left"/>
            </w:pPr>
            <w:r>
              <w:rPr>
                <w:rStyle w:val="VerbatimChar"/>
                <w:sz w:val="18"/>
              </w:rPr>
              <w:t xml:space="preserve">Account › Profile</w:t>
            </w:r>
          </w:p>
        </w:tc>
        <w:tc>
          <w:tcPr>
            <w:tcW w:w="5027" w:type="dxa"/>
          </w:tcPr>
          <w:p>
            <w:pPr>
              <w:pStyle w:val="Compact"/>
              <w:spacing w:after="40"/>
              <w:jc w:val="left"/>
            </w:pPr>
            <w:r>
              <w:rPr>
                <w:sz w:val="18"/>
              </w:rPr>
              <w:t xml:space="preserve">Name, contact details (change with step-up and alerts on all channels), bank accounts, nominee and representative records, business details for entity accounts (authorised signatories), account closure</w:t>
            </w:r>
          </w:p>
        </w:tc>
        <w:tc>
          <w:tcPr>
            <w:tcW w:w="3127" w:type="dxa"/>
          </w:tcPr>
          <w:p>
            <w:pPr>
              <w:pStyle w:val="Compact"/>
              <w:spacing w:after="40"/>
              <w:jc w:val="left"/>
            </w:pPr>
            <w:r>
              <w:rPr>
                <w:sz w:val="18"/>
              </w:rPr>
              <w:t xml:space="preserve">Pending change:</w:t>
            </w:r>
            <w:r>
              <w:rPr>
                <w:sz w:val="18"/>
              </w:rPr>
              <w:t xml:space="preserve"> </w:t>
            </w:r>
            <w:r>
              <w:rPr>
                <w:sz w:val="18"/>
              </w:rPr>
              <w:t xml:space="preserve">“</w:t>
            </w:r>
            <w:r>
              <w:rPr>
                <w:sz w:val="18"/>
              </w:rPr>
              <w:t xml:space="preserve">verifying</w:t>
            </w:r>
            <w:r>
              <w:rPr>
                <w:sz w:val="18"/>
              </w:rPr>
              <w:t xml:space="preserve">”</w:t>
            </w:r>
            <w:r>
              <w:rPr>
                <w:sz w:val="18"/>
              </w:rPr>
              <w:t xml:space="preserve"> </w:t>
            </w:r>
            <w:r>
              <w:rPr>
                <w:sz w:val="18"/>
              </w:rPr>
              <w:t xml:space="preserve">with the reason</w:t>
            </w:r>
          </w:p>
        </w:tc>
      </w:tr>
      <w:tr>
        <w:tc>
          <w:tcPr>
            <w:tcW w:w="1484" w:type="dxa"/>
          </w:tcPr>
          <w:p>
            <w:pPr>
              <w:pStyle w:val="Compact"/>
              <w:spacing w:after="40"/>
              <w:jc w:val="left"/>
            </w:pPr>
            <w:r>
              <w:rPr>
                <w:rStyle w:val="VerbatimChar"/>
                <w:sz w:val="18"/>
              </w:rPr>
              <w:t xml:space="preserve">Account › Documents and data</w:t>
            </w:r>
          </w:p>
        </w:tc>
        <w:tc>
          <w:tcPr>
            <w:tcW w:w="5027" w:type="dxa"/>
          </w:tcPr>
          <w:p>
            <w:pPr>
              <w:pStyle w:val="Compact"/>
              <w:spacing w:after="40"/>
              <w:jc w:val="left"/>
            </w:pPr>
            <w:r>
              <w:rPr>
                <w:sz w:val="18"/>
              </w:rPr>
              <w:t xml:space="preserve">UB1 tabs</w:t>
            </w:r>
            <w:r>
              <w:rPr>
                <w:sz w:val="18"/>
              </w:rPr>
              <w:t xml:space="preserve"> </w:t>
            </w:r>
            <w:r>
              <w:rPr>
                <w:bCs/>
                <w:b/>
                <w:sz w:val="18"/>
              </w:rPr>
              <w:t xml:space="preserve">By loan</w:t>
            </w:r>
            <w:r>
              <w:rPr>
                <w:sz w:val="18"/>
              </w:rPr>
              <w:t xml:space="preserve">,</w:t>
            </w:r>
            <w:r>
              <w:rPr>
                <w:sz w:val="18"/>
              </w:rPr>
              <w:t xml:space="preserve"> </w:t>
            </w:r>
            <w:r>
              <w:rPr>
                <w:bCs/>
                <w:b/>
                <w:sz w:val="18"/>
              </w:rPr>
              <w:t xml:space="preserve">By type</w:t>
            </w:r>
            <w:r>
              <w:rPr>
                <w:sz w:val="18"/>
              </w:rPr>
              <w:t xml:space="preserve">,</w:t>
            </w:r>
            <w:r>
              <w:rPr>
                <w:sz w:val="18"/>
              </w:rPr>
              <w:t xml:space="preserve"> </w:t>
            </w:r>
            <w:r>
              <w:rPr>
                <w:bCs/>
                <w:b/>
                <w:sz w:val="18"/>
              </w:rPr>
              <w:t xml:space="preserve">Tax documents</w:t>
            </w:r>
            <w:r>
              <w:rPr>
                <w:sz w:val="18"/>
              </w:rPr>
              <w:t xml:space="preserve"> </w:t>
            </w:r>
            <w:r>
              <w:rPr>
                <w:sz w:val="18"/>
              </w:rPr>
              <w:t xml:space="preserve">(UB2 by tax year with Act variant and regime notice;</w:t>
            </w:r>
            <w:r>
              <w:rPr>
                <w:sz w:val="18"/>
              </w:rPr>
              <w:t xml:space="preserve"> </w:t>
            </w:r>
            <w:r>
              <w:rPr>
                <w:bCs/>
                <w:b/>
                <w:sz w:val="18"/>
              </w:rPr>
              <w:t xml:space="preserve">Business details</w:t>
            </w:r>
            <w:r>
              <w:rPr>
                <w:sz w:val="18"/>
              </w:rPr>
              <w:t xml:space="preserve"> </w:t>
            </w:r>
            <w:r>
              <w:rPr>
                <w:sz w:val="18"/>
              </w:rPr>
              <w:t xml:space="preserve">with GSTIN check and</w:t>
            </w:r>
            <w:r>
              <w:rPr>
                <w:sz w:val="18"/>
              </w:rPr>
              <w:t xml:space="preserve"> </w:t>
            </w:r>
            <w:r>
              <w:rPr>
                <w:bCs/>
                <w:b/>
                <w:sz w:val="18"/>
              </w:rPr>
              <w:t xml:space="preserve">Upload Form 131</w:t>
            </w:r>
            <w:r>
              <w:rPr>
                <w:sz w:val="18"/>
              </w:rPr>
              <w:t xml:space="preserve">),</w:t>
            </w:r>
            <w:r>
              <w:rPr>
                <w:sz w:val="18"/>
              </w:rPr>
              <w:t xml:space="preserve"> </w:t>
            </w:r>
            <w:r>
              <w:rPr>
                <w:bCs/>
                <w:b/>
                <w:sz w:val="18"/>
              </w:rPr>
              <w:t xml:space="preserve">My data</w:t>
            </w:r>
            <w:r>
              <w:rPr>
                <w:sz w:val="18"/>
              </w:rPr>
              <w:t xml:space="preserve"> </w:t>
            </w:r>
            <w:r>
              <w:rPr>
                <w:sz w:val="18"/>
              </w:rPr>
              <w:t xml:space="preserve">(what we hold and who received it, correction and erasure with clocks,</w:t>
            </w:r>
            <w:r>
              <w:rPr>
                <w:sz w:val="18"/>
              </w:rPr>
              <w:t xml:space="preserve"> </w:t>
            </w:r>
            <w:r>
              <w:rPr>
                <w:bCs/>
                <w:b/>
                <w:sz w:val="18"/>
              </w:rPr>
              <w:t xml:space="preserve">Download my data</w:t>
            </w:r>
            <w:r>
              <w:rPr>
                <w:sz w:val="18"/>
              </w:rPr>
              <w:t xml:space="preserve">,</w:t>
            </w:r>
            <w:r>
              <w:rPr>
                <w:sz w:val="18"/>
              </w:rPr>
              <w:t xml:space="preserve"> </w:t>
            </w:r>
            <w:r>
              <w:rPr>
                <w:bCs/>
                <w:b/>
                <w:sz w:val="18"/>
              </w:rPr>
              <w:t xml:space="preserve">Consents and privacy</w:t>
            </w:r>
            <w:r>
              <w:rPr>
                <w:sz w:val="18"/>
              </w:rPr>
              <w:t xml:space="preserve"> </w:t>
            </w:r>
            <w:r>
              <w:rPr>
                <w:sz w:val="18"/>
              </w:rPr>
              <w:t xml:space="preserve">with</w:t>
            </w:r>
            <w:r>
              <w:rPr>
                <w:sz w:val="18"/>
              </w:rPr>
              <w:t xml:space="preserve"> </w:t>
            </w:r>
            <w:r>
              <w:rPr>
                <w:bCs/>
                <w:b/>
                <w:sz w:val="18"/>
              </w:rPr>
              <w:t xml:space="preserve">Withdraw</w:t>
            </w:r>
            <w:r>
              <w:rPr>
                <w:sz w:val="18"/>
              </w:rPr>
              <w:t xml:space="preserve"> </w:t>
            </w:r>
            <w:r>
              <w:rPr>
                <w:sz w:val="18"/>
              </w:rPr>
              <w:t xml:space="preserve">per artefact)</w:t>
            </w:r>
          </w:p>
        </w:tc>
        <w:tc>
          <w:tcPr>
            <w:tcW w:w="3127" w:type="dxa"/>
          </w:tcPr>
          <w:p>
            <w:pPr>
              <w:pStyle w:val="Compact"/>
              <w:spacing w:after="40"/>
              <w:jc w:val="left"/>
            </w:pPr>
            <w:r>
              <w:rPr>
                <w:sz w:val="18"/>
              </w:rPr>
              <w:t xml:space="preserve">Empty:</w:t>
            </w:r>
            <w:r>
              <w:rPr>
                <w:sz w:val="18"/>
              </w:rPr>
              <w:t xml:space="preserve"> </w:t>
            </w:r>
            <w:r>
              <w:rPr>
                <w:sz w:val="18"/>
              </w:rPr>
              <w:t xml:space="preserve">“</w:t>
            </w:r>
            <w:r>
              <w:rPr>
                <w:sz w:val="18"/>
              </w:rPr>
              <w:t xml:space="preserve">They appear when [RE name] issues them</w:t>
            </w:r>
            <w:r>
              <w:rPr>
                <w:sz w:val="18"/>
              </w:rPr>
              <w:t xml:space="preserve">”</w:t>
            </w:r>
            <w:r>
              <w:rPr>
                <w:sz w:val="18"/>
              </w:rPr>
              <w:t xml:space="preserve">; export limit: next date</w:t>
            </w:r>
          </w:p>
        </w:tc>
      </w:tr>
      <w:tr>
        <w:tc>
          <w:tcPr>
            <w:tcW w:w="1484" w:type="dxa"/>
          </w:tcPr>
          <w:p>
            <w:pPr>
              <w:pStyle w:val="Compact"/>
              <w:spacing w:after="40"/>
              <w:jc w:val="left"/>
            </w:pPr>
            <w:r>
              <w:rPr>
                <w:rStyle w:val="VerbatimChar"/>
                <w:sz w:val="18"/>
              </w:rPr>
              <w:t xml:space="preserve">Account › Plans and billing</w:t>
            </w:r>
          </w:p>
        </w:tc>
        <w:tc>
          <w:tcPr>
            <w:tcW w:w="5027" w:type="dxa"/>
          </w:tcPr>
          <w:p>
            <w:pPr>
              <w:pStyle w:val="Compact"/>
              <w:spacing w:after="40"/>
              <w:jc w:val="left"/>
            </w:pPr>
            <w:r>
              <w:rPr>
                <w:sz w:val="18"/>
              </w:rPr>
              <w:t xml:space="preserve">RV2.3 plans (Free first), current plan, change with preview, cancel in one tap, invoices and credit notes, payment method, refund request; the fixed statements</w:t>
            </w:r>
          </w:p>
        </w:tc>
        <w:tc>
          <w:tcPr>
            <w:tcW w:w="3127" w:type="dxa"/>
          </w:tcPr>
          <w:p>
            <w:pPr>
              <w:pStyle w:val="Compact"/>
              <w:spacing w:after="40"/>
              <w:jc w:val="left"/>
            </w:pPr>
            <w:r>
              <w:rPr>
                <w:sz w:val="18"/>
              </w:rPr>
              <w:t xml:space="preserve">Absent while stream S09 is not</w:t>
            </w:r>
            <w:r>
              <w:rPr>
                <w:sz w:val="18"/>
              </w:rPr>
              <w:t xml:space="preserve"> </w:t>
            </w:r>
            <w:r>
              <w:rPr>
                <w:rStyle w:val="VerbatimChar"/>
                <w:sz w:val="18"/>
              </w:rPr>
              <w:t xml:space="preserve">ACTIVE</w:t>
            </w:r>
            <w:r>
              <w:rPr>
                <w:sz w:val="18"/>
              </w:rPr>
              <w:t xml:space="preserve">; failed payment: plan unchanged, next steps</w:t>
            </w:r>
          </w:p>
        </w:tc>
      </w:tr>
      <w:tr>
        <w:tc>
          <w:tcPr>
            <w:tcW w:w="1484" w:type="dxa"/>
          </w:tcPr>
          <w:p>
            <w:pPr>
              <w:pStyle w:val="Compact"/>
              <w:spacing w:after="40"/>
              <w:jc w:val="left"/>
            </w:pPr>
            <w:r>
              <w:rPr>
                <w:rStyle w:val="VerbatimChar"/>
                <w:sz w:val="18"/>
              </w:rPr>
              <w:t xml:space="preserve">Account › Money tools</w:t>
            </w:r>
          </w:p>
        </w:tc>
        <w:tc>
          <w:tcPr>
            <w:tcW w:w="5027" w:type="dxa"/>
          </w:tcPr>
          <w:p>
            <w:pPr>
              <w:pStyle w:val="Compact"/>
              <w:spacing w:after="40"/>
              <w:jc w:val="left"/>
            </w:pPr>
            <w:r>
              <w:rPr>
                <w:sz w:val="18"/>
              </w:rPr>
              <w:t xml:space="preserve">FW landing (status per tool,</w:t>
            </w:r>
            <w:r>
              <w:rPr>
                <w:sz w:val="18"/>
              </w:rPr>
              <w:t xml:space="preserve"> </w:t>
            </w:r>
            <w:r>
              <w:rPr>
                <w:bCs/>
                <w:b/>
                <w:sz w:val="18"/>
              </w:rPr>
              <w:t xml:space="preserve">Start</w:t>
            </w:r>
            <w:r>
              <w:rPr>
                <w:sz w:val="18"/>
              </w:rPr>
              <w:t xml:space="preserve"> </w:t>
            </w:r>
            <w:r>
              <w:rPr>
                <w:sz w:val="18"/>
              </w:rPr>
              <w:t xml:space="preserve">or</w:t>
            </w:r>
            <w:r>
              <w:rPr>
                <w:sz w:val="18"/>
              </w:rPr>
              <w:t xml:space="preserve"> </w:t>
            </w:r>
            <w:r>
              <w:rPr>
                <w:bCs/>
                <w:b/>
                <w:sz w:val="18"/>
              </w:rPr>
              <w:t xml:space="preserve">Open</w:t>
            </w:r>
            <w:r>
              <w:rPr>
                <w:sz w:val="18"/>
              </w:rPr>
              <w:t xml:space="preserve">),</w:t>
            </w:r>
            <w:r>
              <w:rPr>
                <w:sz w:val="18"/>
              </w:rPr>
              <w:t xml:space="preserve"> </w:t>
            </w:r>
            <w:r>
              <w:rPr>
                <w:rStyle w:val="VerbatimChar"/>
                <w:sz w:val="18"/>
              </w:rPr>
              <w:t xml:space="preserve">› Credit health</w:t>
            </w:r>
            <w:r>
              <w:rPr>
                <w:sz w:val="18"/>
              </w:rPr>
              <w:t xml:space="preserve"> </w:t>
            </w:r>
            <w:r>
              <w:rPr>
                <w:sz w:val="18"/>
              </w:rPr>
              <w:t xml:space="preserve">(FW1),</w:t>
            </w:r>
            <w:r>
              <w:rPr>
                <w:sz w:val="18"/>
              </w:rPr>
              <w:t xml:space="preserve"> </w:t>
            </w:r>
            <w:r>
              <w:rPr>
                <w:rStyle w:val="VerbatimChar"/>
                <w:sz w:val="18"/>
              </w:rPr>
              <w:t xml:space="preserve">› Score simulator</w:t>
            </w:r>
            <w:r>
              <w:rPr>
                <w:sz w:val="18"/>
              </w:rPr>
              <w:t xml:space="preserve"> </w:t>
            </w:r>
            <w:r>
              <w:rPr>
                <w:sz w:val="18"/>
              </w:rPr>
              <w:t xml:space="preserve">(FW2),</w:t>
            </w:r>
            <w:r>
              <w:rPr>
                <w:sz w:val="18"/>
              </w:rPr>
              <w:t xml:space="preserve"> </w:t>
            </w:r>
            <w:r>
              <w:rPr>
                <w:rStyle w:val="VerbatimChar"/>
                <w:sz w:val="18"/>
              </w:rPr>
              <w:t xml:space="preserve">› Expenses and budgets</w:t>
            </w:r>
            <w:r>
              <w:rPr>
                <w:sz w:val="18"/>
              </w:rPr>
              <w:t xml:space="preserve"> </w:t>
            </w:r>
            <w:r>
              <w:rPr>
                <w:sz w:val="18"/>
              </w:rPr>
              <w:t xml:space="preserve">(FW3),</w:t>
            </w:r>
            <w:r>
              <w:rPr>
                <w:sz w:val="18"/>
              </w:rPr>
              <w:t xml:space="preserve"> </w:t>
            </w:r>
            <w:r>
              <w:rPr>
                <w:rStyle w:val="VerbatimChar"/>
                <w:sz w:val="18"/>
              </w:rPr>
              <w:t xml:space="preserve">› Privacy and data</w:t>
            </w:r>
            <w:r>
              <w:rPr>
                <w:sz w:val="18"/>
              </w:rPr>
              <w:t xml:space="preserve"> </w:t>
            </w:r>
            <w:r>
              <w:rPr>
                <w:sz w:val="18"/>
              </w:rPr>
              <w:t xml:space="preserve">(consents per tool, wellness export,</w:t>
            </w:r>
            <w:r>
              <w:rPr>
                <w:sz w:val="18"/>
              </w:rPr>
              <w:t xml:space="preserve"> </w:t>
            </w:r>
            <w:r>
              <w:rPr>
                <w:bCs/>
                <w:b/>
                <w:sz w:val="18"/>
              </w:rPr>
              <w:t xml:space="preserve">Delete all</w:t>
            </w:r>
            <w:r>
              <w:rPr>
                <w:sz w:val="18"/>
              </w:rPr>
              <w:t xml:space="preserve">)</w:t>
            </w:r>
          </w:p>
        </w:tc>
        <w:tc>
          <w:tcPr>
            <w:tcW w:w="3127" w:type="dxa"/>
          </w:tcPr>
          <w:p>
            <w:pPr>
              <w:pStyle w:val="Compact"/>
              <w:spacing w:after="40"/>
              <w:jc w:val="left"/>
            </w:pPr>
            <w:r>
              <w:rPr>
                <w:sz w:val="18"/>
              </w:rPr>
              <w:t xml:space="preserve">Absent until</w:t>
            </w:r>
            <w:r>
              <w:rPr>
                <w:sz w:val="18"/>
              </w:rPr>
              <w:t xml:space="preserve"> </w:t>
            </w:r>
            <w:r>
              <w:rPr>
                <w:rStyle w:val="VerbatimChar"/>
                <w:sz w:val="18"/>
              </w:rPr>
              <w:t xml:space="preserve">addons.wellness</w:t>
            </w:r>
            <w:r>
              <w:rPr>
                <w:sz w:val="18"/>
              </w:rPr>
              <w:t xml:space="preserve"> </w:t>
            </w:r>
            <w:r>
              <w:rPr>
                <w:sz w:val="18"/>
              </w:rPr>
              <w:t xml:space="preserve">is on (FW4 G1, G2, G5; FW1–FW2 also G3);</w:t>
            </w:r>
            <w:r>
              <w:rPr>
                <w:sz w:val="18"/>
              </w:rPr>
              <w:t xml:space="preserve"> </w:t>
            </w:r>
            <w:r>
              <w:rPr>
                <w:rStyle w:val="VerbatimChar"/>
                <w:sz w:val="18"/>
              </w:rPr>
              <w:t xml:space="preserve">NO_HIT</w:t>
            </w:r>
            <w:r>
              <w:rPr>
                <w:sz w:val="18"/>
              </w:rPr>
              <w:t xml:space="preserve">: neutral education; never a loan call-to-action</w:t>
            </w:r>
          </w:p>
        </w:tc>
      </w:tr>
      <w:tr>
        <w:tc>
          <w:tcPr>
            <w:tcW w:w="1484" w:type="dxa"/>
          </w:tcPr>
          <w:p>
            <w:pPr>
              <w:pStyle w:val="Compact"/>
              <w:spacing w:after="40"/>
              <w:jc w:val="left"/>
            </w:pPr>
            <w:r>
              <w:rPr>
                <w:rStyle w:val="VerbatimChar"/>
                <w:sz w:val="18"/>
              </w:rPr>
              <w:t xml:space="preserve">Account › Protect</w:t>
            </w:r>
          </w:p>
        </w:tc>
        <w:tc>
          <w:tcPr>
            <w:tcW w:w="5027" w:type="dxa"/>
          </w:tcPr>
          <w:p>
            <w:pPr>
              <w:pStyle w:val="Compact"/>
              <w:spacing w:after="40"/>
              <w:jc w:val="left"/>
            </w:pPr>
            <w:r>
              <w:rPr>
                <w:rStyle w:val="VerbatimChar"/>
                <w:sz w:val="18"/>
              </w:rPr>
              <w:t xml:space="preserve">› Quotes</w:t>
            </w:r>
            <w:r>
              <w:rPr>
                <w:sz w:val="18"/>
              </w:rPr>
              <w:t xml:space="preserve">,</w:t>
            </w:r>
            <w:r>
              <w:rPr>
                <w:sz w:val="18"/>
              </w:rPr>
              <w:t xml:space="preserve"> </w:t>
            </w:r>
            <w:r>
              <w:rPr>
                <w:rStyle w:val="VerbatimChar"/>
                <w:sz w:val="18"/>
              </w:rPr>
              <w:t xml:space="preserve">› My policies</w:t>
            </w:r>
            <w:r>
              <w:rPr>
                <w:sz w:val="18"/>
              </w:rPr>
              <w:t xml:space="preserve">,</w:t>
            </w:r>
            <w:r>
              <w:rPr>
                <w:sz w:val="18"/>
              </w:rPr>
              <w:t xml:space="preserve"> </w:t>
            </w:r>
            <w:r>
              <w:rPr>
                <w:rStyle w:val="VerbatimChar"/>
                <w:sz w:val="18"/>
              </w:rPr>
              <w:t xml:space="preserve">› Claims help</w:t>
            </w:r>
            <w:r>
              <w:rPr>
                <w:sz w:val="18"/>
              </w:rPr>
              <w:t xml:space="preserve">,</w:t>
            </w:r>
            <w:r>
              <w:rPr>
                <w:sz w:val="18"/>
              </w:rPr>
              <w:t xml:space="preserve"> </w:t>
            </w:r>
            <w:r>
              <w:rPr>
                <w:rStyle w:val="VerbatimChar"/>
                <w:sz w:val="18"/>
              </w:rPr>
              <w:t xml:space="preserve">› Complaints</w:t>
            </w:r>
            <w:r>
              <w:rPr>
                <w:sz w:val="18"/>
              </w:rPr>
              <w:t xml:space="preserve"> </w:t>
            </w:r>
            <w:r>
              <w:rPr>
                <w:sz w:val="18"/>
              </w:rPr>
              <w:t xml:space="preserve">(XP2)</w:t>
            </w:r>
          </w:p>
        </w:tc>
        <w:tc>
          <w:tcPr>
            <w:tcW w:w="3127" w:type="dxa"/>
          </w:tcPr>
          <w:p>
            <w:pPr>
              <w:pStyle w:val="Compact"/>
              <w:spacing w:after="40"/>
              <w:jc w:val="left"/>
            </w:pPr>
            <w:r>
              <w:rPr>
                <w:sz w:val="18"/>
              </w:rPr>
              <w:t xml:space="preserve">Absent until an insurance module is</w:t>
            </w:r>
            <w:r>
              <w:rPr>
                <w:sz w:val="18"/>
              </w:rPr>
              <w:t xml:space="preserve"> </w:t>
            </w:r>
            <w:r>
              <w:rPr>
                <w:rStyle w:val="VerbatimChar"/>
                <w:sz w:val="18"/>
              </w:rPr>
              <w:t xml:space="preserve">ENABLED</w:t>
            </w:r>
            <w:r>
              <w:rPr>
                <w:sz w:val="18"/>
              </w:rPr>
              <w:t xml:space="preserve"> </w:t>
            </w:r>
            <w:r>
              <w:rPr>
                <w:sz w:val="18"/>
              </w:rPr>
              <w:t xml:space="preserve">through the XP1 gate; never during cooling-off prompts or suppression (XP4)</w:t>
            </w:r>
          </w:p>
        </w:tc>
      </w:tr>
      <w:tr>
        <w:tc>
          <w:tcPr>
            <w:tcW w:w="1484" w:type="dxa"/>
          </w:tcPr>
          <w:p>
            <w:pPr>
              <w:pStyle w:val="Compact"/>
              <w:spacing w:after="40"/>
              <w:jc w:val="left"/>
            </w:pPr>
            <w:r>
              <w:rPr>
                <w:rStyle w:val="VerbatimChar"/>
                <w:sz w:val="18"/>
              </w:rPr>
              <w:t xml:space="preserve">Account › Settings</w:t>
            </w:r>
          </w:p>
        </w:tc>
        <w:tc>
          <w:tcPr>
            <w:tcW w:w="5027" w:type="dxa"/>
          </w:tcPr>
          <w:p>
            <w:pPr>
              <w:pStyle w:val="Compact"/>
              <w:spacing w:after="40"/>
              <w:jc w:val="left"/>
            </w:pPr>
            <w:r>
              <w:rPr>
                <w:rStyle w:val="VerbatimChar"/>
                <w:sz w:val="18"/>
              </w:rPr>
              <w:t xml:space="preserve">› Notifications and marketing</w:t>
            </w:r>
            <w:r>
              <w:rPr>
                <w:sz w:val="18"/>
              </w:rPr>
              <w:t xml:space="preserve"> </w:t>
            </w:r>
            <w:r>
              <w:rPr>
                <w:sz w:val="18"/>
              </w:rPr>
              <w:t xml:space="preserve">(marketing per channel, all off),</w:t>
            </w:r>
            <w:r>
              <w:rPr>
                <w:sz w:val="18"/>
              </w:rPr>
              <w:t xml:space="preserve"> </w:t>
            </w:r>
            <w:r>
              <w:rPr>
                <w:rStyle w:val="VerbatimChar"/>
                <w:sz w:val="18"/>
              </w:rPr>
              <w:t xml:space="preserve">› Ads and interests</w:t>
            </w:r>
            <w:r>
              <w:rPr>
                <w:sz w:val="18"/>
              </w:rPr>
              <w:t xml:space="preserve"> </w:t>
            </w:r>
            <w:r>
              <w:rPr>
                <w:sz w:val="18"/>
              </w:rPr>
              <w:t xml:space="preserve">(all off; RV4),</w:t>
            </w:r>
            <w:r>
              <w:rPr>
                <w:sz w:val="18"/>
              </w:rPr>
              <w:t xml:space="preserve"> </w:t>
            </w:r>
            <w:r>
              <w:rPr>
                <w:rStyle w:val="VerbatimChar"/>
                <w:sz w:val="18"/>
              </w:rPr>
              <w:t xml:space="preserve">› Contact preferences</w:t>
            </w:r>
            <w:r>
              <w:rPr>
                <w:sz w:val="18"/>
              </w:rPr>
              <w:t xml:space="preserve"> </w:t>
            </w:r>
            <w:r>
              <w:rPr>
                <w:sz w:val="18"/>
              </w:rPr>
              <w:t xml:space="preserve">(window, language, channel, recording objection; RA5),</w:t>
            </w:r>
            <w:r>
              <w:rPr>
                <w:sz w:val="18"/>
              </w:rPr>
              <w:t xml:space="preserve"> </w:t>
            </w:r>
            <w:r>
              <w:rPr>
                <w:rStyle w:val="VerbatimChar"/>
                <w:sz w:val="18"/>
              </w:rPr>
              <w:t xml:space="preserve">› Language</w:t>
            </w:r>
            <w:r>
              <w:rPr>
                <w:sz w:val="18"/>
              </w:rPr>
              <w:t xml:space="preserve"> </w:t>
            </w:r>
            <w:r>
              <w:rPr>
                <w:sz w:val="18"/>
              </w:rPr>
              <w:t xml:space="preserve">(app, KFS and communication language passed to the RE),</w:t>
            </w:r>
            <w:r>
              <w:rPr>
                <w:sz w:val="18"/>
              </w:rPr>
              <w:t xml:space="preserve"> </w:t>
            </w:r>
            <w:r>
              <w:rPr>
                <w:rStyle w:val="VerbatimChar"/>
                <w:sz w:val="18"/>
              </w:rPr>
              <w:t xml:space="preserve">› Security</w:t>
            </w:r>
            <w:r>
              <w:rPr>
                <w:sz w:val="18"/>
              </w:rPr>
              <w:t xml:space="preserve"> </w:t>
            </w:r>
            <w:r>
              <w:rPr>
                <w:sz w:val="18"/>
              </w:rPr>
              <w:t xml:space="preserve">(devices with</w:t>
            </w:r>
            <w:r>
              <w:rPr>
                <w:sz w:val="18"/>
              </w:rPr>
              <w:t xml:space="preserve"> </w:t>
            </w:r>
            <w:r>
              <w:rPr>
                <w:bCs/>
                <w:b/>
                <w:sz w:val="18"/>
              </w:rPr>
              <w:t xml:space="preserve">Remove</w:t>
            </w:r>
            <w:r>
              <w:rPr>
                <w:sz w:val="18"/>
              </w:rPr>
              <w:t xml:space="preserve">, passkeys, biometric or PIN unlock, sessions)</w:t>
            </w:r>
          </w:p>
        </w:tc>
        <w:tc>
          <w:tcPr>
            <w:tcW w:w="3127" w:type="dxa"/>
          </w:tcPr>
          <w:p>
            <w:pPr>
              <w:pStyle w:val="Compact"/>
              <w:spacing w:after="40"/>
              <w:jc w:val="left"/>
            </w:pPr>
            <w:r>
              <w:rPr>
                <w:sz w:val="18"/>
              </w:rPr>
              <w:t xml:space="preserve">Service and security alerts cannot be switched off</w:t>
            </w:r>
          </w:p>
        </w:tc>
      </w:tr>
    </w:tbl>
    <w:bookmarkEnd w:id="546"/>
    <w:bookmarkStart w:id="547" w:name="g.2.8-standard-states-all-borrower-areas"/>
    <w:p>
      <w:pPr>
        <w:pStyle w:val="Heading3"/>
      </w:pPr>
      <w:r>
        <w:t xml:space="preserve">G.2.8 Standard states (all borrower areas)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37"/>
        <w:gridCol w:w="7201"/>
      </w:tblGrid>
      <w:tr>
        <w:trPr>
          <w:tblHeader w:val="true"/>
          <w:tblHeader w:val="true"/>
        </w:trPr>
        <w:tc>
          <w:tcPr>
            <w:tcW w:w="2437" w:type="dxa"/>
            <w:shd w:val="clear" w:color="auto" w:fill="1F3A5F"/>
          </w:tcPr>
          <w:p>
            <w:pPr>
              <w:pStyle w:val="Compact"/>
              <w:spacing w:after="40"/>
              <w:jc w:val="left"/>
            </w:pPr>
            <w:r>
              <w:rPr>
                <w:b/>
                <w:color w:val="FFFFFF"/>
                <w:sz w:val="18"/>
              </w:rPr>
              <w:t xml:space="preserve">State</w:t>
            </w:r>
          </w:p>
        </w:tc>
        <w:tc>
          <w:tcPr>
            <w:tcW w:w="7201" w:type="dxa"/>
            <w:shd w:val="clear" w:color="auto" w:fill="1F3A5F"/>
          </w:tcPr>
          <w:p>
            <w:pPr>
              <w:pStyle w:val="Compact"/>
              <w:spacing w:after="40"/>
              <w:jc w:val="left"/>
            </w:pPr>
            <w:r>
              <w:rPr>
                <w:b/>
                <w:color w:val="FFFFFF"/>
                <w:sz w:val="18"/>
              </w:rPr>
              <w:t xml:space="preserve">Pattern</w:t>
            </w:r>
          </w:p>
        </w:tc>
      </w:tr>
      <w:tr>
        <w:tc>
          <w:tcPr>
            <w:tcW w:w="2437" w:type="dxa"/>
          </w:tcPr>
          <w:p>
            <w:pPr>
              <w:pStyle w:val="Compact"/>
              <w:spacing w:after="40"/>
              <w:jc w:val="left"/>
            </w:pPr>
            <w:r>
              <w:rPr>
                <w:sz w:val="18"/>
              </w:rPr>
              <w:t xml:space="preserve">Empty</w:t>
            </w:r>
          </w:p>
        </w:tc>
        <w:tc>
          <w:tcPr>
            <w:tcW w:w="7201" w:type="dxa"/>
          </w:tcPr>
          <w:p>
            <w:pPr>
              <w:pStyle w:val="Compact"/>
              <w:spacing w:after="40"/>
              <w:jc w:val="left"/>
            </w:pPr>
            <w:r>
              <w:rPr>
                <w:sz w:val="18"/>
              </w:rPr>
              <w:t xml:space="preserve">One sentence on why it is empty and one next action; never a promotional card</w:t>
            </w:r>
          </w:p>
        </w:tc>
      </w:tr>
      <w:tr>
        <w:tc>
          <w:tcPr>
            <w:tcW w:w="2437" w:type="dxa"/>
          </w:tcPr>
          <w:p>
            <w:pPr>
              <w:pStyle w:val="Compact"/>
              <w:spacing w:after="40"/>
              <w:jc w:val="left"/>
            </w:pPr>
            <w:r>
              <w:rPr>
                <w:sz w:val="18"/>
              </w:rPr>
              <w:t xml:space="preserve">Loading</w:t>
            </w:r>
          </w:p>
        </w:tc>
        <w:tc>
          <w:tcPr>
            <w:tcW w:w="7201" w:type="dxa"/>
          </w:tcPr>
          <w:p>
            <w:pPr>
              <w:pStyle w:val="Compact"/>
              <w:spacing w:after="40"/>
              <w:jc w:val="left"/>
            </w:pPr>
            <w:r>
              <w:rPr>
                <w:sz w:val="18"/>
              </w:rPr>
              <w:t xml:space="preserve">Skeleton within 300 ms; provider calls show named progress (</w:t>
            </w:r>
            <w:r>
              <w:rPr>
                <w:sz w:val="18"/>
              </w:rPr>
              <w:t xml:space="preserve">“</w:t>
            </w:r>
            <w:r>
              <w:rPr>
                <w:sz w:val="18"/>
              </w:rPr>
              <w:t xml:space="preserve">Checking with [RE name]</w:t>
            </w:r>
            <w:r>
              <w:rPr>
                <w:sz w:val="18"/>
              </w:rPr>
              <w:t xml:space="preserve">”</w:t>
            </w:r>
            <w:r>
              <w:rPr>
                <w:sz w:val="18"/>
              </w:rPr>
              <w:t xml:space="preserve">) and time out to a clear message</w:t>
            </w:r>
          </w:p>
        </w:tc>
      </w:tr>
      <w:tr>
        <w:tc>
          <w:tcPr>
            <w:tcW w:w="2437" w:type="dxa"/>
          </w:tcPr>
          <w:p>
            <w:pPr>
              <w:pStyle w:val="Compact"/>
              <w:spacing w:after="40"/>
              <w:jc w:val="left"/>
            </w:pPr>
            <w:r>
              <w:rPr>
                <w:sz w:val="18"/>
              </w:rPr>
              <w:t xml:space="preserve">Error</w:t>
            </w:r>
          </w:p>
        </w:tc>
        <w:tc>
          <w:tcPr>
            <w:tcW w:w="7201" w:type="dxa"/>
          </w:tcPr>
          <w:p>
            <w:pPr>
              <w:pStyle w:val="Compact"/>
              <w:spacing w:after="40"/>
              <w:jc w:val="left"/>
            </w:pPr>
            <w:r>
              <w:rPr>
                <w:sz w:val="18"/>
              </w:rPr>
              <w:t xml:space="preserve">What happened, whether data was saved, what to do; reference code for support; never a raw provider message</w:t>
            </w:r>
          </w:p>
        </w:tc>
      </w:tr>
      <w:tr>
        <w:tc>
          <w:tcPr>
            <w:tcW w:w="2437" w:type="dxa"/>
          </w:tcPr>
          <w:p>
            <w:pPr>
              <w:pStyle w:val="Compact"/>
              <w:spacing w:after="40"/>
              <w:jc w:val="left"/>
            </w:pPr>
            <w:r>
              <w:rPr>
                <w:sz w:val="18"/>
              </w:rPr>
              <w:t xml:space="preserve">Offline</w:t>
            </w:r>
          </w:p>
        </w:tc>
        <w:tc>
          <w:tcPr>
            <w:tcW w:w="7201" w:type="dxa"/>
          </w:tcPr>
          <w:p>
            <w:pPr>
              <w:pStyle w:val="Compact"/>
              <w:spacing w:after="40"/>
              <w:jc w:val="left"/>
            </w:pPr>
            <w:r>
              <w:rPr>
                <w:sz w:val="18"/>
              </w:rPr>
              <w:t xml:space="preserve">Banner with last trusted time; read-only cache of non-sensitive content; journey actions disabled with explain-why; drafts encrypted and resumed on reconnect</w:t>
            </w:r>
          </w:p>
        </w:tc>
      </w:tr>
      <w:tr>
        <w:tc>
          <w:tcPr>
            <w:tcW w:w="2437" w:type="dxa"/>
          </w:tcPr>
          <w:p>
            <w:pPr>
              <w:pStyle w:val="Compact"/>
              <w:spacing w:after="40"/>
              <w:jc w:val="left"/>
            </w:pPr>
            <w:r>
              <w:rPr>
                <w:sz w:val="18"/>
              </w:rPr>
              <w:t xml:space="preserve">Permission denied</w:t>
            </w:r>
          </w:p>
        </w:tc>
        <w:tc>
          <w:tcPr>
            <w:tcW w:w="7201" w:type="dxa"/>
          </w:tcPr>
          <w:p>
            <w:pPr>
              <w:pStyle w:val="Compact"/>
              <w:spacing w:after="40"/>
              <w:jc w:val="left"/>
            </w:pPr>
            <w:r>
              <w:rPr>
                <w:sz w:val="18"/>
              </w:rPr>
              <w:t xml:space="preserve">Explains the alternative (for example document upload through the picker instead of camera; assisted channel)</w:t>
            </w:r>
          </w:p>
        </w:tc>
      </w:tr>
      <w:tr>
        <w:tc>
          <w:tcPr>
            <w:tcW w:w="2437" w:type="dxa"/>
          </w:tcPr>
          <w:p>
            <w:pPr>
              <w:pStyle w:val="Compact"/>
              <w:spacing w:after="40"/>
              <w:jc w:val="left"/>
            </w:pPr>
            <w:r>
              <w:rPr>
                <w:sz w:val="18"/>
              </w:rPr>
              <w:t xml:space="preserve">Hold or suspension</w:t>
            </w:r>
          </w:p>
        </w:tc>
        <w:tc>
          <w:tcPr>
            <w:tcW w:w="7201" w:type="dxa"/>
          </w:tcPr>
          <w:p>
            <w:pPr>
              <w:pStyle w:val="Compact"/>
              <w:spacing w:after="40"/>
              <w:jc w:val="left"/>
            </w:pPr>
            <w:r>
              <w:rPr>
                <w:sz w:val="18"/>
              </w:rPr>
              <w:t xml:space="preserve">RE-approved text (UP5, UR2 holds); servicing view stays readable; download prompts with end date after exit</w:t>
            </w:r>
          </w:p>
        </w:tc>
      </w:tr>
    </w:tbl>
    <w:bookmarkEnd w:id="547"/>
    <w:bookmarkEnd w:id="548"/>
    <w:bookmarkStart w:id="549" w:name="g.3-borrower-web-channel-b"/>
    <w:p>
      <w:pPr>
        <w:pStyle w:val="Heading2"/>
      </w:pPr>
      <w:r>
        <w:t xml:space="preserve">G.3 Borrower web (channel B)</w:t>
      </w:r>
    </w:p>
    <w:p>
      <w:pPr>
        <w:numPr>
          <w:ilvl w:val="0"/>
          <w:numId w:val="1544"/>
        </w:numPr>
        <w:pStyle w:val="Compact"/>
      </w:pPr>
      <w:r>
        <w:rPr>
          <w:bCs/>
          <w:b/>
        </w:rPr>
        <w:t xml:space="preserve">Layout.</w:t>
      </w:r>
      <w:r>
        <w:t xml:space="preserve"> </w:t>
      </w:r>
      <w:r>
        <w:t xml:space="preserve">Below 768 px wide the web shows the same five-item bottom bar as the app; at 768 px and above a</w:t>
      </w:r>
      <w:r>
        <w:t xml:space="preserve"> </w:t>
      </w:r>
      <w:r>
        <w:rPr>
          <w:bCs/>
          <w:b/>
        </w:rPr>
        <w:t xml:space="preserve">left navigation</w:t>
      </w:r>
      <w:r>
        <w:t xml:space="preserve"> </w:t>
      </w:r>
      <w:r>
        <w:t xml:space="preserve">mirrors it: Home, Loans, Pay, Help, Account, with Account expanded to Profile, Documents and data, Plans and billing, Money tools, Protect and Settings (each shown only when its gate passes). Paths and labels are identical to G.2.</w:t>
      </w:r>
    </w:p>
    <w:p>
      <w:pPr>
        <w:numPr>
          <w:ilvl w:val="0"/>
          <w:numId w:val="1544"/>
        </w:numPr>
        <w:pStyle w:val="Compact"/>
      </w:pPr>
      <w:r>
        <w:rPr>
          <w:bCs/>
          <w:b/>
        </w:rPr>
        <w:t xml:space="preserve">Differences from the app:</w:t>
      </w:r>
      <w:r>
        <w:t xml:space="preserve"> </w:t>
      </w:r>
      <w:r>
        <w:t xml:space="preserve">WebOTP or</w:t>
      </w:r>
      <w:r>
        <w:t xml:space="preserve"> </w:t>
      </w:r>
      <w:r>
        <w:rPr>
          <w:rStyle w:val="VerbatimChar"/>
        </w:rPr>
        <w:t xml:space="preserve">one-time-code</w:t>
      </w:r>
      <w:r>
        <w:t xml:space="preserve"> </w:t>
      </w:r>
      <w:r>
        <w:t xml:space="preserve">autofill; passkey plus step-up (lower transaction limits); UPI QR on desktop; watermarked documents; web push never the only channel for a notice; QR hand-off to the app where a step needs native capability (single-use, 5-minute, journey-bound token; Part 3.2).</w:t>
      </w:r>
    </w:p>
    <w:p>
      <w:pPr>
        <w:numPr>
          <w:ilvl w:val="0"/>
          <w:numId w:val="1544"/>
        </w:numPr>
        <w:pStyle w:val="Compact"/>
      </w:pPr>
      <w:r>
        <w:rPr>
          <w:bCs/>
          <w:b/>
        </w:rPr>
        <w:t xml:space="preserve">Web-only availability:</w:t>
      </w:r>
      <w:r>
        <w:t xml:space="preserve"> </w:t>
      </w:r>
      <w:r>
        <w:rPr>
          <w:rStyle w:val="VerbatimChar"/>
        </w:rPr>
        <w:t xml:space="preserve">Loans › Your society</w:t>
      </w:r>
      <w:r>
        <w:t xml:space="preserve"> </w:t>
      </w:r>
      <w:r>
        <w:t xml:space="preserve">while</w:t>
      </w:r>
      <w:r>
        <w:t xml:space="preserve"> </w:t>
      </w:r>
      <w:r>
        <w:rPr>
          <w:rStyle w:val="VerbatimChar"/>
        </w:rPr>
        <w:t xml:space="preserve">coop_channel_gate</w:t>
      </w:r>
      <w:r>
        <w:t xml:space="preserve"> </w:t>
      </w:r>
      <w:r>
        <w:t xml:space="preserve">is closed; short-tenure payday products where the store gate excludes them (Part 6; Appendix B item 2).</w:t>
      </w:r>
    </w:p>
    <w:p>
      <w:pPr>
        <w:numPr>
          <w:ilvl w:val="0"/>
          <w:numId w:val="1544"/>
        </w:numPr>
        <w:pStyle w:val="Compact"/>
      </w:pPr>
      <w:r>
        <w:rPr>
          <w:bCs/>
          <w:b/>
        </w:rPr>
        <w:t xml:space="preserve">Public site (</w:t>
      </w:r>
      <w:r>
        <w:rPr>
          <w:rStyle w:val="VerbatimChar"/>
          <w:bCs/>
          <w:b/>
        </w:rPr>
        <w:t xml:space="preserve">udofin.com</w:t>
      </w:r>
      <w:r>
        <w:rPr>
          <w:bCs/>
          <w:b/>
        </w:rPr>
        <w:t xml:space="preserve">):</w:t>
      </w:r>
      <w:r>
        <w:t xml:space="preserve"> </w:t>
      </w:r>
      <w:r>
        <w:t xml:space="preserve">the Part 10.4 disclosures and help articles; advertising only on content pages and only if S10 is active (RV4.1).</w:t>
      </w:r>
    </w:p>
    <w:bookmarkEnd w:id="549"/>
    <w:bookmarkStart w:id="550" w:name="g.4-lender-re-portal-channel-d"/>
    <w:p>
      <w:pPr>
        <w:pStyle w:val="Heading2"/>
      </w:pPr>
      <w:r>
        <w:t xml:space="preserve">G.4 Lender (RE) portal (channel D)</w:t>
      </w:r>
    </w:p>
    <w:p>
      <w:pPr>
        <w:pStyle w:val="FirstParagraph"/>
      </w:pPr>
      <w:r>
        <w:t xml:space="preserve">One deployment with workspace-scoped routes (Part 10.4); every screen limited to the signed-in RE’s tenant; SSO with MFA. Society tenants (</w:t>
      </w:r>
      <w:r>
        <w:rPr>
          <w:rStyle w:val="VerbatimChar"/>
        </w:rPr>
        <w:t xml:space="preserve">NON_RE_COOP</w:t>
      </w:r>
      <w:r>
        <w:t xml:space="preserve">) see the same tree with RBI-specific labels suppressed,</w:t>
      </w:r>
      <w:r>
        <w:t xml:space="preserve"> </w:t>
      </w:r>
      <w:r>
        <w:rPr>
          <w:rStyle w:val="VerbatimChar"/>
        </w:rPr>
        <w:t xml:space="preserve">Partners › Members</w:t>
      </w:r>
      <w:r>
        <w:t xml:space="preserve"> </w:t>
      </w:r>
      <w:r>
        <w:t xml:space="preserve">enabled,</w:t>
      </w:r>
      <w:r>
        <w:t xml:space="preserve"> </w:t>
      </w:r>
      <w:r>
        <w:rPr>
          <w:rStyle w:val="VerbatimChar"/>
        </w:rPr>
        <w:t xml:space="preserve">DLG</w:t>
      </w:r>
      <w:r>
        <w:t xml:space="preserve"> </w:t>
      </w:r>
      <w:r>
        <w:t xml:space="preserve">hidden, and</w:t>
      </w:r>
      <w:r>
        <w:t xml:space="preserve"> </w:t>
      </w:r>
      <w:r>
        <w:rPr>
          <w:rStyle w:val="VerbatimChar"/>
        </w:rPr>
        <w:t xml:space="preserve">Audit access</w:t>
      </w:r>
      <w:r>
        <w:t xml:space="preserve"> </w:t>
      </w:r>
      <w:r>
        <w:t xml:space="preserve">offering society auditors and Registrar inspectors in place of RBI grantees (RA2.2).</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33"/>
        <w:gridCol w:w="5000"/>
        <w:gridCol w:w="1754"/>
        <w:gridCol w:w="1151"/>
      </w:tblGrid>
      <w:tr>
        <w:trPr>
          <w:tblHeader w:val="true"/>
          <w:tblHeader w:val="true"/>
        </w:trPr>
        <w:tc>
          <w:tcPr>
            <w:tcW w:w="1733" w:type="dxa"/>
            <w:shd w:val="clear" w:color="auto" w:fill="1F3A5F"/>
          </w:tcPr>
          <w:p>
            <w:pPr>
              <w:pStyle w:val="Compact"/>
              <w:spacing w:after="40"/>
              <w:jc w:val="left"/>
            </w:pPr>
            <w:r>
              <w:rPr>
                <w:b/>
                <w:color w:val="FFFFFF"/>
                <w:sz w:val="18"/>
              </w:rPr>
              <w:t xml:space="preserve">Menu</w:t>
            </w:r>
          </w:p>
        </w:tc>
        <w:tc>
          <w:tcPr>
            <w:tcW w:w="5000" w:type="dxa"/>
            <w:shd w:val="clear" w:color="auto" w:fill="1F3A5F"/>
          </w:tcPr>
          <w:p>
            <w:pPr>
              <w:pStyle w:val="Compact"/>
              <w:spacing w:after="40"/>
              <w:jc w:val="left"/>
            </w:pPr>
            <w:r>
              <w:rPr>
                <w:b/>
                <w:color w:val="FFFFFF"/>
                <w:sz w:val="18"/>
              </w:rPr>
              <w:t xml:space="preserve">Screens and key actions</w:t>
            </w:r>
          </w:p>
        </w:tc>
        <w:tc>
          <w:tcPr>
            <w:tcW w:w="1754" w:type="dxa"/>
            <w:shd w:val="clear" w:color="auto" w:fill="1F3A5F"/>
          </w:tcPr>
          <w:p>
            <w:pPr>
              <w:pStyle w:val="Compact"/>
              <w:spacing w:after="40"/>
              <w:jc w:val="left"/>
            </w:pPr>
            <w:r>
              <w:rPr>
                <w:b/>
                <w:color w:val="FFFFFF"/>
                <w:sz w:val="18"/>
              </w:rPr>
              <w:t xml:space="preserve">RE roles</w:t>
            </w:r>
          </w:p>
        </w:tc>
        <w:tc>
          <w:tcPr>
            <w:tcW w:w="1151" w:type="dxa"/>
            <w:shd w:val="clear" w:color="auto" w:fill="1F3A5F"/>
          </w:tcPr>
          <w:p>
            <w:pPr>
              <w:pStyle w:val="Compact"/>
              <w:spacing w:after="40"/>
              <w:jc w:val="left"/>
            </w:pPr>
            <w:r>
              <w:rPr>
                <w:b/>
                <w:color w:val="FFFFFF"/>
                <w:sz w:val="18"/>
              </w:rPr>
              <w:t xml:space="preserve">Source</w:t>
            </w:r>
          </w:p>
        </w:tc>
      </w:tr>
      <w:tr>
        <w:tc>
          <w:tcPr>
            <w:tcW w:w="1733" w:type="dxa"/>
          </w:tcPr>
          <w:p>
            <w:pPr>
              <w:pStyle w:val="Compact"/>
              <w:spacing w:after="40"/>
              <w:jc w:val="left"/>
            </w:pPr>
            <w:r>
              <w:rPr>
                <w:rStyle w:val="VerbatimChar"/>
                <w:sz w:val="18"/>
              </w:rPr>
              <w:t xml:space="preserve">Home</w:t>
            </w:r>
          </w:p>
        </w:tc>
        <w:tc>
          <w:tcPr>
            <w:tcW w:w="5000" w:type="dxa"/>
          </w:tcPr>
          <w:p>
            <w:pPr>
              <w:pStyle w:val="Compact"/>
              <w:spacing w:after="40"/>
              <w:jc w:val="left"/>
            </w:pPr>
            <w:r>
              <w:rPr>
                <w:sz w:val="18"/>
              </w:rPr>
              <w:t xml:space="preserve">My queue sorted by SLA (decisions, information requests, settlement approvals, complaints, document requests, countersigns), alerts (connector, KRI, dunning), KPIs</w:t>
            </w:r>
          </w:p>
        </w:tc>
        <w:tc>
          <w:tcPr>
            <w:tcW w:w="1754" w:type="dxa"/>
          </w:tcPr>
          <w:p>
            <w:pPr>
              <w:pStyle w:val="Compact"/>
              <w:spacing w:after="40"/>
              <w:jc w:val="left"/>
            </w:pPr>
            <w:r>
              <w:rPr>
                <w:sz w:val="18"/>
              </w:rPr>
              <w:t xml:space="preserve">All RE users</w:t>
            </w:r>
          </w:p>
        </w:tc>
        <w:tc>
          <w:tcPr>
            <w:tcW w:w="1151" w:type="dxa"/>
          </w:tcPr>
          <w:p>
            <w:pPr>
              <w:pStyle w:val="Compact"/>
              <w:spacing w:after="40"/>
              <w:jc w:val="left"/>
            </w:pPr>
            <w:r>
              <w:rPr>
                <w:sz w:val="18"/>
              </w:rPr>
              <w:t xml:space="preserve">U19</w:t>
            </w:r>
          </w:p>
        </w:tc>
      </w:tr>
      <w:tr>
        <w:tc>
          <w:tcPr>
            <w:tcW w:w="1733" w:type="dxa"/>
          </w:tcPr>
          <w:p>
            <w:pPr>
              <w:pStyle w:val="Compact"/>
              <w:spacing w:after="40"/>
              <w:jc w:val="left"/>
            </w:pPr>
            <w:r>
              <w:rPr>
                <w:rStyle w:val="VerbatimChar"/>
                <w:sz w:val="18"/>
              </w:rPr>
              <w:t xml:space="preserve">Applications › Pipeline</w:t>
            </w:r>
          </w:p>
        </w:tc>
        <w:tc>
          <w:tcPr>
            <w:tcW w:w="5000" w:type="dxa"/>
          </w:tcPr>
          <w:p>
            <w:pPr>
              <w:pStyle w:val="Compact"/>
              <w:spacing w:after="40"/>
              <w:jc w:val="left"/>
            </w:pPr>
            <w:r>
              <w:rPr>
                <w:sz w:val="18"/>
              </w:rPr>
              <w:t xml:space="preserve">Sourced applications by state, product and channel; application 360° with consent and KYC evidence references</w:t>
            </w:r>
          </w:p>
        </w:tc>
        <w:tc>
          <w:tcPr>
            <w:tcW w:w="1754" w:type="dxa"/>
          </w:tcPr>
          <w:p>
            <w:pPr>
              <w:pStyle w:val="Compact"/>
              <w:spacing w:after="40"/>
              <w:jc w:val="left"/>
            </w:pPr>
            <w:r>
              <w:rPr>
                <w:sz w:val="18"/>
              </w:rPr>
              <w:t xml:space="preserve">Credit, operations</w:t>
            </w:r>
          </w:p>
        </w:tc>
        <w:tc>
          <w:tcPr>
            <w:tcW w:w="1151" w:type="dxa"/>
          </w:tcPr>
          <w:p>
            <w:pPr>
              <w:pStyle w:val="Compact"/>
              <w:spacing w:after="40"/>
              <w:jc w:val="left"/>
            </w:pPr>
            <w:r>
              <w:rPr>
                <w:sz w:val="18"/>
              </w:rPr>
              <w:t xml:space="preserve">U7</w:t>
            </w:r>
          </w:p>
        </w:tc>
      </w:tr>
      <w:tr>
        <w:tc>
          <w:tcPr>
            <w:tcW w:w="1733" w:type="dxa"/>
          </w:tcPr>
          <w:p>
            <w:pPr>
              <w:pStyle w:val="Compact"/>
              <w:spacing w:after="40"/>
              <w:jc w:val="left"/>
            </w:pPr>
            <w:r>
              <w:rPr>
                <w:rStyle w:val="VerbatimChar"/>
                <w:sz w:val="18"/>
              </w:rPr>
              <w:t xml:space="preserve">Applications › Decision queue</w:t>
            </w:r>
          </w:p>
        </w:tc>
        <w:tc>
          <w:tcPr>
            <w:tcW w:w="5000" w:type="dxa"/>
          </w:tcPr>
          <w:p>
            <w:pPr>
              <w:pStyle w:val="Compact"/>
              <w:spacing w:after="40"/>
              <w:jc w:val="left"/>
            </w:pPr>
            <w:r>
              <w:rPr>
                <w:sz w:val="18"/>
              </w:rPr>
              <w:t xml:space="preserve">Portal-only REs: decide with reason codes under the RE’s delegation (maker-checker); decision recorded as the named RE user</w:t>
            </w:r>
          </w:p>
        </w:tc>
        <w:tc>
          <w:tcPr>
            <w:tcW w:w="1754" w:type="dxa"/>
          </w:tcPr>
          <w:p>
            <w:pPr>
              <w:pStyle w:val="Compact"/>
              <w:spacing w:after="40"/>
              <w:jc w:val="left"/>
            </w:pPr>
            <w:r>
              <w:rPr>
                <w:sz w:val="18"/>
              </w:rPr>
              <w:t xml:space="preserve">Credit (maker, checker)</w:t>
            </w:r>
          </w:p>
        </w:tc>
        <w:tc>
          <w:tcPr>
            <w:tcW w:w="1151" w:type="dxa"/>
          </w:tcPr>
          <w:p>
            <w:pPr>
              <w:pStyle w:val="Compact"/>
              <w:spacing w:after="40"/>
              <w:jc w:val="left"/>
            </w:pPr>
            <w:r>
              <w:rPr>
                <w:sz w:val="18"/>
              </w:rPr>
              <w:t xml:space="preserve">U7; Part 5.4</w:t>
            </w:r>
          </w:p>
        </w:tc>
      </w:tr>
      <w:tr>
        <w:tc>
          <w:tcPr>
            <w:tcW w:w="1733" w:type="dxa"/>
          </w:tcPr>
          <w:p>
            <w:pPr>
              <w:pStyle w:val="Compact"/>
              <w:spacing w:after="40"/>
              <w:jc w:val="left"/>
            </w:pPr>
            <w:r>
              <w:rPr>
                <w:rStyle w:val="VerbatimChar"/>
                <w:sz w:val="18"/>
              </w:rPr>
              <w:t xml:space="preserve">Applications › Information requests</w:t>
            </w:r>
          </w:p>
        </w:tc>
        <w:tc>
          <w:tcPr>
            <w:tcW w:w="5000" w:type="dxa"/>
          </w:tcPr>
          <w:p>
            <w:pPr>
              <w:pStyle w:val="Compact"/>
              <w:spacing w:after="40"/>
              <w:jc w:val="left"/>
            </w:pPr>
            <w:r>
              <w:rPr>
                <w:sz w:val="18"/>
              </w:rPr>
              <w:t xml:space="preserve">Raise and track borrower tasks; bulk reminders</w:t>
            </w:r>
          </w:p>
        </w:tc>
        <w:tc>
          <w:tcPr>
            <w:tcW w:w="1754" w:type="dxa"/>
          </w:tcPr>
          <w:p>
            <w:pPr>
              <w:pStyle w:val="Compact"/>
              <w:spacing w:after="40"/>
              <w:jc w:val="left"/>
            </w:pPr>
            <w:r>
              <w:rPr>
                <w:sz w:val="18"/>
              </w:rPr>
              <w:t xml:space="preserve">Credit, operations</w:t>
            </w:r>
          </w:p>
        </w:tc>
        <w:tc>
          <w:tcPr>
            <w:tcW w:w="1151" w:type="dxa"/>
          </w:tcPr>
          <w:p>
            <w:pPr>
              <w:pStyle w:val="Compact"/>
              <w:spacing w:after="40"/>
              <w:jc w:val="left"/>
            </w:pPr>
            <w:r>
              <w:rPr>
                <w:sz w:val="18"/>
              </w:rPr>
              <w:t xml:space="preserve">U7</w:t>
            </w:r>
          </w:p>
        </w:tc>
      </w:tr>
      <w:tr>
        <w:tc>
          <w:tcPr>
            <w:tcW w:w="1733" w:type="dxa"/>
          </w:tcPr>
          <w:p>
            <w:pPr>
              <w:pStyle w:val="Compact"/>
              <w:spacing w:after="40"/>
              <w:jc w:val="left"/>
            </w:pPr>
            <w:r>
              <w:rPr>
                <w:rStyle w:val="VerbatimChar"/>
                <w:sz w:val="18"/>
              </w:rPr>
              <w:t xml:space="preserve">Applications › Disbursal</w:t>
            </w:r>
          </w:p>
        </w:tc>
        <w:tc>
          <w:tcPr>
            <w:tcW w:w="5000" w:type="dxa"/>
          </w:tcPr>
          <w:p>
            <w:pPr>
              <w:pStyle w:val="Compact"/>
              <w:spacing w:after="40"/>
              <w:jc w:val="left"/>
            </w:pPr>
            <w:r>
              <w:rPr>
                <w:sz w:val="18"/>
              </w:rPr>
              <w:t xml:space="preserve">Portal-only REs record</w:t>
            </w:r>
            <w:r>
              <w:rPr>
                <w:sz w:val="18"/>
              </w:rPr>
              <w:t xml:space="preserve"> </w:t>
            </w:r>
            <w:r>
              <w:rPr>
                <w:rStyle w:val="VerbatimChar"/>
                <w:sz w:val="18"/>
              </w:rPr>
              <w:t xml:space="preserve">LoanDisbursed</w:t>
            </w:r>
            <w:r>
              <w:rPr>
                <w:sz w:val="18"/>
              </w:rPr>
              <w:t xml:space="preserve"> </w:t>
            </w:r>
            <w:r>
              <w:rPr>
                <w:sz w:val="18"/>
              </w:rPr>
              <w:t xml:space="preserve">or</w:t>
            </w:r>
            <w:r>
              <w:rPr>
                <w:sz w:val="18"/>
              </w:rPr>
              <w:t xml:space="preserve"> </w:t>
            </w:r>
            <w:r>
              <w:rPr>
                <w:rStyle w:val="VerbatimChar"/>
                <w:sz w:val="18"/>
              </w:rPr>
              <w:t xml:space="preserve">DisbursementFailed</w:t>
            </w:r>
            <w:r>
              <w:rPr>
                <w:sz w:val="18"/>
              </w:rPr>
              <w:t xml:space="preserve"> </w:t>
            </w:r>
            <w:r>
              <w:rPr>
                <w:sz w:val="18"/>
              </w:rPr>
              <w:t xml:space="preserve">with UTR; others view status</w:t>
            </w:r>
          </w:p>
        </w:tc>
        <w:tc>
          <w:tcPr>
            <w:tcW w:w="1754" w:type="dxa"/>
          </w:tcPr>
          <w:p>
            <w:pPr>
              <w:pStyle w:val="Compact"/>
              <w:spacing w:after="40"/>
              <w:jc w:val="left"/>
            </w:pPr>
            <w:r>
              <w:rPr>
                <w:sz w:val="18"/>
              </w:rPr>
              <w:t xml:space="preserve">Operations</w:t>
            </w:r>
          </w:p>
        </w:tc>
        <w:tc>
          <w:tcPr>
            <w:tcW w:w="1151" w:type="dxa"/>
          </w:tcPr>
          <w:p>
            <w:pPr>
              <w:pStyle w:val="Compact"/>
              <w:spacing w:after="40"/>
              <w:jc w:val="left"/>
            </w:pPr>
            <w:r>
              <w:rPr>
                <w:sz w:val="18"/>
              </w:rPr>
              <w:t xml:space="preserve">U10</w:t>
            </w:r>
          </w:p>
        </w:tc>
      </w:tr>
      <w:tr>
        <w:tc>
          <w:tcPr>
            <w:tcW w:w="1733" w:type="dxa"/>
          </w:tcPr>
          <w:p>
            <w:pPr>
              <w:pStyle w:val="Compact"/>
              <w:spacing w:after="40"/>
              <w:jc w:val="left"/>
            </w:pPr>
            <w:r>
              <w:rPr>
                <w:rStyle w:val="VerbatimChar"/>
                <w:sz w:val="18"/>
              </w:rPr>
              <w:t xml:space="preserve">Products › Catalogue</w:t>
            </w:r>
          </w:p>
        </w:tc>
        <w:tc>
          <w:tcPr>
            <w:tcW w:w="5000" w:type="dxa"/>
          </w:tcPr>
          <w:p>
            <w:pPr>
              <w:pStyle w:val="Compact"/>
              <w:spacing w:after="40"/>
              <w:jc w:val="left"/>
            </w:pPr>
            <w:r>
              <w:rPr>
                <w:sz w:val="18"/>
              </w:rPr>
              <w:t xml:space="preserve">Own products and versions; guard-rail results;</w:t>
            </w:r>
            <w:r>
              <w:rPr>
                <w:sz w:val="18"/>
              </w:rPr>
              <w:t xml:space="preserve"> </w:t>
            </w:r>
            <w:r>
              <w:rPr>
                <w:bCs/>
                <w:b/>
                <w:sz w:val="18"/>
              </w:rPr>
              <w:t xml:space="preserve">Request change</w:t>
            </w:r>
            <w:r>
              <w:rPr>
                <w:sz w:val="18"/>
              </w:rPr>
              <w:t xml:space="preserve">; portal-only REs publish under maker-checker</w:t>
            </w:r>
          </w:p>
        </w:tc>
        <w:tc>
          <w:tcPr>
            <w:tcW w:w="1754" w:type="dxa"/>
          </w:tcPr>
          <w:p>
            <w:pPr>
              <w:pStyle w:val="Compact"/>
              <w:spacing w:after="40"/>
              <w:jc w:val="left"/>
            </w:pPr>
            <w:r>
              <w:rPr>
                <w:sz w:val="18"/>
              </w:rPr>
              <w:t xml:space="preserve">Product, compliance</w:t>
            </w:r>
          </w:p>
        </w:tc>
        <w:tc>
          <w:tcPr>
            <w:tcW w:w="1151" w:type="dxa"/>
          </w:tcPr>
          <w:p>
            <w:pPr>
              <w:pStyle w:val="Compact"/>
              <w:spacing w:after="40"/>
              <w:jc w:val="left"/>
            </w:pPr>
            <w:r>
              <w:rPr>
                <w:sz w:val="18"/>
              </w:rPr>
              <w:t xml:space="preserve">U2</w:t>
            </w:r>
          </w:p>
        </w:tc>
      </w:tr>
      <w:tr>
        <w:tc>
          <w:tcPr>
            <w:tcW w:w="1733" w:type="dxa"/>
          </w:tcPr>
          <w:p>
            <w:pPr>
              <w:pStyle w:val="Compact"/>
              <w:spacing w:after="40"/>
              <w:jc w:val="left"/>
            </w:pPr>
            <w:r>
              <w:rPr>
                <w:rStyle w:val="VerbatimChar"/>
                <w:sz w:val="18"/>
              </w:rPr>
              <w:t xml:space="preserve">Servicing › Loans</w:t>
            </w:r>
          </w:p>
        </w:tc>
        <w:tc>
          <w:tcPr>
            <w:tcW w:w="5000" w:type="dxa"/>
          </w:tcPr>
          <w:p>
            <w:pPr>
              <w:pStyle w:val="Compact"/>
              <w:spacing w:after="40"/>
              <w:jc w:val="left"/>
            </w:pPr>
            <w:r>
              <w:rPr>
                <w:sz w:val="18"/>
              </w:rPr>
              <w:t xml:space="preserve">Mirror search, service requests, cooling-off exits with payable amount</w:t>
            </w:r>
          </w:p>
        </w:tc>
        <w:tc>
          <w:tcPr>
            <w:tcW w:w="1754" w:type="dxa"/>
          </w:tcPr>
          <w:p>
            <w:pPr>
              <w:pStyle w:val="Compact"/>
              <w:spacing w:after="40"/>
              <w:jc w:val="left"/>
            </w:pPr>
            <w:r>
              <w:rPr>
                <w:sz w:val="18"/>
              </w:rPr>
              <w:t xml:space="preserve">Operations</w:t>
            </w:r>
          </w:p>
        </w:tc>
        <w:tc>
          <w:tcPr>
            <w:tcW w:w="1151" w:type="dxa"/>
          </w:tcPr>
          <w:p>
            <w:pPr>
              <w:pStyle w:val="Compact"/>
              <w:spacing w:after="40"/>
              <w:jc w:val="left"/>
            </w:pPr>
            <w:r>
              <w:rPr>
                <w:sz w:val="18"/>
              </w:rPr>
              <w:t xml:space="preserve">U8, U12</w:t>
            </w:r>
          </w:p>
        </w:tc>
      </w:tr>
      <w:tr>
        <w:tc>
          <w:tcPr>
            <w:tcW w:w="1733" w:type="dxa"/>
          </w:tcPr>
          <w:p>
            <w:pPr>
              <w:pStyle w:val="Compact"/>
              <w:spacing w:after="40"/>
              <w:jc w:val="left"/>
            </w:pPr>
            <w:r>
              <w:rPr>
                <w:rStyle w:val="VerbatimChar"/>
                <w:sz w:val="18"/>
              </w:rPr>
              <w:t xml:space="preserve">Servicing › Document requests</w:t>
            </w:r>
          </w:p>
        </w:tc>
        <w:tc>
          <w:tcPr>
            <w:tcW w:w="5000" w:type="dxa"/>
          </w:tcPr>
          <w:p>
            <w:pPr>
              <w:pStyle w:val="Compact"/>
              <w:spacing w:after="40"/>
              <w:jc w:val="left"/>
            </w:pPr>
            <w:r>
              <w:rPr>
                <w:sz w:val="18"/>
              </w:rPr>
              <w:t xml:space="preserve">Document and data-principal requests with clocks;</w:t>
            </w:r>
            <w:r>
              <w:rPr>
                <w:sz w:val="18"/>
              </w:rPr>
              <w:t xml:space="preserve"> </w:t>
            </w:r>
            <w:r>
              <w:rPr>
                <w:bCs/>
                <w:b/>
                <w:sz w:val="18"/>
              </w:rPr>
              <w:t xml:space="preserve">Fulfil</w:t>
            </w:r>
            <w:r>
              <w:rPr>
                <w:sz w:val="18"/>
              </w:rPr>
              <w:t xml:space="preserve">,</w:t>
            </w:r>
            <w:r>
              <w:rPr>
                <w:sz w:val="18"/>
              </w:rPr>
              <w:t xml:space="preserve"> </w:t>
            </w:r>
            <w:r>
              <w:rPr>
                <w:bCs/>
                <w:b/>
                <w:sz w:val="18"/>
              </w:rPr>
              <w:t xml:space="preserve">Decline with reason</w:t>
            </w:r>
            <w:r>
              <w:rPr>
                <w:sz w:val="18"/>
              </w:rPr>
              <w:t xml:space="preserve">, bulk upload</w:t>
            </w:r>
          </w:p>
        </w:tc>
        <w:tc>
          <w:tcPr>
            <w:tcW w:w="1754" w:type="dxa"/>
          </w:tcPr>
          <w:p>
            <w:pPr>
              <w:pStyle w:val="Compact"/>
              <w:spacing w:after="40"/>
              <w:jc w:val="left"/>
            </w:pPr>
            <w:r>
              <w:rPr>
                <w:sz w:val="18"/>
              </w:rPr>
              <w:t xml:space="preserve">Operations, DPO</w:t>
            </w:r>
          </w:p>
        </w:tc>
        <w:tc>
          <w:tcPr>
            <w:tcW w:w="1151" w:type="dxa"/>
          </w:tcPr>
          <w:p>
            <w:pPr>
              <w:pStyle w:val="Compact"/>
              <w:spacing w:after="40"/>
              <w:jc w:val="left"/>
            </w:pPr>
            <w:r>
              <w:rPr>
                <w:sz w:val="18"/>
              </w:rPr>
              <w:t xml:space="preserve">UB1</w:t>
            </w:r>
          </w:p>
        </w:tc>
      </w:tr>
      <w:tr>
        <w:tc>
          <w:tcPr>
            <w:tcW w:w="1733" w:type="dxa"/>
          </w:tcPr>
          <w:p>
            <w:pPr>
              <w:pStyle w:val="Compact"/>
              <w:spacing w:after="40"/>
              <w:jc w:val="left"/>
            </w:pPr>
            <w:r>
              <w:rPr>
                <w:rStyle w:val="VerbatimChar"/>
                <w:sz w:val="18"/>
              </w:rPr>
              <w:t xml:space="preserve">Servicing › Tax</w:t>
            </w:r>
          </w:p>
        </w:tc>
        <w:tc>
          <w:tcPr>
            <w:tcW w:w="5000" w:type="dxa"/>
          </w:tcPr>
          <w:p>
            <w:pPr>
              <w:pStyle w:val="Compact"/>
              <w:spacing w:after="40"/>
              <w:jc w:val="left"/>
            </w:pPr>
            <w:r>
              <w:rPr>
                <w:sz w:val="18"/>
              </w:rPr>
              <w:t xml:space="preserve">Certificate-request queue; Form 131 inbox;</w:t>
            </w:r>
            <w:r>
              <w:rPr>
                <w:sz w:val="18"/>
              </w:rPr>
              <w:t xml:space="preserve"> </w:t>
            </w:r>
            <w:r>
              <w:rPr>
                <w:bCs/>
                <w:b/>
                <w:sz w:val="18"/>
              </w:rPr>
              <w:t xml:space="preserve">Mark matched / mismatch / not found</w:t>
            </w:r>
          </w:p>
        </w:tc>
        <w:tc>
          <w:tcPr>
            <w:tcW w:w="1754" w:type="dxa"/>
          </w:tcPr>
          <w:p>
            <w:pPr>
              <w:pStyle w:val="Compact"/>
              <w:spacing w:after="40"/>
              <w:jc w:val="left"/>
            </w:pPr>
            <w:r>
              <w:rPr>
                <w:sz w:val="18"/>
              </w:rPr>
              <w:t xml:space="preserve">Finance</w:t>
            </w:r>
          </w:p>
        </w:tc>
        <w:tc>
          <w:tcPr>
            <w:tcW w:w="1151" w:type="dxa"/>
          </w:tcPr>
          <w:p>
            <w:pPr>
              <w:pStyle w:val="Compact"/>
              <w:spacing w:after="40"/>
              <w:jc w:val="left"/>
            </w:pPr>
            <w:r>
              <w:rPr>
                <w:sz w:val="18"/>
              </w:rPr>
              <w:t xml:space="preserve">UB2</w:t>
            </w:r>
          </w:p>
        </w:tc>
      </w:tr>
      <w:tr>
        <w:tc>
          <w:tcPr>
            <w:tcW w:w="1733" w:type="dxa"/>
          </w:tcPr>
          <w:p>
            <w:pPr>
              <w:pStyle w:val="Compact"/>
              <w:spacing w:after="40"/>
              <w:jc w:val="left"/>
            </w:pPr>
            <w:r>
              <w:rPr>
                <w:rStyle w:val="VerbatimChar"/>
                <w:sz w:val="18"/>
              </w:rPr>
              <w:t xml:space="preserve">Recovery</w:t>
            </w:r>
            <w:r>
              <w:rPr>
                <w:sz w:val="18"/>
              </w:rPr>
              <w:t xml:space="preserve"> </w:t>
            </w:r>
            <w:r>
              <w:rPr>
                <w:sz w:val="18"/>
              </w:rPr>
              <w:t xml:space="preserve">(only where Part 7A is attached)</w:t>
            </w:r>
          </w:p>
        </w:tc>
        <w:tc>
          <w:tcPr>
            <w:tcW w:w="5000" w:type="dxa"/>
          </w:tcPr>
          <w:p>
            <w:pPr>
              <w:pStyle w:val="Compact"/>
              <w:spacing w:after="40"/>
              <w:jc w:val="left"/>
            </w:pPr>
            <w:r>
              <w:rPr>
                <w:rStyle w:val="VerbatimChar"/>
                <w:sz w:val="18"/>
              </w:rPr>
              <w:t xml:space="preserve">› Settlement offers</w:t>
            </w:r>
            <w:r>
              <w:rPr>
                <w:sz w:val="18"/>
              </w:rPr>
              <w:t xml:space="preserve"> </w:t>
            </w:r>
            <w:r>
              <w:rPr>
                <w:sz w:val="18"/>
              </w:rPr>
              <w:t xml:space="preserve">(approver level checked against the delegation matrix; sanctioner blocked; Board reference for fraud and wilful defaulters);</w:t>
            </w:r>
            <w:r>
              <w:rPr>
                <w:sz w:val="18"/>
              </w:rPr>
              <w:t xml:space="preserve"> </w:t>
            </w:r>
            <w:r>
              <w:rPr>
                <w:rStyle w:val="VerbatimChar"/>
                <w:sz w:val="18"/>
              </w:rPr>
              <w:t xml:space="preserve">› Allocations</w:t>
            </w:r>
            <w:r>
              <w:rPr>
                <w:sz w:val="18"/>
              </w:rPr>
              <w:t xml:space="preserve"> </w:t>
            </w:r>
            <w:r>
              <w:rPr>
                <w:sz w:val="18"/>
              </w:rPr>
              <w:t xml:space="preserve">(UR4, agent register, suspension switch);</w:t>
            </w:r>
            <w:r>
              <w:rPr>
                <w:sz w:val="18"/>
              </w:rPr>
              <w:t xml:space="preserve"> </w:t>
            </w:r>
            <w:r>
              <w:rPr>
                <w:rStyle w:val="VerbatimChar"/>
                <w:sz w:val="18"/>
              </w:rPr>
              <w:t xml:space="preserve">› Notices and visibility</w:t>
            </w:r>
            <w:r>
              <w:rPr>
                <w:sz w:val="18"/>
              </w:rPr>
              <w:t xml:space="preserve"> </w:t>
            </w:r>
            <w:r>
              <w:rPr>
                <w:sz w:val="18"/>
              </w:rPr>
              <w:t xml:space="preserve">(UR3, off by default);</w:t>
            </w:r>
            <w:r>
              <w:rPr>
                <w:sz w:val="18"/>
              </w:rPr>
              <w:t xml:space="preserve"> </w:t>
            </w:r>
            <w:r>
              <w:rPr>
                <w:rStyle w:val="VerbatimChar"/>
                <w:sz w:val="18"/>
              </w:rPr>
              <w:t xml:space="preserve">› ADR referrals</w:t>
            </w:r>
            <w:r>
              <w:rPr>
                <w:sz w:val="18"/>
              </w:rPr>
              <w:t xml:space="preserve"> </w:t>
            </w:r>
            <w:r>
              <w:rPr>
                <w:sz w:val="18"/>
              </w:rPr>
              <w:t xml:space="preserve">(UR2);</w:t>
            </w:r>
            <w:r>
              <w:rPr>
                <w:sz w:val="18"/>
              </w:rPr>
              <w:t xml:space="preserve"> </w:t>
            </w:r>
            <w:r>
              <w:rPr>
                <w:rStyle w:val="VerbatimChar"/>
                <w:sz w:val="18"/>
              </w:rPr>
              <w:t xml:space="preserve">› Feeds and breaks</w:t>
            </w:r>
            <w:r>
              <w:rPr>
                <w:sz w:val="18"/>
              </w:rPr>
              <w:t xml:space="preserve"> </w:t>
            </w:r>
            <w:r>
              <w:rPr>
                <w:sz w:val="18"/>
              </w:rPr>
              <w:t xml:space="preserve">(UR5);</w:t>
            </w:r>
            <w:r>
              <w:rPr>
                <w:sz w:val="18"/>
              </w:rPr>
              <w:t xml:space="preserve"> </w:t>
            </w:r>
            <w:r>
              <w:rPr>
                <w:rStyle w:val="VerbatimChar"/>
                <w:sz w:val="18"/>
              </w:rPr>
              <w:t xml:space="preserve">› Conduct</w:t>
            </w:r>
            <w:r>
              <w:rPr>
                <w:sz w:val="18"/>
              </w:rPr>
              <w:t xml:space="preserve"> </w:t>
            </w:r>
            <w:r>
              <w:rPr>
                <w:sz w:val="18"/>
              </w:rPr>
              <w:t xml:space="preserve">(UR6);</w:t>
            </w:r>
            <w:r>
              <w:rPr>
                <w:sz w:val="18"/>
              </w:rPr>
              <w:t xml:space="preserve"> </w:t>
            </w:r>
            <w:r>
              <w:rPr>
                <w:rStyle w:val="VerbatimChar"/>
                <w:sz w:val="18"/>
              </w:rPr>
              <w:t xml:space="preserve">› Modules</w:t>
            </w:r>
            <w:r>
              <w:rPr>
                <w:sz w:val="18"/>
              </w:rPr>
              <w:t xml:space="preserve"> </w:t>
            </w:r>
            <w:r>
              <w:rPr>
                <w:sz w:val="18"/>
              </w:rPr>
              <w:t xml:space="preserve">(attach, detach)</w:t>
            </w:r>
          </w:p>
        </w:tc>
        <w:tc>
          <w:tcPr>
            <w:tcW w:w="1754" w:type="dxa"/>
          </w:tcPr>
          <w:p>
            <w:pPr>
              <w:pStyle w:val="Compact"/>
              <w:spacing w:after="40"/>
              <w:jc w:val="left"/>
            </w:pPr>
            <w:r>
              <w:rPr>
                <w:sz w:val="18"/>
              </w:rPr>
              <w:t xml:space="preserve">Collections head, legal, compliance</w:t>
            </w:r>
          </w:p>
        </w:tc>
        <w:tc>
          <w:tcPr>
            <w:tcW w:w="1151" w:type="dxa"/>
          </w:tcPr>
          <w:p>
            <w:pPr>
              <w:pStyle w:val="Compact"/>
              <w:spacing w:after="40"/>
              <w:jc w:val="left"/>
            </w:pPr>
            <w:r>
              <w:rPr>
                <w:sz w:val="18"/>
              </w:rPr>
              <w:t xml:space="preserve">UR1–UR6; 7A.0.3</w:t>
            </w:r>
          </w:p>
        </w:tc>
      </w:tr>
      <w:tr>
        <w:tc>
          <w:tcPr>
            <w:tcW w:w="1733" w:type="dxa"/>
          </w:tcPr>
          <w:p>
            <w:pPr>
              <w:pStyle w:val="Compact"/>
              <w:spacing w:after="40"/>
              <w:jc w:val="left"/>
            </w:pPr>
            <w:r>
              <w:rPr>
                <w:rStyle w:val="VerbatimChar"/>
                <w:sz w:val="18"/>
              </w:rPr>
              <w:t xml:space="preserve">Microfinance</w:t>
            </w:r>
          </w:p>
        </w:tc>
        <w:tc>
          <w:tcPr>
            <w:tcW w:w="5000" w:type="dxa"/>
          </w:tcPr>
          <w:p>
            <w:pPr>
              <w:pStyle w:val="Compact"/>
              <w:spacing w:after="40"/>
              <w:jc w:val="left"/>
            </w:pPr>
            <w:r>
              <w:rPr>
                <w:sz w:val="18"/>
              </w:rPr>
              <w:t xml:space="preserve">Applications per member with indicative ratio and guardrail results, GRT outcomes (RE officers only), meeting records, exceptions</w:t>
            </w:r>
          </w:p>
        </w:tc>
        <w:tc>
          <w:tcPr>
            <w:tcW w:w="1754" w:type="dxa"/>
          </w:tcPr>
          <w:p>
            <w:pPr>
              <w:pStyle w:val="Compact"/>
              <w:spacing w:after="40"/>
              <w:jc w:val="left"/>
            </w:pPr>
            <w:r>
              <w:rPr>
                <w:sz w:val="18"/>
              </w:rPr>
              <w:t xml:space="preserve">MFI credit and operations</w:t>
            </w:r>
          </w:p>
        </w:tc>
        <w:tc>
          <w:tcPr>
            <w:tcW w:w="1151" w:type="dxa"/>
          </w:tcPr>
          <w:p>
            <w:pPr>
              <w:pStyle w:val="Compact"/>
              <w:spacing w:after="40"/>
              <w:jc w:val="left"/>
            </w:pPr>
            <w:r>
              <w:rPr>
                <w:sz w:val="18"/>
              </w:rPr>
              <w:t xml:space="preserve">MG2</w:t>
            </w:r>
          </w:p>
        </w:tc>
      </w:tr>
      <w:tr>
        <w:tc>
          <w:tcPr>
            <w:tcW w:w="1733" w:type="dxa"/>
          </w:tcPr>
          <w:p>
            <w:pPr>
              <w:pStyle w:val="Compact"/>
              <w:spacing w:after="40"/>
              <w:jc w:val="left"/>
            </w:pPr>
            <w:r>
              <w:rPr>
                <w:rStyle w:val="VerbatimChar"/>
                <w:sz w:val="18"/>
              </w:rPr>
              <w:t xml:space="preserve">Field operations</w:t>
            </w:r>
          </w:p>
        </w:tc>
        <w:tc>
          <w:tcPr>
            <w:tcW w:w="5000" w:type="dxa"/>
          </w:tcPr>
          <w:p>
            <w:pPr>
              <w:pStyle w:val="Compact"/>
              <w:spacing w:after="40"/>
              <w:jc w:val="left"/>
            </w:pPr>
            <w:r>
              <w:rPr>
                <w:sz w:val="18"/>
              </w:rPr>
              <w:t xml:space="preserve">Sync monitor, conflict queue (</w:t>
            </w:r>
            <w:r>
              <w:rPr>
                <w:bCs/>
                <w:b/>
                <w:sz w:val="18"/>
              </w:rPr>
              <w:t xml:space="preserve">Accept field version</w:t>
            </w:r>
            <w:r>
              <w:rPr>
                <w:sz w:val="18"/>
              </w:rPr>
              <w:t xml:space="preserve">,</w:t>
            </w:r>
            <w:r>
              <w:rPr>
                <w:sz w:val="18"/>
              </w:rPr>
              <w:t xml:space="preserve"> </w:t>
            </w:r>
            <w:r>
              <w:rPr>
                <w:bCs/>
                <w:b/>
                <w:sz w:val="18"/>
              </w:rPr>
              <w:t xml:space="preserve">Keep server version</w:t>
            </w:r>
            <w:r>
              <w:rPr>
                <w:sz w:val="18"/>
              </w:rPr>
              <w:t xml:space="preserve">,</w:t>
            </w:r>
            <w:r>
              <w:rPr>
                <w:sz w:val="18"/>
              </w:rPr>
              <w:t xml:space="preserve"> </w:t>
            </w:r>
            <w:r>
              <w:rPr>
                <w:bCs/>
                <w:b/>
                <w:sz w:val="18"/>
              </w:rPr>
              <w:t xml:space="preserve">Escalate</w:t>
            </w:r>
            <w:r>
              <w:rPr>
                <w:sz w:val="18"/>
              </w:rPr>
              <w:t xml:space="preserve">), receipt exceptions, assisted-session evidence; bulk</w:t>
            </w:r>
            <w:r>
              <w:rPr>
                <w:sz w:val="18"/>
              </w:rPr>
              <w:t xml:space="preserve"> </w:t>
            </w:r>
            <w:r>
              <w:rPr>
                <w:bCs/>
                <w:b/>
                <w:sz w:val="18"/>
              </w:rPr>
              <w:t xml:space="preserve">Reassign centre</w:t>
            </w:r>
          </w:p>
        </w:tc>
        <w:tc>
          <w:tcPr>
            <w:tcW w:w="1754" w:type="dxa"/>
          </w:tcPr>
          <w:p>
            <w:pPr>
              <w:pStyle w:val="Compact"/>
              <w:spacing w:after="40"/>
              <w:jc w:val="left"/>
            </w:pPr>
            <w:r>
              <w:rPr>
                <w:sz w:val="18"/>
              </w:rPr>
              <w:t xml:space="preserve">Branch supervisors</w:t>
            </w:r>
          </w:p>
        </w:tc>
        <w:tc>
          <w:tcPr>
            <w:tcW w:w="1151" w:type="dxa"/>
          </w:tcPr>
          <w:p>
            <w:pPr>
              <w:pStyle w:val="Compact"/>
              <w:spacing w:after="40"/>
              <w:jc w:val="left"/>
            </w:pPr>
            <w:r>
              <w:rPr>
                <w:sz w:val="18"/>
              </w:rPr>
              <w:t xml:space="preserve">MG4</w:t>
            </w:r>
          </w:p>
        </w:tc>
      </w:tr>
      <w:tr>
        <w:tc>
          <w:tcPr>
            <w:tcW w:w="1733" w:type="dxa"/>
          </w:tcPr>
          <w:p>
            <w:pPr>
              <w:pStyle w:val="Compact"/>
              <w:spacing w:after="40"/>
              <w:jc w:val="left"/>
            </w:pPr>
            <w:r>
              <w:rPr>
                <w:rStyle w:val="VerbatimChar"/>
                <w:sz w:val="18"/>
              </w:rPr>
              <w:t xml:space="preserve">Grievances</w:t>
            </w:r>
          </w:p>
        </w:tc>
        <w:tc>
          <w:tcPr>
            <w:tcW w:w="5000" w:type="dxa"/>
          </w:tcPr>
          <w:p>
            <w:pPr>
              <w:pStyle w:val="Compact"/>
              <w:spacing w:after="40"/>
              <w:jc w:val="left"/>
            </w:pPr>
            <w:r>
              <w:rPr>
                <w:sz w:val="18"/>
              </w:rPr>
              <w:t xml:space="preserve">RE queue with clocks;</w:t>
            </w:r>
            <w:r>
              <w:rPr>
                <w:sz w:val="18"/>
              </w:rPr>
              <w:t xml:space="preserve"> </w:t>
            </w:r>
            <w:r>
              <w:rPr>
                <w:bCs/>
                <w:b/>
                <w:sz w:val="18"/>
              </w:rPr>
              <w:t xml:space="preserve">Acknowledge</w:t>
            </w:r>
            <w:r>
              <w:rPr>
                <w:sz w:val="18"/>
              </w:rPr>
              <w:t xml:space="preserve">,</w:t>
            </w:r>
            <w:r>
              <w:rPr>
                <w:sz w:val="18"/>
              </w:rPr>
              <w:t xml:space="preserve"> </w:t>
            </w:r>
            <w:r>
              <w:rPr>
                <w:bCs/>
                <w:b/>
                <w:sz w:val="18"/>
              </w:rPr>
              <w:t xml:space="preserve">Reply</w:t>
            </w:r>
            <w:r>
              <w:rPr>
                <w:sz w:val="18"/>
              </w:rPr>
              <w:t xml:space="preserve">,</w:t>
            </w:r>
            <w:r>
              <w:rPr>
                <w:sz w:val="18"/>
              </w:rPr>
              <w:t xml:space="preserve"> </w:t>
            </w:r>
            <w:r>
              <w:rPr>
                <w:bCs/>
                <w:b/>
                <w:sz w:val="18"/>
              </w:rPr>
              <w:t xml:space="preserve">Final reply</w:t>
            </w:r>
            <w:r>
              <w:rPr>
                <w:sz w:val="18"/>
              </w:rPr>
              <w:t xml:space="preserve">, IO and Ombudsman stage updates; monthly MIS</w:t>
            </w:r>
          </w:p>
        </w:tc>
        <w:tc>
          <w:tcPr>
            <w:tcW w:w="1754" w:type="dxa"/>
          </w:tcPr>
          <w:p>
            <w:pPr>
              <w:pStyle w:val="Compact"/>
              <w:spacing w:after="40"/>
              <w:jc w:val="left"/>
            </w:pPr>
            <w:r>
              <w:rPr>
                <w:sz w:val="18"/>
              </w:rPr>
              <w:t xml:space="preserve">GRO, nodal officer</w:t>
            </w:r>
          </w:p>
        </w:tc>
        <w:tc>
          <w:tcPr>
            <w:tcW w:w="1151" w:type="dxa"/>
          </w:tcPr>
          <w:p>
            <w:pPr>
              <w:pStyle w:val="Compact"/>
              <w:spacing w:after="40"/>
              <w:jc w:val="left"/>
            </w:pPr>
            <w:r>
              <w:rPr>
                <w:sz w:val="18"/>
              </w:rPr>
              <w:t xml:space="preserve">UB3</w:t>
            </w:r>
          </w:p>
        </w:tc>
      </w:tr>
      <w:tr>
        <w:tc>
          <w:tcPr>
            <w:tcW w:w="1733" w:type="dxa"/>
          </w:tcPr>
          <w:p>
            <w:pPr>
              <w:pStyle w:val="Compact"/>
              <w:spacing w:after="40"/>
              <w:jc w:val="left"/>
            </w:pPr>
            <w:r>
              <w:rPr>
                <w:rStyle w:val="VerbatimChar"/>
                <w:sz w:val="18"/>
              </w:rPr>
              <w:t xml:space="preserve">Help content</w:t>
            </w:r>
          </w:p>
        </w:tc>
        <w:tc>
          <w:tcPr>
            <w:tcW w:w="5000" w:type="dxa"/>
          </w:tcPr>
          <w:p>
            <w:pPr>
              <w:pStyle w:val="Compact"/>
              <w:spacing w:after="40"/>
              <w:jc w:val="left"/>
            </w:pPr>
            <w:r>
              <w:rPr>
                <w:sz w:val="18"/>
              </w:rPr>
              <w:t xml:space="preserve">RE-specific articles for approval</w:t>
            </w:r>
          </w:p>
        </w:tc>
        <w:tc>
          <w:tcPr>
            <w:tcW w:w="1754" w:type="dxa"/>
          </w:tcPr>
          <w:p>
            <w:pPr>
              <w:pStyle w:val="Compact"/>
              <w:spacing w:after="40"/>
              <w:jc w:val="left"/>
            </w:pPr>
            <w:r>
              <w:rPr>
                <w:sz w:val="18"/>
              </w:rPr>
              <w:t xml:space="preserve">Compliance</w:t>
            </w:r>
          </w:p>
        </w:tc>
        <w:tc>
          <w:tcPr>
            <w:tcW w:w="1151" w:type="dxa"/>
          </w:tcPr>
          <w:p>
            <w:pPr>
              <w:pStyle w:val="Compact"/>
              <w:spacing w:after="40"/>
              <w:jc w:val="left"/>
            </w:pPr>
            <w:r>
              <w:rPr>
                <w:sz w:val="18"/>
              </w:rPr>
              <w:t xml:space="preserve">UB4</w:t>
            </w:r>
          </w:p>
        </w:tc>
      </w:tr>
      <w:tr>
        <w:tc>
          <w:tcPr>
            <w:tcW w:w="1733" w:type="dxa"/>
          </w:tcPr>
          <w:p>
            <w:pPr>
              <w:pStyle w:val="Compact"/>
              <w:spacing w:after="40"/>
              <w:jc w:val="left"/>
            </w:pPr>
            <w:r>
              <w:rPr>
                <w:rStyle w:val="VerbatimChar"/>
                <w:sz w:val="18"/>
              </w:rPr>
              <w:t xml:space="preserve">DLG</w:t>
            </w:r>
          </w:p>
        </w:tc>
        <w:tc>
          <w:tcPr>
            <w:tcW w:w="5000" w:type="dxa"/>
          </w:tcPr>
          <w:p>
            <w:pPr>
              <w:pStyle w:val="Compact"/>
              <w:spacing w:after="40"/>
              <w:jc w:val="left"/>
            </w:pPr>
            <w:r>
              <w:rPr>
                <w:sz w:val="18"/>
              </w:rPr>
              <w:t xml:space="preserve">Arrangements, set membership and cover, headroom, invocation submission and settlement status, monthly disclosure copy</w:t>
            </w:r>
          </w:p>
        </w:tc>
        <w:tc>
          <w:tcPr>
            <w:tcW w:w="1754" w:type="dxa"/>
          </w:tcPr>
          <w:p>
            <w:pPr>
              <w:pStyle w:val="Compact"/>
              <w:spacing w:after="40"/>
              <w:jc w:val="left"/>
            </w:pPr>
            <w:r>
              <w:rPr>
                <w:sz w:val="18"/>
              </w:rPr>
              <w:t xml:space="preserve">Finance, risk</w:t>
            </w:r>
          </w:p>
        </w:tc>
        <w:tc>
          <w:tcPr>
            <w:tcW w:w="1151" w:type="dxa"/>
          </w:tcPr>
          <w:p>
            <w:pPr>
              <w:pStyle w:val="Compact"/>
              <w:spacing w:after="40"/>
              <w:jc w:val="left"/>
            </w:pPr>
            <w:r>
              <w:rPr>
                <w:sz w:val="18"/>
              </w:rPr>
              <w:t xml:space="preserve">U14; RA1.4</w:t>
            </w:r>
          </w:p>
        </w:tc>
      </w:tr>
      <w:tr>
        <w:tc>
          <w:tcPr>
            <w:tcW w:w="1733" w:type="dxa"/>
          </w:tcPr>
          <w:p>
            <w:pPr>
              <w:pStyle w:val="Compact"/>
              <w:spacing w:after="40"/>
              <w:jc w:val="left"/>
            </w:pPr>
            <w:r>
              <w:rPr>
                <w:rStyle w:val="VerbatimChar"/>
                <w:sz w:val="18"/>
              </w:rPr>
              <w:t xml:space="preserve">Reports</w:t>
            </w:r>
          </w:p>
        </w:tc>
        <w:tc>
          <w:tcPr>
            <w:tcW w:w="5000" w:type="dxa"/>
          </w:tcPr>
          <w:p>
            <w:pPr>
              <w:pStyle w:val="Compact"/>
              <w:spacing w:after="40"/>
              <w:jc w:val="left"/>
            </w:pPr>
            <w:r>
              <w:rPr>
                <w:sz w:val="18"/>
              </w:rPr>
              <w:t xml:space="preserve">Dashboards, scheduled reports, conduct and neutrality reports; Excel, CSV and PDF</w:t>
            </w:r>
          </w:p>
        </w:tc>
        <w:tc>
          <w:tcPr>
            <w:tcW w:w="1754" w:type="dxa"/>
          </w:tcPr>
          <w:p>
            <w:pPr>
              <w:pStyle w:val="Compact"/>
              <w:spacing w:after="40"/>
              <w:jc w:val="left"/>
            </w:pPr>
            <w:r>
              <w:rPr>
                <w:sz w:val="18"/>
              </w:rPr>
              <w:t xml:space="preserve">Management, compliance</w:t>
            </w:r>
          </w:p>
        </w:tc>
        <w:tc>
          <w:tcPr>
            <w:tcW w:w="1151" w:type="dxa"/>
          </w:tcPr>
          <w:p>
            <w:pPr>
              <w:pStyle w:val="Compact"/>
              <w:spacing w:after="40"/>
              <w:jc w:val="left"/>
            </w:pPr>
            <w:r>
              <w:rPr>
                <w:sz w:val="18"/>
              </w:rPr>
              <w:t xml:space="preserve">U19</w:t>
            </w:r>
          </w:p>
        </w:tc>
      </w:tr>
      <w:tr>
        <w:tc>
          <w:tcPr>
            <w:tcW w:w="1733" w:type="dxa"/>
          </w:tcPr>
          <w:p>
            <w:pPr>
              <w:pStyle w:val="Compact"/>
              <w:spacing w:after="40"/>
              <w:jc w:val="left"/>
            </w:pPr>
            <w:r>
              <w:rPr>
                <w:rStyle w:val="VerbatimChar"/>
                <w:sz w:val="18"/>
              </w:rPr>
              <w:t xml:space="preserve">Risk</w:t>
            </w:r>
          </w:p>
        </w:tc>
        <w:tc>
          <w:tcPr>
            <w:tcW w:w="5000" w:type="dxa"/>
          </w:tcPr>
          <w:p>
            <w:pPr>
              <w:pStyle w:val="Compact"/>
              <w:spacing w:after="40"/>
              <w:jc w:val="left"/>
            </w:pPr>
            <w:r>
              <w:rPr>
                <w:sz w:val="18"/>
              </w:rPr>
              <w:t xml:space="preserve">That RE’s quarterly packs, KRIs, DLG positions, incidents and notification times; acknowledge receipt</w:t>
            </w:r>
          </w:p>
        </w:tc>
        <w:tc>
          <w:tcPr>
            <w:tcW w:w="1754" w:type="dxa"/>
          </w:tcPr>
          <w:p>
            <w:pPr>
              <w:pStyle w:val="Compact"/>
              <w:spacing w:after="40"/>
              <w:jc w:val="left"/>
            </w:pPr>
            <w:r>
              <w:rPr>
                <w:sz w:val="18"/>
              </w:rPr>
              <w:t xml:space="preserve">CRO, CCO</w:t>
            </w:r>
          </w:p>
        </w:tc>
        <w:tc>
          <w:tcPr>
            <w:tcW w:w="1151" w:type="dxa"/>
          </w:tcPr>
          <w:p>
            <w:pPr>
              <w:pStyle w:val="Compact"/>
              <w:spacing w:after="40"/>
              <w:jc w:val="left"/>
            </w:pPr>
            <w:r>
              <w:rPr>
                <w:sz w:val="18"/>
              </w:rPr>
              <w:t xml:space="preserve">RA1</w:t>
            </w:r>
          </w:p>
        </w:tc>
      </w:tr>
      <w:tr>
        <w:tc>
          <w:tcPr>
            <w:tcW w:w="1733" w:type="dxa"/>
          </w:tcPr>
          <w:p>
            <w:pPr>
              <w:pStyle w:val="Compact"/>
              <w:spacing w:after="40"/>
              <w:jc w:val="left"/>
            </w:pPr>
            <w:r>
              <w:rPr>
                <w:rStyle w:val="VerbatimChar"/>
                <w:sz w:val="18"/>
              </w:rPr>
              <w:t xml:space="preserve">Audit access</w:t>
            </w:r>
          </w:p>
        </w:tc>
        <w:tc>
          <w:tcPr>
            <w:tcW w:w="5000" w:type="dxa"/>
          </w:tcPr>
          <w:p>
            <w:pPr>
              <w:pStyle w:val="Compact"/>
              <w:spacing w:after="40"/>
              <w:jc w:val="left"/>
            </w:pPr>
            <w:r>
              <w:rPr>
                <w:rStyle w:val="VerbatimChar"/>
                <w:sz w:val="18"/>
              </w:rPr>
              <w:t xml:space="preserve">› Requests</w:t>
            </w:r>
            <w:r>
              <w:rPr>
                <w:sz w:val="18"/>
              </w:rPr>
              <w:t xml:space="preserve">,</w:t>
            </w:r>
            <w:r>
              <w:rPr>
                <w:sz w:val="18"/>
              </w:rPr>
              <w:t xml:space="preserve"> </w:t>
            </w:r>
            <w:r>
              <w:rPr>
                <w:rStyle w:val="VerbatimChar"/>
                <w:sz w:val="18"/>
              </w:rPr>
              <w:t xml:space="preserve">› Active grants</w:t>
            </w:r>
            <w:r>
              <w:rPr>
                <w:sz w:val="18"/>
              </w:rPr>
              <w:t xml:space="preserve">,</w:t>
            </w:r>
            <w:r>
              <w:rPr>
                <w:sz w:val="18"/>
              </w:rPr>
              <w:t xml:space="preserve"> </w:t>
            </w:r>
            <w:r>
              <w:rPr>
                <w:rStyle w:val="VerbatimChar"/>
                <w:sz w:val="18"/>
              </w:rPr>
              <w:t xml:space="preserve">› Activity</w:t>
            </w:r>
          </w:p>
        </w:tc>
        <w:tc>
          <w:tcPr>
            <w:tcW w:w="1754" w:type="dxa"/>
          </w:tcPr>
          <w:p>
            <w:pPr>
              <w:pStyle w:val="Compact"/>
              <w:spacing w:after="40"/>
              <w:jc w:val="left"/>
            </w:pPr>
            <w:r>
              <w:rPr>
                <w:sz w:val="18"/>
              </w:rPr>
              <w:t xml:space="preserve">CCO (maker), CISO or MD delegate (checker)</w:t>
            </w:r>
          </w:p>
        </w:tc>
        <w:tc>
          <w:tcPr>
            <w:tcW w:w="1151" w:type="dxa"/>
          </w:tcPr>
          <w:p>
            <w:pPr>
              <w:pStyle w:val="Compact"/>
              <w:spacing w:after="40"/>
              <w:jc w:val="left"/>
            </w:pPr>
            <w:r>
              <w:rPr>
                <w:sz w:val="18"/>
              </w:rPr>
              <w:t xml:space="preserve">RA2</w:t>
            </w:r>
          </w:p>
        </w:tc>
      </w:tr>
      <w:tr>
        <w:tc>
          <w:tcPr>
            <w:tcW w:w="1733" w:type="dxa"/>
          </w:tcPr>
          <w:p>
            <w:pPr>
              <w:pStyle w:val="Compact"/>
              <w:spacing w:after="40"/>
              <w:jc w:val="left"/>
            </w:pPr>
            <w:r>
              <w:rPr>
                <w:rStyle w:val="VerbatimChar"/>
                <w:sz w:val="18"/>
              </w:rPr>
              <w:t xml:space="preserve">Exports</w:t>
            </w:r>
          </w:p>
        </w:tc>
        <w:tc>
          <w:tcPr>
            <w:tcW w:w="5000" w:type="dxa"/>
          </w:tcPr>
          <w:p>
            <w:pPr>
              <w:pStyle w:val="Compact"/>
              <w:spacing w:after="40"/>
              <w:jc w:val="left"/>
            </w:pPr>
            <w:r>
              <w:rPr>
                <w:rStyle w:val="VerbatimChar"/>
                <w:sz w:val="18"/>
              </w:rPr>
              <w:t xml:space="preserve">› Packs</w:t>
            </w:r>
            <w:r>
              <w:rPr>
                <w:sz w:val="18"/>
              </w:rPr>
              <w:t xml:space="preserve"> </w:t>
            </w:r>
            <w:r>
              <w:rPr>
                <w:sz w:val="18"/>
              </w:rPr>
              <w:t xml:space="preserve">(UP3 catalogue P1–P10, request wizard, history with</w:t>
            </w:r>
            <w:r>
              <w:rPr>
                <w:sz w:val="18"/>
              </w:rPr>
              <w:t xml:space="preserve"> </w:t>
            </w:r>
            <w:r>
              <w:rPr>
                <w:bCs/>
                <w:b/>
                <w:sz w:val="18"/>
              </w:rPr>
              <w:t xml:space="preserve">Verify</w:t>
            </w:r>
            <w:r>
              <w:rPr>
                <w:sz w:val="18"/>
              </w:rPr>
              <w:t xml:space="preserve">; same screen as</w:t>
            </w:r>
            <w:r>
              <w:rPr>
                <w:sz w:val="18"/>
              </w:rPr>
              <w:t xml:space="preserve"> </w:t>
            </w:r>
            <w:r>
              <w:rPr>
                <w:rStyle w:val="VerbatimChar"/>
                <w:sz w:val="18"/>
              </w:rPr>
              <w:t xml:space="preserve">Partners › Exports</w:t>
            </w:r>
            <w:r>
              <w:rPr>
                <w:sz w:val="18"/>
              </w:rPr>
              <w:t xml:space="preserve">);</w:t>
            </w:r>
            <w:r>
              <w:rPr>
                <w:sz w:val="18"/>
              </w:rPr>
              <w:t xml:space="preserve"> </w:t>
            </w:r>
            <w:r>
              <w:rPr>
                <w:rStyle w:val="VerbatimChar"/>
                <w:sz w:val="18"/>
              </w:rPr>
              <w:t xml:space="preserve">› New export</w:t>
            </w:r>
            <w:r>
              <w:rPr>
                <w:sz w:val="18"/>
              </w:rPr>
              <w:t xml:space="preserve">,</w:t>
            </w:r>
            <w:r>
              <w:rPr>
                <w:sz w:val="18"/>
              </w:rPr>
              <w:t xml:space="preserve"> </w:t>
            </w:r>
            <w:r>
              <w:rPr>
                <w:rStyle w:val="VerbatimChar"/>
                <w:sz w:val="18"/>
              </w:rPr>
              <w:t xml:space="preserve">› Jobs</w:t>
            </w:r>
            <w:r>
              <w:rPr>
                <w:sz w:val="18"/>
              </w:rPr>
              <w:t xml:space="preserve">,</w:t>
            </w:r>
            <w:r>
              <w:rPr>
                <w:sz w:val="18"/>
              </w:rPr>
              <w:t xml:space="preserve"> </w:t>
            </w:r>
            <w:r>
              <w:rPr>
                <w:rStyle w:val="VerbatimChar"/>
                <w:sz w:val="18"/>
              </w:rPr>
              <w:t xml:space="preserve">› Storage targets</w:t>
            </w:r>
            <w:r>
              <w:rPr>
                <w:sz w:val="18"/>
              </w:rPr>
              <w:t xml:space="preserve">,</w:t>
            </w:r>
            <w:r>
              <w:rPr>
                <w:sz w:val="18"/>
              </w:rPr>
              <w:t xml:space="preserve"> </w:t>
            </w:r>
            <w:r>
              <w:rPr>
                <w:rStyle w:val="VerbatimChar"/>
                <w:sz w:val="18"/>
              </w:rPr>
              <w:t xml:space="preserve">› Backups and restore tests</w:t>
            </w:r>
            <w:r>
              <w:rPr>
                <w:sz w:val="18"/>
              </w:rPr>
              <w:t xml:space="preserve"> </w:t>
            </w:r>
            <w:r>
              <w:rPr>
                <w:sz w:val="18"/>
              </w:rPr>
              <w:t xml:space="preserve">(RA3)</w:t>
            </w:r>
          </w:p>
        </w:tc>
        <w:tc>
          <w:tcPr>
            <w:tcW w:w="1754" w:type="dxa"/>
          </w:tcPr>
          <w:p>
            <w:pPr>
              <w:pStyle w:val="Compact"/>
              <w:spacing w:after="40"/>
              <w:jc w:val="left"/>
            </w:pPr>
            <w:r>
              <w:rPr>
                <w:sz w:val="18"/>
              </w:rPr>
              <w:t xml:space="preserve">Compliance, audit, IT admin</w:t>
            </w:r>
          </w:p>
        </w:tc>
        <w:tc>
          <w:tcPr>
            <w:tcW w:w="1151" w:type="dxa"/>
          </w:tcPr>
          <w:p>
            <w:pPr>
              <w:pStyle w:val="Compact"/>
              <w:spacing w:after="40"/>
              <w:jc w:val="left"/>
            </w:pPr>
            <w:r>
              <w:rPr>
                <w:sz w:val="18"/>
              </w:rPr>
              <w:t xml:space="preserve">UP3; RA3</w:t>
            </w:r>
          </w:p>
        </w:tc>
      </w:tr>
      <w:tr>
        <w:tc>
          <w:tcPr>
            <w:tcW w:w="1733" w:type="dxa"/>
          </w:tcPr>
          <w:p>
            <w:pPr>
              <w:pStyle w:val="Compact"/>
              <w:spacing w:after="40"/>
              <w:jc w:val="left"/>
            </w:pPr>
            <w:r>
              <w:rPr>
                <w:rStyle w:val="VerbatimChar"/>
                <w:sz w:val="18"/>
              </w:rPr>
              <w:t xml:space="preserve">Partners</w:t>
            </w:r>
          </w:p>
        </w:tc>
        <w:tc>
          <w:tcPr>
            <w:tcW w:w="5000" w:type="dxa"/>
          </w:tcPr>
          <w:p>
            <w:pPr>
              <w:pStyle w:val="Compact"/>
              <w:spacing w:after="40"/>
              <w:jc w:val="left"/>
            </w:pPr>
            <w:r>
              <w:rPr>
                <w:sz w:val="18"/>
              </w:rPr>
              <w:t xml:space="preserve">See G.5</w:t>
            </w:r>
          </w:p>
        </w:tc>
        <w:tc>
          <w:tcPr>
            <w:tcW w:w="1754" w:type="dxa"/>
          </w:tcPr>
          <w:p>
            <w:pPr>
              <w:pStyle w:val="Compact"/>
              <w:spacing w:after="40"/>
              <w:jc w:val="left"/>
            </w:pPr>
            <w:r>
              <w:rPr>
                <w:sz w:val="18"/>
              </w:rPr>
              <w:t xml:space="preserve">CCO, outsourcing owner</w:t>
            </w:r>
          </w:p>
        </w:tc>
        <w:tc>
          <w:tcPr>
            <w:tcW w:w="1151" w:type="dxa"/>
          </w:tcPr>
          <w:p>
            <w:pPr>
              <w:pStyle w:val="Compact"/>
              <w:spacing w:after="40"/>
              <w:jc w:val="left"/>
            </w:pPr>
            <w:r>
              <w:rPr>
                <w:sz w:val="18"/>
              </w:rPr>
              <w:t xml:space="preserve">UP1–UP5</w:t>
            </w:r>
          </w:p>
        </w:tc>
      </w:tr>
      <w:tr>
        <w:tc>
          <w:tcPr>
            <w:tcW w:w="1733" w:type="dxa"/>
          </w:tcPr>
          <w:p>
            <w:pPr>
              <w:pStyle w:val="Compact"/>
              <w:spacing w:after="40"/>
              <w:jc w:val="left"/>
            </w:pPr>
            <w:r>
              <w:rPr>
                <w:rStyle w:val="VerbatimChar"/>
                <w:sz w:val="18"/>
              </w:rPr>
              <w:t xml:space="preserve">Billing and plan</w:t>
            </w:r>
          </w:p>
        </w:tc>
        <w:tc>
          <w:tcPr>
            <w:tcW w:w="5000" w:type="dxa"/>
          </w:tcPr>
          <w:p>
            <w:pPr>
              <w:pStyle w:val="Compact"/>
              <w:spacing w:after="40"/>
              <w:jc w:val="left"/>
            </w:pPr>
            <w:r>
              <w:rPr>
                <w:rStyle w:val="VerbatimChar"/>
                <w:sz w:val="18"/>
              </w:rPr>
              <w:t xml:space="preserve">› Plan and deal</w:t>
            </w:r>
            <w:r>
              <w:rPr>
                <w:sz w:val="18"/>
              </w:rPr>
              <w:t xml:space="preserve">,</w:t>
            </w:r>
            <w:r>
              <w:rPr>
                <w:sz w:val="18"/>
              </w:rPr>
              <w:t xml:space="preserve"> </w:t>
            </w:r>
            <w:r>
              <w:rPr>
                <w:rStyle w:val="VerbatimChar"/>
                <w:sz w:val="18"/>
              </w:rPr>
              <w:t xml:space="preserve">› Usage</w:t>
            </w:r>
            <w:r>
              <w:rPr>
                <w:sz w:val="18"/>
              </w:rPr>
              <w:t xml:space="preserve">,</w:t>
            </w:r>
            <w:r>
              <w:rPr>
                <w:sz w:val="18"/>
              </w:rPr>
              <w:t xml:space="preserve"> </w:t>
            </w:r>
            <w:r>
              <w:rPr>
                <w:rStyle w:val="VerbatimChar"/>
                <w:sz w:val="18"/>
              </w:rPr>
              <w:t xml:space="preserve">› Invoices</w:t>
            </w:r>
            <w:r>
              <w:rPr>
                <w:sz w:val="18"/>
              </w:rPr>
              <w:t xml:space="preserve">,</w:t>
            </w:r>
            <w:r>
              <w:rPr>
                <w:sz w:val="18"/>
              </w:rPr>
              <w:t xml:space="preserve"> </w:t>
            </w:r>
            <w:r>
              <w:rPr>
                <w:rStyle w:val="VerbatimChar"/>
                <w:sz w:val="18"/>
              </w:rPr>
              <w:t xml:space="preserve">› Payment methods</w:t>
            </w:r>
            <w:r>
              <w:rPr>
                <w:sz w:val="18"/>
              </w:rPr>
              <w:t xml:space="preserve">,</w:t>
            </w:r>
            <w:r>
              <w:rPr>
                <w:sz w:val="18"/>
              </w:rPr>
              <w:t xml:space="preserve"> </w:t>
            </w:r>
            <w:r>
              <w:rPr>
                <w:rStyle w:val="VerbatimChar"/>
                <w:sz w:val="18"/>
              </w:rPr>
              <w:t xml:space="preserve">› Change requests</w:t>
            </w:r>
            <w:r>
              <w:rPr>
                <w:sz w:val="18"/>
              </w:rPr>
              <w:t xml:space="preserve">,</w:t>
            </w:r>
            <w:r>
              <w:rPr>
                <w:sz w:val="18"/>
              </w:rPr>
              <w:t xml:space="preserve"> </w:t>
            </w:r>
            <w:r>
              <w:rPr>
                <w:rStyle w:val="VerbatimChar"/>
                <w:sz w:val="18"/>
              </w:rPr>
              <w:t xml:space="preserve">› Settings</w:t>
            </w:r>
          </w:p>
        </w:tc>
        <w:tc>
          <w:tcPr>
            <w:tcW w:w="1754" w:type="dxa"/>
          </w:tcPr>
          <w:p>
            <w:pPr>
              <w:pStyle w:val="Compact"/>
              <w:spacing w:after="40"/>
              <w:jc w:val="left"/>
            </w:pPr>
            <w:r>
              <w:rPr>
                <w:sz w:val="18"/>
              </w:rPr>
              <w:t xml:space="preserve">Finance, admin</w:t>
            </w:r>
          </w:p>
        </w:tc>
        <w:tc>
          <w:tcPr>
            <w:tcW w:w="1151" w:type="dxa"/>
          </w:tcPr>
          <w:p>
            <w:pPr>
              <w:pStyle w:val="Compact"/>
              <w:spacing w:after="40"/>
              <w:jc w:val="left"/>
            </w:pPr>
            <w:r>
              <w:rPr>
                <w:sz w:val="18"/>
              </w:rPr>
              <w:t xml:space="preserve">RV2.2</w:t>
            </w:r>
          </w:p>
        </w:tc>
      </w:tr>
      <w:tr>
        <w:tc>
          <w:tcPr>
            <w:tcW w:w="1733" w:type="dxa"/>
          </w:tcPr>
          <w:p>
            <w:pPr>
              <w:pStyle w:val="Compact"/>
              <w:spacing w:after="40"/>
              <w:jc w:val="left"/>
            </w:pPr>
            <w:r>
              <w:rPr>
                <w:rStyle w:val="VerbatimChar"/>
                <w:sz w:val="18"/>
              </w:rPr>
              <w:t xml:space="preserve">Settings</w:t>
            </w:r>
          </w:p>
        </w:tc>
        <w:tc>
          <w:tcPr>
            <w:tcW w:w="5000" w:type="dxa"/>
          </w:tcPr>
          <w:p>
            <w:pPr>
              <w:pStyle w:val="Compact"/>
              <w:spacing w:after="40"/>
              <w:jc w:val="left"/>
            </w:pPr>
            <w:r>
              <w:rPr>
                <w:rStyle w:val="VerbatimChar"/>
                <w:sz w:val="18"/>
              </w:rPr>
              <w:t xml:space="preserve">› Users and roles</w:t>
            </w:r>
            <w:r>
              <w:rPr>
                <w:sz w:val="18"/>
              </w:rPr>
              <w:t xml:space="preserve"> </w:t>
            </w:r>
            <w:r>
              <w:rPr>
                <w:sz w:val="18"/>
              </w:rPr>
              <w:t xml:space="preserve">(maker-checker, MFA),</w:t>
            </w:r>
            <w:r>
              <w:rPr>
                <w:sz w:val="18"/>
              </w:rPr>
              <w:t xml:space="preserve"> </w:t>
            </w:r>
            <w:r>
              <w:rPr>
                <w:rStyle w:val="VerbatimChar"/>
                <w:sz w:val="18"/>
              </w:rPr>
              <w:t xml:space="preserve">› Branding</w:t>
            </w:r>
            <w:r>
              <w:rPr>
                <w:sz w:val="18"/>
              </w:rPr>
              <w:t xml:space="preserve"> </w:t>
            </w:r>
            <w:r>
              <w:rPr>
                <w:sz w:val="18"/>
              </w:rPr>
              <w:t xml:space="preserve">(logo and permitted tokens),</w:t>
            </w:r>
            <w:r>
              <w:rPr>
                <w:sz w:val="18"/>
              </w:rPr>
              <w:t xml:space="preserve"> </w:t>
            </w:r>
            <w:r>
              <w:rPr>
                <w:rStyle w:val="VerbatimChar"/>
                <w:sz w:val="18"/>
              </w:rPr>
              <w:t xml:space="preserve">› Connectors and credentials</w:t>
            </w:r>
            <w:r>
              <w:rPr>
                <w:sz w:val="18"/>
              </w:rPr>
              <w:t xml:space="preserve"> </w:t>
            </w:r>
            <w:r>
              <w:rPr>
                <w:sz w:val="18"/>
              </w:rPr>
              <w:t xml:space="preserve">(U21),</w:t>
            </w:r>
            <w:r>
              <w:rPr>
                <w:sz w:val="18"/>
              </w:rPr>
              <w:t xml:space="preserve"> </w:t>
            </w:r>
            <w:r>
              <w:rPr>
                <w:rStyle w:val="VerbatimChar"/>
                <w:sz w:val="18"/>
              </w:rPr>
              <w:t xml:space="preserve">› Webhooks</w:t>
            </w:r>
            <w:r>
              <w:rPr>
                <w:sz w:val="18"/>
              </w:rPr>
              <w:t xml:space="preserve">,</w:t>
            </w:r>
            <w:r>
              <w:rPr>
                <w:sz w:val="18"/>
              </w:rPr>
              <w:t xml:space="preserve"> </w:t>
            </w:r>
            <w:r>
              <w:rPr>
                <w:rStyle w:val="VerbatimChar"/>
                <w:sz w:val="18"/>
              </w:rPr>
              <w:t xml:space="preserve">› Communications</w:t>
            </w:r>
            <w:r>
              <w:rPr>
                <w:sz w:val="18"/>
              </w:rPr>
              <w:t xml:space="preserve"> </w:t>
            </w:r>
            <w:r>
              <w:rPr>
                <w:sz w:val="18"/>
              </w:rPr>
              <w:t xml:space="preserve">(RA5),</w:t>
            </w:r>
            <w:r>
              <w:rPr>
                <w:sz w:val="18"/>
              </w:rPr>
              <w:t xml:space="preserve"> </w:t>
            </w:r>
            <w:r>
              <w:rPr>
                <w:rStyle w:val="VerbatimChar"/>
                <w:sz w:val="18"/>
              </w:rPr>
              <w:t xml:space="preserve">› Security and trust</w:t>
            </w:r>
            <w:r>
              <w:rPr>
                <w:sz w:val="18"/>
              </w:rPr>
              <w:t xml:space="preserve"> </w:t>
            </w:r>
            <w:r>
              <w:rPr>
                <w:sz w:val="18"/>
              </w:rPr>
              <w:t xml:space="preserve">(RA4),</w:t>
            </w:r>
            <w:r>
              <w:rPr>
                <w:sz w:val="18"/>
              </w:rPr>
              <w:t xml:space="preserve"> </w:t>
            </w:r>
            <w:r>
              <w:rPr>
                <w:rStyle w:val="VerbatimChar"/>
                <w:sz w:val="18"/>
              </w:rPr>
              <w:t xml:space="preserve">› Staff notifications</w:t>
            </w:r>
          </w:p>
        </w:tc>
        <w:tc>
          <w:tcPr>
            <w:tcW w:w="1754" w:type="dxa"/>
          </w:tcPr>
          <w:p>
            <w:pPr>
              <w:pStyle w:val="Compact"/>
              <w:spacing w:after="40"/>
              <w:jc w:val="left"/>
            </w:pPr>
            <w:r>
              <w:rPr>
                <w:sz w:val="18"/>
              </w:rPr>
              <w:t xml:space="preserve">Admin, IT, compliance</w:t>
            </w:r>
          </w:p>
        </w:tc>
        <w:tc>
          <w:tcPr>
            <w:tcW w:w="1151" w:type="dxa"/>
          </w:tcPr>
          <w:p>
            <w:pPr>
              <w:pStyle w:val="Compact"/>
              <w:spacing w:after="40"/>
              <w:jc w:val="left"/>
            </w:pPr>
            <w:r>
              <w:rPr>
                <w:sz w:val="18"/>
              </w:rPr>
              <w:t xml:space="preserve">U21, U23, RA4, RA5</w:t>
            </w:r>
          </w:p>
        </w:tc>
      </w:tr>
    </w:tbl>
    <w:bookmarkEnd w:id="550"/>
    <w:bookmarkStart w:id="551" w:name="Xe8e35cfeac53f11e2bd56e59f1f55186e98db19"/>
    <w:p>
      <w:pPr>
        <w:pStyle w:val="Heading2"/>
      </w:pPr>
      <w:r>
        <w:t xml:space="preserve">G.5 Partner portal (</w:t>
      </w:r>
      <w:r>
        <w:rPr>
          <w:rStyle w:val="VerbatimChar"/>
        </w:rPr>
        <w:t xml:space="preserve">Partners</w:t>
      </w:r>
      <w:r>
        <w:t xml:space="preserve"> </w:t>
      </w:r>
      <w:r>
        <w:t xml:space="preserve">workspace; channels C and D)</w:t>
      </w:r>
    </w:p>
    <w:p>
      <w:pPr>
        <w:pStyle w:val="FirstParagraph"/>
      </w:pPr>
      <w:r>
        <w:t xml:space="preserve">The partner portal is the</w:t>
      </w:r>
      <w:r>
        <w:t xml:space="preserve"> </w:t>
      </w:r>
      <w:r>
        <w:rPr>
          <w:rStyle w:val="VerbatimChar"/>
        </w:rPr>
        <w:t xml:space="preserve">Partners</w:t>
      </w:r>
      <w:r>
        <w:t xml:space="preserve"> </w:t>
      </w:r>
      <w:r>
        <w:t xml:space="preserve">workspace rendered in the operations portal (Udofin side) and in the lender portal (RE side) on the same records, with side-specific actions. Borrowers see nothing of a lender before the deal reaches</w:t>
      </w:r>
      <w:r>
        <w:t xml:space="preserve"> </w:t>
      </w:r>
      <w:r>
        <w:rPr>
          <w:rStyle w:val="VerbatimChar"/>
        </w:rPr>
        <w:t xml:space="preserve">PILOT</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97"/>
        <w:gridCol w:w="4499"/>
        <w:gridCol w:w="3110"/>
        <w:gridCol w:w="832"/>
      </w:tblGrid>
      <w:tr>
        <w:trPr>
          <w:tblHeader w:val="true"/>
          <w:tblHeader w:val="true"/>
        </w:trPr>
        <w:tc>
          <w:tcPr>
            <w:tcW w:w="1197" w:type="dxa"/>
            <w:shd w:val="clear" w:color="auto" w:fill="1F3A5F"/>
          </w:tcPr>
          <w:p>
            <w:pPr>
              <w:pStyle w:val="Compact"/>
              <w:spacing w:after="40"/>
              <w:jc w:val="left"/>
            </w:pPr>
            <w:r>
              <w:rPr>
                <w:b/>
                <w:color w:val="FFFFFF"/>
                <w:sz w:val="18"/>
              </w:rPr>
              <w:t xml:space="preserve">Path</w:t>
            </w:r>
          </w:p>
        </w:tc>
        <w:tc>
          <w:tcPr>
            <w:tcW w:w="4499" w:type="dxa"/>
            <w:shd w:val="clear" w:color="auto" w:fill="1F3A5F"/>
          </w:tcPr>
          <w:p>
            <w:pPr>
              <w:pStyle w:val="Compact"/>
              <w:spacing w:after="40"/>
              <w:jc w:val="left"/>
            </w:pPr>
            <w:r>
              <w:rPr>
                <w:b/>
                <w:color w:val="FFFFFF"/>
                <w:sz w:val="18"/>
              </w:rPr>
              <w:t xml:space="preserve">Udofin side (C)</w:t>
            </w:r>
          </w:p>
        </w:tc>
        <w:tc>
          <w:tcPr>
            <w:tcW w:w="3110" w:type="dxa"/>
            <w:shd w:val="clear" w:color="auto" w:fill="1F3A5F"/>
          </w:tcPr>
          <w:p>
            <w:pPr>
              <w:pStyle w:val="Compact"/>
              <w:spacing w:after="40"/>
              <w:jc w:val="left"/>
            </w:pPr>
            <w:r>
              <w:rPr>
                <w:b/>
                <w:color w:val="FFFFFF"/>
                <w:sz w:val="18"/>
              </w:rPr>
              <w:t xml:space="preserve">RE side (D)</w:t>
            </w:r>
          </w:p>
        </w:tc>
        <w:tc>
          <w:tcPr>
            <w:tcW w:w="832" w:type="dxa"/>
            <w:shd w:val="clear" w:color="auto" w:fill="1F3A5F"/>
          </w:tcPr>
          <w:p>
            <w:pPr>
              <w:pStyle w:val="Compact"/>
              <w:spacing w:after="40"/>
              <w:jc w:val="left"/>
            </w:pPr>
            <w:r>
              <w:rPr>
                <w:b/>
                <w:color w:val="FFFFFF"/>
                <w:sz w:val="18"/>
              </w:rPr>
              <w:t xml:space="preserve">Source</w:t>
            </w:r>
          </w:p>
        </w:tc>
      </w:tr>
      <w:tr>
        <w:tc>
          <w:tcPr>
            <w:tcW w:w="1197" w:type="dxa"/>
          </w:tcPr>
          <w:p>
            <w:pPr>
              <w:pStyle w:val="Compact"/>
              <w:spacing w:after="40"/>
              <w:jc w:val="left"/>
            </w:pPr>
            <w:r>
              <w:rPr>
                <w:rStyle w:val="VerbatimChar"/>
                <w:sz w:val="18"/>
              </w:rPr>
              <w:t xml:space="preserve">Partners › Deals</w:t>
            </w:r>
          </w:p>
        </w:tc>
        <w:tc>
          <w:tcPr>
            <w:tcW w:w="4499" w:type="dxa"/>
          </w:tcPr>
          <w:p>
            <w:pPr>
              <w:pStyle w:val="Compact"/>
              <w:spacing w:after="40"/>
              <w:jc w:val="left"/>
            </w:pPr>
            <w:r>
              <w:rPr>
                <w:sz w:val="18"/>
              </w:rPr>
              <w:t xml:space="preserve">Pipeline board with ageing chips and filters; deal tabs Overview, Gates, Due diligence, Configuration, Pilot, Reviews, Events, Audit trail;</w:t>
            </w:r>
            <w:r>
              <w:rPr>
                <w:sz w:val="18"/>
              </w:rPr>
              <w:t xml:space="preserve"> </w:t>
            </w:r>
            <w:r>
              <w:rPr>
                <w:bCs/>
                <w:b/>
                <w:sz w:val="18"/>
              </w:rPr>
              <w:t xml:space="preserve">New deal</w:t>
            </w:r>
            <w:r>
              <w:rPr>
                <w:sz w:val="18"/>
              </w:rPr>
              <w:t xml:space="preserve">;</w:t>
            </w:r>
            <w:r>
              <w:rPr>
                <w:sz w:val="18"/>
              </w:rPr>
              <w:t xml:space="preserve"> </w:t>
            </w:r>
            <w:r>
              <w:rPr>
                <w:bCs/>
                <w:b/>
                <w:sz w:val="18"/>
              </w:rPr>
              <w:t xml:space="preserve">Advance</w:t>
            </w:r>
            <w:r>
              <w:rPr>
                <w:sz w:val="18"/>
              </w:rPr>
              <w:t xml:space="preserve"> </w:t>
            </w:r>
            <w:r>
              <w:rPr>
                <w:sz w:val="18"/>
              </w:rPr>
              <w:t xml:space="preserve">(lists each failing gate item with a fix link),</w:t>
            </w:r>
            <w:r>
              <w:rPr>
                <w:sz w:val="18"/>
              </w:rPr>
              <w:t xml:space="preserve"> </w:t>
            </w:r>
            <w:r>
              <w:rPr>
                <w:bCs/>
                <w:b/>
                <w:sz w:val="18"/>
              </w:rPr>
              <w:t xml:space="preserve">Suspend</w:t>
            </w:r>
            <w:r>
              <w:rPr>
                <w:sz w:val="18"/>
              </w:rPr>
              <w:t xml:space="preserve">,</w:t>
            </w:r>
            <w:r>
              <w:rPr>
                <w:sz w:val="18"/>
              </w:rPr>
              <w:t xml:space="preserve"> </w:t>
            </w:r>
            <w:r>
              <w:rPr>
                <w:bCs/>
                <w:b/>
                <w:sz w:val="18"/>
              </w:rPr>
              <w:t xml:space="preserve">Withdraw</w:t>
            </w:r>
            <w:r>
              <w:rPr>
                <w:sz w:val="18"/>
              </w:rPr>
              <w:t xml:space="preserve">,</w:t>
            </w:r>
            <w:r>
              <w:rPr>
                <w:sz w:val="18"/>
              </w:rPr>
              <w:t xml:space="preserve"> </w:t>
            </w:r>
            <w:r>
              <w:rPr>
                <w:bCs/>
                <w:b/>
                <w:sz w:val="18"/>
              </w:rPr>
              <w:t xml:space="preserve">Start exit</w:t>
            </w:r>
            <w:r>
              <w:rPr>
                <w:sz w:val="18"/>
              </w:rPr>
              <w:t xml:space="preserve">; society deals add the eligibility checklist, name check, rule pack, counsel opinion and bulk</w:t>
            </w:r>
            <w:r>
              <w:rPr>
                <w:sz w:val="18"/>
              </w:rPr>
              <w:t xml:space="preserve"> </w:t>
            </w:r>
            <w:r>
              <w:rPr>
                <w:bCs/>
                <w:b/>
                <w:sz w:val="18"/>
              </w:rPr>
              <w:t xml:space="preserve">Re-verify</w:t>
            </w:r>
          </w:p>
        </w:tc>
        <w:tc>
          <w:tcPr>
            <w:tcW w:w="3110" w:type="dxa"/>
          </w:tcPr>
          <w:p>
            <w:pPr>
              <w:pStyle w:val="Compact"/>
              <w:spacing w:after="40"/>
              <w:jc w:val="left"/>
            </w:pPr>
            <w:r>
              <w:rPr>
                <w:sz w:val="18"/>
              </w:rPr>
              <w:t xml:space="preserve">Same deal record; countersign queue; RE approver roles from the outsourcing policy</w:t>
            </w:r>
          </w:p>
        </w:tc>
        <w:tc>
          <w:tcPr>
            <w:tcW w:w="832" w:type="dxa"/>
          </w:tcPr>
          <w:p>
            <w:pPr>
              <w:pStyle w:val="Compact"/>
              <w:spacing w:after="40"/>
              <w:jc w:val="left"/>
            </w:pPr>
            <w:r>
              <w:rPr>
                <w:sz w:val="18"/>
              </w:rPr>
              <w:t xml:space="preserve">UP1, UP4</w:t>
            </w:r>
          </w:p>
        </w:tc>
      </w:tr>
      <w:tr>
        <w:tc>
          <w:tcPr>
            <w:tcW w:w="1197" w:type="dxa"/>
          </w:tcPr>
          <w:p>
            <w:pPr>
              <w:pStyle w:val="Compact"/>
              <w:spacing w:after="40"/>
              <w:jc w:val="left"/>
            </w:pPr>
            <w:r>
              <w:rPr>
                <w:rStyle w:val="VerbatimChar"/>
                <w:sz w:val="18"/>
              </w:rPr>
              <w:t xml:space="preserve">Partners › Due diligence</w:t>
            </w:r>
          </w:p>
        </w:tc>
        <w:tc>
          <w:tcPr>
            <w:tcW w:w="4499" w:type="dxa"/>
          </w:tcPr>
          <w:p>
            <w:pPr>
              <w:pStyle w:val="Compact"/>
              <w:spacing w:after="40"/>
              <w:jc w:val="left"/>
            </w:pPr>
            <w:r>
              <w:rPr>
                <w:sz w:val="18"/>
              </w:rPr>
              <w:t xml:space="preserve">Udofin pack builder, counter-party checks, expiry calendar, bulk</w:t>
            </w:r>
            <w:r>
              <w:rPr>
                <w:sz w:val="18"/>
              </w:rPr>
              <w:t xml:space="preserve"> </w:t>
            </w:r>
            <w:r>
              <w:rPr>
                <w:bCs/>
                <w:b/>
                <w:sz w:val="18"/>
              </w:rPr>
              <w:t xml:space="preserve">Request refresh</w:t>
            </w:r>
          </w:p>
        </w:tc>
        <w:tc>
          <w:tcPr>
            <w:tcW w:w="3110" w:type="dxa"/>
          </w:tcPr>
          <w:p>
            <w:pPr>
              <w:pStyle w:val="Compact"/>
              <w:spacing w:after="40"/>
              <w:jc w:val="left"/>
            </w:pPr>
            <w:r>
              <w:rPr>
                <w:sz w:val="18"/>
              </w:rPr>
              <w:t xml:space="preserve">RE questionnaire inbox, declarations to sign (DSC or Aadhaar eSign)</w:t>
            </w:r>
          </w:p>
        </w:tc>
        <w:tc>
          <w:tcPr>
            <w:tcW w:w="832" w:type="dxa"/>
          </w:tcPr>
          <w:p>
            <w:pPr>
              <w:pStyle w:val="Compact"/>
              <w:spacing w:after="40"/>
              <w:jc w:val="left"/>
            </w:pPr>
            <w:r>
              <w:rPr>
                <w:sz w:val="18"/>
              </w:rPr>
              <w:t xml:space="preserve">UP1</w:t>
            </w:r>
          </w:p>
        </w:tc>
      </w:tr>
      <w:tr>
        <w:tc>
          <w:tcPr>
            <w:tcW w:w="1197" w:type="dxa"/>
          </w:tcPr>
          <w:p>
            <w:pPr>
              <w:pStyle w:val="Compact"/>
              <w:spacing w:after="40"/>
              <w:jc w:val="left"/>
            </w:pPr>
            <w:r>
              <w:rPr>
                <w:rStyle w:val="VerbatimChar"/>
                <w:sz w:val="18"/>
              </w:rPr>
              <w:t xml:space="preserve">Partners › Configuration</w:t>
            </w:r>
          </w:p>
        </w:tc>
        <w:tc>
          <w:tcPr>
            <w:tcW w:w="4499" w:type="dxa"/>
          </w:tcPr>
          <w:p>
            <w:pPr>
              <w:pStyle w:val="Compact"/>
              <w:spacing w:after="40"/>
              <w:jc w:val="left"/>
            </w:pPr>
            <w:r>
              <w:rPr>
                <w:sz w:val="18"/>
              </w:rPr>
              <w:t xml:space="preserve">Versions, twelve-section editor with explain-why validation, diff, impact panel, synthetic-borrower simulation;</w:t>
            </w:r>
            <w:r>
              <w:rPr>
                <w:sz w:val="18"/>
              </w:rPr>
              <w:t xml:space="preserve"> </w:t>
            </w:r>
            <w:r>
              <w:rPr>
                <w:bCs/>
                <w:b/>
                <w:sz w:val="18"/>
              </w:rPr>
              <w:t xml:space="preserve">Validate</w:t>
            </w:r>
            <w:r>
              <w:rPr>
                <w:sz w:val="18"/>
              </w:rPr>
              <w:t xml:space="preserve">,</w:t>
            </w:r>
            <w:r>
              <w:rPr>
                <w:sz w:val="18"/>
              </w:rPr>
              <w:t xml:space="preserve"> </w:t>
            </w:r>
            <w:r>
              <w:rPr>
                <w:bCs/>
                <w:b/>
                <w:sz w:val="18"/>
              </w:rPr>
              <w:t xml:space="preserve">Submit for approval</w:t>
            </w:r>
            <w:r>
              <w:rPr>
                <w:sz w:val="18"/>
              </w:rPr>
              <w:t xml:space="preserve">,</w:t>
            </w:r>
            <w:r>
              <w:rPr>
                <w:sz w:val="18"/>
              </w:rPr>
              <w:t xml:space="preserve"> </w:t>
            </w:r>
            <w:r>
              <w:rPr>
                <w:bCs/>
                <w:b/>
                <w:sz w:val="18"/>
              </w:rPr>
              <w:t xml:space="preserve">Send to RE</w:t>
            </w:r>
            <w:r>
              <w:rPr>
                <w:sz w:val="18"/>
              </w:rPr>
              <w:t xml:space="preserve">,</w:t>
            </w:r>
            <w:r>
              <w:rPr>
                <w:sz w:val="18"/>
              </w:rPr>
              <w:t xml:space="preserve"> </w:t>
            </w:r>
            <w:r>
              <w:rPr>
                <w:bCs/>
                <w:b/>
                <w:sz w:val="18"/>
              </w:rPr>
              <w:t xml:space="preserve">Schedule</w:t>
            </w:r>
            <w:r>
              <w:rPr>
                <w:sz w:val="18"/>
              </w:rPr>
              <w:t xml:space="preserve">,</w:t>
            </w:r>
            <w:r>
              <w:rPr>
                <w:sz w:val="18"/>
              </w:rPr>
              <w:t xml:space="preserve"> </w:t>
            </w:r>
            <w:r>
              <w:rPr>
                <w:bCs/>
                <w:b/>
                <w:sz w:val="18"/>
              </w:rPr>
              <w:t xml:space="preserve">Roll back</w:t>
            </w:r>
            <w:r>
              <w:rPr>
                <w:sz w:val="18"/>
              </w:rPr>
              <w:t xml:space="preserve">; U2 product approvals sit in the products and scope section</w:t>
            </w:r>
          </w:p>
        </w:tc>
        <w:tc>
          <w:tcPr>
            <w:tcW w:w="3110" w:type="dxa"/>
          </w:tcPr>
          <w:p>
            <w:pPr>
              <w:pStyle w:val="Compact"/>
              <w:spacing w:after="40"/>
              <w:jc w:val="left"/>
            </w:pPr>
            <w:r>
              <w:rPr>
                <w:bCs/>
                <w:b/>
                <w:sz w:val="18"/>
              </w:rPr>
              <w:t xml:space="preserve">Countersign</w:t>
            </w:r>
            <w:r>
              <w:rPr>
                <w:sz w:val="18"/>
              </w:rPr>
              <w:t xml:space="preserve">,</w:t>
            </w:r>
            <w:r>
              <w:rPr>
                <w:sz w:val="18"/>
              </w:rPr>
              <w:t xml:space="preserve"> </w:t>
            </w:r>
            <w:r>
              <w:rPr>
                <w:bCs/>
                <w:b/>
                <w:sz w:val="18"/>
              </w:rPr>
              <w:t xml:space="preserve">Reject with reasons</w:t>
            </w:r>
            <w:r>
              <w:rPr>
                <w:sz w:val="18"/>
              </w:rPr>
              <w:t xml:space="preserve">; export of any version as JSON plus PDF</w:t>
            </w:r>
          </w:p>
        </w:tc>
        <w:tc>
          <w:tcPr>
            <w:tcW w:w="832" w:type="dxa"/>
          </w:tcPr>
          <w:p>
            <w:pPr>
              <w:pStyle w:val="Compact"/>
              <w:spacing w:after="40"/>
              <w:jc w:val="left"/>
            </w:pPr>
            <w:r>
              <w:rPr>
                <w:sz w:val="18"/>
              </w:rPr>
              <w:t xml:space="preserve">UP2; U2</w:t>
            </w:r>
          </w:p>
        </w:tc>
      </w:tr>
      <w:tr>
        <w:tc>
          <w:tcPr>
            <w:tcW w:w="1197" w:type="dxa"/>
          </w:tcPr>
          <w:p>
            <w:pPr>
              <w:pStyle w:val="Compact"/>
              <w:spacing w:after="40"/>
              <w:jc w:val="left"/>
            </w:pPr>
            <w:r>
              <w:rPr>
                <w:rStyle w:val="VerbatimChar"/>
                <w:sz w:val="18"/>
              </w:rPr>
              <w:t xml:space="preserve">Partners › Exports</w:t>
            </w:r>
          </w:p>
        </w:tc>
        <w:tc>
          <w:tcPr>
            <w:tcW w:w="4499" w:type="dxa"/>
          </w:tcPr>
          <w:p>
            <w:pPr>
              <w:pStyle w:val="Compact"/>
              <w:spacing w:after="40"/>
              <w:jc w:val="left"/>
            </w:pPr>
            <w:r>
              <w:rPr>
                <w:sz w:val="18"/>
              </w:rPr>
              <w:t xml:space="preserve">Failure queue with</w:t>
            </w:r>
            <w:r>
              <w:rPr>
                <w:sz w:val="18"/>
              </w:rPr>
              <w:t xml:space="preserve"> </w:t>
            </w:r>
            <w:r>
              <w:rPr>
                <w:bCs/>
                <w:b/>
                <w:sz w:val="18"/>
              </w:rPr>
              <w:t xml:space="preserve">Retry on same snapshot</w:t>
            </w:r>
            <w:r>
              <w:rPr>
                <w:sz w:val="18"/>
              </w:rPr>
              <w:t xml:space="preserve">; operations view of schedules</w:t>
            </w:r>
          </w:p>
        </w:tc>
        <w:tc>
          <w:tcPr>
            <w:tcW w:w="3110" w:type="dxa"/>
          </w:tcPr>
          <w:p>
            <w:pPr>
              <w:pStyle w:val="Compact"/>
              <w:spacing w:after="40"/>
              <w:jc w:val="left"/>
            </w:pPr>
            <w:r>
              <w:rPr>
                <w:sz w:val="18"/>
              </w:rPr>
              <w:t xml:space="preserve">Pack catalogue and</w:t>
            </w:r>
            <w:r>
              <w:rPr>
                <w:sz w:val="18"/>
              </w:rPr>
              <w:t xml:space="preserve"> </w:t>
            </w:r>
            <w:r>
              <w:rPr>
                <w:bCs/>
                <w:b/>
                <w:sz w:val="18"/>
              </w:rPr>
              <w:t xml:space="preserve">Request pack</w:t>
            </w:r>
            <w:r>
              <w:rPr>
                <w:sz w:val="18"/>
              </w:rPr>
              <w:t xml:space="preserve"> </w:t>
            </w:r>
            <w:r>
              <w:rPr>
                <w:sz w:val="18"/>
              </w:rPr>
              <w:t xml:space="preserve">wizard (pack → period → scope → masking → approver → channel); history with</w:t>
            </w:r>
            <w:r>
              <w:rPr>
                <w:sz w:val="18"/>
              </w:rPr>
              <w:t xml:space="preserve"> </w:t>
            </w:r>
            <w:r>
              <w:rPr>
                <w:bCs/>
                <w:b/>
                <w:sz w:val="18"/>
              </w:rPr>
              <w:t xml:space="preserve">Verify</w:t>
            </w:r>
          </w:p>
        </w:tc>
        <w:tc>
          <w:tcPr>
            <w:tcW w:w="832" w:type="dxa"/>
          </w:tcPr>
          <w:p>
            <w:pPr>
              <w:pStyle w:val="Compact"/>
              <w:spacing w:after="40"/>
              <w:jc w:val="left"/>
            </w:pPr>
            <w:r>
              <w:rPr>
                <w:sz w:val="18"/>
              </w:rPr>
              <w:t xml:space="preserve">UP3</w:t>
            </w:r>
          </w:p>
        </w:tc>
      </w:tr>
      <w:tr>
        <w:tc>
          <w:tcPr>
            <w:tcW w:w="1197" w:type="dxa"/>
          </w:tcPr>
          <w:p>
            <w:pPr>
              <w:pStyle w:val="Compact"/>
              <w:spacing w:after="40"/>
              <w:jc w:val="left"/>
            </w:pPr>
            <w:r>
              <w:rPr>
                <w:rStyle w:val="VerbatimChar"/>
                <w:sz w:val="18"/>
              </w:rPr>
              <w:t xml:space="preserve">Partners › Exit</w:t>
            </w:r>
          </w:p>
        </w:tc>
        <w:tc>
          <w:tcPr>
            <w:tcW w:w="4499" w:type="dxa"/>
          </w:tcPr>
          <w:p>
            <w:pPr>
              <w:pStyle w:val="Compact"/>
              <w:spacing w:after="40"/>
              <w:jc w:val="left"/>
            </w:pPr>
            <w:r>
              <w:rPr>
                <w:sz w:val="18"/>
              </w:rPr>
              <w:t xml:space="preserve">Exit detail with borrower-position table, notice templates, export hashes;</w:t>
            </w:r>
            <w:r>
              <w:rPr>
                <w:sz w:val="18"/>
              </w:rPr>
              <w:t xml:space="preserve"> </w:t>
            </w:r>
            <w:r>
              <w:rPr>
                <w:bCs/>
                <w:b/>
                <w:sz w:val="18"/>
              </w:rPr>
              <w:t xml:space="preserve">Suspend</w:t>
            </w:r>
            <w:r>
              <w:rPr>
                <w:sz w:val="18"/>
              </w:rPr>
              <w:t xml:space="preserve">,</w:t>
            </w:r>
            <w:r>
              <w:rPr>
                <w:sz w:val="18"/>
              </w:rPr>
              <w:t xml:space="preserve"> </w:t>
            </w:r>
            <w:r>
              <w:rPr>
                <w:bCs/>
                <w:b/>
                <w:sz w:val="18"/>
              </w:rPr>
              <w:t xml:space="preserve">Lift suspension</w:t>
            </w:r>
            <w:r>
              <w:rPr>
                <w:sz w:val="18"/>
              </w:rPr>
              <w:t xml:space="preserve">,</w:t>
            </w:r>
            <w:r>
              <w:rPr>
                <w:sz w:val="18"/>
              </w:rPr>
              <w:t xml:space="preserve"> </w:t>
            </w:r>
            <w:r>
              <w:rPr>
                <w:bCs/>
                <w:b/>
                <w:sz w:val="18"/>
              </w:rPr>
              <w:t xml:space="preserve">Approve plan</w:t>
            </w:r>
            <w:r>
              <w:rPr>
                <w:sz w:val="18"/>
              </w:rPr>
              <w:t xml:space="preserve">,</w:t>
            </w:r>
            <w:r>
              <w:rPr>
                <w:sz w:val="18"/>
              </w:rPr>
              <w:t xml:space="preserve"> </w:t>
            </w:r>
            <w:r>
              <w:rPr>
                <w:bCs/>
                <w:b/>
                <w:sz w:val="18"/>
              </w:rPr>
              <w:t xml:space="preserve">Mark disputed</w:t>
            </w:r>
            <w:r>
              <w:rPr>
                <w:sz w:val="18"/>
              </w:rPr>
              <w:t xml:space="preserve">,</w:t>
            </w:r>
            <w:r>
              <w:rPr>
                <w:sz w:val="18"/>
              </w:rPr>
              <w:t xml:space="preserve"> </w:t>
            </w:r>
            <w:r>
              <w:rPr>
                <w:bCs/>
                <w:b/>
                <w:sz w:val="18"/>
              </w:rPr>
              <w:t xml:space="preserve">Issue destruction certificate</w:t>
            </w:r>
          </w:p>
        </w:tc>
        <w:tc>
          <w:tcPr>
            <w:tcW w:w="3110" w:type="dxa"/>
          </w:tcPr>
          <w:p>
            <w:pPr>
              <w:pStyle w:val="Compact"/>
              <w:spacing w:after="40"/>
              <w:jc w:val="left"/>
            </w:pPr>
            <w:r>
              <w:rPr>
                <w:bCs/>
                <w:b/>
                <w:sz w:val="18"/>
              </w:rPr>
              <w:t xml:space="preserve">Approve plan</w:t>
            </w:r>
            <w:r>
              <w:rPr>
                <w:sz w:val="18"/>
              </w:rPr>
              <w:t xml:space="preserve">, acknowledgements, data-return receipt</w:t>
            </w:r>
          </w:p>
        </w:tc>
        <w:tc>
          <w:tcPr>
            <w:tcW w:w="832" w:type="dxa"/>
          </w:tcPr>
          <w:p>
            <w:pPr>
              <w:pStyle w:val="Compact"/>
              <w:spacing w:after="40"/>
              <w:jc w:val="left"/>
            </w:pPr>
            <w:r>
              <w:rPr>
                <w:sz w:val="18"/>
              </w:rPr>
              <w:t xml:space="preserve">UP5</w:t>
            </w:r>
          </w:p>
        </w:tc>
      </w:tr>
      <w:tr>
        <w:tc>
          <w:tcPr>
            <w:tcW w:w="1197" w:type="dxa"/>
          </w:tcPr>
          <w:p>
            <w:pPr>
              <w:pStyle w:val="Compact"/>
              <w:spacing w:after="40"/>
              <w:jc w:val="left"/>
            </w:pPr>
            <w:r>
              <w:rPr>
                <w:rStyle w:val="VerbatimChar"/>
                <w:sz w:val="18"/>
              </w:rPr>
              <w:t xml:space="preserve">Partners › Members</w:t>
            </w:r>
          </w:p>
        </w:tc>
        <w:tc>
          <w:tcPr>
            <w:tcW w:w="4499" w:type="dxa"/>
          </w:tcPr>
          <w:p>
            <w:pPr>
              <w:pStyle w:val="Compact"/>
              <w:spacing w:after="40"/>
              <w:jc w:val="left"/>
            </w:pPr>
            <w:r>
              <w:rPr>
                <w:sz w:val="18"/>
              </w:rPr>
              <w:t xml:space="preserve">Not shown</w:t>
            </w:r>
          </w:p>
        </w:tc>
        <w:tc>
          <w:tcPr>
            <w:tcW w:w="3110" w:type="dxa"/>
          </w:tcPr>
          <w:p>
            <w:pPr>
              <w:pStyle w:val="Compact"/>
              <w:spacing w:after="40"/>
              <w:jc w:val="left"/>
            </w:pPr>
            <w:r>
              <w:rPr>
                <w:sz w:val="18"/>
              </w:rPr>
              <w:t xml:space="preserve">Society staff only: membership verification queue, membership applications with the deemed-refusal countdown, members’ loan applications with committee references</w:t>
            </w:r>
          </w:p>
        </w:tc>
        <w:tc>
          <w:tcPr>
            <w:tcW w:w="832" w:type="dxa"/>
          </w:tcPr>
          <w:p>
            <w:pPr>
              <w:pStyle w:val="Compact"/>
              <w:spacing w:after="40"/>
              <w:jc w:val="left"/>
            </w:pPr>
            <w:r>
              <w:rPr>
                <w:sz w:val="18"/>
              </w:rPr>
              <w:t xml:space="preserve">UP4; MG1</w:t>
            </w:r>
          </w:p>
        </w:tc>
      </w:tr>
    </w:tbl>
    <w:bookmarkEnd w:id="551"/>
    <w:bookmarkStart w:id="554" w:name="X6370b5bd1e17f6fd891c5933191851a89ddcc39"/>
    <w:p>
      <w:pPr>
        <w:pStyle w:val="Heading2"/>
      </w:pPr>
      <w:r>
        <w:t xml:space="preserve">G.6 Operations portal (channel C) and platform administration (channel F)</w:t>
      </w:r>
    </w:p>
    <w:bookmarkStart w:id="552" w:name="g.6.1-operations-portal-udofin-staff"/>
    <w:p>
      <w:pPr>
        <w:pStyle w:val="Heading3"/>
      </w:pPr>
      <w:r>
        <w:t xml:space="preserve">G.6.1 Operations portal (Udofin staff)</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79"/>
        <w:gridCol w:w="5040"/>
        <w:gridCol w:w="1922"/>
        <w:gridCol w:w="1097"/>
      </w:tblGrid>
      <w:tr>
        <w:trPr>
          <w:tblHeader w:val="true"/>
          <w:tblHeader w:val="true"/>
        </w:trPr>
        <w:tc>
          <w:tcPr>
            <w:tcW w:w="1579" w:type="dxa"/>
            <w:shd w:val="clear" w:color="auto" w:fill="1F3A5F"/>
          </w:tcPr>
          <w:p>
            <w:pPr>
              <w:pStyle w:val="Compact"/>
              <w:spacing w:after="40"/>
              <w:jc w:val="left"/>
            </w:pPr>
            <w:r>
              <w:rPr>
                <w:b/>
                <w:color w:val="FFFFFF"/>
                <w:sz w:val="18"/>
              </w:rPr>
              <w:t xml:space="preserve">Menu</w:t>
            </w:r>
          </w:p>
        </w:tc>
        <w:tc>
          <w:tcPr>
            <w:tcW w:w="5040" w:type="dxa"/>
            <w:shd w:val="clear" w:color="auto" w:fill="1F3A5F"/>
          </w:tcPr>
          <w:p>
            <w:pPr>
              <w:pStyle w:val="Compact"/>
              <w:spacing w:after="40"/>
              <w:jc w:val="left"/>
            </w:pPr>
            <w:r>
              <w:rPr>
                <w:b/>
                <w:color w:val="FFFFFF"/>
                <w:sz w:val="18"/>
              </w:rPr>
              <w:t xml:space="preserve">Screens and key actions</w:t>
            </w:r>
          </w:p>
        </w:tc>
        <w:tc>
          <w:tcPr>
            <w:tcW w:w="1922" w:type="dxa"/>
            <w:shd w:val="clear" w:color="auto" w:fill="1F3A5F"/>
          </w:tcPr>
          <w:p>
            <w:pPr>
              <w:pStyle w:val="Compact"/>
              <w:spacing w:after="40"/>
              <w:jc w:val="left"/>
            </w:pPr>
            <w:r>
              <w:rPr>
                <w:b/>
                <w:color w:val="FFFFFF"/>
                <w:sz w:val="18"/>
              </w:rPr>
              <w:t xml:space="preserve">Udofin roles</w:t>
            </w:r>
          </w:p>
        </w:tc>
        <w:tc>
          <w:tcPr>
            <w:tcW w:w="1097" w:type="dxa"/>
            <w:shd w:val="clear" w:color="auto" w:fill="1F3A5F"/>
          </w:tcPr>
          <w:p>
            <w:pPr>
              <w:pStyle w:val="Compact"/>
              <w:spacing w:after="40"/>
              <w:jc w:val="left"/>
            </w:pPr>
            <w:r>
              <w:rPr>
                <w:b/>
                <w:color w:val="FFFFFF"/>
                <w:sz w:val="18"/>
              </w:rPr>
              <w:t xml:space="preserve">Source</w:t>
            </w:r>
          </w:p>
        </w:tc>
      </w:tr>
      <w:tr>
        <w:tc>
          <w:tcPr>
            <w:tcW w:w="1579" w:type="dxa"/>
          </w:tcPr>
          <w:p>
            <w:pPr>
              <w:pStyle w:val="Compact"/>
              <w:spacing w:after="40"/>
              <w:jc w:val="left"/>
            </w:pPr>
            <w:r>
              <w:rPr>
                <w:rStyle w:val="VerbatimChar"/>
                <w:sz w:val="18"/>
              </w:rPr>
              <w:t xml:space="preserve">Home</w:t>
            </w:r>
          </w:p>
        </w:tc>
        <w:tc>
          <w:tcPr>
            <w:tcW w:w="5040" w:type="dxa"/>
          </w:tcPr>
          <w:p>
            <w:pPr>
              <w:pStyle w:val="Compact"/>
              <w:spacing w:after="40"/>
              <w:jc w:val="left"/>
            </w:pPr>
            <w:r>
              <w:rPr>
                <w:sz w:val="18"/>
              </w:rPr>
              <w:t xml:space="preserve">My queue (SLA-sorted across modules), incident banner, integration health summary</w:t>
            </w:r>
          </w:p>
        </w:tc>
        <w:tc>
          <w:tcPr>
            <w:tcW w:w="1922" w:type="dxa"/>
          </w:tcPr>
          <w:p>
            <w:pPr>
              <w:pStyle w:val="Compact"/>
              <w:spacing w:after="40"/>
              <w:jc w:val="left"/>
            </w:pPr>
            <w:r>
              <w:rPr>
                <w:sz w:val="18"/>
              </w:rPr>
              <w:t xml:space="preserve">All</w:t>
            </w:r>
          </w:p>
        </w:tc>
        <w:tc>
          <w:tcPr>
            <w:tcW w:w="1097" w:type="dxa"/>
          </w:tcPr>
          <w:p>
            <w:pPr>
              <w:pStyle w:val="Compact"/>
              <w:spacing w:after="40"/>
              <w:jc w:val="left"/>
            </w:pPr>
            <w:r>
              <w:rPr>
                <w:sz w:val="18"/>
              </w:rPr>
              <w:t xml:space="preserve">Part 10.7</w:t>
            </w:r>
          </w:p>
        </w:tc>
      </w:tr>
      <w:tr>
        <w:tc>
          <w:tcPr>
            <w:tcW w:w="1579" w:type="dxa"/>
          </w:tcPr>
          <w:p>
            <w:pPr>
              <w:pStyle w:val="Compact"/>
              <w:spacing w:after="40"/>
              <w:jc w:val="left"/>
            </w:pPr>
            <w:r>
              <w:rPr>
                <w:rStyle w:val="VerbatimChar"/>
                <w:sz w:val="18"/>
              </w:rPr>
              <w:t xml:space="preserve">Applications</w:t>
            </w:r>
          </w:p>
        </w:tc>
        <w:tc>
          <w:tcPr>
            <w:tcW w:w="5040" w:type="dxa"/>
          </w:tcPr>
          <w:p>
            <w:pPr>
              <w:pStyle w:val="Compact"/>
              <w:spacing w:after="40"/>
              <w:jc w:val="left"/>
            </w:pPr>
            <w:r>
              <w:rPr>
                <w:sz w:val="18"/>
              </w:rPr>
              <w:t xml:space="preserve">Exception queues: stuck states, connector failures, data mismatches, APR mismatches; no control can change an RE decision</w:t>
            </w:r>
          </w:p>
        </w:tc>
        <w:tc>
          <w:tcPr>
            <w:tcW w:w="1922" w:type="dxa"/>
          </w:tcPr>
          <w:p>
            <w:pPr>
              <w:pStyle w:val="Compact"/>
              <w:spacing w:after="40"/>
              <w:jc w:val="left"/>
            </w:pPr>
            <w:r>
              <w:rPr>
                <w:sz w:val="18"/>
              </w:rPr>
              <w:t xml:space="preserve">Operations</w:t>
            </w:r>
          </w:p>
        </w:tc>
        <w:tc>
          <w:tcPr>
            <w:tcW w:w="1097" w:type="dxa"/>
          </w:tcPr>
          <w:p>
            <w:pPr>
              <w:pStyle w:val="Compact"/>
              <w:spacing w:after="40"/>
              <w:jc w:val="left"/>
            </w:pPr>
            <w:r>
              <w:rPr>
                <w:sz w:val="18"/>
              </w:rPr>
              <w:t xml:space="preserve">U7, U8</w:t>
            </w:r>
          </w:p>
        </w:tc>
      </w:tr>
      <w:tr>
        <w:tc>
          <w:tcPr>
            <w:tcW w:w="1579" w:type="dxa"/>
          </w:tcPr>
          <w:p>
            <w:pPr>
              <w:pStyle w:val="Compact"/>
              <w:spacing w:after="40"/>
              <w:jc w:val="left"/>
            </w:pPr>
            <w:r>
              <w:rPr>
                <w:rStyle w:val="VerbatimChar"/>
                <w:sz w:val="18"/>
              </w:rPr>
              <w:t xml:space="preserve">Servicing</w:t>
            </w:r>
          </w:p>
        </w:tc>
        <w:tc>
          <w:tcPr>
            <w:tcW w:w="5040" w:type="dxa"/>
          </w:tcPr>
          <w:p>
            <w:pPr>
              <w:pStyle w:val="Compact"/>
              <w:spacing w:after="40"/>
              <w:jc w:val="left"/>
            </w:pPr>
            <w:r>
              <w:rPr>
                <w:rStyle w:val="VerbatimChar"/>
                <w:sz w:val="18"/>
              </w:rPr>
              <w:t xml:space="preserve">› Disbursal status</w:t>
            </w:r>
            <w:r>
              <w:rPr>
                <w:sz w:val="18"/>
              </w:rPr>
              <w:t xml:space="preserve"> </w:t>
            </w:r>
            <w:r>
              <w:rPr>
                <w:sz w:val="18"/>
              </w:rPr>
              <w:t xml:space="preserve">exceptions;</w:t>
            </w:r>
            <w:r>
              <w:rPr>
                <w:sz w:val="18"/>
              </w:rPr>
              <w:t xml:space="preserve"> </w:t>
            </w:r>
            <w:r>
              <w:rPr>
                <w:rStyle w:val="VerbatimChar"/>
                <w:sz w:val="18"/>
              </w:rPr>
              <w:t xml:space="preserve">› Payments and reconciliation</w:t>
            </w:r>
            <w:r>
              <w:rPr>
                <w:sz w:val="18"/>
              </w:rPr>
              <w:t xml:space="preserve"> </w:t>
            </w:r>
            <w:r>
              <w:rPr>
                <w:sz w:val="18"/>
              </w:rPr>
              <w:t xml:space="preserve">(gateway ↔ RE events ↔ mirror; break queue);</w:t>
            </w:r>
            <w:r>
              <w:rPr>
                <w:sz w:val="18"/>
              </w:rPr>
              <w:t xml:space="preserve"> </w:t>
            </w:r>
            <w:r>
              <w:rPr>
                <w:rStyle w:val="VerbatimChar"/>
                <w:sz w:val="18"/>
              </w:rPr>
              <w:t xml:space="preserve">› Service requests</w:t>
            </w:r>
            <w:r>
              <w:rPr>
                <w:sz w:val="18"/>
              </w:rPr>
              <w:t xml:space="preserve">;</w:t>
            </w:r>
            <w:r>
              <w:rPr>
                <w:sz w:val="18"/>
              </w:rPr>
              <w:t xml:space="preserve"> </w:t>
            </w:r>
            <w:r>
              <w:rPr>
                <w:rStyle w:val="VerbatimChar"/>
                <w:sz w:val="18"/>
              </w:rPr>
              <w:t xml:space="preserve">› Document requests</w:t>
            </w:r>
            <w:r>
              <w:rPr>
                <w:sz w:val="18"/>
              </w:rPr>
              <w:t xml:space="preserve"> </w:t>
            </w:r>
            <w:r>
              <w:rPr>
                <w:sz w:val="18"/>
              </w:rPr>
              <w:t xml:space="preserve">(clocks only, no content beyond support need)</w:t>
            </w:r>
          </w:p>
        </w:tc>
        <w:tc>
          <w:tcPr>
            <w:tcW w:w="1922" w:type="dxa"/>
          </w:tcPr>
          <w:p>
            <w:pPr>
              <w:pStyle w:val="Compact"/>
              <w:spacing w:after="40"/>
              <w:jc w:val="left"/>
            </w:pPr>
            <w:r>
              <w:rPr>
                <w:sz w:val="18"/>
              </w:rPr>
              <w:t xml:space="preserve">Operations, reconciliation</w:t>
            </w:r>
          </w:p>
        </w:tc>
        <w:tc>
          <w:tcPr>
            <w:tcW w:w="1097" w:type="dxa"/>
          </w:tcPr>
          <w:p>
            <w:pPr>
              <w:pStyle w:val="Compact"/>
              <w:spacing w:after="40"/>
              <w:jc w:val="left"/>
            </w:pPr>
            <w:r>
              <w:rPr>
                <w:sz w:val="18"/>
              </w:rPr>
              <w:t xml:space="preserve">U10–U12; UB1</w:t>
            </w:r>
          </w:p>
        </w:tc>
      </w:tr>
      <w:tr>
        <w:tc>
          <w:tcPr>
            <w:tcW w:w="1579" w:type="dxa"/>
          </w:tcPr>
          <w:p>
            <w:pPr>
              <w:pStyle w:val="Compact"/>
              <w:spacing w:after="40"/>
              <w:jc w:val="left"/>
            </w:pPr>
            <w:r>
              <w:rPr>
                <w:rStyle w:val="VerbatimChar"/>
                <w:sz w:val="18"/>
              </w:rPr>
              <w:t xml:space="preserve">Recovery</w:t>
            </w:r>
            <w:r>
              <w:rPr>
                <w:sz w:val="18"/>
              </w:rPr>
              <w:t xml:space="preserve"> </w:t>
            </w:r>
            <w:r>
              <w:rPr>
                <w:sz w:val="18"/>
              </w:rPr>
              <w:t xml:space="preserve">(Part 7A attached)</w:t>
            </w:r>
          </w:p>
        </w:tc>
        <w:tc>
          <w:tcPr>
            <w:tcW w:w="5040" w:type="dxa"/>
          </w:tcPr>
          <w:p>
            <w:pPr>
              <w:pStyle w:val="Compact"/>
              <w:spacing w:after="40"/>
              <w:jc w:val="left"/>
            </w:pPr>
            <w:r>
              <w:rPr>
                <w:rStyle w:val="VerbatimChar"/>
                <w:sz w:val="18"/>
              </w:rPr>
              <w:t xml:space="preserve">› Settlement status</w:t>
            </w:r>
            <w:r>
              <w:rPr>
                <w:sz w:val="18"/>
              </w:rPr>
              <w:t xml:space="preserve"> </w:t>
            </w:r>
            <w:r>
              <w:rPr>
                <w:sz w:val="18"/>
              </w:rPr>
              <w:t xml:space="preserve">(read-only);</w:t>
            </w:r>
            <w:r>
              <w:rPr>
                <w:sz w:val="18"/>
              </w:rPr>
              <w:t xml:space="preserve"> </w:t>
            </w:r>
            <w:r>
              <w:rPr>
                <w:rStyle w:val="VerbatimChar"/>
                <w:sz w:val="18"/>
              </w:rPr>
              <w:t xml:space="preserve">› Notice delivery</w:t>
            </w:r>
            <w:r>
              <w:rPr>
                <w:sz w:val="18"/>
              </w:rPr>
              <w:t xml:space="preserve">;</w:t>
            </w:r>
            <w:r>
              <w:rPr>
                <w:sz w:val="18"/>
              </w:rPr>
              <w:t xml:space="preserve"> </w:t>
            </w:r>
            <w:r>
              <w:rPr>
                <w:rStyle w:val="VerbatimChar"/>
                <w:sz w:val="18"/>
              </w:rPr>
              <w:t xml:space="preserve">› Tele-calling</w:t>
            </w:r>
            <w:r>
              <w:rPr>
                <w:sz w:val="18"/>
              </w:rPr>
              <w:t xml:space="preserve"> </w:t>
            </w:r>
            <w:r>
              <w:rPr>
                <w:sz w:val="18"/>
              </w:rPr>
              <w:t xml:space="preserve">(</w:t>
            </w:r>
            <w:r>
              <w:rPr>
                <w:rStyle w:val="VerbatimChar"/>
                <w:sz w:val="18"/>
              </w:rPr>
              <w:t xml:space="preserve">canContact</w:t>
            </w:r>
            <w:r>
              <w:rPr>
                <w:sz w:val="18"/>
              </w:rPr>
              <w:t xml:space="preserve"> </w:t>
            </w:r>
            <w:r>
              <w:rPr>
                <w:sz w:val="18"/>
              </w:rPr>
              <w:t xml:space="preserve">banner, scripts, outcome codes, QA) and</w:t>
            </w:r>
            <w:r>
              <w:rPr>
                <w:sz w:val="18"/>
              </w:rPr>
              <w:t xml:space="preserve"> </w:t>
            </w:r>
            <w:r>
              <w:rPr>
                <w:rStyle w:val="VerbatimChar"/>
                <w:sz w:val="18"/>
              </w:rPr>
              <w:t xml:space="preserve">› Agent register</w:t>
            </w:r>
            <w:r>
              <w:rPr>
                <w:sz w:val="18"/>
              </w:rPr>
              <w:t xml:space="preserve"> </w:t>
            </w:r>
            <w:r>
              <w:rPr>
                <w:sz w:val="18"/>
              </w:rPr>
              <w:t xml:space="preserve">(only where appointed);</w:t>
            </w:r>
            <w:r>
              <w:rPr>
                <w:sz w:val="18"/>
              </w:rPr>
              <w:t xml:space="preserve"> </w:t>
            </w:r>
            <w:r>
              <w:rPr>
                <w:rStyle w:val="VerbatimChar"/>
                <w:sz w:val="18"/>
              </w:rPr>
              <w:t xml:space="preserve">› Feeds</w:t>
            </w:r>
            <w:r>
              <w:rPr>
                <w:sz w:val="18"/>
              </w:rPr>
              <w:t xml:space="preserve"> </w:t>
            </w:r>
            <w:r>
              <w:rPr>
                <w:sz w:val="18"/>
              </w:rPr>
              <w:t xml:space="preserve">(UR5);</w:t>
            </w:r>
            <w:r>
              <w:rPr>
                <w:sz w:val="18"/>
              </w:rPr>
              <w:t xml:space="preserve"> </w:t>
            </w:r>
            <w:r>
              <w:rPr>
                <w:rStyle w:val="VerbatimChar"/>
                <w:sz w:val="18"/>
              </w:rPr>
              <w:t xml:space="preserve">› Conduct</w:t>
            </w:r>
            <w:r>
              <w:rPr>
                <w:sz w:val="18"/>
              </w:rPr>
              <w:t xml:space="preserve"> </w:t>
            </w:r>
            <w:r>
              <w:rPr>
                <w:sz w:val="18"/>
              </w:rPr>
              <w:t xml:space="preserve">(UR6)</w:t>
            </w:r>
          </w:p>
        </w:tc>
        <w:tc>
          <w:tcPr>
            <w:tcW w:w="1922" w:type="dxa"/>
          </w:tcPr>
          <w:p>
            <w:pPr>
              <w:pStyle w:val="Compact"/>
              <w:spacing w:after="40"/>
              <w:jc w:val="left"/>
            </w:pPr>
            <w:r>
              <w:rPr>
                <w:sz w:val="18"/>
              </w:rPr>
              <w:t xml:space="preserve">Collections operations, QA, compliance</w:t>
            </w:r>
          </w:p>
        </w:tc>
        <w:tc>
          <w:tcPr>
            <w:tcW w:w="1097" w:type="dxa"/>
          </w:tcPr>
          <w:p>
            <w:pPr>
              <w:pStyle w:val="Compact"/>
              <w:spacing w:after="40"/>
              <w:jc w:val="left"/>
            </w:pPr>
            <w:r>
              <w:rPr>
                <w:sz w:val="18"/>
              </w:rPr>
              <w:t xml:space="preserve">UR1–UR6</w:t>
            </w:r>
          </w:p>
        </w:tc>
      </w:tr>
      <w:tr>
        <w:tc>
          <w:tcPr>
            <w:tcW w:w="1579" w:type="dxa"/>
          </w:tcPr>
          <w:p>
            <w:pPr>
              <w:pStyle w:val="Compact"/>
              <w:spacing w:after="40"/>
              <w:jc w:val="left"/>
            </w:pPr>
            <w:r>
              <w:rPr>
                <w:rStyle w:val="VerbatimChar"/>
                <w:sz w:val="18"/>
              </w:rPr>
              <w:t xml:space="preserve">Grievances</w:t>
            </w:r>
          </w:p>
        </w:tc>
        <w:tc>
          <w:tcPr>
            <w:tcW w:w="5040" w:type="dxa"/>
          </w:tcPr>
          <w:p>
            <w:pPr>
              <w:pStyle w:val="Compact"/>
              <w:spacing w:after="40"/>
              <w:jc w:val="left"/>
            </w:pPr>
            <w:r>
              <w:rPr>
                <w:sz w:val="18"/>
              </w:rPr>
              <w:t xml:space="preserve">Tiered queues T0–T2, case detail with clocks and forwarding evidence, breach board, RE acknowledgement monitor;</w:t>
            </w:r>
            <w:r>
              <w:rPr>
                <w:sz w:val="18"/>
              </w:rPr>
              <w:t xml:space="preserve"> </w:t>
            </w:r>
            <w:r>
              <w:rPr>
                <w:bCs/>
                <w:b/>
                <w:sz w:val="18"/>
              </w:rPr>
              <w:t xml:space="preserve">Classify</w:t>
            </w:r>
            <w:r>
              <w:rPr>
                <w:sz w:val="18"/>
              </w:rPr>
              <w:t xml:space="preserve">,</w:t>
            </w:r>
            <w:r>
              <w:rPr>
                <w:sz w:val="18"/>
              </w:rPr>
              <w:t xml:space="preserve"> </w:t>
            </w:r>
            <w:r>
              <w:rPr>
                <w:bCs/>
                <w:b/>
                <w:sz w:val="18"/>
              </w:rPr>
              <w:t xml:space="preserve">Forward to RE</w:t>
            </w:r>
            <w:r>
              <w:rPr>
                <w:sz w:val="18"/>
              </w:rPr>
              <w:t xml:space="preserve">,</w:t>
            </w:r>
            <w:r>
              <w:rPr>
                <w:sz w:val="18"/>
              </w:rPr>
              <w:t xml:space="preserve"> </w:t>
            </w:r>
            <w:r>
              <w:rPr>
                <w:bCs/>
                <w:b/>
                <w:sz w:val="18"/>
              </w:rPr>
              <w:t xml:space="preserve">Resolve (Udofin only)</w:t>
            </w:r>
            <w:r>
              <w:rPr>
                <w:sz w:val="18"/>
              </w:rPr>
              <w:t xml:space="preserve">,</w:t>
            </w:r>
            <w:r>
              <w:rPr>
                <w:sz w:val="18"/>
              </w:rPr>
              <w:t xml:space="preserve"> </w:t>
            </w:r>
            <w:r>
              <w:rPr>
                <w:bCs/>
                <w:b/>
                <w:sz w:val="18"/>
              </w:rPr>
              <w:t xml:space="preserve">Escalate</w:t>
            </w:r>
            <w:r>
              <w:rPr>
                <w:sz w:val="18"/>
              </w:rPr>
              <w:t xml:space="preserve">,</w:t>
            </w:r>
            <w:r>
              <w:rPr>
                <w:sz w:val="18"/>
              </w:rPr>
              <w:t xml:space="preserve"> </w:t>
            </w:r>
            <w:r>
              <w:rPr>
                <w:bCs/>
                <w:b/>
                <w:sz w:val="18"/>
              </w:rPr>
              <w:t xml:space="preserve">Request information</w:t>
            </w:r>
            <w:r>
              <w:rPr>
                <w:sz w:val="18"/>
              </w:rPr>
              <w:t xml:space="preserve">; shortcuts</w:t>
            </w:r>
            <w:r>
              <w:rPr>
                <w:sz w:val="18"/>
              </w:rPr>
              <w:t xml:space="preserve"> </w:t>
            </w:r>
            <w:r>
              <w:rPr>
                <w:rStyle w:val="VerbatimChar"/>
                <w:sz w:val="18"/>
              </w:rPr>
              <w:t xml:space="preserve">f</w:t>
            </w:r>
            <w:r>
              <w:rPr>
                <w:sz w:val="18"/>
              </w:rPr>
              <w:t xml:space="preserve">,</w:t>
            </w:r>
            <w:r>
              <w:rPr>
                <w:sz w:val="18"/>
              </w:rPr>
              <w:t xml:space="preserve"> </w:t>
            </w:r>
            <w:r>
              <w:rPr>
                <w:rStyle w:val="VerbatimChar"/>
                <w:sz w:val="18"/>
              </w:rPr>
              <w:t xml:space="preserve">r</w:t>
            </w:r>
            <w:r>
              <w:rPr>
                <w:sz w:val="18"/>
              </w:rPr>
              <w:t xml:space="preserve">,</w:t>
            </w:r>
            <w:r>
              <w:rPr>
                <w:sz w:val="18"/>
              </w:rPr>
              <w:t xml:space="preserve"> </w:t>
            </w:r>
            <w:r>
              <w:rPr>
                <w:rStyle w:val="VerbatimChar"/>
                <w:sz w:val="18"/>
              </w:rPr>
              <w:t xml:space="preserve">e</w:t>
            </w:r>
          </w:p>
        </w:tc>
        <w:tc>
          <w:tcPr>
            <w:tcW w:w="1922" w:type="dxa"/>
          </w:tcPr>
          <w:p>
            <w:pPr>
              <w:pStyle w:val="Compact"/>
              <w:spacing w:after="40"/>
              <w:jc w:val="left"/>
            </w:pPr>
            <w:r>
              <w:rPr>
                <w:sz w:val="18"/>
              </w:rPr>
              <w:t xml:space="preserve">Support, GRO, grievance head</w:t>
            </w:r>
          </w:p>
        </w:tc>
        <w:tc>
          <w:tcPr>
            <w:tcW w:w="1097" w:type="dxa"/>
          </w:tcPr>
          <w:p>
            <w:pPr>
              <w:pStyle w:val="Compact"/>
              <w:spacing w:after="40"/>
              <w:jc w:val="left"/>
            </w:pPr>
            <w:r>
              <w:rPr>
                <w:sz w:val="18"/>
              </w:rPr>
              <w:t xml:space="preserve">UB3</w:t>
            </w:r>
          </w:p>
        </w:tc>
      </w:tr>
      <w:tr>
        <w:tc>
          <w:tcPr>
            <w:tcW w:w="1579" w:type="dxa"/>
          </w:tcPr>
          <w:p>
            <w:pPr>
              <w:pStyle w:val="Compact"/>
              <w:spacing w:after="40"/>
              <w:jc w:val="left"/>
            </w:pPr>
            <w:r>
              <w:rPr>
                <w:rStyle w:val="VerbatimChar"/>
                <w:sz w:val="18"/>
              </w:rPr>
              <w:t xml:space="preserve">Help centre</w:t>
            </w:r>
          </w:p>
        </w:tc>
        <w:tc>
          <w:tcPr>
            <w:tcW w:w="5040" w:type="dxa"/>
          </w:tcPr>
          <w:p>
            <w:pPr>
              <w:pStyle w:val="Compact"/>
              <w:spacing w:after="40"/>
              <w:jc w:val="left"/>
            </w:pPr>
            <w:r>
              <w:rPr>
                <w:sz w:val="18"/>
              </w:rPr>
              <w:t xml:space="preserve">Articles by owner, state and review date; editor with sources and approver</w:t>
            </w:r>
          </w:p>
        </w:tc>
        <w:tc>
          <w:tcPr>
            <w:tcW w:w="1922" w:type="dxa"/>
          </w:tcPr>
          <w:p>
            <w:pPr>
              <w:pStyle w:val="Compact"/>
              <w:spacing w:after="40"/>
              <w:jc w:val="left"/>
            </w:pPr>
            <w:r>
              <w:rPr>
                <w:sz w:val="18"/>
              </w:rPr>
              <w:t xml:space="preserve">Content owner, legal</w:t>
            </w:r>
          </w:p>
        </w:tc>
        <w:tc>
          <w:tcPr>
            <w:tcW w:w="1097" w:type="dxa"/>
          </w:tcPr>
          <w:p>
            <w:pPr>
              <w:pStyle w:val="Compact"/>
              <w:spacing w:after="40"/>
              <w:jc w:val="left"/>
            </w:pPr>
            <w:r>
              <w:rPr>
                <w:sz w:val="18"/>
              </w:rPr>
              <w:t xml:space="preserve">UB4</w:t>
            </w:r>
          </w:p>
        </w:tc>
      </w:tr>
      <w:tr>
        <w:tc>
          <w:tcPr>
            <w:tcW w:w="1579" w:type="dxa"/>
          </w:tcPr>
          <w:p>
            <w:pPr>
              <w:pStyle w:val="Compact"/>
              <w:spacing w:after="40"/>
              <w:jc w:val="left"/>
            </w:pPr>
            <w:r>
              <w:rPr>
                <w:rStyle w:val="VerbatimChar"/>
                <w:sz w:val="18"/>
              </w:rPr>
              <w:t xml:space="preserve">Partners</w:t>
            </w:r>
          </w:p>
        </w:tc>
        <w:tc>
          <w:tcPr>
            <w:tcW w:w="5040" w:type="dxa"/>
          </w:tcPr>
          <w:p>
            <w:pPr>
              <w:pStyle w:val="Compact"/>
              <w:spacing w:after="40"/>
              <w:jc w:val="left"/>
            </w:pPr>
            <w:r>
              <w:rPr>
                <w:sz w:val="18"/>
              </w:rPr>
              <w:t xml:space="preserve">See G.5</w:t>
            </w:r>
          </w:p>
        </w:tc>
        <w:tc>
          <w:tcPr>
            <w:tcW w:w="1922" w:type="dxa"/>
          </w:tcPr>
          <w:p>
            <w:pPr>
              <w:pStyle w:val="Compact"/>
              <w:spacing w:after="40"/>
              <w:jc w:val="left"/>
            </w:pPr>
            <w:r>
              <w:rPr>
                <w:sz w:val="18"/>
              </w:rPr>
              <w:t xml:space="preserve">Partnerships, legal, compliance, finance</w:t>
            </w:r>
          </w:p>
        </w:tc>
        <w:tc>
          <w:tcPr>
            <w:tcW w:w="1097" w:type="dxa"/>
          </w:tcPr>
          <w:p>
            <w:pPr>
              <w:pStyle w:val="Compact"/>
              <w:spacing w:after="40"/>
              <w:jc w:val="left"/>
            </w:pPr>
            <w:r>
              <w:rPr>
                <w:sz w:val="18"/>
              </w:rPr>
              <w:t xml:space="preserve">UP1–UP5</w:t>
            </w:r>
          </w:p>
        </w:tc>
      </w:tr>
      <w:tr>
        <w:tc>
          <w:tcPr>
            <w:tcW w:w="1579" w:type="dxa"/>
          </w:tcPr>
          <w:p>
            <w:pPr>
              <w:pStyle w:val="Compact"/>
              <w:spacing w:after="40"/>
              <w:jc w:val="left"/>
            </w:pPr>
            <w:r>
              <w:rPr>
                <w:rStyle w:val="VerbatimChar"/>
                <w:sz w:val="18"/>
              </w:rPr>
              <w:t xml:space="preserve">Products</w:t>
            </w:r>
          </w:p>
        </w:tc>
        <w:tc>
          <w:tcPr>
            <w:tcW w:w="5040" w:type="dxa"/>
          </w:tcPr>
          <w:p>
            <w:pPr>
              <w:pStyle w:val="Compact"/>
              <w:spacing w:after="40"/>
              <w:jc w:val="left"/>
            </w:pPr>
            <w:r>
              <w:rPr>
                <w:rStyle w:val="VerbatimChar"/>
                <w:sz w:val="18"/>
              </w:rPr>
              <w:t xml:space="preserve">› Registry</w:t>
            </w:r>
            <w:r>
              <w:rPr>
                <w:sz w:val="18"/>
              </w:rPr>
              <w:t xml:space="preserve">,</w:t>
            </w:r>
            <w:r>
              <w:rPr>
                <w:sz w:val="18"/>
              </w:rPr>
              <w:t xml:space="preserve"> </w:t>
            </w:r>
            <w:r>
              <w:rPr>
                <w:rStyle w:val="VerbatimChar"/>
                <w:sz w:val="18"/>
              </w:rPr>
              <w:t xml:space="preserve">› Licences</w:t>
            </w:r>
            <w:r>
              <w:rPr>
                <w:sz w:val="18"/>
              </w:rPr>
              <w:t xml:space="preserve">,</w:t>
            </w:r>
            <w:r>
              <w:rPr>
                <w:sz w:val="18"/>
              </w:rPr>
              <w:t xml:space="preserve"> </w:t>
            </w:r>
            <w:r>
              <w:rPr>
                <w:rStyle w:val="VerbatimChar"/>
                <w:sz w:val="18"/>
              </w:rPr>
              <w:t xml:space="preserve">› Product partners</w:t>
            </w:r>
            <w:r>
              <w:rPr>
                <w:sz w:val="18"/>
              </w:rPr>
              <w:t xml:space="preserve">,</w:t>
            </w:r>
            <w:r>
              <w:rPr>
                <w:sz w:val="18"/>
              </w:rPr>
              <w:t xml:space="preserve"> </w:t>
            </w:r>
            <w:r>
              <w:rPr>
                <w:rStyle w:val="VerbatimChar"/>
                <w:sz w:val="18"/>
              </w:rPr>
              <w:t xml:space="preserve">› Pipeline</w:t>
            </w:r>
            <w:r>
              <w:rPr>
                <w:sz w:val="18"/>
              </w:rPr>
              <w:t xml:space="preserve"> </w:t>
            </w:r>
            <w:r>
              <w:rPr>
                <w:sz w:val="18"/>
              </w:rPr>
              <w:t xml:space="preserve">(non-loan product modules)</w:t>
            </w:r>
          </w:p>
        </w:tc>
        <w:tc>
          <w:tcPr>
            <w:tcW w:w="1922" w:type="dxa"/>
          </w:tcPr>
          <w:p>
            <w:pPr>
              <w:pStyle w:val="Compact"/>
              <w:spacing w:after="40"/>
              <w:jc w:val="left"/>
            </w:pPr>
            <w:r>
              <w:rPr>
                <w:sz w:val="18"/>
              </w:rPr>
              <w:t xml:space="preserve">Product owner, compliance, CISO</w:t>
            </w:r>
          </w:p>
        </w:tc>
        <w:tc>
          <w:tcPr>
            <w:tcW w:w="1097" w:type="dxa"/>
          </w:tcPr>
          <w:p>
            <w:pPr>
              <w:pStyle w:val="Compact"/>
              <w:spacing w:after="40"/>
              <w:jc w:val="left"/>
            </w:pPr>
            <w:r>
              <w:rPr>
                <w:sz w:val="18"/>
              </w:rPr>
              <w:t xml:space="preserve">XP1, XP3</w:t>
            </w:r>
          </w:p>
        </w:tc>
      </w:tr>
      <w:tr>
        <w:tc>
          <w:tcPr>
            <w:tcW w:w="1579" w:type="dxa"/>
          </w:tcPr>
          <w:p>
            <w:pPr>
              <w:pStyle w:val="Compact"/>
              <w:spacing w:after="40"/>
              <w:jc w:val="left"/>
            </w:pPr>
            <w:r>
              <w:rPr>
                <w:rStyle w:val="VerbatimChar"/>
                <w:sz w:val="18"/>
              </w:rPr>
              <w:t xml:space="preserve">Insurance</w:t>
            </w:r>
          </w:p>
        </w:tc>
        <w:tc>
          <w:tcPr>
            <w:tcW w:w="5040" w:type="dxa"/>
          </w:tcPr>
          <w:p>
            <w:pPr>
              <w:pStyle w:val="Compact"/>
              <w:spacing w:after="40"/>
              <w:jc w:val="left"/>
            </w:pPr>
            <w:r>
              <w:rPr>
                <w:rStyle w:val="VerbatimChar"/>
                <w:sz w:val="18"/>
              </w:rPr>
              <w:t xml:space="preserve">› Journeys</w:t>
            </w:r>
            <w:r>
              <w:rPr>
                <w:sz w:val="18"/>
              </w:rPr>
              <w:t xml:space="preserve">,</w:t>
            </w:r>
            <w:r>
              <w:rPr>
                <w:sz w:val="18"/>
              </w:rPr>
              <w:t xml:space="preserve"> </w:t>
            </w:r>
            <w:r>
              <w:rPr>
                <w:rStyle w:val="VerbatimChar"/>
                <w:sz w:val="18"/>
              </w:rPr>
              <w:t xml:space="preserve">› Seller tagging and issuance</w:t>
            </w:r>
            <w:r>
              <w:rPr>
                <w:sz w:val="18"/>
              </w:rPr>
              <w:t xml:space="preserve">,</w:t>
            </w:r>
            <w:r>
              <w:rPr>
                <w:sz w:val="18"/>
              </w:rPr>
              <w:t xml:space="preserve"> </w:t>
            </w:r>
            <w:r>
              <w:rPr>
                <w:rStyle w:val="VerbatimChar"/>
                <w:sz w:val="18"/>
              </w:rPr>
              <w:t xml:space="preserve">› Claims and complaints</w:t>
            </w:r>
          </w:p>
        </w:tc>
        <w:tc>
          <w:tcPr>
            <w:tcW w:w="1922" w:type="dxa"/>
          </w:tcPr>
          <w:p>
            <w:pPr>
              <w:pStyle w:val="Compact"/>
              <w:spacing w:after="40"/>
              <w:jc w:val="left"/>
            </w:pPr>
            <w:r>
              <w:rPr>
                <w:sz w:val="18"/>
              </w:rPr>
              <w:t xml:space="preserve">Insurance operations, compliance, GRO</w:t>
            </w:r>
          </w:p>
        </w:tc>
        <w:tc>
          <w:tcPr>
            <w:tcW w:w="1097" w:type="dxa"/>
          </w:tcPr>
          <w:p>
            <w:pPr>
              <w:pStyle w:val="Compact"/>
              <w:spacing w:after="40"/>
              <w:jc w:val="left"/>
            </w:pPr>
            <w:r>
              <w:rPr>
                <w:sz w:val="18"/>
              </w:rPr>
              <w:t xml:space="preserve">XP2</w:t>
            </w:r>
          </w:p>
        </w:tc>
      </w:tr>
      <w:tr>
        <w:tc>
          <w:tcPr>
            <w:tcW w:w="1579" w:type="dxa"/>
          </w:tcPr>
          <w:p>
            <w:pPr>
              <w:pStyle w:val="Compact"/>
              <w:spacing w:after="40"/>
              <w:jc w:val="left"/>
            </w:pPr>
            <w:r>
              <w:rPr>
                <w:rStyle w:val="VerbatimChar"/>
                <w:sz w:val="18"/>
              </w:rPr>
              <w:t xml:space="preserve">Money tools</w:t>
            </w:r>
          </w:p>
        </w:tc>
        <w:tc>
          <w:tcPr>
            <w:tcW w:w="5040" w:type="dxa"/>
          </w:tcPr>
          <w:p>
            <w:pPr>
              <w:pStyle w:val="Compact"/>
              <w:spacing w:after="40"/>
              <w:jc w:val="left"/>
            </w:pPr>
            <w:r>
              <w:rPr>
                <w:rStyle w:val="VerbatimChar"/>
                <w:sz w:val="18"/>
              </w:rPr>
              <w:t xml:space="preserve">› Operations</w:t>
            </w:r>
            <w:r>
              <w:rPr>
                <w:sz w:val="18"/>
              </w:rPr>
              <w:t xml:space="preserve"> </w:t>
            </w:r>
            <w:r>
              <w:rPr>
                <w:sz w:val="18"/>
              </w:rPr>
              <w:t xml:space="preserve">(enrolment counts, pull failures, CIC cost, parser success rates; no content);</w:t>
            </w:r>
            <w:r>
              <w:rPr>
                <w:sz w:val="18"/>
              </w:rPr>
              <w:t xml:space="preserve"> </w:t>
            </w:r>
            <w:r>
              <w:rPr>
                <w:rStyle w:val="VerbatimChar"/>
                <w:sz w:val="18"/>
              </w:rPr>
              <w:t xml:space="preserve">› Governance</w:t>
            </w:r>
            <w:r>
              <w:rPr>
                <w:sz w:val="18"/>
              </w:rPr>
              <w:t xml:space="preserve"> </w:t>
            </w:r>
            <w:r>
              <w:rPr>
                <w:sz w:val="18"/>
              </w:rPr>
              <w:t xml:space="preserve">(gates G1–G5 with evidence, separation-audit results, dark-pattern audit per release, purge certificates)</w:t>
            </w:r>
          </w:p>
        </w:tc>
        <w:tc>
          <w:tcPr>
            <w:tcW w:w="1922" w:type="dxa"/>
          </w:tcPr>
          <w:p>
            <w:pPr>
              <w:pStyle w:val="Compact"/>
              <w:spacing w:after="40"/>
              <w:jc w:val="left"/>
            </w:pPr>
            <w:r>
              <w:rPr>
                <w:sz w:val="18"/>
              </w:rPr>
              <w:t xml:space="preserve">Operations; compliance and DPO</w:t>
            </w:r>
          </w:p>
        </w:tc>
        <w:tc>
          <w:tcPr>
            <w:tcW w:w="1097" w:type="dxa"/>
          </w:tcPr>
          <w:p>
            <w:pPr>
              <w:pStyle w:val="Compact"/>
              <w:spacing w:after="40"/>
              <w:jc w:val="left"/>
            </w:pPr>
            <w:r>
              <w:rPr>
                <w:sz w:val="18"/>
              </w:rPr>
              <w:t xml:space="preserve">FW1–FW4</w:t>
            </w:r>
          </w:p>
        </w:tc>
      </w:tr>
      <w:tr>
        <w:tc>
          <w:tcPr>
            <w:tcW w:w="1579" w:type="dxa"/>
          </w:tcPr>
          <w:p>
            <w:pPr>
              <w:pStyle w:val="Compact"/>
              <w:spacing w:after="40"/>
              <w:jc w:val="left"/>
            </w:pPr>
            <w:r>
              <w:rPr>
                <w:rStyle w:val="VerbatimChar"/>
                <w:sz w:val="18"/>
              </w:rPr>
              <w:t xml:space="preserve">Finance</w:t>
            </w:r>
          </w:p>
        </w:tc>
        <w:tc>
          <w:tcPr>
            <w:tcW w:w="5040" w:type="dxa"/>
          </w:tcPr>
          <w:p>
            <w:pPr>
              <w:pStyle w:val="Compact"/>
              <w:spacing w:after="40"/>
              <w:jc w:val="left"/>
            </w:pPr>
            <w:r>
              <w:rPr>
                <w:rStyle w:val="VerbatimChar"/>
                <w:sz w:val="18"/>
              </w:rPr>
              <w:t xml:space="preserve">› Revenue streams</w:t>
            </w:r>
            <w:r>
              <w:rPr>
                <w:sz w:val="18"/>
              </w:rPr>
              <w:t xml:space="preserve">,</w:t>
            </w:r>
            <w:r>
              <w:rPr>
                <w:sz w:val="18"/>
              </w:rPr>
              <w:t xml:space="preserve"> </w:t>
            </w:r>
            <w:r>
              <w:rPr>
                <w:rStyle w:val="VerbatimChar"/>
                <w:sz w:val="18"/>
              </w:rPr>
              <w:t xml:space="preserve">› Meters</w:t>
            </w:r>
            <w:r>
              <w:rPr>
                <w:sz w:val="18"/>
              </w:rPr>
              <w:t xml:space="preserve">,</w:t>
            </w:r>
            <w:r>
              <w:rPr>
                <w:sz w:val="18"/>
              </w:rPr>
              <w:t xml:space="preserve"> </w:t>
            </w:r>
            <w:r>
              <w:rPr>
                <w:rStyle w:val="VerbatimChar"/>
                <w:sz w:val="18"/>
              </w:rPr>
              <w:t xml:space="preserve">› DLG economics</w:t>
            </w:r>
            <w:r>
              <w:rPr>
                <w:sz w:val="18"/>
              </w:rPr>
              <w:t xml:space="preserve">,</w:t>
            </w:r>
            <w:r>
              <w:rPr>
                <w:sz w:val="18"/>
              </w:rPr>
              <w:t xml:space="preserve"> </w:t>
            </w:r>
            <w:r>
              <w:rPr>
                <w:rStyle w:val="VerbatimChar"/>
                <w:sz w:val="18"/>
              </w:rPr>
              <w:t xml:space="preserve">› Revenue analytics</w:t>
            </w:r>
            <w:r>
              <w:rPr>
                <w:sz w:val="18"/>
              </w:rPr>
              <w:t xml:space="preserve"> </w:t>
            </w:r>
            <w:r>
              <w:rPr>
                <w:sz w:val="18"/>
              </w:rPr>
              <w:t xml:space="preserve">(RV1);</w:t>
            </w:r>
            <w:r>
              <w:rPr>
                <w:sz w:val="18"/>
              </w:rPr>
              <w:t xml:space="preserve"> </w:t>
            </w:r>
            <w:r>
              <w:rPr>
                <w:rStyle w:val="VerbatimChar"/>
                <w:sz w:val="18"/>
              </w:rPr>
              <w:t xml:space="preserve">› Billing operations</w:t>
            </w:r>
            <w:r>
              <w:rPr>
                <w:sz w:val="18"/>
              </w:rPr>
              <w:t xml:space="preserve"> </w:t>
            </w:r>
            <w:r>
              <w:rPr>
                <w:sz w:val="18"/>
              </w:rPr>
              <w:t xml:space="preserve">with</w:t>
            </w:r>
            <w:r>
              <w:rPr>
                <w:sz w:val="18"/>
              </w:rPr>
              <w:t xml:space="preserve"> </w:t>
            </w:r>
            <w:r>
              <w:rPr>
                <w:rStyle w:val="VerbatimChar"/>
                <w:sz w:val="18"/>
              </w:rPr>
              <w:t xml:space="preserve">› Payments</w:t>
            </w:r>
            <w:r>
              <w:rPr>
                <w:sz w:val="18"/>
              </w:rPr>
              <w:t xml:space="preserve">,</w:t>
            </w:r>
            <w:r>
              <w:rPr>
                <w:sz w:val="18"/>
              </w:rPr>
              <w:t xml:space="preserve"> </w:t>
            </w:r>
            <w:r>
              <w:rPr>
                <w:rStyle w:val="VerbatimChar"/>
                <w:sz w:val="18"/>
              </w:rPr>
              <w:t xml:space="preserve">› Refunds</w:t>
            </w:r>
            <w:r>
              <w:rPr>
                <w:sz w:val="18"/>
              </w:rPr>
              <w:t xml:space="preserve">,</w:t>
            </w:r>
            <w:r>
              <w:rPr>
                <w:sz w:val="18"/>
              </w:rPr>
              <w:t xml:space="preserve"> </w:t>
            </w:r>
            <w:r>
              <w:rPr>
                <w:rStyle w:val="VerbatimChar"/>
                <w:sz w:val="18"/>
              </w:rPr>
              <w:t xml:space="preserve">› Reconciliation</w:t>
            </w:r>
            <w:r>
              <w:rPr>
                <w:sz w:val="18"/>
              </w:rPr>
              <w:t xml:space="preserve">,</w:t>
            </w:r>
            <w:r>
              <w:rPr>
                <w:sz w:val="18"/>
              </w:rPr>
              <w:t xml:space="preserve"> </w:t>
            </w:r>
            <w:r>
              <w:rPr>
                <w:rStyle w:val="VerbatimChar"/>
                <w:sz w:val="18"/>
              </w:rPr>
              <w:t xml:space="preserve">› Webhooks</w:t>
            </w:r>
            <w:r>
              <w:rPr>
                <w:sz w:val="18"/>
              </w:rPr>
              <w:t xml:space="preserve"> </w:t>
            </w:r>
            <w:r>
              <w:rPr>
                <w:sz w:val="18"/>
              </w:rPr>
              <w:t xml:space="preserve">(RV2, RV3);</w:t>
            </w:r>
            <w:r>
              <w:rPr>
                <w:sz w:val="18"/>
              </w:rPr>
              <w:t xml:space="preserve"> </w:t>
            </w:r>
            <w:r>
              <w:rPr>
                <w:rStyle w:val="VerbatimChar"/>
                <w:sz w:val="18"/>
              </w:rPr>
              <w:t xml:space="preserve">› Ledger</w:t>
            </w:r>
            <w:r>
              <w:rPr>
                <w:sz w:val="18"/>
              </w:rPr>
              <w:t xml:space="preserve"> </w:t>
            </w:r>
            <w:r>
              <w:rPr>
                <w:sz w:val="18"/>
              </w:rPr>
              <w:t xml:space="preserve">(journals, periods, Tally and SAP exports; U17)</w:t>
            </w:r>
          </w:p>
        </w:tc>
        <w:tc>
          <w:tcPr>
            <w:tcW w:w="1922" w:type="dxa"/>
          </w:tcPr>
          <w:p>
            <w:pPr>
              <w:pStyle w:val="Compact"/>
              <w:spacing w:after="40"/>
              <w:jc w:val="left"/>
            </w:pPr>
            <w:r>
              <w:rPr>
                <w:sz w:val="18"/>
              </w:rPr>
              <w:t xml:space="preserve">Finance, legal and compliance checkers</w:t>
            </w:r>
          </w:p>
        </w:tc>
        <w:tc>
          <w:tcPr>
            <w:tcW w:w="1097" w:type="dxa"/>
          </w:tcPr>
          <w:p>
            <w:pPr>
              <w:pStyle w:val="Compact"/>
              <w:spacing w:after="40"/>
              <w:jc w:val="left"/>
            </w:pPr>
            <w:r>
              <w:rPr>
                <w:sz w:val="18"/>
              </w:rPr>
              <w:t xml:space="preserve">RV1–RV3; U17</w:t>
            </w:r>
          </w:p>
        </w:tc>
      </w:tr>
      <w:tr>
        <w:tc>
          <w:tcPr>
            <w:tcW w:w="1579" w:type="dxa"/>
          </w:tcPr>
          <w:p>
            <w:pPr>
              <w:pStyle w:val="Compact"/>
              <w:spacing w:after="40"/>
              <w:jc w:val="left"/>
            </w:pPr>
            <w:r>
              <w:rPr>
                <w:rStyle w:val="VerbatimChar"/>
                <w:sz w:val="18"/>
              </w:rPr>
              <w:t xml:space="preserve">Marketing</w:t>
            </w:r>
          </w:p>
        </w:tc>
        <w:tc>
          <w:tcPr>
            <w:tcW w:w="5040" w:type="dxa"/>
          </w:tcPr>
          <w:p>
            <w:pPr>
              <w:pStyle w:val="Compact"/>
              <w:spacing w:after="40"/>
              <w:jc w:val="left"/>
            </w:pPr>
            <w:r>
              <w:rPr>
                <w:rStyle w:val="VerbatimChar"/>
                <w:sz w:val="18"/>
              </w:rPr>
              <w:t xml:space="preserve">› Campaigns</w:t>
            </w:r>
            <w:r>
              <w:rPr>
                <w:sz w:val="18"/>
              </w:rPr>
              <w:t xml:space="preserve"> </w:t>
            </w:r>
            <w:r>
              <w:rPr>
                <w:sz w:val="18"/>
              </w:rPr>
              <w:t xml:space="preserve">(consented campaigns, frequency caps, suppression check; U16);</w:t>
            </w:r>
            <w:r>
              <w:rPr>
                <w:sz w:val="18"/>
              </w:rPr>
              <w:t xml:space="preserve"> </w:t>
            </w:r>
            <w:r>
              <w:rPr>
                <w:rStyle w:val="VerbatimChar"/>
                <w:sz w:val="18"/>
              </w:rPr>
              <w:t xml:space="preserve">› Advertising</w:t>
            </w:r>
            <w:r>
              <w:rPr>
                <w:sz w:val="18"/>
              </w:rPr>
              <w:t xml:space="preserve"> </w:t>
            </w:r>
            <w:r>
              <w:rPr>
                <w:sz w:val="18"/>
              </w:rPr>
              <w:t xml:space="preserve">with</w:t>
            </w:r>
            <w:r>
              <w:rPr>
                <w:sz w:val="18"/>
              </w:rPr>
              <w:t xml:space="preserve"> </w:t>
            </w:r>
            <w:r>
              <w:rPr>
                <w:rStyle w:val="VerbatimChar"/>
                <w:sz w:val="18"/>
              </w:rPr>
              <w:t xml:space="preserve">› Advertisers</w:t>
            </w:r>
            <w:r>
              <w:rPr>
                <w:sz w:val="18"/>
              </w:rPr>
              <w:t xml:space="preserve">,</w:t>
            </w:r>
            <w:r>
              <w:rPr>
                <w:sz w:val="18"/>
              </w:rPr>
              <w:t xml:space="preserve"> </w:t>
            </w:r>
            <w:r>
              <w:rPr>
                <w:rStyle w:val="VerbatimChar"/>
                <w:sz w:val="18"/>
              </w:rPr>
              <w:t xml:space="preserve">› Creatives</w:t>
            </w:r>
            <w:r>
              <w:rPr>
                <w:sz w:val="18"/>
              </w:rPr>
              <w:t xml:space="preserve">,</w:t>
            </w:r>
            <w:r>
              <w:rPr>
                <w:sz w:val="18"/>
              </w:rPr>
              <w:t xml:space="preserve"> </w:t>
            </w:r>
            <w:r>
              <w:rPr>
                <w:rStyle w:val="VerbatimChar"/>
                <w:sz w:val="18"/>
              </w:rPr>
              <w:t xml:space="preserve">› Campaigns</w:t>
            </w:r>
            <w:r>
              <w:rPr>
                <w:sz w:val="18"/>
              </w:rPr>
              <w:t xml:space="preserve">,</w:t>
            </w:r>
            <w:r>
              <w:rPr>
                <w:sz w:val="18"/>
              </w:rPr>
              <w:t xml:space="preserve"> </w:t>
            </w:r>
            <w:r>
              <w:rPr>
                <w:rStyle w:val="VerbatimChar"/>
                <w:sz w:val="18"/>
              </w:rPr>
              <w:t xml:space="preserve">› Reports</w:t>
            </w:r>
            <w:r>
              <w:rPr>
                <w:sz w:val="18"/>
              </w:rPr>
              <w:t xml:space="preserve">,</w:t>
            </w:r>
            <w:r>
              <w:rPr>
                <w:sz w:val="18"/>
              </w:rPr>
              <w:t xml:space="preserve"> </w:t>
            </w:r>
            <w:r>
              <w:rPr>
                <w:rStyle w:val="VerbatimChar"/>
                <w:sz w:val="18"/>
              </w:rPr>
              <w:t xml:space="preserve">› User reports</w:t>
            </w:r>
            <w:r>
              <w:rPr>
                <w:sz w:val="18"/>
              </w:rPr>
              <w:t xml:space="preserve"> </w:t>
            </w:r>
            <w:r>
              <w:rPr>
                <w:sz w:val="18"/>
              </w:rPr>
              <w:t xml:space="preserve">(RV4)</w:t>
            </w:r>
          </w:p>
        </w:tc>
        <w:tc>
          <w:tcPr>
            <w:tcW w:w="1922" w:type="dxa"/>
          </w:tcPr>
          <w:p>
            <w:pPr>
              <w:pStyle w:val="Compact"/>
              <w:spacing w:after="40"/>
              <w:jc w:val="left"/>
            </w:pPr>
            <w:r>
              <w:rPr>
                <w:sz w:val="18"/>
              </w:rPr>
              <w:t xml:space="preserve">Marketing, ad operations, compliance</w:t>
            </w:r>
          </w:p>
        </w:tc>
        <w:tc>
          <w:tcPr>
            <w:tcW w:w="1097" w:type="dxa"/>
          </w:tcPr>
          <w:p>
            <w:pPr>
              <w:pStyle w:val="Compact"/>
              <w:spacing w:after="40"/>
              <w:jc w:val="left"/>
            </w:pPr>
            <w:r>
              <w:rPr>
                <w:sz w:val="18"/>
              </w:rPr>
              <w:t xml:space="preserve">U16; RV4</w:t>
            </w:r>
          </w:p>
        </w:tc>
      </w:tr>
      <w:tr>
        <w:tc>
          <w:tcPr>
            <w:tcW w:w="1579" w:type="dxa"/>
          </w:tcPr>
          <w:p>
            <w:pPr>
              <w:pStyle w:val="Compact"/>
              <w:spacing w:after="40"/>
              <w:jc w:val="left"/>
            </w:pPr>
            <w:r>
              <w:rPr>
                <w:rStyle w:val="VerbatimChar"/>
                <w:sz w:val="18"/>
              </w:rPr>
              <w:t xml:space="preserve">Communications</w:t>
            </w:r>
          </w:p>
        </w:tc>
        <w:tc>
          <w:tcPr>
            <w:tcW w:w="5040" w:type="dxa"/>
          </w:tcPr>
          <w:p>
            <w:pPr>
              <w:pStyle w:val="Compact"/>
              <w:spacing w:after="40"/>
              <w:jc w:val="left"/>
            </w:pPr>
            <w:r>
              <w:rPr>
                <w:rStyle w:val="VerbatimChar"/>
                <w:sz w:val="18"/>
              </w:rPr>
              <w:t xml:space="preserve">› Templates</w:t>
            </w:r>
            <w:r>
              <w:rPr>
                <w:sz w:val="18"/>
              </w:rPr>
              <w:t xml:space="preserve"> </w:t>
            </w:r>
            <w:r>
              <w:rPr>
                <w:sz w:val="18"/>
              </w:rPr>
              <w:t xml:space="preserve">(versioned, multilingual, DLT template and header IDs, RE approvals);</w:t>
            </w:r>
            <w:r>
              <w:rPr>
                <w:sz w:val="18"/>
              </w:rPr>
              <w:t xml:space="preserve"> </w:t>
            </w:r>
            <w:r>
              <w:rPr>
                <w:rStyle w:val="VerbatimChar"/>
                <w:sz w:val="18"/>
              </w:rPr>
              <w:t xml:space="preserve">› Providers</w:t>
            </w:r>
            <w:r>
              <w:rPr>
                <w:sz w:val="18"/>
              </w:rPr>
              <w:t xml:space="preserve">,</w:t>
            </w:r>
            <w:r>
              <w:rPr>
                <w:sz w:val="18"/>
              </w:rPr>
              <w:t xml:space="preserve"> </w:t>
            </w:r>
            <w:r>
              <w:rPr>
                <w:rStyle w:val="VerbatimChar"/>
                <w:sz w:val="18"/>
              </w:rPr>
              <w:t xml:space="preserve">› Numbers and DLT</w:t>
            </w:r>
            <w:r>
              <w:rPr>
                <w:sz w:val="18"/>
              </w:rPr>
              <w:t xml:space="preserve">,</w:t>
            </w:r>
            <w:r>
              <w:rPr>
                <w:sz w:val="18"/>
              </w:rPr>
              <w:t xml:space="preserve"> </w:t>
            </w:r>
            <w:r>
              <w:rPr>
                <w:rStyle w:val="VerbatimChar"/>
                <w:sz w:val="18"/>
              </w:rPr>
              <w:t xml:space="preserve">› Routing policy</w:t>
            </w:r>
            <w:r>
              <w:rPr>
                <w:sz w:val="18"/>
              </w:rPr>
              <w:t xml:space="preserve"> </w:t>
            </w:r>
            <w:r>
              <w:rPr>
                <w:sz w:val="18"/>
              </w:rPr>
              <w:t xml:space="preserve">(simulator),</w:t>
            </w:r>
            <w:r>
              <w:rPr>
                <w:sz w:val="18"/>
              </w:rPr>
              <w:t xml:space="preserve"> </w:t>
            </w:r>
            <w:r>
              <w:rPr>
                <w:rStyle w:val="VerbatimChar"/>
                <w:sz w:val="18"/>
              </w:rPr>
              <w:t xml:space="preserve">› AI assistant</w:t>
            </w:r>
            <w:r>
              <w:rPr>
                <w:sz w:val="18"/>
              </w:rPr>
              <w:t xml:space="preserve">,</w:t>
            </w:r>
            <w:r>
              <w:rPr>
                <w:sz w:val="18"/>
              </w:rPr>
              <w:t xml:space="preserve"> </w:t>
            </w:r>
            <w:r>
              <w:rPr>
                <w:rStyle w:val="VerbatimChar"/>
                <w:sz w:val="18"/>
              </w:rPr>
              <w:t xml:space="preserve">› Recordings</w:t>
            </w:r>
          </w:p>
        </w:tc>
        <w:tc>
          <w:tcPr>
            <w:tcW w:w="1922" w:type="dxa"/>
          </w:tcPr>
          <w:p>
            <w:pPr>
              <w:pStyle w:val="Compact"/>
              <w:spacing w:after="40"/>
              <w:jc w:val="left"/>
            </w:pPr>
            <w:r>
              <w:rPr>
                <w:sz w:val="18"/>
              </w:rPr>
              <w:t xml:space="preserve">Communications operations, compliance</w:t>
            </w:r>
          </w:p>
        </w:tc>
        <w:tc>
          <w:tcPr>
            <w:tcW w:w="1097" w:type="dxa"/>
          </w:tcPr>
          <w:p>
            <w:pPr>
              <w:pStyle w:val="Compact"/>
              <w:spacing w:after="40"/>
              <w:jc w:val="left"/>
            </w:pPr>
            <w:r>
              <w:rPr>
                <w:sz w:val="18"/>
              </w:rPr>
              <w:t xml:space="preserve">U16; RA5</w:t>
            </w:r>
          </w:p>
        </w:tc>
      </w:tr>
      <w:tr>
        <w:tc>
          <w:tcPr>
            <w:tcW w:w="1579" w:type="dxa"/>
          </w:tcPr>
          <w:p>
            <w:pPr>
              <w:pStyle w:val="Compact"/>
              <w:spacing w:after="40"/>
              <w:jc w:val="left"/>
            </w:pPr>
            <w:r>
              <w:rPr>
                <w:rStyle w:val="VerbatimChar"/>
                <w:sz w:val="18"/>
              </w:rPr>
              <w:t xml:space="preserve">Risk</w:t>
            </w:r>
          </w:p>
        </w:tc>
        <w:tc>
          <w:tcPr>
            <w:tcW w:w="5040" w:type="dxa"/>
          </w:tcPr>
          <w:p>
            <w:pPr>
              <w:pStyle w:val="Compact"/>
              <w:spacing w:after="40"/>
              <w:jc w:val="left"/>
            </w:pPr>
            <w:r>
              <w:rPr>
                <w:rStyle w:val="VerbatimChar"/>
                <w:sz w:val="18"/>
              </w:rPr>
              <w:t xml:space="preserve">› Register</w:t>
            </w:r>
            <w:r>
              <w:rPr>
                <w:sz w:val="18"/>
              </w:rPr>
              <w:t xml:space="preserve">,</w:t>
            </w:r>
            <w:r>
              <w:rPr>
                <w:sz w:val="18"/>
              </w:rPr>
              <w:t xml:space="preserve"> </w:t>
            </w:r>
            <w:r>
              <w:rPr>
                <w:rStyle w:val="VerbatimChar"/>
                <w:sz w:val="18"/>
              </w:rPr>
              <w:t xml:space="preserve">› KRIs</w:t>
            </w:r>
            <w:r>
              <w:rPr>
                <w:sz w:val="18"/>
              </w:rPr>
              <w:t xml:space="preserve">,</w:t>
            </w:r>
            <w:r>
              <w:rPr>
                <w:sz w:val="18"/>
              </w:rPr>
              <w:t xml:space="preserve"> </w:t>
            </w:r>
            <w:r>
              <w:rPr>
                <w:rStyle w:val="VerbatimChar"/>
                <w:sz w:val="18"/>
              </w:rPr>
              <w:t xml:space="preserve">› Loss events and RCSA</w:t>
            </w:r>
            <w:r>
              <w:rPr>
                <w:sz w:val="18"/>
              </w:rPr>
              <w:t xml:space="preserve">,</w:t>
            </w:r>
            <w:r>
              <w:rPr>
                <w:sz w:val="18"/>
              </w:rPr>
              <w:t xml:space="preserve"> </w:t>
            </w:r>
            <w:r>
              <w:rPr>
                <w:rStyle w:val="VerbatimChar"/>
                <w:sz w:val="18"/>
              </w:rPr>
              <w:t xml:space="preserve">› DLG cap</w:t>
            </w:r>
            <w:r>
              <w:rPr>
                <w:sz w:val="18"/>
              </w:rPr>
              <w:t xml:space="preserve">,</w:t>
            </w:r>
            <w:r>
              <w:rPr>
                <w:sz w:val="18"/>
              </w:rPr>
              <w:t xml:space="preserve"> </w:t>
            </w:r>
            <w:r>
              <w:rPr>
                <w:rStyle w:val="VerbatimChar"/>
                <w:sz w:val="18"/>
              </w:rPr>
              <w:t xml:space="preserve">› Quarterly packs</w:t>
            </w:r>
          </w:p>
        </w:tc>
        <w:tc>
          <w:tcPr>
            <w:tcW w:w="1922" w:type="dxa"/>
          </w:tcPr>
          <w:p>
            <w:pPr>
              <w:pStyle w:val="Compact"/>
              <w:spacing w:after="40"/>
              <w:jc w:val="left"/>
            </w:pPr>
            <w:r>
              <w:rPr>
                <w:sz w:val="18"/>
              </w:rPr>
              <w:t xml:space="preserve">Head of risk and compliance, risk owners</w:t>
            </w:r>
          </w:p>
        </w:tc>
        <w:tc>
          <w:tcPr>
            <w:tcW w:w="1097" w:type="dxa"/>
          </w:tcPr>
          <w:p>
            <w:pPr>
              <w:pStyle w:val="Compact"/>
              <w:spacing w:after="40"/>
              <w:jc w:val="left"/>
            </w:pPr>
            <w:r>
              <w:rPr>
                <w:sz w:val="18"/>
              </w:rPr>
              <w:t xml:space="preserve">RA1</w:t>
            </w:r>
          </w:p>
        </w:tc>
      </w:tr>
      <w:tr>
        <w:tc>
          <w:tcPr>
            <w:tcW w:w="1579" w:type="dxa"/>
          </w:tcPr>
          <w:p>
            <w:pPr>
              <w:pStyle w:val="Compact"/>
              <w:spacing w:after="40"/>
              <w:jc w:val="left"/>
            </w:pPr>
            <w:r>
              <w:rPr>
                <w:rStyle w:val="VerbatimChar"/>
                <w:sz w:val="18"/>
              </w:rPr>
              <w:t xml:space="preserve">Compliance</w:t>
            </w:r>
          </w:p>
        </w:tc>
        <w:tc>
          <w:tcPr>
            <w:tcW w:w="5040" w:type="dxa"/>
          </w:tcPr>
          <w:p>
            <w:pPr>
              <w:pStyle w:val="Compact"/>
              <w:spacing w:after="40"/>
              <w:jc w:val="left"/>
            </w:pPr>
            <w:r>
              <w:rPr>
                <w:rStyle w:val="VerbatimChar"/>
                <w:sz w:val="18"/>
              </w:rPr>
              <w:t xml:space="preserve">› Regulatory register</w:t>
            </w:r>
            <w:r>
              <w:rPr>
                <w:sz w:val="18"/>
              </w:rPr>
              <w:t xml:space="preserve">;</w:t>
            </w:r>
            <w:r>
              <w:rPr>
                <w:sz w:val="18"/>
              </w:rPr>
              <w:t xml:space="preserve"> </w:t>
            </w:r>
            <w:r>
              <w:rPr>
                <w:rStyle w:val="VerbatimChar"/>
                <w:sz w:val="18"/>
              </w:rPr>
              <w:t xml:space="preserve">› DLA register</w:t>
            </w:r>
            <w:r>
              <w:rPr>
                <w:sz w:val="18"/>
              </w:rPr>
              <w:t xml:space="preserve"> </w:t>
            </w:r>
            <w:r>
              <w:rPr>
                <w:sz w:val="18"/>
              </w:rPr>
              <w:t xml:space="preserve">(CIMS lines, CCO evidence);</w:t>
            </w:r>
            <w:r>
              <w:rPr>
                <w:sz w:val="18"/>
              </w:rPr>
              <w:t xml:space="preserve"> </w:t>
            </w:r>
            <w:r>
              <w:rPr>
                <w:rStyle w:val="VerbatimChar"/>
                <w:sz w:val="18"/>
              </w:rPr>
              <w:t xml:space="preserve">› Evidence</w:t>
            </w:r>
            <w:r>
              <w:rPr>
                <w:sz w:val="18"/>
              </w:rPr>
              <w:t xml:space="preserve"> </w:t>
            </w:r>
            <w:r>
              <w:rPr>
                <w:sz w:val="18"/>
              </w:rPr>
              <w:t xml:space="preserve">(GRC feed, OSCAL);</w:t>
            </w:r>
            <w:r>
              <w:rPr>
                <w:sz w:val="18"/>
              </w:rPr>
              <w:t xml:space="preserve"> </w:t>
            </w:r>
            <w:r>
              <w:rPr>
                <w:rStyle w:val="VerbatimChar"/>
                <w:sz w:val="18"/>
              </w:rPr>
              <w:t xml:space="preserve">› External access</w:t>
            </w:r>
            <w:r>
              <w:rPr>
                <w:sz w:val="18"/>
              </w:rPr>
              <w:t xml:space="preserve"> </w:t>
            </w:r>
            <w:r>
              <w:rPr>
                <w:sz w:val="18"/>
              </w:rPr>
              <w:t xml:space="preserve">(provisioning, 1-hour RE-notice timer for direct RBI requests);</w:t>
            </w:r>
            <w:r>
              <w:rPr>
                <w:sz w:val="18"/>
              </w:rPr>
              <w:t xml:space="preserve"> </w:t>
            </w:r>
            <w:r>
              <w:rPr>
                <w:rStyle w:val="VerbatimChar"/>
                <w:sz w:val="18"/>
              </w:rPr>
              <w:t xml:space="preserve">› Sales practice</w:t>
            </w:r>
            <w:r>
              <w:rPr>
                <w:sz w:val="18"/>
              </w:rPr>
              <w:t xml:space="preserve"> </w:t>
            </w:r>
            <w:r>
              <w:rPr>
                <w:sz w:val="18"/>
              </w:rPr>
              <w:t xml:space="preserve">with</w:t>
            </w:r>
            <w:r>
              <w:rPr>
                <w:sz w:val="18"/>
              </w:rPr>
              <w:t xml:space="preserve"> </w:t>
            </w:r>
            <w:r>
              <w:rPr>
                <w:rStyle w:val="VerbatimChar"/>
                <w:sz w:val="18"/>
              </w:rPr>
              <w:t xml:space="preserve">› UI audits</w:t>
            </w:r>
            <w:r>
              <w:rPr>
                <w:sz w:val="18"/>
              </w:rPr>
              <w:t xml:space="preserve">,</w:t>
            </w:r>
            <w:r>
              <w:rPr>
                <w:sz w:val="18"/>
              </w:rPr>
              <w:t xml:space="preserve"> </w:t>
            </w:r>
            <w:r>
              <w:rPr>
                <w:rStyle w:val="VerbatimChar"/>
                <w:sz w:val="18"/>
              </w:rPr>
              <w:t xml:space="preserve">› Mis-selling reviews</w:t>
            </w:r>
            <w:r>
              <w:rPr>
                <w:sz w:val="18"/>
              </w:rPr>
              <w:t xml:space="preserve">,</w:t>
            </w:r>
            <w:r>
              <w:rPr>
                <w:sz w:val="18"/>
              </w:rPr>
              <w:t xml:space="preserve"> </w:t>
            </w:r>
            <w:r>
              <w:rPr>
                <w:rStyle w:val="VerbatimChar"/>
                <w:sz w:val="18"/>
              </w:rPr>
              <w:t xml:space="preserve">› Feedback contacts</w:t>
            </w:r>
            <w:r>
              <w:rPr>
                <w:sz w:val="18"/>
              </w:rPr>
              <w:t xml:space="preserve">,</w:t>
            </w:r>
            <w:r>
              <w:rPr>
                <w:sz w:val="18"/>
              </w:rPr>
              <w:t xml:space="preserve"> </w:t>
            </w:r>
            <w:r>
              <w:rPr>
                <w:rStyle w:val="VerbatimChar"/>
                <w:sz w:val="18"/>
              </w:rPr>
              <w:t xml:space="preserve">› Suppression list</w:t>
            </w:r>
          </w:p>
        </w:tc>
        <w:tc>
          <w:tcPr>
            <w:tcW w:w="1922" w:type="dxa"/>
          </w:tcPr>
          <w:p>
            <w:pPr>
              <w:pStyle w:val="Compact"/>
              <w:spacing w:after="40"/>
              <w:jc w:val="left"/>
            </w:pPr>
            <w:r>
              <w:rPr>
                <w:sz w:val="18"/>
              </w:rPr>
              <w:t xml:space="preserve">Compliance, DPO</w:t>
            </w:r>
          </w:p>
        </w:tc>
        <w:tc>
          <w:tcPr>
            <w:tcW w:w="1097" w:type="dxa"/>
          </w:tcPr>
          <w:p>
            <w:pPr>
              <w:pStyle w:val="Compact"/>
              <w:spacing w:after="40"/>
              <w:jc w:val="left"/>
            </w:pPr>
            <w:r>
              <w:rPr>
                <w:sz w:val="18"/>
              </w:rPr>
              <w:t xml:space="preserve">U18; RA2; XP4</w:t>
            </w:r>
          </w:p>
        </w:tc>
      </w:tr>
      <w:tr>
        <w:tc>
          <w:tcPr>
            <w:tcW w:w="1579" w:type="dxa"/>
          </w:tcPr>
          <w:p>
            <w:pPr>
              <w:pStyle w:val="Compact"/>
              <w:spacing w:after="40"/>
              <w:jc w:val="left"/>
            </w:pPr>
            <w:r>
              <w:rPr>
                <w:rStyle w:val="VerbatimChar"/>
                <w:sz w:val="18"/>
              </w:rPr>
              <w:t xml:space="preserve">Integrations</w:t>
            </w:r>
          </w:p>
        </w:tc>
        <w:tc>
          <w:tcPr>
            <w:tcW w:w="5040" w:type="dxa"/>
          </w:tcPr>
          <w:p>
            <w:pPr>
              <w:pStyle w:val="Compact"/>
              <w:spacing w:after="40"/>
              <w:jc w:val="left"/>
            </w:pPr>
            <w:r>
              <w:rPr>
                <w:sz w:val="18"/>
              </w:rPr>
              <w:t xml:space="preserve">Connector health, error rates, certification runs, credential rotation status, webhook signatures</w:t>
            </w:r>
          </w:p>
        </w:tc>
        <w:tc>
          <w:tcPr>
            <w:tcW w:w="1922" w:type="dxa"/>
          </w:tcPr>
          <w:p>
            <w:pPr>
              <w:pStyle w:val="Compact"/>
              <w:spacing w:after="40"/>
              <w:jc w:val="left"/>
            </w:pPr>
            <w:r>
              <w:rPr>
                <w:sz w:val="18"/>
              </w:rPr>
              <w:t xml:space="preserve">Engineering on-call, integrations</w:t>
            </w:r>
          </w:p>
        </w:tc>
        <w:tc>
          <w:tcPr>
            <w:tcW w:w="1097" w:type="dxa"/>
          </w:tcPr>
          <w:p>
            <w:pPr>
              <w:pStyle w:val="Compact"/>
              <w:spacing w:after="40"/>
              <w:jc w:val="left"/>
            </w:pPr>
            <w:r>
              <w:rPr>
                <w:sz w:val="18"/>
              </w:rPr>
              <w:t xml:space="preserve">U21</w:t>
            </w:r>
          </w:p>
        </w:tc>
      </w:tr>
      <w:tr>
        <w:tc>
          <w:tcPr>
            <w:tcW w:w="1579" w:type="dxa"/>
          </w:tcPr>
          <w:p>
            <w:pPr>
              <w:pStyle w:val="Compact"/>
              <w:spacing w:after="40"/>
              <w:jc w:val="left"/>
            </w:pPr>
            <w:r>
              <w:rPr>
                <w:rStyle w:val="VerbatimChar"/>
                <w:sz w:val="18"/>
              </w:rPr>
              <w:t xml:space="preserve">Security</w:t>
            </w:r>
          </w:p>
        </w:tc>
        <w:tc>
          <w:tcPr>
            <w:tcW w:w="5040" w:type="dxa"/>
          </w:tcPr>
          <w:p>
            <w:pPr>
              <w:pStyle w:val="Compact"/>
              <w:spacing w:after="40"/>
              <w:jc w:val="left"/>
            </w:pPr>
            <w:r>
              <w:rPr>
                <w:sz w:val="18"/>
              </w:rPr>
              <w:t xml:space="preserve">Fraud and risk signals to REs (</w:t>
            </w:r>
            <w:r>
              <w:rPr>
                <w:rStyle w:val="VerbatimChar"/>
                <w:sz w:val="18"/>
              </w:rPr>
              <w:t xml:space="preserve">RiskSignalRaised</w:t>
            </w:r>
            <w:r>
              <w:rPr>
                <w:sz w:val="18"/>
              </w:rPr>
              <w:t xml:space="preserve">), incidents with RE-notice timers (2-hour target), CERT-In report tracker</w:t>
            </w:r>
          </w:p>
        </w:tc>
        <w:tc>
          <w:tcPr>
            <w:tcW w:w="1922" w:type="dxa"/>
          </w:tcPr>
          <w:p>
            <w:pPr>
              <w:pStyle w:val="Compact"/>
              <w:spacing w:after="40"/>
              <w:jc w:val="left"/>
            </w:pPr>
            <w:r>
              <w:rPr>
                <w:sz w:val="18"/>
              </w:rPr>
              <w:t xml:space="preserve">Security operations</w:t>
            </w:r>
          </w:p>
        </w:tc>
        <w:tc>
          <w:tcPr>
            <w:tcW w:w="1097" w:type="dxa"/>
          </w:tcPr>
          <w:p>
            <w:pPr>
              <w:pStyle w:val="Compact"/>
              <w:spacing w:after="40"/>
              <w:jc w:val="left"/>
            </w:pPr>
            <w:r>
              <w:rPr>
                <w:sz w:val="18"/>
              </w:rPr>
              <w:t xml:space="preserve">U24</w:t>
            </w:r>
          </w:p>
        </w:tc>
      </w:tr>
      <w:tr>
        <w:tc>
          <w:tcPr>
            <w:tcW w:w="1579" w:type="dxa"/>
          </w:tcPr>
          <w:p>
            <w:pPr>
              <w:pStyle w:val="Compact"/>
              <w:spacing w:after="40"/>
              <w:jc w:val="left"/>
            </w:pPr>
            <w:r>
              <w:rPr>
                <w:rStyle w:val="VerbatimChar"/>
                <w:sz w:val="18"/>
              </w:rPr>
              <w:t xml:space="preserve">Portability</w:t>
            </w:r>
          </w:p>
        </w:tc>
        <w:tc>
          <w:tcPr>
            <w:tcW w:w="5040" w:type="dxa"/>
          </w:tcPr>
          <w:p>
            <w:pPr>
              <w:pStyle w:val="Compact"/>
              <w:spacing w:after="40"/>
              <w:jc w:val="left"/>
            </w:pPr>
            <w:r>
              <w:rPr>
                <w:rStyle w:val="VerbatimChar"/>
                <w:sz w:val="18"/>
              </w:rPr>
              <w:t xml:space="preserve">› Jobs</w:t>
            </w:r>
            <w:r>
              <w:rPr>
                <w:sz w:val="18"/>
              </w:rPr>
              <w:t xml:space="preserve"> </w:t>
            </w:r>
            <w:r>
              <w:rPr>
                <w:sz w:val="18"/>
              </w:rPr>
              <w:t xml:space="preserve">(cross-RE job health; Udofin checker for full and exit exports)</w:t>
            </w:r>
          </w:p>
        </w:tc>
        <w:tc>
          <w:tcPr>
            <w:tcW w:w="1922" w:type="dxa"/>
          </w:tcPr>
          <w:p>
            <w:pPr>
              <w:pStyle w:val="Compact"/>
              <w:spacing w:after="40"/>
              <w:jc w:val="left"/>
            </w:pPr>
            <w:r>
              <w:rPr>
                <w:sz w:val="18"/>
              </w:rPr>
              <w:t xml:space="preserve">Operations</w:t>
            </w:r>
          </w:p>
        </w:tc>
        <w:tc>
          <w:tcPr>
            <w:tcW w:w="1097" w:type="dxa"/>
          </w:tcPr>
          <w:p>
            <w:pPr>
              <w:pStyle w:val="Compact"/>
              <w:spacing w:after="40"/>
              <w:jc w:val="left"/>
            </w:pPr>
            <w:r>
              <w:rPr>
                <w:sz w:val="18"/>
              </w:rPr>
              <w:t xml:space="preserve">RA3</w:t>
            </w:r>
          </w:p>
        </w:tc>
      </w:tr>
      <w:tr>
        <w:tc>
          <w:tcPr>
            <w:tcW w:w="1579" w:type="dxa"/>
          </w:tcPr>
          <w:p>
            <w:pPr>
              <w:pStyle w:val="Compact"/>
              <w:spacing w:after="40"/>
              <w:jc w:val="left"/>
            </w:pPr>
            <w:r>
              <w:rPr>
                <w:rStyle w:val="VerbatimChar"/>
                <w:sz w:val="18"/>
              </w:rPr>
              <w:t xml:space="preserve">Engineering</w:t>
            </w:r>
          </w:p>
        </w:tc>
        <w:tc>
          <w:tcPr>
            <w:tcW w:w="5040" w:type="dxa"/>
          </w:tcPr>
          <w:p>
            <w:pPr>
              <w:pStyle w:val="Compact"/>
              <w:spacing w:after="40"/>
              <w:jc w:val="left"/>
            </w:pPr>
            <w:r>
              <w:rPr>
                <w:rStyle w:val="VerbatimChar"/>
                <w:sz w:val="18"/>
              </w:rPr>
              <w:t xml:space="preserve">› Releases</w:t>
            </w:r>
            <w:r>
              <w:rPr>
                <w:sz w:val="18"/>
              </w:rPr>
              <w:t xml:space="preserve">,</w:t>
            </w:r>
            <w:r>
              <w:rPr>
                <w:sz w:val="18"/>
              </w:rPr>
              <w:t xml:space="preserve"> </w:t>
            </w:r>
            <w:r>
              <w:rPr>
                <w:rStyle w:val="VerbatimChar"/>
                <w:sz w:val="18"/>
              </w:rPr>
              <w:t xml:space="preserve">› Store declarations</w:t>
            </w:r>
            <w:r>
              <w:rPr>
                <w:sz w:val="18"/>
              </w:rPr>
              <w:t xml:space="preserve">,</w:t>
            </w:r>
            <w:r>
              <w:rPr>
                <w:sz w:val="18"/>
              </w:rPr>
              <w:t xml:space="preserve"> </w:t>
            </w:r>
            <w:r>
              <w:rPr>
                <w:rStyle w:val="VerbatimChar"/>
                <w:sz w:val="18"/>
              </w:rPr>
              <w:t xml:space="preserve">› Vulnerabilities and VAPT</w:t>
            </w:r>
            <w:r>
              <w:rPr>
                <w:sz w:val="18"/>
              </w:rPr>
              <w:t xml:space="preserve">,</w:t>
            </w:r>
            <w:r>
              <w:rPr>
                <w:sz w:val="18"/>
              </w:rPr>
              <w:t xml:space="preserve"> </w:t>
            </w:r>
            <w:r>
              <w:rPr>
                <w:rStyle w:val="VerbatimChar"/>
                <w:sz w:val="18"/>
              </w:rPr>
              <w:t xml:space="preserve">› Certification</w:t>
            </w:r>
          </w:p>
        </w:tc>
        <w:tc>
          <w:tcPr>
            <w:tcW w:w="1922" w:type="dxa"/>
          </w:tcPr>
          <w:p>
            <w:pPr>
              <w:pStyle w:val="Compact"/>
              <w:spacing w:after="40"/>
              <w:jc w:val="left"/>
            </w:pPr>
            <w:r>
              <w:rPr>
                <w:sz w:val="18"/>
              </w:rPr>
              <w:t xml:space="preserve">Release manager, CISO, compliance</w:t>
            </w:r>
          </w:p>
        </w:tc>
        <w:tc>
          <w:tcPr>
            <w:tcW w:w="1097" w:type="dxa"/>
          </w:tcPr>
          <w:p>
            <w:pPr>
              <w:pStyle w:val="Compact"/>
              <w:spacing w:after="40"/>
              <w:jc w:val="left"/>
            </w:pPr>
            <w:r>
              <w:rPr>
                <w:sz w:val="18"/>
              </w:rPr>
              <w:t xml:space="preserve">RA4</w:t>
            </w:r>
          </w:p>
        </w:tc>
      </w:tr>
      <w:tr>
        <w:tc>
          <w:tcPr>
            <w:tcW w:w="1579" w:type="dxa"/>
          </w:tcPr>
          <w:p>
            <w:pPr>
              <w:pStyle w:val="Compact"/>
              <w:spacing w:after="40"/>
              <w:jc w:val="left"/>
            </w:pPr>
            <w:r>
              <w:rPr>
                <w:rStyle w:val="VerbatimChar"/>
                <w:sz w:val="18"/>
              </w:rPr>
              <w:t xml:space="preserve">Field devices</w:t>
            </w:r>
          </w:p>
        </w:tc>
        <w:tc>
          <w:tcPr>
            <w:tcW w:w="5040" w:type="dxa"/>
          </w:tcPr>
          <w:p>
            <w:pPr>
              <w:pStyle w:val="Compact"/>
              <w:spacing w:after="40"/>
              <w:jc w:val="left"/>
            </w:pPr>
            <w:r>
              <w:rPr>
                <w:sz w:val="18"/>
              </w:rPr>
              <w:t xml:space="preserve">MDM status, remote wipe, app versions; counts only</w:t>
            </w:r>
          </w:p>
        </w:tc>
        <w:tc>
          <w:tcPr>
            <w:tcW w:w="1922" w:type="dxa"/>
          </w:tcPr>
          <w:p>
            <w:pPr>
              <w:pStyle w:val="Compact"/>
              <w:spacing w:after="40"/>
              <w:jc w:val="left"/>
            </w:pPr>
            <w:r>
              <w:rPr>
                <w:sz w:val="18"/>
              </w:rPr>
              <w:t xml:space="preserve">Field support</w:t>
            </w:r>
          </w:p>
        </w:tc>
        <w:tc>
          <w:tcPr>
            <w:tcW w:w="1097" w:type="dxa"/>
          </w:tcPr>
          <w:p>
            <w:pPr>
              <w:pStyle w:val="Compact"/>
              <w:spacing w:after="40"/>
              <w:jc w:val="left"/>
            </w:pPr>
            <w:r>
              <w:rPr>
                <w:sz w:val="18"/>
              </w:rPr>
              <w:t xml:space="preserve">MG4</w:t>
            </w:r>
          </w:p>
        </w:tc>
      </w:tr>
      <w:tr>
        <w:tc>
          <w:tcPr>
            <w:tcW w:w="1579" w:type="dxa"/>
          </w:tcPr>
          <w:p>
            <w:pPr>
              <w:pStyle w:val="Compact"/>
              <w:spacing w:after="40"/>
              <w:jc w:val="left"/>
            </w:pPr>
            <w:r>
              <w:rPr>
                <w:rStyle w:val="VerbatimChar"/>
                <w:sz w:val="18"/>
              </w:rPr>
              <w:t xml:space="preserve">Reports</w:t>
            </w:r>
          </w:p>
        </w:tc>
        <w:tc>
          <w:tcPr>
            <w:tcW w:w="5040" w:type="dxa"/>
          </w:tcPr>
          <w:p>
            <w:pPr>
              <w:pStyle w:val="Compact"/>
              <w:spacing w:after="40"/>
              <w:jc w:val="left"/>
            </w:pPr>
            <w:r>
              <w:rPr>
                <w:sz w:val="18"/>
              </w:rPr>
              <w:t xml:space="preserve">Funnel, drop-off, TAT, unit economics, grievance analytics, neutrality checks</w:t>
            </w:r>
          </w:p>
        </w:tc>
        <w:tc>
          <w:tcPr>
            <w:tcW w:w="1922" w:type="dxa"/>
          </w:tcPr>
          <w:p>
            <w:pPr>
              <w:pStyle w:val="Compact"/>
              <w:spacing w:after="40"/>
              <w:jc w:val="left"/>
            </w:pPr>
            <w:r>
              <w:rPr>
                <w:sz w:val="18"/>
              </w:rPr>
              <w:t xml:space="preserve">Management</w:t>
            </w:r>
          </w:p>
        </w:tc>
        <w:tc>
          <w:tcPr>
            <w:tcW w:w="1097" w:type="dxa"/>
          </w:tcPr>
          <w:p>
            <w:pPr>
              <w:pStyle w:val="Compact"/>
              <w:spacing w:after="40"/>
              <w:jc w:val="left"/>
            </w:pPr>
            <w:r>
              <w:rPr>
                <w:sz w:val="18"/>
              </w:rPr>
              <w:t xml:space="preserve">U19</w:t>
            </w:r>
          </w:p>
        </w:tc>
      </w:tr>
    </w:tbl>
    <w:bookmarkEnd w:id="552"/>
    <w:bookmarkStart w:id="553" w:name="X3e1952f7765a4a6e822e90708230644e79c175b"/>
    <w:p>
      <w:pPr>
        <w:pStyle w:val="Heading3"/>
      </w:pPr>
      <w:r>
        <w:t xml:space="preserve">G.6.2 Platform administration (channel F; Infrabyx administrators)</w:t>
      </w:r>
    </w:p>
    <w:p>
      <w:pPr>
        <w:pStyle w:val="FirstParagraph"/>
      </w:pPr>
      <w:r>
        <w:rPr>
          <w:rStyle w:val="VerbatimChar"/>
        </w:rPr>
        <w:t xml:space="preserve">Tenants</w:t>
      </w:r>
      <w:r>
        <w:t xml:space="preserve"> </w:t>
      </w:r>
      <w:r>
        <w:t xml:space="preserve">(lender class, activation),</w:t>
      </w:r>
      <w:r>
        <w:t xml:space="preserve"> </w:t>
      </w:r>
      <w:r>
        <w:rPr>
          <w:rStyle w:val="VerbatimChar"/>
        </w:rPr>
        <w:t xml:space="preserve">Users and roles</w:t>
      </w:r>
      <w:r>
        <w:t xml:space="preserve"> </w:t>
      </w:r>
      <w:r>
        <w:t xml:space="preserve">(RBAC and attribute scopes, maker-checker, MFA),</w:t>
      </w:r>
      <w:r>
        <w:t xml:space="preserve"> </w:t>
      </w:r>
      <w:r>
        <w:rPr>
          <w:rStyle w:val="VerbatimChar"/>
        </w:rPr>
        <w:t xml:space="preserve">Feature flags</w:t>
      </w:r>
      <w:r>
        <w:t xml:space="preserve"> </w:t>
      </w:r>
      <w:r>
        <w:t xml:space="preserve">(gate-controlled flags show their gate and cannot be forced on),</w:t>
      </w:r>
      <w:r>
        <w:t xml:space="preserve"> </w:t>
      </w:r>
      <w:r>
        <w:rPr>
          <w:rStyle w:val="VerbatimChar"/>
        </w:rPr>
        <w:t xml:space="preserve">Themes</w:t>
      </w:r>
      <w:r>
        <w:t xml:space="preserve"> </w:t>
      </w:r>
      <w:r>
        <w:t xml:space="preserve">(contrast checks),</w:t>
      </w:r>
      <w:r>
        <w:t xml:space="preserve"> </w:t>
      </w:r>
      <w:r>
        <w:rPr>
          <w:rStyle w:val="VerbatimChar"/>
        </w:rPr>
        <w:t xml:space="preserve">Credentials vault</w:t>
      </w:r>
      <w:r>
        <w:t xml:space="preserve">,</w:t>
      </w:r>
      <w:r>
        <w:t xml:space="preserve"> </w:t>
      </w:r>
      <w:r>
        <w:rPr>
          <w:rStyle w:val="VerbatimChar"/>
        </w:rPr>
        <w:t xml:space="preserve">Security monitoring</w:t>
      </w:r>
      <w:r>
        <w:t xml:space="preserve">,</w:t>
      </w:r>
      <w:r>
        <w:t xml:space="preserve"> </w:t>
      </w:r>
      <w:r>
        <w:rPr>
          <w:rStyle w:val="VerbatimChar"/>
        </w:rPr>
        <w:t xml:space="preserve">Break-glass</w:t>
      </w:r>
      <w:r>
        <w:t xml:space="preserve"> </w:t>
      </w:r>
      <w:r>
        <w:t xml:space="preserve">(time-boxed, dual approval, reported to the affected RE),</w:t>
      </w:r>
      <w:r>
        <w:t xml:space="preserve"> </w:t>
      </w:r>
      <w:r>
        <w:rPr>
          <w:rStyle w:val="VerbatimChar"/>
        </w:rPr>
        <w:t xml:space="preserve">Audit trail</w:t>
      </w:r>
      <w:r>
        <w:t xml:space="preserve">. Source: U23, U24.</w:t>
      </w:r>
    </w:p>
    <w:bookmarkEnd w:id="553"/>
    <w:bookmarkEnd w:id="554"/>
    <w:bookmarkStart w:id="555" w:name="X59b127348d1957eb977dadc2a5662852615bd32"/>
    <w:p>
      <w:pPr>
        <w:pStyle w:val="Heading2"/>
      </w:pPr>
      <w:r>
        <w:t xml:space="preserve">G.7 Auditor and supervisor workspace (channel G)</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42"/>
        <w:gridCol w:w="4667"/>
        <w:gridCol w:w="3729"/>
      </w:tblGrid>
      <w:tr>
        <w:trPr>
          <w:tblHeader w:val="true"/>
          <w:tblHeader w:val="true"/>
        </w:trPr>
        <w:tc>
          <w:tcPr>
            <w:tcW w:w="1242" w:type="dxa"/>
            <w:shd w:val="clear" w:color="auto" w:fill="1F3A5F"/>
          </w:tcPr>
          <w:p>
            <w:pPr>
              <w:pStyle w:val="Compact"/>
              <w:spacing w:after="40"/>
              <w:jc w:val="left"/>
            </w:pPr>
            <w:r>
              <w:rPr>
                <w:b/>
                <w:color w:val="FFFFFF"/>
                <w:sz w:val="18"/>
              </w:rPr>
              <w:t xml:space="preserve">Menu</w:t>
            </w:r>
          </w:p>
        </w:tc>
        <w:tc>
          <w:tcPr>
            <w:tcW w:w="4667" w:type="dxa"/>
            <w:shd w:val="clear" w:color="auto" w:fill="1F3A5F"/>
          </w:tcPr>
          <w:p>
            <w:pPr>
              <w:pStyle w:val="Compact"/>
              <w:spacing w:after="40"/>
              <w:jc w:val="left"/>
            </w:pPr>
            <w:r>
              <w:rPr>
                <w:b/>
                <w:color w:val="FFFFFF"/>
                <w:sz w:val="18"/>
              </w:rPr>
              <w:t xml:space="preserve">Screens and key actions</w:t>
            </w:r>
          </w:p>
        </w:tc>
        <w:tc>
          <w:tcPr>
            <w:tcW w:w="3729" w:type="dxa"/>
            <w:shd w:val="clear" w:color="auto" w:fill="1F3A5F"/>
          </w:tcPr>
          <w:p>
            <w:pPr>
              <w:pStyle w:val="Compact"/>
              <w:spacing w:after="40"/>
              <w:jc w:val="left"/>
            </w:pPr>
            <w:r>
              <w:rPr>
                <w:b/>
                <w:color w:val="FFFFFF"/>
                <w:sz w:val="18"/>
              </w:rPr>
              <w:t xml:space="preserve">Rules</w:t>
            </w:r>
          </w:p>
        </w:tc>
      </w:tr>
      <w:tr>
        <w:tc>
          <w:tcPr>
            <w:tcW w:w="1242" w:type="dxa"/>
          </w:tcPr>
          <w:p>
            <w:pPr>
              <w:pStyle w:val="Compact"/>
              <w:spacing w:after="40"/>
              <w:jc w:val="left"/>
            </w:pPr>
            <w:r>
              <w:rPr>
                <w:rStyle w:val="VerbatimChar"/>
                <w:sz w:val="18"/>
              </w:rPr>
              <w:t xml:space="preserve">Datasets</w:t>
            </w:r>
          </w:p>
        </w:tc>
        <w:tc>
          <w:tcPr>
            <w:tcW w:w="4667" w:type="dxa"/>
          </w:tcPr>
          <w:p>
            <w:pPr>
              <w:pStyle w:val="Compact"/>
              <w:spacing w:after="40"/>
              <w:jc w:val="left"/>
            </w:pPr>
            <w:r>
              <w:rPr>
                <w:sz w:val="18"/>
              </w:rPr>
              <w:t xml:space="preserve">Dataset browser limited to the grant scope; field dictionary; record view masked by default;</w:t>
            </w:r>
            <w:r>
              <w:rPr>
                <w:sz w:val="18"/>
              </w:rPr>
              <w:t xml:space="preserve"> </w:t>
            </w:r>
            <w:r>
              <w:rPr>
                <w:bCs/>
                <w:b/>
                <w:sz w:val="18"/>
              </w:rPr>
              <w:t xml:space="preserve">Unmask</w:t>
            </w:r>
            <w:r>
              <w:rPr>
                <w:sz w:val="18"/>
              </w:rPr>
              <w:t xml:space="preserve"> </w:t>
            </w:r>
            <w:r>
              <w:rPr>
                <w:sz w:val="18"/>
              </w:rPr>
              <w:t xml:space="preserve">per record with typed reason (only where the grant allows</w:t>
            </w:r>
            <w:r>
              <w:rPr>
                <w:sz w:val="18"/>
              </w:rPr>
              <w:t xml:space="preserve"> </w:t>
            </w:r>
            <w:r>
              <w:rPr>
                <w:rStyle w:val="VerbatimChar"/>
                <w:sz w:val="18"/>
              </w:rPr>
              <w:t xml:space="preserve">FULL</w:t>
            </w:r>
            <w:r>
              <w:rPr>
                <w:sz w:val="18"/>
              </w:rPr>
              <w:t xml:space="preserve">)</w:t>
            </w:r>
          </w:p>
        </w:tc>
        <w:tc>
          <w:tcPr>
            <w:tcW w:w="3729" w:type="dxa"/>
          </w:tcPr>
          <w:p>
            <w:pPr>
              <w:pStyle w:val="Compact"/>
              <w:spacing w:after="40"/>
              <w:jc w:val="left"/>
            </w:pPr>
            <w:r>
              <w:rPr>
                <w:sz w:val="18"/>
              </w:rPr>
              <w:t xml:space="preserve">Scope banner (RE, grant ID, PII and export levels) and countdown on every screen; no write action exists</w:t>
            </w:r>
          </w:p>
        </w:tc>
      </w:tr>
      <w:tr>
        <w:tc>
          <w:tcPr>
            <w:tcW w:w="1242" w:type="dxa"/>
          </w:tcPr>
          <w:p>
            <w:pPr>
              <w:pStyle w:val="Compact"/>
              <w:spacing w:after="40"/>
              <w:jc w:val="left"/>
            </w:pPr>
            <w:r>
              <w:rPr>
                <w:rStyle w:val="VerbatimChar"/>
                <w:sz w:val="18"/>
              </w:rPr>
              <w:t xml:space="preserve">Query</w:t>
            </w:r>
          </w:p>
        </w:tc>
        <w:tc>
          <w:tcPr>
            <w:tcW w:w="4667" w:type="dxa"/>
          </w:tcPr>
          <w:p>
            <w:pPr>
              <w:pStyle w:val="Compact"/>
              <w:spacing w:after="40"/>
              <w:jc w:val="left"/>
            </w:pPr>
            <w:r>
              <w:rPr>
                <w:sz w:val="18"/>
              </w:rPr>
              <w:t xml:space="preserve">Read-only query builder over the scoped datasets; saved queries; row limits</w:t>
            </w:r>
          </w:p>
        </w:tc>
        <w:tc>
          <w:tcPr>
            <w:tcW w:w="3729" w:type="dxa"/>
          </w:tcPr>
          <w:p>
            <w:pPr>
              <w:pStyle w:val="Compact"/>
              <w:spacing w:after="40"/>
              <w:jc w:val="left"/>
            </w:pPr>
            <w:r>
              <w:rPr>
                <w:sz w:val="18"/>
              </w:rPr>
              <w:t xml:space="preserve">Every query logged and included in the RE’s daily activity report</w:t>
            </w:r>
          </w:p>
        </w:tc>
      </w:tr>
      <w:tr>
        <w:tc>
          <w:tcPr>
            <w:tcW w:w="1242" w:type="dxa"/>
          </w:tcPr>
          <w:p>
            <w:pPr>
              <w:pStyle w:val="Compact"/>
              <w:spacing w:after="40"/>
              <w:jc w:val="left"/>
            </w:pPr>
            <w:r>
              <w:rPr>
                <w:rStyle w:val="VerbatimChar"/>
                <w:sz w:val="18"/>
              </w:rPr>
              <w:t xml:space="preserve">Exports</w:t>
            </w:r>
          </w:p>
        </w:tc>
        <w:tc>
          <w:tcPr>
            <w:tcW w:w="4667" w:type="dxa"/>
          </w:tcPr>
          <w:p>
            <w:pPr>
              <w:pStyle w:val="Compact"/>
              <w:spacing w:after="40"/>
              <w:jc w:val="left"/>
            </w:pPr>
            <w:r>
              <w:rPr>
                <w:sz w:val="18"/>
              </w:rPr>
              <w:t xml:space="preserve">Watermarked exports within the grant cap with SHA-256 manifest</w:t>
            </w:r>
          </w:p>
        </w:tc>
        <w:tc>
          <w:tcPr>
            <w:tcW w:w="3729" w:type="dxa"/>
          </w:tcPr>
          <w:p>
            <w:pPr>
              <w:pStyle w:val="Compact"/>
              <w:spacing w:after="40"/>
              <w:jc w:val="left"/>
            </w:pPr>
            <w:r>
              <w:rPr>
                <w:sz w:val="18"/>
              </w:rPr>
              <w:t xml:space="preserve">Export level</w:t>
            </w:r>
            <w:r>
              <w:rPr>
                <w:sz w:val="18"/>
              </w:rPr>
              <w:t xml:space="preserve"> </w:t>
            </w:r>
            <w:r>
              <w:rPr>
                <w:rStyle w:val="VerbatimChar"/>
                <w:sz w:val="18"/>
              </w:rPr>
              <w:t xml:space="preserve">NONE</w:t>
            </w:r>
            <w:r>
              <w:rPr>
                <w:sz w:val="18"/>
              </w:rPr>
              <w:t xml:space="preserve"> </w:t>
            </w:r>
            <w:r>
              <w:rPr>
                <w:sz w:val="18"/>
              </w:rPr>
              <w:t xml:space="preserve">by default;</w:t>
            </w:r>
            <w:r>
              <w:rPr>
                <w:sz w:val="18"/>
              </w:rPr>
              <w:t xml:space="preserve"> </w:t>
            </w:r>
            <w:r>
              <w:rPr>
                <w:rStyle w:val="VerbatimChar"/>
                <w:sz w:val="18"/>
              </w:rPr>
              <w:t xml:space="preserve">FULL</w:t>
            </w:r>
            <w:r>
              <w:rPr>
                <w:sz w:val="18"/>
              </w:rPr>
              <w:t xml:space="preserve"> </w:t>
            </w:r>
            <w:r>
              <w:rPr>
                <w:sz w:val="18"/>
              </w:rPr>
              <w:t xml:space="preserve">needs a second RE approval</w:t>
            </w:r>
          </w:p>
        </w:tc>
      </w:tr>
      <w:tr>
        <w:tc>
          <w:tcPr>
            <w:tcW w:w="1242" w:type="dxa"/>
          </w:tcPr>
          <w:p>
            <w:pPr>
              <w:pStyle w:val="Compact"/>
              <w:spacing w:after="40"/>
              <w:jc w:val="left"/>
            </w:pPr>
            <w:r>
              <w:rPr>
                <w:rStyle w:val="VerbatimChar"/>
                <w:sz w:val="18"/>
              </w:rPr>
              <w:t xml:space="preserve">Help</w:t>
            </w:r>
          </w:p>
        </w:tc>
        <w:tc>
          <w:tcPr>
            <w:tcW w:w="4667" w:type="dxa"/>
          </w:tcPr>
          <w:p>
            <w:pPr>
              <w:pStyle w:val="Compact"/>
              <w:spacing w:after="40"/>
              <w:jc w:val="left"/>
            </w:pPr>
            <w:r>
              <w:rPr>
                <w:sz w:val="18"/>
              </w:rPr>
              <w:t xml:space="preserve">How the workspace works, dataset definitions, contact Udofin compliance and the RE’s CCO</w:t>
            </w:r>
          </w:p>
        </w:tc>
        <w:tc>
          <w:tcPr>
            <w:tcW w:w="3729" w:type="dxa"/>
          </w:tcPr>
          <w:p>
            <w:pPr>
              <w:pStyle w:val="Compact"/>
              <w:spacing w:after="40"/>
              <w:jc w:val="left"/>
            </w:pPr>
            <w:r>
              <w:rPr>
                <w:sz w:val="18"/>
              </w:rPr>
              <w:t xml:space="preserve">—</w:t>
            </w:r>
          </w:p>
        </w:tc>
      </w:tr>
    </w:tbl>
    <w:p>
      <w:pPr>
        <w:pStyle w:val="BodyText"/>
      </w:pPr>
      <w:r>
        <w:t xml:space="preserve">Grant duration default 30 days, hard maximum 90 days including extensions; idle timeout 15 minutes; optional IP allowlist (RA2). Expiry shows</w:t>
      </w:r>
      <w:r>
        <w:t xml:space="preserve"> </w:t>
      </w:r>
      <w:r>
        <w:t xml:space="preserve">“</w:t>
      </w:r>
      <w:r>
        <w:t xml:space="preserve">Access ended on [date]; ask [RE name] for a new grant</w:t>
      </w:r>
      <w:r>
        <w:t xml:space="preserve">”</w:t>
      </w:r>
      <w:r>
        <w:t xml:space="preserve">.</w:t>
      </w:r>
    </w:p>
    <w:bookmarkEnd w:id="555"/>
    <w:bookmarkStart w:id="556" w:name="g.8-field-and-assisted-app-channel-e"/>
    <w:p>
      <w:pPr>
        <w:pStyle w:val="Heading2"/>
      </w:pPr>
      <w:r>
        <w:t xml:space="preserve">G.8 Field and assisted app (channel E)</w:t>
      </w:r>
    </w:p>
    <w:p>
      <w:pPr>
        <w:pStyle w:val="FirstParagraph"/>
      </w:pPr>
      <w:r>
        <w:t xml:space="preserve">Separate Expo app on managed devices (U22; MG4). Bottom tabs:</w:t>
      </w:r>
      <w:r>
        <w:t xml:space="preserve"> </w:t>
      </w:r>
      <w:r>
        <w:rPr>
          <w:bCs/>
          <w:b/>
        </w:rPr>
        <w:t xml:space="preserve">Today</w:t>
      </w:r>
      <w:r>
        <w:t xml:space="preserve">,</w:t>
      </w:r>
      <w:r>
        <w:t xml:space="preserve"> </w:t>
      </w:r>
      <w:r>
        <w:rPr>
          <w:bCs/>
          <w:b/>
        </w:rPr>
        <w:t xml:space="preserve">Groups</w:t>
      </w:r>
      <w:r>
        <w:t xml:space="preserve">,</w:t>
      </w:r>
      <w:r>
        <w:t xml:space="preserve"> </w:t>
      </w:r>
      <w:r>
        <w:rPr>
          <w:bCs/>
          <w:b/>
        </w:rPr>
        <w:t xml:space="preserve">Members</w:t>
      </w:r>
      <w:r>
        <w:t xml:space="preserve">,</w:t>
      </w:r>
      <w:r>
        <w:t xml:space="preserve"> </w:t>
      </w:r>
      <w:r>
        <w:rPr>
          <w:bCs/>
          <w:b/>
        </w:rPr>
        <w:t xml:space="preserve">Collections</w:t>
      </w:r>
      <w:r>
        <w:t xml:space="preserve">,</w:t>
      </w:r>
      <w:r>
        <w:t xml:space="preserve"> </w:t>
      </w:r>
      <w:r>
        <w:rPr>
          <w:bCs/>
          <w:b/>
        </w:rPr>
        <w:t xml:space="preserve">Me</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14"/>
        <w:gridCol w:w="5441"/>
        <w:gridCol w:w="2783"/>
      </w:tblGrid>
      <w:tr>
        <w:trPr>
          <w:tblHeader w:val="true"/>
          <w:tblHeader w:val="true"/>
        </w:trPr>
        <w:tc>
          <w:tcPr>
            <w:tcW w:w="1414" w:type="dxa"/>
            <w:shd w:val="clear" w:color="auto" w:fill="1F3A5F"/>
          </w:tcPr>
          <w:p>
            <w:pPr>
              <w:pStyle w:val="Compact"/>
              <w:spacing w:after="40"/>
              <w:jc w:val="left"/>
            </w:pPr>
            <w:r>
              <w:rPr>
                <w:b/>
                <w:color w:val="FFFFFF"/>
                <w:sz w:val="18"/>
              </w:rPr>
              <w:t xml:space="preserve">Path</w:t>
            </w:r>
          </w:p>
        </w:tc>
        <w:tc>
          <w:tcPr>
            <w:tcW w:w="5441" w:type="dxa"/>
            <w:shd w:val="clear" w:color="auto" w:fill="1F3A5F"/>
          </w:tcPr>
          <w:p>
            <w:pPr>
              <w:pStyle w:val="Compact"/>
              <w:spacing w:after="40"/>
              <w:jc w:val="left"/>
            </w:pPr>
            <w:r>
              <w:rPr>
                <w:b/>
                <w:color w:val="FFFFFF"/>
                <w:sz w:val="18"/>
              </w:rPr>
              <w:t xml:space="preserve">Screens and key actions</w:t>
            </w:r>
          </w:p>
        </w:tc>
        <w:tc>
          <w:tcPr>
            <w:tcW w:w="2783" w:type="dxa"/>
            <w:shd w:val="clear" w:color="auto" w:fill="1F3A5F"/>
          </w:tcPr>
          <w:p>
            <w:pPr>
              <w:pStyle w:val="Compact"/>
              <w:spacing w:after="40"/>
              <w:jc w:val="left"/>
            </w:pPr>
            <w:r>
              <w:rPr>
                <w:b/>
                <w:color w:val="FFFFFF"/>
                <w:sz w:val="18"/>
              </w:rPr>
              <w:t xml:space="preserve">States</w:t>
            </w:r>
          </w:p>
        </w:tc>
      </w:tr>
      <w:tr>
        <w:tc>
          <w:tcPr>
            <w:tcW w:w="1414" w:type="dxa"/>
          </w:tcPr>
          <w:p>
            <w:pPr>
              <w:pStyle w:val="Compact"/>
              <w:spacing w:after="40"/>
              <w:jc w:val="left"/>
            </w:pPr>
            <w:r>
              <w:rPr>
                <w:rStyle w:val="VerbatimChar"/>
                <w:sz w:val="18"/>
              </w:rPr>
              <w:t xml:space="preserve">Today</w:t>
            </w:r>
          </w:p>
        </w:tc>
        <w:tc>
          <w:tcPr>
            <w:tcW w:w="5441" w:type="dxa"/>
          </w:tcPr>
          <w:p>
            <w:pPr>
              <w:pStyle w:val="Compact"/>
              <w:spacing w:after="40"/>
              <w:jc w:val="left"/>
            </w:pPr>
            <w:r>
              <w:rPr>
                <w:sz w:val="18"/>
              </w:rPr>
              <w:t xml:space="preserve">Centres due today with state chips, tasks, offline badge, last sync;</w:t>
            </w:r>
            <w:r>
              <w:rPr>
                <w:sz w:val="18"/>
              </w:rPr>
              <w:t xml:space="preserve"> </w:t>
            </w:r>
            <w:r>
              <w:rPr>
                <w:bCs/>
                <w:b/>
                <w:sz w:val="18"/>
              </w:rPr>
              <w:t xml:space="preserve">Start meeting</w:t>
            </w:r>
          </w:p>
        </w:tc>
        <w:tc>
          <w:tcPr>
            <w:tcW w:w="2783" w:type="dxa"/>
          </w:tcPr>
          <w:p>
            <w:pPr>
              <w:pStyle w:val="Compact"/>
              <w:spacing w:after="40"/>
              <w:jc w:val="left"/>
            </w:pPr>
            <w:r>
              <w:rPr>
                <w:sz w:val="18"/>
              </w:rPr>
              <w:t xml:space="preserve">“</w:t>
            </w:r>
            <w:r>
              <w:rPr>
                <w:sz w:val="18"/>
              </w:rPr>
              <w:t xml:space="preserve">No centres today</w:t>
            </w:r>
            <w:r>
              <w:rPr>
                <w:sz w:val="18"/>
              </w:rPr>
              <w:t xml:space="preserve">”</w:t>
            </w:r>
          </w:p>
        </w:tc>
      </w:tr>
      <w:tr>
        <w:tc>
          <w:tcPr>
            <w:tcW w:w="1414" w:type="dxa"/>
          </w:tcPr>
          <w:p>
            <w:pPr>
              <w:pStyle w:val="Compact"/>
              <w:spacing w:after="40"/>
              <w:jc w:val="left"/>
            </w:pPr>
            <w:r>
              <w:rPr>
                <w:rStyle w:val="VerbatimChar"/>
                <w:sz w:val="18"/>
              </w:rPr>
              <w:t xml:space="preserve">Today › Meeting</w:t>
            </w:r>
          </w:p>
        </w:tc>
        <w:tc>
          <w:tcPr>
            <w:tcW w:w="5441" w:type="dxa"/>
          </w:tcPr>
          <w:p>
            <w:pPr>
              <w:pStyle w:val="Compact"/>
              <w:spacing w:after="40"/>
              <w:jc w:val="left"/>
            </w:pPr>
            <w:r>
              <w:rPr>
                <w:sz w:val="18"/>
              </w:rPr>
              <w:t xml:space="preserve">Attendance grid, collection sheet with per-member UPI QR, receipts (cash only where the RE’s legal opinion is recorded), issues,</w:t>
            </w:r>
            <w:r>
              <w:rPr>
                <w:sz w:val="18"/>
              </w:rPr>
              <w:t xml:space="preserve"> </w:t>
            </w:r>
            <w:r>
              <w:rPr>
                <w:bCs/>
                <w:b/>
                <w:sz w:val="18"/>
              </w:rPr>
              <w:t xml:space="preserve">Close meeting</w:t>
            </w:r>
            <w:r>
              <w:rPr>
                <w:sz w:val="18"/>
              </w:rPr>
              <w:t xml:space="preserve"> </w:t>
            </w:r>
            <w:r>
              <w:rPr>
                <w:sz w:val="18"/>
              </w:rPr>
              <w:t xml:space="preserve">(disabled with explain-why while any receipt is unsynced or a conflict is open)</w:t>
            </w:r>
          </w:p>
        </w:tc>
        <w:tc>
          <w:tcPr>
            <w:tcW w:w="2783" w:type="dxa"/>
          </w:tcPr>
          <w:p>
            <w:pPr>
              <w:pStyle w:val="Compact"/>
              <w:spacing w:after="40"/>
              <w:jc w:val="left"/>
            </w:pPr>
            <w:r>
              <w:rPr>
                <w:sz w:val="18"/>
              </w:rPr>
              <w:t xml:space="preserve">Offline: capture allowed; UPI needs connectivity</w:t>
            </w:r>
          </w:p>
        </w:tc>
      </w:tr>
      <w:tr>
        <w:tc>
          <w:tcPr>
            <w:tcW w:w="1414" w:type="dxa"/>
          </w:tcPr>
          <w:p>
            <w:pPr>
              <w:pStyle w:val="Compact"/>
              <w:spacing w:after="40"/>
              <w:jc w:val="left"/>
            </w:pPr>
            <w:r>
              <w:rPr>
                <w:rStyle w:val="VerbatimChar"/>
                <w:sz w:val="18"/>
              </w:rPr>
              <w:t xml:space="preserve">Groups</w:t>
            </w:r>
          </w:p>
        </w:tc>
        <w:tc>
          <w:tcPr>
            <w:tcW w:w="5441" w:type="dxa"/>
          </w:tcPr>
          <w:p>
            <w:pPr>
              <w:pStyle w:val="Compact"/>
              <w:spacing w:after="40"/>
              <w:jc w:val="left"/>
            </w:pPr>
            <w:r>
              <w:rPr>
                <w:sz w:val="18"/>
              </w:rPr>
              <w:t xml:space="preserve">Group pipeline (</w:t>
            </w:r>
            <w:r>
              <w:rPr>
                <w:rStyle w:val="VerbatimChar"/>
                <w:sz w:val="18"/>
              </w:rPr>
              <w:t xml:space="preserve">FORMING</w:t>
            </w:r>
            <w:r>
              <w:rPr>
                <w:sz w:val="18"/>
              </w:rPr>
              <w:t xml:space="preserve"> </w:t>
            </w:r>
            <w:r>
              <w:rPr>
                <w:sz w:val="18"/>
              </w:rPr>
              <w:t xml:space="preserve">to</w:t>
            </w:r>
            <w:r>
              <w:rPr>
                <w:sz w:val="18"/>
              </w:rPr>
              <w:t xml:space="preserve"> </w:t>
            </w:r>
            <w:r>
              <w:rPr>
                <w:rStyle w:val="VerbatimChar"/>
                <w:sz w:val="18"/>
              </w:rPr>
              <w:t xml:space="preserve">ACTIVE</w:t>
            </w:r>
            <w:r>
              <w:rPr>
                <w:sz w:val="18"/>
              </w:rPr>
              <w:t xml:space="preserve">), roster with household and guardrail status,</w:t>
            </w:r>
            <w:r>
              <w:rPr>
                <w:sz w:val="18"/>
              </w:rPr>
              <w:t xml:space="preserve"> </w:t>
            </w:r>
            <w:r>
              <w:rPr>
                <w:bCs/>
                <w:b/>
                <w:sz w:val="18"/>
              </w:rPr>
              <w:t xml:space="preserve">Add member</w:t>
            </w:r>
            <w:r>
              <w:rPr>
                <w:sz w:val="18"/>
              </w:rPr>
              <w:t xml:space="preserve"> </w:t>
            </w:r>
            <w:r>
              <w:rPr>
                <w:sz w:val="18"/>
              </w:rPr>
              <w:t xml:space="preserve">(assisted wizard),</w:t>
            </w:r>
            <w:r>
              <w:rPr>
                <w:sz w:val="18"/>
              </w:rPr>
              <w:t xml:space="preserve"> </w:t>
            </w:r>
            <w:r>
              <w:rPr>
                <w:bCs/>
                <w:b/>
                <w:sz w:val="18"/>
              </w:rPr>
              <w:t xml:space="preserve">Schedule CGT</w:t>
            </w:r>
            <w:r>
              <w:rPr>
                <w:sz w:val="18"/>
              </w:rPr>
              <w:t xml:space="preserve">,</w:t>
            </w:r>
            <w:r>
              <w:rPr>
                <w:sz w:val="18"/>
              </w:rPr>
              <w:t xml:space="preserve"> </w:t>
            </w:r>
            <w:r>
              <w:rPr>
                <w:bCs/>
                <w:b/>
                <w:sz w:val="18"/>
              </w:rPr>
              <w:t xml:space="preserve">Schedule GRT</w:t>
            </w:r>
            <w:r>
              <w:rPr>
                <w:sz w:val="18"/>
              </w:rPr>
              <w:t xml:space="preserve"> </w:t>
            </w:r>
            <w:r>
              <w:rPr>
                <w:sz w:val="18"/>
              </w:rPr>
              <w:t xml:space="preserve">(GRT picker excludes the CGT trainer)</w:t>
            </w:r>
          </w:p>
        </w:tc>
        <w:tc>
          <w:tcPr>
            <w:tcW w:w="2783" w:type="dxa"/>
          </w:tcPr>
          <w:p>
            <w:pPr>
              <w:pStyle w:val="Compact"/>
              <w:spacing w:after="40"/>
              <w:jc w:val="left"/>
            </w:pPr>
            <w:r>
              <w:rPr>
                <w:sz w:val="18"/>
              </w:rPr>
              <w:t xml:space="preserve">GRT FAIL: group returns with reasons</w:t>
            </w:r>
          </w:p>
        </w:tc>
      </w:tr>
      <w:tr>
        <w:tc>
          <w:tcPr>
            <w:tcW w:w="1414" w:type="dxa"/>
          </w:tcPr>
          <w:p>
            <w:pPr>
              <w:pStyle w:val="Compact"/>
              <w:spacing w:after="40"/>
              <w:jc w:val="left"/>
            </w:pPr>
            <w:r>
              <w:rPr>
                <w:rStyle w:val="VerbatimChar"/>
                <w:sz w:val="18"/>
              </w:rPr>
              <w:t xml:space="preserve">Members</w:t>
            </w:r>
          </w:p>
        </w:tc>
        <w:tc>
          <w:tcPr>
            <w:tcW w:w="5441" w:type="dxa"/>
          </w:tcPr>
          <w:p>
            <w:pPr>
              <w:pStyle w:val="Compact"/>
              <w:spacing w:after="40"/>
              <w:jc w:val="left"/>
            </w:pPr>
            <w:r>
              <w:rPr>
                <w:sz w:val="18"/>
              </w:rPr>
              <w:t xml:space="preserve">Search within allocated centres;</w:t>
            </w:r>
            <w:r>
              <w:rPr>
                <w:sz w:val="18"/>
              </w:rPr>
              <w:t xml:space="preserve"> </w:t>
            </w:r>
            <w:r>
              <w:rPr>
                <w:bCs/>
                <w:b/>
                <w:sz w:val="18"/>
              </w:rPr>
              <w:t xml:space="preserve">Assisted onboarding</w:t>
            </w:r>
            <w:r>
              <w:rPr>
                <w:sz w:val="18"/>
              </w:rPr>
              <w:t xml:space="preserve"> </w:t>
            </w:r>
            <w:r>
              <w:rPr>
                <w:sz w:val="18"/>
              </w:rPr>
              <w:t xml:space="preserve">(staff-device steps; consent, KFS acceptance and eSign on the member’s own device while the agent sees</w:t>
            </w:r>
            <w:r>
              <w:rPr>
                <w:sz w:val="18"/>
              </w:rPr>
              <w:t xml:space="preserve"> </w:t>
            </w:r>
            <w:r>
              <w:rPr>
                <w:sz w:val="18"/>
              </w:rPr>
              <w:t xml:space="preserve">“</w:t>
            </w:r>
            <w:r>
              <w:rPr>
                <w:sz w:val="18"/>
              </w:rPr>
              <w:t xml:space="preserve">waiting for member</w:t>
            </w:r>
            <w:r>
              <w:rPr>
                <w:sz w:val="18"/>
              </w:rPr>
              <w:t xml:space="preserve">”</w:t>
            </w:r>
            <w:r>
              <w:rPr>
                <w:sz w:val="18"/>
              </w:rPr>
              <w:t xml:space="preserve">); SHG linkage wizard</w:t>
            </w:r>
          </w:p>
        </w:tc>
        <w:tc>
          <w:tcPr>
            <w:tcW w:w="2783" w:type="dxa"/>
          </w:tcPr>
          <w:p>
            <w:pPr>
              <w:pStyle w:val="Compact"/>
              <w:spacing w:after="40"/>
              <w:jc w:val="left"/>
            </w:pPr>
            <w:r>
              <w:rPr>
                <w:sz w:val="18"/>
              </w:rPr>
              <w:t xml:space="preserve">No mobile: MG4.4 route only where the RE allows</w:t>
            </w:r>
          </w:p>
        </w:tc>
      </w:tr>
      <w:tr>
        <w:tc>
          <w:tcPr>
            <w:tcW w:w="1414" w:type="dxa"/>
          </w:tcPr>
          <w:p>
            <w:pPr>
              <w:pStyle w:val="Compact"/>
              <w:spacing w:after="40"/>
              <w:jc w:val="left"/>
            </w:pPr>
            <w:r>
              <w:rPr>
                <w:rStyle w:val="VerbatimChar"/>
                <w:sz w:val="18"/>
              </w:rPr>
              <w:t xml:space="preserve">Collections</w:t>
            </w:r>
          </w:p>
        </w:tc>
        <w:tc>
          <w:tcPr>
            <w:tcW w:w="5441" w:type="dxa"/>
          </w:tcPr>
          <w:p>
            <w:pPr>
              <w:pStyle w:val="Compact"/>
              <w:spacing w:after="40"/>
              <w:jc w:val="left"/>
            </w:pPr>
            <w:r>
              <w:rPr>
                <w:sz w:val="18"/>
              </w:rPr>
              <w:t xml:space="preserve">Sheets, receipts, unsynced items;</w:t>
            </w:r>
            <w:r>
              <w:rPr>
                <w:sz w:val="18"/>
              </w:rPr>
              <w:t xml:space="preserve"> </w:t>
            </w:r>
            <w:r>
              <w:rPr>
                <w:rStyle w:val="VerbatimChar"/>
                <w:sz w:val="18"/>
              </w:rPr>
              <w:t xml:space="preserve">› Recovery cases</w:t>
            </w:r>
            <w:r>
              <w:rPr>
                <w:sz w:val="18"/>
              </w:rPr>
              <w:t xml:space="preserve"> </w:t>
            </w:r>
            <w:r>
              <w:rPr>
                <w:sz w:val="18"/>
              </w:rPr>
              <w:t xml:space="preserve">only where Udofin or its agency is the appointed agent (UR4): particulars status,</w:t>
            </w:r>
            <w:r>
              <w:rPr>
                <w:sz w:val="18"/>
              </w:rPr>
              <w:t xml:space="preserve"> </w:t>
            </w:r>
            <w:r>
              <w:rPr>
                <w:rStyle w:val="VerbatimChar"/>
                <w:sz w:val="18"/>
              </w:rPr>
              <w:t xml:space="preserve">canContact</w:t>
            </w:r>
            <w:r>
              <w:rPr>
                <w:sz w:val="18"/>
              </w:rPr>
              <w:t xml:space="preserve"> </w:t>
            </w:r>
            <w:r>
              <w:rPr>
                <w:sz w:val="18"/>
              </w:rPr>
              <w:t xml:space="preserve">result, outcomes, PTP, check-in on the agent’s device, digital receipts</w:t>
            </w:r>
          </w:p>
        </w:tc>
        <w:tc>
          <w:tcPr>
            <w:tcW w:w="2783" w:type="dxa"/>
          </w:tcPr>
          <w:p>
            <w:pPr>
              <w:pStyle w:val="Compact"/>
              <w:spacing w:after="40"/>
              <w:jc w:val="left"/>
            </w:pPr>
            <w:r>
              <w:rPr>
                <w:sz w:val="18"/>
              </w:rPr>
              <w:t xml:space="preserve">No delivered particulars notice: actions locked</w:t>
            </w:r>
          </w:p>
        </w:tc>
      </w:tr>
      <w:tr>
        <w:tc>
          <w:tcPr>
            <w:tcW w:w="1414" w:type="dxa"/>
          </w:tcPr>
          <w:p>
            <w:pPr>
              <w:pStyle w:val="Compact"/>
              <w:spacing w:after="40"/>
              <w:jc w:val="left"/>
            </w:pPr>
            <w:r>
              <w:rPr>
                <w:rStyle w:val="VerbatimChar"/>
                <w:sz w:val="18"/>
              </w:rPr>
              <w:t xml:space="preserve">Me</w:t>
            </w:r>
          </w:p>
        </w:tc>
        <w:tc>
          <w:tcPr>
            <w:tcW w:w="5441" w:type="dxa"/>
          </w:tcPr>
          <w:p>
            <w:pPr>
              <w:pStyle w:val="Compact"/>
              <w:spacing w:after="40"/>
              <w:jc w:val="left"/>
            </w:pPr>
            <w:r>
              <w:rPr>
                <w:sz w:val="18"/>
              </w:rPr>
              <w:t xml:space="preserve">Device status, last sync, sync batches (</w:t>
            </w:r>
            <w:r>
              <w:rPr>
                <w:rStyle w:val="VerbatimChar"/>
                <w:sz w:val="18"/>
              </w:rPr>
              <w:t xml:space="preserve">QUEUED</w:t>
            </w:r>
            <w:r>
              <w:rPr>
                <w:sz w:val="18"/>
              </w:rPr>
              <w:t xml:space="preserve">,</w:t>
            </w:r>
            <w:r>
              <w:rPr>
                <w:sz w:val="18"/>
              </w:rPr>
              <w:t xml:space="preserve"> </w:t>
            </w:r>
            <w:r>
              <w:rPr>
                <w:rStyle w:val="VerbatimChar"/>
                <w:sz w:val="18"/>
              </w:rPr>
              <w:t xml:space="preserve">UPLOADING</w:t>
            </w:r>
            <w:r>
              <w:rPr>
                <w:sz w:val="18"/>
              </w:rPr>
              <w:t xml:space="preserve">,</w:t>
            </w:r>
            <w:r>
              <w:rPr>
                <w:sz w:val="18"/>
              </w:rPr>
              <w:t xml:space="preserve"> </w:t>
            </w:r>
            <w:r>
              <w:rPr>
                <w:rStyle w:val="VerbatimChar"/>
                <w:sz w:val="18"/>
              </w:rPr>
              <w:t xml:space="preserve">ACCEPTED</w:t>
            </w:r>
            <w:r>
              <w:rPr>
                <w:sz w:val="18"/>
              </w:rPr>
              <w:t xml:space="preserve">,</w:t>
            </w:r>
            <w:r>
              <w:rPr>
                <w:sz w:val="18"/>
              </w:rPr>
              <w:t xml:space="preserve"> </w:t>
            </w:r>
            <w:r>
              <w:rPr>
                <w:rStyle w:val="VerbatimChar"/>
                <w:sz w:val="18"/>
              </w:rPr>
              <w:t xml:space="preserve">CONFLICT</w:t>
            </w:r>
            <w:r>
              <w:rPr>
                <w:sz w:val="18"/>
              </w:rPr>
              <w:t xml:space="preserve">,</w:t>
            </w:r>
            <w:r>
              <w:rPr>
                <w:sz w:val="18"/>
              </w:rPr>
              <w:t xml:space="preserve"> </w:t>
            </w:r>
            <w:r>
              <w:rPr>
                <w:rStyle w:val="VerbatimChar"/>
                <w:sz w:val="18"/>
              </w:rPr>
              <w:t xml:space="preserve">REJECTED</w:t>
            </w:r>
            <w:r>
              <w:rPr>
                <w:sz w:val="18"/>
              </w:rPr>
              <w:t xml:space="preserve">), digital ID and authorisation letter, logout, remote-wipe notice</w:t>
            </w:r>
          </w:p>
        </w:tc>
        <w:tc>
          <w:tcPr>
            <w:tcW w:w="2783" w:type="dxa"/>
          </w:tcPr>
          <w:p>
            <w:pPr>
              <w:pStyle w:val="Compact"/>
              <w:spacing w:after="40"/>
              <w:jc w:val="left"/>
            </w:pPr>
            <w:r>
              <w:rPr>
                <w:sz w:val="18"/>
              </w:rPr>
              <w:t xml:space="preserve">Clock drift over 5 minutes: sync blocked with instructions</w:t>
            </w:r>
          </w:p>
        </w:tc>
      </w:tr>
    </w:tbl>
    <w:p>
      <w:pPr>
        <w:pStyle w:val="BodyText"/>
      </w:pPr>
      <w:r>
        <w:t xml:space="preserve">Agents never see or enter an OTP, give consent, accept a KFS, sign, choose a lender, or change a member’s bank or contact details (MG4.2). No contacts, SMS, call-log or storage permissions; camera, coarse location for staff check-in and notifications only.</w:t>
      </w:r>
    </w:p>
    <w:bookmarkEnd w:id="556"/>
    <w:bookmarkStart w:id="557" w:name="g.9-role-visibility-matrix"/>
    <w:p>
      <w:pPr>
        <w:pStyle w:val="Heading2"/>
      </w:pPr>
      <w:r>
        <w:t xml:space="preserve">G.9 Role visibility matrix</w:t>
      </w:r>
    </w:p>
    <w:p>
      <w:pPr>
        <w:pStyle w:val="FirstParagraph"/>
      </w:pPr>
      <w:r>
        <w:t xml:space="preserve">Codes:</w:t>
      </w:r>
      <w:r>
        <w:t xml:space="preserve"> </w:t>
      </w:r>
      <w:r>
        <w:rPr>
          <w:bCs/>
          <w:b/>
        </w:rPr>
        <w:t xml:space="preserve">F</w:t>
      </w:r>
      <w:r>
        <w:t xml:space="preserve"> </w:t>
      </w:r>
      <w:r>
        <w:t xml:space="preserve">full within role,</w:t>
      </w:r>
      <w:r>
        <w:t xml:space="preserve"> </w:t>
      </w:r>
      <w:r>
        <w:rPr>
          <w:bCs/>
          <w:b/>
        </w:rPr>
        <w:t xml:space="preserve">O</w:t>
      </w:r>
      <w:r>
        <w:t xml:space="preserve"> </w:t>
      </w:r>
      <w:r>
        <w:t xml:space="preserve">own records only,</w:t>
      </w:r>
      <w:r>
        <w:t xml:space="preserve"> </w:t>
      </w:r>
      <w:r>
        <w:rPr>
          <w:bCs/>
          <w:b/>
        </w:rPr>
        <w:t xml:space="preserve">R</w:t>
      </w:r>
      <w:r>
        <w:t xml:space="preserve"> </w:t>
      </w:r>
      <w:r>
        <w:t xml:space="preserve">read-only,</w:t>
      </w:r>
      <w:r>
        <w:t xml:space="preserve"> </w:t>
      </w:r>
      <w:r>
        <w:rPr>
          <w:bCs/>
          <w:b/>
        </w:rPr>
        <w:t xml:space="preserve">M</w:t>
      </w:r>
      <w:r>
        <w:t xml:space="preserve"> </w:t>
      </w:r>
      <w:r>
        <w:t xml:space="preserve">masked or aggregate only,</w:t>
      </w:r>
      <w:r>
        <w:t xml:space="preserve"> </w:t>
      </w:r>
      <w:r>
        <w:rPr>
          <w:bCs/>
          <w:b/>
        </w:rPr>
        <w:t xml:space="preserve">A</w:t>
      </w:r>
      <w:r>
        <w:t xml:space="preserve"> </w:t>
      </w:r>
      <w:r>
        <w:t xml:space="preserve">approve or checker only,</w:t>
      </w:r>
      <w:r>
        <w:t xml:space="preserve"> </w:t>
      </w:r>
      <w:r>
        <w:rPr>
          <w:bCs/>
          <w:b/>
        </w:rPr>
        <w:t xml:space="preserve">—</w:t>
      </w:r>
      <w:r>
        <w:t xml:space="preserve"> </w:t>
      </w:r>
      <w:r>
        <w:t xml:space="preserve">no access. RE and society staff see only their own tenant; auditors only their grant.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77"/>
        <w:gridCol w:w="610"/>
        <w:gridCol w:w="905"/>
        <w:gridCol w:w="863"/>
        <w:gridCol w:w="905"/>
        <w:gridCol w:w="891"/>
        <w:gridCol w:w="668"/>
        <w:gridCol w:w="905"/>
        <w:gridCol w:w="668"/>
        <w:gridCol w:w="905"/>
        <w:gridCol w:w="649"/>
        <w:gridCol w:w="792"/>
      </w:tblGrid>
      <w:tr>
        <w:trPr>
          <w:tblHeader w:val="true"/>
          <w:tblHeader w:val="true"/>
        </w:trPr>
        <w:tc>
          <w:tcPr>
            <w:tcW w:w="877" w:type="dxa"/>
            <w:shd w:val="clear" w:color="auto" w:fill="1F3A5F"/>
          </w:tcPr>
          <w:p>
            <w:pPr>
              <w:pStyle w:val="Compact"/>
              <w:spacing w:after="40"/>
              <w:jc w:val="left"/>
            </w:pPr>
            <w:r>
              <w:rPr>
                <w:b/>
                <w:color w:val="FFFFFF"/>
                <w:sz w:val="18"/>
              </w:rPr>
              <w:t xml:space="preserve">Area</w:t>
            </w:r>
          </w:p>
        </w:tc>
        <w:tc>
          <w:tcPr>
            <w:tcW w:w="610" w:type="dxa"/>
            <w:shd w:val="clear" w:color="auto" w:fill="1F3A5F"/>
          </w:tcPr>
          <w:p>
            <w:pPr>
              <w:pStyle w:val="Compact"/>
              <w:spacing w:after="40"/>
              <w:jc w:val="left"/>
            </w:pPr>
            <w:r>
              <w:rPr>
                <w:b/>
                <w:color w:val="FFFFFF"/>
                <w:sz w:val="18"/>
              </w:rPr>
              <w:t xml:space="preserve">Borrower (A, B)</w:t>
            </w:r>
          </w:p>
        </w:tc>
        <w:tc>
          <w:tcPr>
            <w:tcW w:w="905" w:type="dxa"/>
            <w:shd w:val="clear" w:color="auto" w:fill="1F3A5F"/>
          </w:tcPr>
          <w:p>
            <w:pPr>
              <w:pStyle w:val="Compact"/>
              <w:spacing w:after="40"/>
              <w:jc w:val="left"/>
            </w:pPr>
            <w:r>
              <w:rPr>
                <w:b/>
                <w:color w:val="FFFFFF"/>
                <w:sz w:val="18"/>
              </w:rPr>
              <w:t xml:space="preserve">Assisted agent (E)</w:t>
            </w:r>
          </w:p>
        </w:tc>
        <w:tc>
          <w:tcPr>
            <w:tcW w:w="863" w:type="dxa"/>
            <w:shd w:val="clear" w:color="auto" w:fill="1F3A5F"/>
          </w:tcPr>
          <w:p>
            <w:pPr>
              <w:pStyle w:val="Compact"/>
              <w:spacing w:after="40"/>
              <w:jc w:val="left"/>
            </w:pPr>
            <w:r>
              <w:rPr>
                <w:b/>
                <w:color w:val="FFFFFF"/>
                <w:sz w:val="18"/>
              </w:rPr>
              <w:t xml:space="preserve">Recovery agent (E, C)</w:t>
            </w:r>
          </w:p>
        </w:tc>
        <w:tc>
          <w:tcPr>
            <w:tcW w:w="905" w:type="dxa"/>
            <w:shd w:val="clear" w:color="auto" w:fill="1F3A5F"/>
          </w:tcPr>
          <w:p>
            <w:pPr>
              <w:pStyle w:val="Compact"/>
              <w:spacing w:after="40"/>
              <w:jc w:val="left"/>
            </w:pPr>
            <w:r>
              <w:rPr>
                <w:b/>
                <w:color w:val="FFFFFF"/>
                <w:sz w:val="18"/>
              </w:rPr>
              <w:t xml:space="preserve">Udofin operations and support (C)</w:t>
            </w:r>
          </w:p>
        </w:tc>
        <w:tc>
          <w:tcPr>
            <w:tcW w:w="891" w:type="dxa"/>
            <w:shd w:val="clear" w:color="auto" w:fill="1F3A5F"/>
          </w:tcPr>
          <w:p>
            <w:pPr>
              <w:pStyle w:val="Compact"/>
              <w:spacing w:after="40"/>
              <w:jc w:val="left"/>
            </w:pPr>
            <w:r>
              <w:rPr>
                <w:b/>
                <w:color w:val="FFFFFF"/>
                <w:sz w:val="18"/>
              </w:rPr>
              <w:t xml:space="preserve">Udofin compliance, risk, DPO (C)</w:t>
            </w:r>
          </w:p>
        </w:tc>
        <w:tc>
          <w:tcPr>
            <w:tcW w:w="668" w:type="dxa"/>
            <w:shd w:val="clear" w:color="auto" w:fill="1F3A5F"/>
          </w:tcPr>
          <w:p>
            <w:pPr>
              <w:pStyle w:val="Compact"/>
              <w:spacing w:after="40"/>
              <w:jc w:val="left"/>
            </w:pPr>
            <w:r>
              <w:rPr>
                <w:b/>
                <w:color w:val="FFFFFF"/>
                <w:sz w:val="18"/>
              </w:rPr>
              <w:t xml:space="preserve">Udofin finance (C)</w:t>
            </w:r>
          </w:p>
        </w:tc>
        <w:tc>
          <w:tcPr>
            <w:tcW w:w="905" w:type="dxa"/>
            <w:shd w:val="clear" w:color="auto" w:fill="1F3A5F"/>
          </w:tcPr>
          <w:p>
            <w:pPr>
              <w:pStyle w:val="Compact"/>
              <w:spacing w:after="40"/>
              <w:jc w:val="left"/>
            </w:pPr>
            <w:r>
              <w:rPr>
                <w:b/>
                <w:color w:val="FFFFFF"/>
                <w:sz w:val="18"/>
              </w:rPr>
              <w:t xml:space="preserve">Udofin partnerships and legal (C)</w:t>
            </w:r>
          </w:p>
        </w:tc>
        <w:tc>
          <w:tcPr>
            <w:tcW w:w="668" w:type="dxa"/>
            <w:shd w:val="clear" w:color="auto" w:fill="1F3A5F"/>
          </w:tcPr>
          <w:p>
            <w:pPr>
              <w:pStyle w:val="Compact"/>
              <w:spacing w:after="40"/>
              <w:jc w:val="left"/>
            </w:pPr>
            <w:r>
              <w:rPr>
                <w:b/>
                <w:color w:val="FFFFFF"/>
                <w:sz w:val="18"/>
              </w:rPr>
              <w:t xml:space="preserve">Platform admin (F)</w:t>
            </w:r>
          </w:p>
        </w:tc>
        <w:tc>
          <w:tcPr>
            <w:tcW w:w="905" w:type="dxa"/>
            <w:shd w:val="clear" w:color="auto" w:fill="1F3A5F"/>
          </w:tcPr>
          <w:p>
            <w:pPr>
              <w:pStyle w:val="Compact"/>
              <w:spacing w:after="40"/>
              <w:jc w:val="left"/>
            </w:pPr>
            <w:r>
              <w:rPr>
                <w:b/>
                <w:color w:val="FFFFFF"/>
                <w:sz w:val="18"/>
              </w:rPr>
              <w:t xml:space="preserve">RE staff (D)</w:t>
            </w:r>
          </w:p>
        </w:tc>
        <w:tc>
          <w:tcPr>
            <w:tcW w:w="649" w:type="dxa"/>
            <w:shd w:val="clear" w:color="auto" w:fill="1F3A5F"/>
          </w:tcPr>
          <w:p>
            <w:pPr>
              <w:pStyle w:val="Compact"/>
              <w:spacing w:after="40"/>
              <w:jc w:val="left"/>
            </w:pPr>
            <w:r>
              <w:rPr>
                <w:b/>
                <w:color w:val="FFFFFF"/>
                <w:sz w:val="18"/>
              </w:rPr>
              <w:t xml:space="preserve">Society staff (D)</w:t>
            </w:r>
          </w:p>
        </w:tc>
        <w:tc>
          <w:tcPr>
            <w:tcW w:w="792" w:type="dxa"/>
            <w:shd w:val="clear" w:color="auto" w:fill="1F3A5F"/>
          </w:tcPr>
          <w:p>
            <w:pPr>
              <w:pStyle w:val="Compact"/>
              <w:spacing w:after="40"/>
              <w:jc w:val="left"/>
            </w:pPr>
            <w:r>
              <w:rPr>
                <w:b/>
                <w:color w:val="FFFFFF"/>
                <w:sz w:val="18"/>
              </w:rPr>
              <w:t xml:space="preserve">Auditor or supervisor (G)</w:t>
            </w:r>
          </w:p>
        </w:tc>
      </w:tr>
      <w:tr>
        <w:tc>
          <w:tcPr>
            <w:tcW w:w="877" w:type="dxa"/>
          </w:tcPr>
          <w:p>
            <w:pPr>
              <w:pStyle w:val="Compact"/>
              <w:spacing w:after="40"/>
              <w:jc w:val="left"/>
            </w:pPr>
            <w:r>
              <w:rPr>
                <w:sz w:val="18"/>
              </w:rPr>
              <w:t xml:space="preserve">Application and offers</w:t>
            </w:r>
          </w:p>
        </w:tc>
        <w:tc>
          <w:tcPr>
            <w:tcW w:w="610" w:type="dxa"/>
          </w:tcPr>
          <w:p>
            <w:pPr>
              <w:pStyle w:val="Compact"/>
              <w:spacing w:after="40"/>
              <w:jc w:val="left"/>
            </w:pPr>
            <w:r>
              <w:rPr>
                <w:sz w:val="18"/>
              </w:rPr>
              <w:t xml:space="preserve">O</w:t>
            </w:r>
          </w:p>
        </w:tc>
        <w:tc>
          <w:tcPr>
            <w:tcW w:w="905" w:type="dxa"/>
          </w:tcPr>
          <w:p>
            <w:pPr>
              <w:pStyle w:val="Compact"/>
              <w:spacing w:after="40"/>
              <w:jc w:val="left"/>
            </w:pPr>
            <w:r>
              <w:rPr>
                <w:sz w:val="18"/>
              </w:rPr>
              <w:t xml:space="preserve">Guide only</w:t>
            </w:r>
          </w:p>
        </w:tc>
        <w:tc>
          <w:tcPr>
            <w:tcW w:w="863" w:type="dxa"/>
          </w:tcPr>
          <w:p>
            <w:pPr>
              <w:pStyle w:val="Compact"/>
              <w:spacing w:after="40"/>
              <w:jc w:val="left"/>
            </w:pPr>
            <w:r>
              <w:rPr>
                <w:sz w:val="18"/>
              </w:rPr>
              <w:t xml:space="preserve">—</w:t>
            </w:r>
          </w:p>
        </w:tc>
        <w:tc>
          <w:tcPr>
            <w:tcW w:w="905" w:type="dxa"/>
          </w:tcPr>
          <w:p>
            <w:pPr>
              <w:pStyle w:val="Compact"/>
              <w:spacing w:after="40"/>
              <w:jc w:val="left"/>
            </w:pPr>
            <w:r>
              <w:rPr>
                <w:sz w:val="18"/>
              </w:rPr>
              <w:t xml:space="preserve">M (exceptions)</w:t>
            </w:r>
          </w:p>
        </w:tc>
        <w:tc>
          <w:tcPr>
            <w:tcW w:w="891" w:type="dxa"/>
          </w:tcPr>
          <w:p>
            <w:pPr>
              <w:pStyle w:val="Compact"/>
              <w:spacing w:after="40"/>
              <w:jc w:val="left"/>
            </w:pPr>
            <w:r>
              <w:rPr>
                <w:sz w:val="18"/>
              </w:rPr>
              <w:t xml:space="preserve">R</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F (own sourced)</w:t>
            </w:r>
          </w:p>
        </w:tc>
        <w:tc>
          <w:tcPr>
            <w:tcW w:w="649" w:type="dxa"/>
          </w:tcPr>
          <w:p>
            <w:pPr>
              <w:pStyle w:val="Compact"/>
              <w:spacing w:after="40"/>
              <w:jc w:val="left"/>
            </w:pPr>
            <w:r>
              <w:rPr>
                <w:sz w:val="18"/>
              </w:rPr>
              <w:t xml:space="preserve">F (members)</w:t>
            </w:r>
          </w:p>
        </w:tc>
        <w:tc>
          <w:tcPr>
            <w:tcW w:w="792" w:type="dxa"/>
          </w:tcPr>
          <w:p>
            <w:pPr>
              <w:pStyle w:val="Compact"/>
              <w:spacing w:after="40"/>
              <w:jc w:val="left"/>
            </w:pPr>
            <w:r>
              <w:rPr>
                <w:sz w:val="18"/>
              </w:rPr>
              <w:t xml:space="preserve">R (scope)</w:t>
            </w:r>
          </w:p>
        </w:tc>
      </w:tr>
      <w:tr>
        <w:tc>
          <w:tcPr>
            <w:tcW w:w="877" w:type="dxa"/>
          </w:tcPr>
          <w:p>
            <w:pPr>
              <w:pStyle w:val="Compact"/>
              <w:spacing w:after="40"/>
              <w:jc w:val="left"/>
            </w:pPr>
            <w:r>
              <w:rPr>
                <w:sz w:val="18"/>
              </w:rPr>
              <w:t xml:space="preserve">KYC evidence</w:t>
            </w:r>
          </w:p>
        </w:tc>
        <w:tc>
          <w:tcPr>
            <w:tcW w:w="610" w:type="dxa"/>
          </w:tcPr>
          <w:p>
            <w:pPr>
              <w:pStyle w:val="Compact"/>
              <w:spacing w:after="40"/>
              <w:jc w:val="left"/>
            </w:pPr>
            <w:r>
              <w:rPr>
                <w:sz w:val="18"/>
              </w:rPr>
              <w:t xml:space="preserve">O</w:t>
            </w:r>
          </w:p>
        </w:tc>
        <w:tc>
          <w:tcPr>
            <w:tcW w:w="905" w:type="dxa"/>
          </w:tcPr>
          <w:p>
            <w:pPr>
              <w:pStyle w:val="Compact"/>
              <w:spacing w:after="40"/>
              <w:jc w:val="left"/>
            </w:pPr>
            <w:r>
              <w:rPr>
                <w:sz w:val="18"/>
              </w:rPr>
              <w:t xml:space="preserve">Capture only</w:t>
            </w:r>
          </w:p>
        </w:tc>
        <w:tc>
          <w:tcPr>
            <w:tcW w:w="863" w:type="dxa"/>
          </w:tcPr>
          <w:p>
            <w:pPr>
              <w:pStyle w:val="Compact"/>
              <w:spacing w:after="40"/>
              <w:jc w:val="left"/>
            </w:pPr>
            <w:r>
              <w:rPr>
                <w:sz w:val="18"/>
              </w:rPr>
              <w:t xml:space="preserve">—</w:t>
            </w:r>
          </w:p>
        </w:tc>
        <w:tc>
          <w:tcPr>
            <w:tcW w:w="905" w:type="dxa"/>
          </w:tcPr>
          <w:p>
            <w:pPr>
              <w:pStyle w:val="Compact"/>
              <w:spacing w:after="40"/>
              <w:jc w:val="left"/>
            </w:pPr>
            <w:r>
              <w:rPr>
                <w:sz w:val="18"/>
              </w:rPr>
              <w:t xml:space="preserve">M</w:t>
            </w:r>
          </w:p>
        </w:tc>
        <w:tc>
          <w:tcPr>
            <w:tcW w:w="891" w:type="dxa"/>
          </w:tcPr>
          <w:p>
            <w:pPr>
              <w:pStyle w:val="Compact"/>
              <w:spacing w:after="40"/>
              <w:jc w:val="left"/>
            </w:pPr>
            <w:r>
              <w:rPr>
                <w:sz w:val="18"/>
              </w:rPr>
              <w:t xml:space="preserve">R</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F</w:t>
            </w:r>
          </w:p>
        </w:tc>
        <w:tc>
          <w:tcPr>
            <w:tcW w:w="649" w:type="dxa"/>
          </w:tcPr>
          <w:p>
            <w:pPr>
              <w:pStyle w:val="Compact"/>
              <w:spacing w:after="40"/>
              <w:jc w:val="left"/>
            </w:pPr>
            <w:r>
              <w:rPr>
                <w:sz w:val="18"/>
              </w:rPr>
              <w:t xml:space="preserve">F</w:t>
            </w:r>
          </w:p>
        </w:tc>
        <w:tc>
          <w:tcPr>
            <w:tcW w:w="792" w:type="dxa"/>
          </w:tcPr>
          <w:p>
            <w:pPr>
              <w:pStyle w:val="Compact"/>
              <w:spacing w:after="40"/>
              <w:jc w:val="left"/>
            </w:pPr>
            <w:r>
              <w:rPr>
                <w:sz w:val="18"/>
              </w:rPr>
              <w:t xml:space="preserve">R (masked)</w:t>
            </w:r>
          </w:p>
        </w:tc>
      </w:tr>
      <w:tr>
        <w:tc>
          <w:tcPr>
            <w:tcW w:w="877" w:type="dxa"/>
          </w:tcPr>
          <w:p>
            <w:pPr>
              <w:pStyle w:val="Compact"/>
              <w:spacing w:after="40"/>
              <w:jc w:val="left"/>
            </w:pPr>
            <w:r>
              <w:rPr>
                <w:sz w:val="18"/>
              </w:rPr>
              <w:t xml:space="preserve">KFS, decision, sanction</w:t>
            </w:r>
          </w:p>
        </w:tc>
        <w:tc>
          <w:tcPr>
            <w:tcW w:w="610" w:type="dxa"/>
          </w:tcPr>
          <w:p>
            <w:pPr>
              <w:pStyle w:val="Compact"/>
              <w:spacing w:after="40"/>
              <w:jc w:val="left"/>
            </w:pPr>
            <w:r>
              <w:rPr>
                <w:sz w:val="18"/>
              </w:rPr>
              <w:t xml:space="preserve">O</w:t>
            </w:r>
          </w:p>
        </w:tc>
        <w:tc>
          <w:tcPr>
            <w:tcW w:w="905" w:type="dxa"/>
          </w:tcPr>
          <w:p>
            <w:pPr>
              <w:pStyle w:val="Compact"/>
              <w:spacing w:after="40"/>
              <w:jc w:val="left"/>
            </w:pPr>
            <w:r>
              <w:rPr>
                <w:sz w:val="18"/>
              </w:rPr>
              <w:t xml:space="preserve">Read aloud only</w:t>
            </w:r>
          </w:p>
        </w:tc>
        <w:tc>
          <w:tcPr>
            <w:tcW w:w="863" w:type="dxa"/>
          </w:tcPr>
          <w:p>
            <w:pPr>
              <w:pStyle w:val="Compact"/>
              <w:spacing w:after="40"/>
              <w:jc w:val="left"/>
            </w:pPr>
            <w:r>
              <w:rPr>
                <w:sz w:val="18"/>
              </w:rPr>
              <w:t xml:space="preserve">—</w:t>
            </w:r>
          </w:p>
        </w:tc>
        <w:tc>
          <w:tcPr>
            <w:tcW w:w="905" w:type="dxa"/>
          </w:tcPr>
          <w:p>
            <w:pPr>
              <w:pStyle w:val="Compact"/>
              <w:spacing w:after="40"/>
              <w:jc w:val="left"/>
            </w:pPr>
            <w:r>
              <w:rPr>
                <w:sz w:val="18"/>
              </w:rPr>
              <w:t xml:space="preserve">M</w:t>
            </w:r>
          </w:p>
        </w:tc>
        <w:tc>
          <w:tcPr>
            <w:tcW w:w="891" w:type="dxa"/>
          </w:tcPr>
          <w:p>
            <w:pPr>
              <w:pStyle w:val="Compact"/>
              <w:spacing w:after="40"/>
              <w:jc w:val="left"/>
            </w:pPr>
            <w:r>
              <w:rPr>
                <w:sz w:val="18"/>
              </w:rPr>
              <w:t xml:space="preserve">R</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F</w:t>
            </w:r>
          </w:p>
        </w:tc>
        <w:tc>
          <w:tcPr>
            <w:tcW w:w="649" w:type="dxa"/>
          </w:tcPr>
          <w:p>
            <w:pPr>
              <w:pStyle w:val="Compact"/>
              <w:spacing w:after="40"/>
              <w:jc w:val="left"/>
            </w:pPr>
            <w:r>
              <w:rPr>
                <w:sz w:val="18"/>
              </w:rPr>
              <w:t xml:space="preserve">F</w:t>
            </w:r>
          </w:p>
        </w:tc>
        <w:tc>
          <w:tcPr>
            <w:tcW w:w="792" w:type="dxa"/>
          </w:tcPr>
          <w:p>
            <w:pPr>
              <w:pStyle w:val="Compact"/>
              <w:spacing w:after="40"/>
              <w:jc w:val="left"/>
            </w:pPr>
            <w:r>
              <w:rPr>
                <w:sz w:val="18"/>
              </w:rPr>
              <w:t xml:space="preserve">R</w:t>
            </w:r>
          </w:p>
        </w:tc>
      </w:tr>
      <w:tr>
        <w:tc>
          <w:tcPr>
            <w:tcW w:w="877" w:type="dxa"/>
          </w:tcPr>
          <w:p>
            <w:pPr>
              <w:pStyle w:val="Compact"/>
              <w:spacing w:after="40"/>
              <w:jc w:val="left"/>
            </w:pPr>
            <w:r>
              <w:rPr>
                <w:sz w:val="18"/>
              </w:rPr>
              <w:t xml:space="preserve">Loan mirror and payments</w:t>
            </w:r>
          </w:p>
        </w:tc>
        <w:tc>
          <w:tcPr>
            <w:tcW w:w="610" w:type="dxa"/>
          </w:tcPr>
          <w:p>
            <w:pPr>
              <w:pStyle w:val="Compact"/>
              <w:spacing w:after="40"/>
              <w:jc w:val="left"/>
            </w:pPr>
            <w:r>
              <w:rPr>
                <w:sz w:val="18"/>
              </w:rPr>
              <w:t xml:space="preserve">O</w:t>
            </w:r>
          </w:p>
        </w:tc>
        <w:tc>
          <w:tcPr>
            <w:tcW w:w="905" w:type="dxa"/>
          </w:tcPr>
          <w:p>
            <w:pPr>
              <w:pStyle w:val="Compact"/>
              <w:spacing w:after="40"/>
              <w:jc w:val="left"/>
            </w:pPr>
            <w:r>
              <w:rPr>
                <w:sz w:val="18"/>
              </w:rPr>
              <w:t xml:space="preserve">Centre members (M)</w:t>
            </w:r>
          </w:p>
        </w:tc>
        <w:tc>
          <w:tcPr>
            <w:tcW w:w="863" w:type="dxa"/>
          </w:tcPr>
          <w:p>
            <w:pPr>
              <w:pStyle w:val="Compact"/>
              <w:spacing w:after="40"/>
              <w:jc w:val="left"/>
            </w:pPr>
            <w:r>
              <w:rPr>
                <w:sz w:val="18"/>
              </w:rPr>
              <w:t xml:space="preserve">Allocated cases (minimum data)</w:t>
            </w:r>
          </w:p>
        </w:tc>
        <w:tc>
          <w:tcPr>
            <w:tcW w:w="905" w:type="dxa"/>
          </w:tcPr>
          <w:p>
            <w:pPr>
              <w:pStyle w:val="Compact"/>
              <w:spacing w:after="40"/>
              <w:jc w:val="left"/>
            </w:pPr>
            <w:r>
              <w:rPr>
                <w:sz w:val="18"/>
              </w:rPr>
              <w:t xml:space="preserve">M</w:t>
            </w:r>
          </w:p>
        </w:tc>
        <w:tc>
          <w:tcPr>
            <w:tcW w:w="891" w:type="dxa"/>
          </w:tcPr>
          <w:p>
            <w:pPr>
              <w:pStyle w:val="Compact"/>
              <w:spacing w:after="40"/>
              <w:jc w:val="left"/>
            </w:pPr>
            <w:r>
              <w:rPr>
                <w:sz w:val="18"/>
              </w:rPr>
              <w:t xml:space="preserve">R</w:t>
            </w:r>
          </w:p>
        </w:tc>
        <w:tc>
          <w:tcPr>
            <w:tcW w:w="668" w:type="dxa"/>
          </w:tcPr>
          <w:p>
            <w:pPr>
              <w:pStyle w:val="Compact"/>
              <w:spacing w:after="40"/>
              <w:jc w:val="left"/>
            </w:pPr>
            <w:r>
              <w:rPr>
                <w:sz w:val="18"/>
              </w:rPr>
              <w:t xml:space="preserve">M</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F</w:t>
            </w:r>
          </w:p>
        </w:tc>
        <w:tc>
          <w:tcPr>
            <w:tcW w:w="649" w:type="dxa"/>
          </w:tcPr>
          <w:p>
            <w:pPr>
              <w:pStyle w:val="Compact"/>
              <w:spacing w:after="40"/>
              <w:jc w:val="left"/>
            </w:pPr>
            <w:r>
              <w:rPr>
                <w:sz w:val="18"/>
              </w:rPr>
              <w:t xml:space="preserve">F</w:t>
            </w:r>
          </w:p>
        </w:tc>
        <w:tc>
          <w:tcPr>
            <w:tcW w:w="792" w:type="dxa"/>
          </w:tcPr>
          <w:p>
            <w:pPr>
              <w:pStyle w:val="Compact"/>
              <w:spacing w:after="40"/>
              <w:jc w:val="left"/>
            </w:pPr>
            <w:r>
              <w:rPr>
                <w:sz w:val="18"/>
              </w:rPr>
              <w:t xml:space="preserve">R</w:t>
            </w:r>
          </w:p>
        </w:tc>
      </w:tr>
      <w:tr>
        <w:tc>
          <w:tcPr>
            <w:tcW w:w="877" w:type="dxa"/>
          </w:tcPr>
          <w:p>
            <w:pPr>
              <w:pStyle w:val="Compact"/>
              <w:spacing w:after="40"/>
              <w:jc w:val="left"/>
            </w:pPr>
            <w:r>
              <w:rPr>
                <w:sz w:val="18"/>
              </w:rPr>
              <w:t xml:space="preserve">Overdue and settlement</w:t>
            </w:r>
          </w:p>
        </w:tc>
        <w:tc>
          <w:tcPr>
            <w:tcW w:w="610" w:type="dxa"/>
          </w:tcPr>
          <w:p>
            <w:pPr>
              <w:pStyle w:val="Compact"/>
              <w:spacing w:after="40"/>
              <w:jc w:val="left"/>
            </w:pPr>
            <w:r>
              <w:rPr>
                <w:sz w:val="18"/>
              </w:rPr>
              <w:t xml:space="preserve">O</w:t>
            </w:r>
          </w:p>
        </w:tc>
        <w:tc>
          <w:tcPr>
            <w:tcW w:w="905" w:type="dxa"/>
          </w:tcPr>
          <w:p>
            <w:pPr>
              <w:pStyle w:val="Compact"/>
              <w:spacing w:after="40"/>
              <w:jc w:val="left"/>
            </w:pPr>
            <w:r>
              <w:rPr>
                <w:sz w:val="18"/>
              </w:rPr>
              <w:t xml:space="preserve">—</w:t>
            </w:r>
          </w:p>
        </w:tc>
        <w:tc>
          <w:tcPr>
            <w:tcW w:w="863" w:type="dxa"/>
          </w:tcPr>
          <w:p>
            <w:pPr>
              <w:pStyle w:val="Compact"/>
              <w:spacing w:after="40"/>
              <w:jc w:val="left"/>
            </w:pPr>
            <w:r>
              <w:rPr>
                <w:sz w:val="18"/>
              </w:rPr>
              <w:t xml:space="preserve">Present RE offers only</w:t>
            </w:r>
          </w:p>
        </w:tc>
        <w:tc>
          <w:tcPr>
            <w:tcW w:w="905" w:type="dxa"/>
          </w:tcPr>
          <w:p>
            <w:pPr>
              <w:pStyle w:val="Compact"/>
              <w:spacing w:after="40"/>
              <w:jc w:val="left"/>
            </w:pPr>
            <w:r>
              <w:rPr>
                <w:sz w:val="18"/>
              </w:rPr>
              <w:t xml:space="preserve">R (status)</w:t>
            </w:r>
          </w:p>
        </w:tc>
        <w:tc>
          <w:tcPr>
            <w:tcW w:w="891" w:type="dxa"/>
          </w:tcPr>
          <w:p>
            <w:pPr>
              <w:pStyle w:val="Compact"/>
              <w:spacing w:after="40"/>
              <w:jc w:val="left"/>
            </w:pPr>
            <w:r>
              <w:rPr>
                <w:sz w:val="18"/>
              </w:rPr>
              <w:t xml:space="preserve">R</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F (issue, approve)</w:t>
            </w:r>
          </w:p>
        </w:tc>
        <w:tc>
          <w:tcPr>
            <w:tcW w:w="649" w:type="dxa"/>
          </w:tcPr>
          <w:p>
            <w:pPr>
              <w:pStyle w:val="Compact"/>
              <w:spacing w:after="40"/>
              <w:jc w:val="left"/>
            </w:pPr>
            <w:r>
              <w:rPr>
                <w:sz w:val="18"/>
              </w:rPr>
              <w:t xml:space="preserve">F</w:t>
            </w:r>
          </w:p>
        </w:tc>
        <w:tc>
          <w:tcPr>
            <w:tcW w:w="792" w:type="dxa"/>
          </w:tcPr>
          <w:p>
            <w:pPr>
              <w:pStyle w:val="Compact"/>
              <w:spacing w:after="40"/>
              <w:jc w:val="left"/>
            </w:pPr>
            <w:r>
              <w:rPr>
                <w:sz w:val="18"/>
              </w:rPr>
              <w:t xml:space="preserve">R</w:t>
            </w:r>
          </w:p>
        </w:tc>
      </w:tr>
      <w:tr>
        <w:tc>
          <w:tcPr>
            <w:tcW w:w="877" w:type="dxa"/>
          </w:tcPr>
          <w:p>
            <w:pPr>
              <w:pStyle w:val="Compact"/>
              <w:spacing w:after="40"/>
              <w:jc w:val="left"/>
            </w:pPr>
            <w:r>
              <w:rPr>
                <w:sz w:val="18"/>
              </w:rPr>
              <w:t xml:space="preserve">Notices</w:t>
            </w:r>
          </w:p>
        </w:tc>
        <w:tc>
          <w:tcPr>
            <w:tcW w:w="610" w:type="dxa"/>
          </w:tcPr>
          <w:p>
            <w:pPr>
              <w:pStyle w:val="Compact"/>
              <w:spacing w:after="40"/>
              <w:jc w:val="left"/>
            </w:pPr>
            <w:r>
              <w:rPr>
                <w:sz w:val="18"/>
              </w:rPr>
              <w:t xml:space="preserve">O</w:t>
            </w:r>
          </w:p>
        </w:tc>
        <w:tc>
          <w:tcPr>
            <w:tcW w:w="905" w:type="dxa"/>
          </w:tcPr>
          <w:p>
            <w:pPr>
              <w:pStyle w:val="Compact"/>
              <w:spacing w:after="40"/>
              <w:jc w:val="left"/>
            </w:pPr>
            <w:r>
              <w:rPr>
                <w:sz w:val="18"/>
              </w:rPr>
              <w:t xml:space="preserve">—</w:t>
            </w:r>
          </w:p>
        </w:tc>
        <w:tc>
          <w:tcPr>
            <w:tcW w:w="863" w:type="dxa"/>
          </w:tcPr>
          <w:p>
            <w:pPr>
              <w:pStyle w:val="Compact"/>
              <w:spacing w:after="40"/>
              <w:jc w:val="left"/>
            </w:pPr>
            <w:r>
              <w:rPr>
                <w:sz w:val="18"/>
              </w:rPr>
              <w:t xml:space="preserve">—</w:t>
            </w:r>
          </w:p>
        </w:tc>
        <w:tc>
          <w:tcPr>
            <w:tcW w:w="905" w:type="dxa"/>
          </w:tcPr>
          <w:p>
            <w:pPr>
              <w:pStyle w:val="Compact"/>
              <w:spacing w:after="40"/>
              <w:jc w:val="left"/>
            </w:pPr>
            <w:r>
              <w:rPr>
                <w:sz w:val="18"/>
              </w:rPr>
              <w:t xml:space="preserve">M (delivery only)</w:t>
            </w:r>
          </w:p>
        </w:tc>
        <w:tc>
          <w:tcPr>
            <w:tcW w:w="891" w:type="dxa"/>
          </w:tcPr>
          <w:p>
            <w:pPr>
              <w:pStyle w:val="Compact"/>
              <w:spacing w:after="40"/>
              <w:jc w:val="left"/>
            </w:pPr>
            <w:r>
              <w:rPr>
                <w:sz w:val="18"/>
              </w:rPr>
              <w:t xml:space="preserve">R</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F</w:t>
            </w:r>
          </w:p>
        </w:tc>
        <w:tc>
          <w:tcPr>
            <w:tcW w:w="649" w:type="dxa"/>
          </w:tcPr>
          <w:p>
            <w:pPr>
              <w:pStyle w:val="Compact"/>
              <w:spacing w:after="40"/>
              <w:jc w:val="left"/>
            </w:pPr>
            <w:r>
              <w:rPr>
                <w:sz w:val="18"/>
              </w:rPr>
              <w:t xml:space="preserve">F</w:t>
            </w:r>
          </w:p>
        </w:tc>
        <w:tc>
          <w:tcPr>
            <w:tcW w:w="792" w:type="dxa"/>
          </w:tcPr>
          <w:p>
            <w:pPr>
              <w:pStyle w:val="Compact"/>
              <w:spacing w:after="40"/>
              <w:jc w:val="left"/>
            </w:pPr>
            <w:r>
              <w:rPr>
                <w:sz w:val="18"/>
              </w:rPr>
              <w:t xml:space="preserve">R</w:t>
            </w:r>
          </w:p>
        </w:tc>
      </w:tr>
      <w:tr>
        <w:tc>
          <w:tcPr>
            <w:tcW w:w="877" w:type="dxa"/>
          </w:tcPr>
          <w:p>
            <w:pPr>
              <w:pStyle w:val="Compact"/>
              <w:spacing w:after="40"/>
              <w:jc w:val="left"/>
            </w:pPr>
            <w:r>
              <w:rPr>
                <w:sz w:val="18"/>
              </w:rPr>
              <w:t xml:space="preserve">Recovery operations</w:t>
            </w:r>
          </w:p>
        </w:tc>
        <w:tc>
          <w:tcPr>
            <w:tcW w:w="610"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863" w:type="dxa"/>
          </w:tcPr>
          <w:p>
            <w:pPr>
              <w:pStyle w:val="Compact"/>
              <w:spacing w:after="40"/>
              <w:jc w:val="left"/>
            </w:pPr>
            <w:r>
              <w:rPr>
                <w:sz w:val="18"/>
              </w:rPr>
              <w:t xml:space="preserve">O (allocated)</w:t>
            </w:r>
          </w:p>
        </w:tc>
        <w:tc>
          <w:tcPr>
            <w:tcW w:w="905" w:type="dxa"/>
          </w:tcPr>
          <w:p>
            <w:pPr>
              <w:pStyle w:val="Compact"/>
              <w:spacing w:after="40"/>
              <w:jc w:val="left"/>
            </w:pPr>
            <w:r>
              <w:rPr>
                <w:sz w:val="18"/>
              </w:rPr>
              <w:t xml:space="preserve">F (tele-calling where appointed)</w:t>
            </w:r>
          </w:p>
        </w:tc>
        <w:tc>
          <w:tcPr>
            <w:tcW w:w="891" w:type="dxa"/>
          </w:tcPr>
          <w:p>
            <w:pPr>
              <w:pStyle w:val="Compact"/>
              <w:spacing w:after="40"/>
              <w:jc w:val="left"/>
            </w:pPr>
            <w:r>
              <w:rPr>
                <w:sz w:val="18"/>
              </w:rPr>
              <w:t xml:space="preserve">R</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F</w:t>
            </w:r>
          </w:p>
        </w:tc>
        <w:tc>
          <w:tcPr>
            <w:tcW w:w="649" w:type="dxa"/>
          </w:tcPr>
          <w:p>
            <w:pPr>
              <w:pStyle w:val="Compact"/>
              <w:spacing w:after="40"/>
              <w:jc w:val="left"/>
            </w:pPr>
            <w:r>
              <w:rPr>
                <w:sz w:val="18"/>
              </w:rPr>
              <w:t xml:space="preserve">F</w:t>
            </w:r>
          </w:p>
        </w:tc>
        <w:tc>
          <w:tcPr>
            <w:tcW w:w="792" w:type="dxa"/>
          </w:tcPr>
          <w:p>
            <w:pPr>
              <w:pStyle w:val="Compact"/>
              <w:spacing w:after="40"/>
              <w:jc w:val="left"/>
            </w:pPr>
            <w:r>
              <w:rPr>
                <w:sz w:val="18"/>
              </w:rPr>
              <w:t xml:space="preserve">R</w:t>
            </w:r>
          </w:p>
        </w:tc>
      </w:tr>
      <w:tr>
        <w:tc>
          <w:tcPr>
            <w:tcW w:w="877" w:type="dxa"/>
          </w:tcPr>
          <w:p>
            <w:pPr>
              <w:pStyle w:val="Compact"/>
              <w:spacing w:after="40"/>
              <w:jc w:val="left"/>
            </w:pPr>
            <w:r>
              <w:rPr>
                <w:sz w:val="18"/>
              </w:rPr>
              <w:t xml:space="preserve">Grievances</w:t>
            </w:r>
          </w:p>
        </w:tc>
        <w:tc>
          <w:tcPr>
            <w:tcW w:w="610" w:type="dxa"/>
          </w:tcPr>
          <w:p>
            <w:pPr>
              <w:pStyle w:val="Compact"/>
              <w:spacing w:after="40"/>
              <w:jc w:val="left"/>
            </w:pPr>
            <w:r>
              <w:rPr>
                <w:sz w:val="18"/>
              </w:rPr>
              <w:t xml:space="preserve">O</w:t>
            </w:r>
          </w:p>
        </w:tc>
        <w:tc>
          <w:tcPr>
            <w:tcW w:w="905" w:type="dxa"/>
          </w:tcPr>
          <w:p>
            <w:pPr>
              <w:pStyle w:val="Compact"/>
              <w:spacing w:after="40"/>
              <w:jc w:val="left"/>
            </w:pPr>
            <w:r>
              <w:rPr>
                <w:sz w:val="18"/>
              </w:rPr>
              <w:t xml:space="preserve">Raise on behalf only with consent</w:t>
            </w:r>
          </w:p>
        </w:tc>
        <w:tc>
          <w:tcPr>
            <w:tcW w:w="863" w:type="dxa"/>
          </w:tcPr>
          <w:p>
            <w:pPr>
              <w:pStyle w:val="Compact"/>
              <w:spacing w:after="40"/>
              <w:jc w:val="left"/>
            </w:pPr>
            <w:r>
              <w:rPr>
                <w:sz w:val="18"/>
              </w:rPr>
              <w:t xml:space="preserve">Misconduct reports</w:t>
            </w:r>
          </w:p>
        </w:tc>
        <w:tc>
          <w:tcPr>
            <w:tcW w:w="905" w:type="dxa"/>
          </w:tcPr>
          <w:p>
            <w:pPr>
              <w:pStyle w:val="Compact"/>
              <w:spacing w:after="40"/>
              <w:jc w:val="left"/>
            </w:pPr>
            <w:r>
              <w:rPr>
                <w:sz w:val="18"/>
              </w:rPr>
              <w:t xml:space="preserve">F (Udofin tiers)</w:t>
            </w:r>
          </w:p>
        </w:tc>
        <w:tc>
          <w:tcPr>
            <w:tcW w:w="891" w:type="dxa"/>
          </w:tcPr>
          <w:p>
            <w:pPr>
              <w:pStyle w:val="Compact"/>
              <w:spacing w:after="40"/>
              <w:jc w:val="left"/>
            </w:pPr>
            <w:r>
              <w:rPr>
                <w:sz w:val="18"/>
              </w:rPr>
              <w:t xml:space="preserve">F</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F (RE tiers)</w:t>
            </w:r>
          </w:p>
        </w:tc>
        <w:tc>
          <w:tcPr>
            <w:tcW w:w="649" w:type="dxa"/>
          </w:tcPr>
          <w:p>
            <w:pPr>
              <w:pStyle w:val="Compact"/>
              <w:spacing w:after="40"/>
              <w:jc w:val="left"/>
            </w:pPr>
            <w:r>
              <w:rPr>
                <w:sz w:val="18"/>
              </w:rPr>
              <w:t xml:space="preserve">F</w:t>
            </w:r>
          </w:p>
        </w:tc>
        <w:tc>
          <w:tcPr>
            <w:tcW w:w="792" w:type="dxa"/>
          </w:tcPr>
          <w:p>
            <w:pPr>
              <w:pStyle w:val="Compact"/>
              <w:spacing w:after="40"/>
              <w:jc w:val="left"/>
            </w:pPr>
            <w:r>
              <w:rPr>
                <w:sz w:val="18"/>
              </w:rPr>
              <w:t xml:space="preserve">R</w:t>
            </w:r>
          </w:p>
        </w:tc>
      </w:tr>
      <w:tr>
        <w:tc>
          <w:tcPr>
            <w:tcW w:w="877" w:type="dxa"/>
          </w:tcPr>
          <w:p>
            <w:pPr>
              <w:pStyle w:val="Compact"/>
              <w:spacing w:after="40"/>
              <w:jc w:val="left"/>
            </w:pPr>
            <w:r>
              <w:rPr>
                <w:sz w:val="18"/>
              </w:rPr>
              <w:t xml:space="preserve">Documents and data</w:t>
            </w:r>
          </w:p>
        </w:tc>
        <w:tc>
          <w:tcPr>
            <w:tcW w:w="610" w:type="dxa"/>
          </w:tcPr>
          <w:p>
            <w:pPr>
              <w:pStyle w:val="Compact"/>
              <w:spacing w:after="40"/>
              <w:jc w:val="left"/>
            </w:pPr>
            <w:r>
              <w:rPr>
                <w:sz w:val="18"/>
              </w:rPr>
              <w:t xml:space="preserve">O</w:t>
            </w:r>
          </w:p>
        </w:tc>
        <w:tc>
          <w:tcPr>
            <w:tcW w:w="905" w:type="dxa"/>
          </w:tcPr>
          <w:p>
            <w:pPr>
              <w:pStyle w:val="Compact"/>
              <w:spacing w:after="40"/>
              <w:jc w:val="left"/>
            </w:pPr>
            <w:r>
              <w:rPr>
                <w:sz w:val="18"/>
              </w:rPr>
              <w:t xml:space="preserve">—</w:t>
            </w:r>
          </w:p>
        </w:tc>
        <w:tc>
          <w:tcPr>
            <w:tcW w:w="863" w:type="dxa"/>
          </w:tcPr>
          <w:p>
            <w:pPr>
              <w:pStyle w:val="Compact"/>
              <w:spacing w:after="40"/>
              <w:jc w:val="left"/>
            </w:pPr>
            <w:r>
              <w:rPr>
                <w:sz w:val="18"/>
              </w:rPr>
              <w:t xml:space="preserve">—</w:t>
            </w:r>
          </w:p>
        </w:tc>
        <w:tc>
          <w:tcPr>
            <w:tcW w:w="905" w:type="dxa"/>
          </w:tcPr>
          <w:p>
            <w:pPr>
              <w:pStyle w:val="Compact"/>
              <w:spacing w:after="40"/>
              <w:jc w:val="left"/>
            </w:pPr>
            <w:r>
              <w:rPr>
                <w:sz w:val="18"/>
              </w:rPr>
              <w:t xml:space="preserve">M (request clocks)</w:t>
            </w:r>
          </w:p>
        </w:tc>
        <w:tc>
          <w:tcPr>
            <w:tcW w:w="891" w:type="dxa"/>
          </w:tcPr>
          <w:p>
            <w:pPr>
              <w:pStyle w:val="Compact"/>
              <w:spacing w:after="40"/>
              <w:jc w:val="left"/>
            </w:pPr>
            <w:r>
              <w:rPr>
                <w:sz w:val="18"/>
              </w:rPr>
              <w:t xml:space="preserve">R (DPO)</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F (fulfil)</w:t>
            </w:r>
          </w:p>
        </w:tc>
        <w:tc>
          <w:tcPr>
            <w:tcW w:w="649" w:type="dxa"/>
          </w:tcPr>
          <w:p>
            <w:pPr>
              <w:pStyle w:val="Compact"/>
              <w:spacing w:after="40"/>
              <w:jc w:val="left"/>
            </w:pPr>
            <w:r>
              <w:rPr>
                <w:sz w:val="18"/>
              </w:rPr>
              <w:t xml:space="preserve">F</w:t>
            </w:r>
          </w:p>
        </w:tc>
        <w:tc>
          <w:tcPr>
            <w:tcW w:w="792" w:type="dxa"/>
          </w:tcPr>
          <w:p>
            <w:pPr>
              <w:pStyle w:val="Compact"/>
              <w:spacing w:after="40"/>
              <w:jc w:val="left"/>
            </w:pPr>
            <w:r>
              <w:rPr>
                <w:sz w:val="18"/>
              </w:rPr>
              <w:t xml:space="preserve">R (scope)</w:t>
            </w:r>
          </w:p>
        </w:tc>
      </w:tr>
      <w:tr>
        <w:tc>
          <w:tcPr>
            <w:tcW w:w="877" w:type="dxa"/>
          </w:tcPr>
          <w:p>
            <w:pPr>
              <w:pStyle w:val="Compact"/>
              <w:spacing w:after="40"/>
              <w:jc w:val="left"/>
            </w:pPr>
            <w:r>
              <w:rPr>
                <w:sz w:val="18"/>
              </w:rPr>
              <w:t xml:space="preserve">Money tools</w:t>
            </w:r>
          </w:p>
        </w:tc>
        <w:tc>
          <w:tcPr>
            <w:tcW w:w="610" w:type="dxa"/>
          </w:tcPr>
          <w:p>
            <w:pPr>
              <w:pStyle w:val="Compact"/>
              <w:spacing w:after="40"/>
              <w:jc w:val="left"/>
            </w:pPr>
            <w:r>
              <w:rPr>
                <w:sz w:val="18"/>
              </w:rPr>
              <w:t xml:space="preserve">O</w:t>
            </w:r>
          </w:p>
        </w:tc>
        <w:tc>
          <w:tcPr>
            <w:tcW w:w="905" w:type="dxa"/>
          </w:tcPr>
          <w:p>
            <w:pPr>
              <w:pStyle w:val="Compact"/>
              <w:spacing w:after="40"/>
              <w:jc w:val="left"/>
            </w:pPr>
            <w:r>
              <w:rPr>
                <w:sz w:val="18"/>
              </w:rPr>
              <w:t xml:space="preserve">—</w:t>
            </w:r>
          </w:p>
        </w:tc>
        <w:tc>
          <w:tcPr>
            <w:tcW w:w="863" w:type="dxa"/>
          </w:tcPr>
          <w:p>
            <w:pPr>
              <w:pStyle w:val="Compact"/>
              <w:spacing w:after="40"/>
              <w:jc w:val="left"/>
            </w:pPr>
            <w:r>
              <w:rPr>
                <w:sz w:val="18"/>
              </w:rPr>
              <w:t xml:space="preserve">—</w:t>
            </w:r>
          </w:p>
        </w:tc>
        <w:tc>
          <w:tcPr>
            <w:tcW w:w="905" w:type="dxa"/>
          </w:tcPr>
          <w:p>
            <w:pPr>
              <w:pStyle w:val="Compact"/>
              <w:spacing w:after="40"/>
              <w:jc w:val="left"/>
            </w:pPr>
            <w:r>
              <w:rPr>
                <w:sz w:val="18"/>
              </w:rPr>
              <w:t xml:space="preserve">M (counts)</w:t>
            </w:r>
          </w:p>
        </w:tc>
        <w:tc>
          <w:tcPr>
            <w:tcW w:w="891" w:type="dxa"/>
          </w:tcPr>
          <w:p>
            <w:pPr>
              <w:pStyle w:val="Compact"/>
              <w:spacing w:after="40"/>
              <w:jc w:val="left"/>
            </w:pPr>
            <w:r>
              <w:rPr>
                <w:sz w:val="18"/>
              </w:rPr>
              <w:t xml:space="preserve">M (governance)</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649" w:type="dxa"/>
          </w:tcPr>
          <w:p>
            <w:pPr>
              <w:pStyle w:val="Compact"/>
              <w:spacing w:after="40"/>
              <w:jc w:val="left"/>
            </w:pPr>
            <w:r>
              <w:rPr>
                <w:sz w:val="18"/>
              </w:rPr>
              <w:t xml:space="preserve">—</w:t>
            </w:r>
          </w:p>
        </w:tc>
        <w:tc>
          <w:tcPr>
            <w:tcW w:w="792" w:type="dxa"/>
          </w:tcPr>
          <w:p>
            <w:pPr>
              <w:pStyle w:val="Compact"/>
              <w:spacing w:after="40"/>
              <w:jc w:val="left"/>
            </w:pPr>
            <w:r>
              <w:rPr>
                <w:sz w:val="18"/>
              </w:rPr>
              <w:t xml:space="preserve">—</w:t>
            </w:r>
          </w:p>
        </w:tc>
      </w:tr>
      <w:tr>
        <w:tc>
          <w:tcPr>
            <w:tcW w:w="877" w:type="dxa"/>
          </w:tcPr>
          <w:p>
            <w:pPr>
              <w:pStyle w:val="Compact"/>
              <w:spacing w:after="40"/>
              <w:jc w:val="left"/>
            </w:pPr>
            <w:r>
              <w:rPr>
                <w:sz w:val="18"/>
              </w:rPr>
              <w:t xml:space="preserve">Protect (insurance)</w:t>
            </w:r>
          </w:p>
        </w:tc>
        <w:tc>
          <w:tcPr>
            <w:tcW w:w="610" w:type="dxa"/>
          </w:tcPr>
          <w:p>
            <w:pPr>
              <w:pStyle w:val="Compact"/>
              <w:spacing w:after="40"/>
              <w:jc w:val="left"/>
            </w:pPr>
            <w:r>
              <w:rPr>
                <w:sz w:val="18"/>
              </w:rPr>
              <w:t xml:space="preserve">O</w:t>
            </w:r>
          </w:p>
        </w:tc>
        <w:tc>
          <w:tcPr>
            <w:tcW w:w="905" w:type="dxa"/>
          </w:tcPr>
          <w:p>
            <w:pPr>
              <w:pStyle w:val="Compact"/>
              <w:spacing w:after="40"/>
              <w:jc w:val="left"/>
            </w:pPr>
            <w:r>
              <w:rPr>
                <w:sz w:val="18"/>
              </w:rPr>
              <w:t xml:space="preserve">—</w:t>
            </w:r>
          </w:p>
        </w:tc>
        <w:tc>
          <w:tcPr>
            <w:tcW w:w="863" w:type="dxa"/>
          </w:tcPr>
          <w:p>
            <w:pPr>
              <w:pStyle w:val="Compact"/>
              <w:spacing w:after="40"/>
              <w:jc w:val="left"/>
            </w:pPr>
            <w:r>
              <w:rPr>
                <w:sz w:val="18"/>
              </w:rPr>
              <w:t xml:space="preserve">—</w:t>
            </w:r>
          </w:p>
        </w:tc>
        <w:tc>
          <w:tcPr>
            <w:tcW w:w="905" w:type="dxa"/>
          </w:tcPr>
          <w:p>
            <w:pPr>
              <w:pStyle w:val="Compact"/>
              <w:spacing w:after="40"/>
              <w:jc w:val="left"/>
            </w:pPr>
            <w:r>
              <w:rPr>
                <w:sz w:val="18"/>
              </w:rPr>
              <w:t xml:space="preserve">F (insurance operations)</w:t>
            </w:r>
          </w:p>
        </w:tc>
        <w:tc>
          <w:tcPr>
            <w:tcW w:w="891" w:type="dxa"/>
          </w:tcPr>
          <w:p>
            <w:pPr>
              <w:pStyle w:val="Compact"/>
              <w:spacing w:after="40"/>
              <w:jc w:val="left"/>
            </w:pPr>
            <w:r>
              <w:rPr>
                <w:sz w:val="18"/>
              </w:rPr>
              <w:t xml:space="preserve">R</w:t>
            </w:r>
          </w:p>
        </w:tc>
        <w:tc>
          <w:tcPr>
            <w:tcW w:w="668" w:type="dxa"/>
          </w:tcPr>
          <w:p>
            <w:pPr>
              <w:pStyle w:val="Compact"/>
              <w:spacing w:after="40"/>
              <w:jc w:val="left"/>
            </w:pPr>
            <w:r>
              <w:rPr>
                <w:sz w:val="18"/>
              </w:rPr>
              <w:t xml:space="preserve">M</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649" w:type="dxa"/>
          </w:tcPr>
          <w:p>
            <w:pPr>
              <w:pStyle w:val="Compact"/>
              <w:spacing w:after="40"/>
              <w:jc w:val="left"/>
            </w:pPr>
            <w:r>
              <w:rPr>
                <w:sz w:val="18"/>
              </w:rPr>
              <w:t xml:space="preserve">—</w:t>
            </w:r>
          </w:p>
        </w:tc>
        <w:tc>
          <w:tcPr>
            <w:tcW w:w="792" w:type="dxa"/>
          </w:tcPr>
          <w:p>
            <w:pPr>
              <w:pStyle w:val="Compact"/>
              <w:spacing w:after="40"/>
              <w:jc w:val="left"/>
            </w:pPr>
            <w:r>
              <w:rPr>
                <w:sz w:val="18"/>
              </w:rPr>
              <w:t xml:space="preserve">—</w:t>
            </w:r>
          </w:p>
        </w:tc>
      </w:tr>
      <w:tr>
        <w:tc>
          <w:tcPr>
            <w:tcW w:w="877" w:type="dxa"/>
          </w:tcPr>
          <w:p>
            <w:pPr>
              <w:pStyle w:val="Compact"/>
              <w:spacing w:after="40"/>
              <w:jc w:val="left"/>
            </w:pPr>
            <w:r>
              <w:rPr>
                <w:sz w:val="18"/>
              </w:rPr>
              <w:t xml:space="preserve">Plans and billing (consumer)</w:t>
            </w:r>
          </w:p>
        </w:tc>
        <w:tc>
          <w:tcPr>
            <w:tcW w:w="610" w:type="dxa"/>
          </w:tcPr>
          <w:p>
            <w:pPr>
              <w:pStyle w:val="Compact"/>
              <w:spacing w:after="40"/>
              <w:jc w:val="left"/>
            </w:pPr>
            <w:r>
              <w:rPr>
                <w:sz w:val="18"/>
              </w:rPr>
              <w:t xml:space="preserve">O</w:t>
            </w:r>
          </w:p>
        </w:tc>
        <w:tc>
          <w:tcPr>
            <w:tcW w:w="905" w:type="dxa"/>
          </w:tcPr>
          <w:p>
            <w:pPr>
              <w:pStyle w:val="Compact"/>
              <w:spacing w:after="40"/>
              <w:jc w:val="left"/>
            </w:pPr>
            <w:r>
              <w:rPr>
                <w:sz w:val="18"/>
              </w:rPr>
              <w:t xml:space="preserve">—</w:t>
            </w:r>
          </w:p>
        </w:tc>
        <w:tc>
          <w:tcPr>
            <w:tcW w:w="863"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891" w:type="dxa"/>
          </w:tcPr>
          <w:p>
            <w:pPr>
              <w:pStyle w:val="Compact"/>
              <w:spacing w:after="40"/>
              <w:jc w:val="left"/>
            </w:pPr>
            <w:r>
              <w:rPr>
                <w:sz w:val="18"/>
              </w:rPr>
              <w:t xml:space="preserve">R</w:t>
            </w:r>
          </w:p>
        </w:tc>
        <w:tc>
          <w:tcPr>
            <w:tcW w:w="668" w:type="dxa"/>
          </w:tcPr>
          <w:p>
            <w:pPr>
              <w:pStyle w:val="Compact"/>
              <w:spacing w:after="40"/>
              <w:jc w:val="left"/>
            </w:pPr>
            <w:r>
              <w:rPr>
                <w:sz w:val="18"/>
              </w:rPr>
              <w:t xml:space="preserve">F (masked)</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649" w:type="dxa"/>
          </w:tcPr>
          <w:p>
            <w:pPr>
              <w:pStyle w:val="Compact"/>
              <w:spacing w:after="40"/>
              <w:jc w:val="left"/>
            </w:pPr>
            <w:r>
              <w:rPr>
                <w:sz w:val="18"/>
              </w:rPr>
              <w:t xml:space="preserve">—</w:t>
            </w:r>
          </w:p>
        </w:tc>
        <w:tc>
          <w:tcPr>
            <w:tcW w:w="792" w:type="dxa"/>
          </w:tcPr>
          <w:p>
            <w:pPr>
              <w:pStyle w:val="Compact"/>
              <w:spacing w:after="40"/>
              <w:jc w:val="left"/>
            </w:pPr>
            <w:r>
              <w:rPr>
                <w:sz w:val="18"/>
              </w:rPr>
              <w:t xml:space="preserve">—</w:t>
            </w:r>
          </w:p>
        </w:tc>
      </w:tr>
      <w:tr>
        <w:tc>
          <w:tcPr>
            <w:tcW w:w="877" w:type="dxa"/>
          </w:tcPr>
          <w:p>
            <w:pPr>
              <w:pStyle w:val="Compact"/>
              <w:spacing w:after="40"/>
              <w:jc w:val="left"/>
            </w:pPr>
            <w:r>
              <w:rPr>
                <w:sz w:val="18"/>
              </w:rPr>
              <w:t xml:space="preserve">Billing and plan (RE)</w:t>
            </w:r>
          </w:p>
        </w:tc>
        <w:tc>
          <w:tcPr>
            <w:tcW w:w="610"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863"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891" w:type="dxa"/>
          </w:tcPr>
          <w:p>
            <w:pPr>
              <w:pStyle w:val="Compact"/>
              <w:spacing w:after="40"/>
              <w:jc w:val="left"/>
            </w:pPr>
            <w:r>
              <w:rPr>
                <w:sz w:val="18"/>
              </w:rPr>
              <w:t xml:space="preserve">R</w:t>
            </w:r>
          </w:p>
        </w:tc>
        <w:tc>
          <w:tcPr>
            <w:tcW w:w="668" w:type="dxa"/>
          </w:tcPr>
          <w:p>
            <w:pPr>
              <w:pStyle w:val="Compact"/>
              <w:spacing w:after="40"/>
              <w:jc w:val="left"/>
            </w:pPr>
            <w:r>
              <w:rPr>
                <w:sz w:val="18"/>
              </w:rPr>
              <w:t xml:space="preserve">F</w:t>
            </w:r>
          </w:p>
        </w:tc>
        <w:tc>
          <w:tcPr>
            <w:tcW w:w="905" w:type="dxa"/>
          </w:tcPr>
          <w:p>
            <w:pPr>
              <w:pStyle w:val="Compact"/>
              <w:spacing w:after="40"/>
              <w:jc w:val="left"/>
            </w:pPr>
            <w:r>
              <w:rPr>
                <w:sz w:val="18"/>
              </w:rPr>
              <w:t xml:space="preserve">R</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F (finance)</w:t>
            </w:r>
          </w:p>
        </w:tc>
        <w:tc>
          <w:tcPr>
            <w:tcW w:w="649" w:type="dxa"/>
          </w:tcPr>
          <w:p>
            <w:pPr>
              <w:pStyle w:val="Compact"/>
              <w:spacing w:after="40"/>
              <w:jc w:val="left"/>
            </w:pPr>
            <w:r>
              <w:rPr>
                <w:sz w:val="18"/>
              </w:rPr>
              <w:t xml:space="preserve">F</w:t>
            </w:r>
          </w:p>
        </w:tc>
        <w:tc>
          <w:tcPr>
            <w:tcW w:w="792" w:type="dxa"/>
          </w:tcPr>
          <w:p>
            <w:pPr>
              <w:pStyle w:val="Compact"/>
              <w:spacing w:after="40"/>
              <w:jc w:val="left"/>
            </w:pPr>
            <w:r>
              <w:rPr>
                <w:sz w:val="18"/>
              </w:rPr>
              <w:t xml:space="preserve">R</w:t>
            </w:r>
          </w:p>
        </w:tc>
      </w:tr>
      <w:tr>
        <w:tc>
          <w:tcPr>
            <w:tcW w:w="877" w:type="dxa"/>
          </w:tcPr>
          <w:p>
            <w:pPr>
              <w:pStyle w:val="Compact"/>
              <w:spacing w:after="40"/>
              <w:jc w:val="left"/>
            </w:pPr>
            <w:r>
              <w:rPr>
                <w:sz w:val="18"/>
              </w:rPr>
              <w:t xml:space="preserve">Partners and deal configuration</w:t>
            </w:r>
          </w:p>
        </w:tc>
        <w:tc>
          <w:tcPr>
            <w:tcW w:w="610"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863" w:type="dxa"/>
          </w:tcPr>
          <w:p>
            <w:pPr>
              <w:pStyle w:val="Compact"/>
              <w:spacing w:after="40"/>
              <w:jc w:val="left"/>
            </w:pPr>
            <w:r>
              <w:rPr>
                <w:sz w:val="18"/>
              </w:rPr>
              <w:t xml:space="preserve">—</w:t>
            </w:r>
          </w:p>
        </w:tc>
        <w:tc>
          <w:tcPr>
            <w:tcW w:w="905" w:type="dxa"/>
          </w:tcPr>
          <w:p>
            <w:pPr>
              <w:pStyle w:val="Compact"/>
              <w:spacing w:after="40"/>
              <w:jc w:val="left"/>
            </w:pPr>
            <w:r>
              <w:rPr>
                <w:sz w:val="18"/>
              </w:rPr>
              <w:t xml:space="preserve">R</w:t>
            </w:r>
          </w:p>
        </w:tc>
        <w:tc>
          <w:tcPr>
            <w:tcW w:w="891" w:type="dxa"/>
          </w:tcPr>
          <w:p>
            <w:pPr>
              <w:pStyle w:val="Compact"/>
              <w:spacing w:after="40"/>
              <w:jc w:val="left"/>
            </w:pPr>
            <w:r>
              <w:rPr>
                <w:sz w:val="18"/>
              </w:rPr>
              <w:t xml:space="preserve">F</w:t>
            </w:r>
          </w:p>
        </w:tc>
        <w:tc>
          <w:tcPr>
            <w:tcW w:w="668" w:type="dxa"/>
          </w:tcPr>
          <w:p>
            <w:pPr>
              <w:pStyle w:val="Compact"/>
              <w:spacing w:after="40"/>
              <w:jc w:val="left"/>
            </w:pPr>
            <w:r>
              <w:rPr>
                <w:sz w:val="18"/>
              </w:rPr>
              <w:t xml:space="preserve">F (commercials)</w:t>
            </w:r>
          </w:p>
        </w:tc>
        <w:tc>
          <w:tcPr>
            <w:tcW w:w="905" w:type="dxa"/>
          </w:tcPr>
          <w:p>
            <w:pPr>
              <w:pStyle w:val="Compact"/>
              <w:spacing w:after="40"/>
              <w:jc w:val="left"/>
            </w:pPr>
            <w:r>
              <w:rPr>
                <w:sz w:val="18"/>
              </w:rPr>
              <w:t xml:space="preserve">F</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F (own deal)</w:t>
            </w:r>
          </w:p>
        </w:tc>
        <w:tc>
          <w:tcPr>
            <w:tcW w:w="649" w:type="dxa"/>
          </w:tcPr>
          <w:p>
            <w:pPr>
              <w:pStyle w:val="Compact"/>
              <w:spacing w:after="40"/>
              <w:jc w:val="left"/>
            </w:pPr>
            <w:r>
              <w:rPr>
                <w:sz w:val="18"/>
              </w:rPr>
              <w:t xml:space="preserve">F (own deal)</w:t>
            </w:r>
          </w:p>
        </w:tc>
        <w:tc>
          <w:tcPr>
            <w:tcW w:w="792" w:type="dxa"/>
          </w:tcPr>
          <w:p>
            <w:pPr>
              <w:pStyle w:val="Compact"/>
              <w:spacing w:after="40"/>
              <w:jc w:val="left"/>
            </w:pPr>
            <w:r>
              <w:rPr>
                <w:sz w:val="18"/>
              </w:rPr>
              <w:t xml:space="preserve">R</w:t>
            </w:r>
          </w:p>
        </w:tc>
      </w:tr>
      <w:tr>
        <w:tc>
          <w:tcPr>
            <w:tcW w:w="877" w:type="dxa"/>
          </w:tcPr>
          <w:p>
            <w:pPr>
              <w:pStyle w:val="Compact"/>
              <w:spacing w:after="40"/>
              <w:jc w:val="left"/>
            </w:pPr>
            <w:r>
              <w:rPr>
                <w:sz w:val="18"/>
              </w:rPr>
              <w:t xml:space="preserve">Exports and portability</w:t>
            </w:r>
          </w:p>
        </w:tc>
        <w:tc>
          <w:tcPr>
            <w:tcW w:w="610" w:type="dxa"/>
          </w:tcPr>
          <w:p>
            <w:pPr>
              <w:pStyle w:val="Compact"/>
              <w:spacing w:after="40"/>
              <w:jc w:val="left"/>
            </w:pPr>
            <w:r>
              <w:rPr>
                <w:sz w:val="18"/>
              </w:rPr>
              <w:t xml:space="preserve">O (own data)</w:t>
            </w:r>
          </w:p>
        </w:tc>
        <w:tc>
          <w:tcPr>
            <w:tcW w:w="905" w:type="dxa"/>
          </w:tcPr>
          <w:p>
            <w:pPr>
              <w:pStyle w:val="Compact"/>
              <w:spacing w:after="40"/>
              <w:jc w:val="left"/>
            </w:pPr>
            <w:r>
              <w:rPr>
                <w:sz w:val="18"/>
              </w:rPr>
              <w:t xml:space="preserve">—</w:t>
            </w:r>
          </w:p>
        </w:tc>
        <w:tc>
          <w:tcPr>
            <w:tcW w:w="863" w:type="dxa"/>
          </w:tcPr>
          <w:p>
            <w:pPr>
              <w:pStyle w:val="Compact"/>
              <w:spacing w:after="40"/>
              <w:jc w:val="left"/>
            </w:pPr>
            <w:r>
              <w:rPr>
                <w:sz w:val="18"/>
              </w:rPr>
              <w:t xml:space="preserve">—</w:t>
            </w:r>
          </w:p>
        </w:tc>
        <w:tc>
          <w:tcPr>
            <w:tcW w:w="905" w:type="dxa"/>
          </w:tcPr>
          <w:p>
            <w:pPr>
              <w:pStyle w:val="Compact"/>
              <w:spacing w:after="40"/>
              <w:jc w:val="left"/>
            </w:pPr>
            <w:r>
              <w:rPr>
                <w:sz w:val="18"/>
              </w:rPr>
              <w:t xml:space="preserve">M</w:t>
            </w:r>
          </w:p>
        </w:tc>
        <w:tc>
          <w:tcPr>
            <w:tcW w:w="891" w:type="dxa"/>
          </w:tcPr>
          <w:p>
            <w:pPr>
              <w:pStyle w:val="Compact"/>
              <w:spacing w:after="40"/>
              <w:jc w:val="left"/>
            </w:pPr>
            <w:r>
              <w:rPr>
                <w:sz w:val="18"/>
              </w:rPr>
              <w:t xml:space="preserve">A</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F</w:t>
            </w:r>
          </w:p>
        </w:tc>
        <w:tc>
          <w:tcPr>
            <w:tcW w:w="649" w:type="dxa"/>
          </w:tcPr>
          <w:p>
            <w:pPr>
              <w:pStyle w:val="Compact"/>
              <w:spacing w:after="40"/>
              <w:jc w:val="left"/>
            </w:pPr>
            <w:r>
              <w:rPr>
                <w:sz w:val="18"/>
              </w:rPr>
              <w:t xml:space="preserve">F</w:t>
            </w:r>
          </w:p>
        </w:tc>
        <w:tc>
          <w:tcPr>
            <w:tcW w:w="792" w:type="dxa"/>
          </w:tcPr>
          <w:p>
            <w:pPr>
              <w:pStyle w:val="Compact"/>
              <w:spacing w:after="40"/>
              <w:jc w:val="left"/>
            </w:pPr>
            <w:r>
              <w:rPr>
                <w:sz w:val="18"/>
              </w:rPr>
              <w:t xml:space="preserve">R (exports within cap)</w:t>
            </w:r>
          </w:p>
        </w:tc>
      </w:tr>
      <w:tr>
        <w:tc>
          <w:tcPr>
            <w:tcW w:w="877" w:type="dxa"/>
          </w:tcPr>
          <w:p>
            <w:pPr>
              <w:pStyle w:val="Compact"/>
              <w:spacing w:after="40"/>
              <w:jc w:val="left"/>
            </w:pPr>
            <w:r>
              <w:rPr>
                <w:sz w:val="18"/>
              </w:rPr>
              <w:t xml:space="preserve">Risk register and KRIs</w:t>
            </w:r>
          </w:p>
        </w:tc>
        <w:tc>
          <w:tcPr>
            <w:tcW w:w="610"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863"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891" w:type="dxa"/>
          </w:tcPr>
          <w:p>
            <w:pPr>
              <w:pStyle w:val="Compact"/>
              <w:spacing w:after="40"/>
              <w:jc w:val="left"/>
            </w:pPr>
            <w:r>
              <w:rPr>
                <w:sz w:val="18"/>
              </w:rPr>
              <w:t xml:space="preserve">F</w:t>
            </w:r>
          </w:p>
        </w:tc>
        <w:tc>
          <w:tcPr>
            <w:tcW w:w="668" w:type="dxa"/>
          </w:tcPr>
          <w:p>
            <w:pPr>
              <w:pStyle w:val="Compact"/>
              <w:spacing w:after="40"/>
              <w:jc w:val="left"/>
            </w:pPr>
            <w:r>
              <w:rPr>
                <w:sz w:val="18"/>
              </w:rPr>
              <w:t xml:space="preserve">R</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R (own pack)</w:t>
            </w:r>
          </w:p>
        </w:tc>
        <w:tc>
          <w:tcPr>
            <w:tcW w:w="649" w:type="dxa"/>
          </w:tcPr>
          <w:p>
            <w:pPr>
              <w:pStyle w:val="Compact"/>
              <w:spacing w:after="40"/>
              <w:jc w:val="left"/>
            </w:pPr>
            <w:r>
              <w:rPr>
                <w:sz w:val="18"/>
              </w:rPr>
              <w:t xml:space="preserve">R (own pack)</w:t>
            </w:r>
          </w:p>
        </w:tc>
        <w:tc>
          <w:tcPr>
            <w:tcW w:w="792" w:type="dxa"/>
          </w:tcPr>
          <w:p>
            <w:pPr>
              <w:pStyle w:val="Compact"/>
              <w:spacing w:after="40"/>
              <w:jc w:val="left"/>
            </w:pPr>
            <w:r>
              <w:rPr>
                <w:sz w:val="18"/>
              </w:rPr>
              <w:t xml:space="preserve">R</w:t>
            </w:r>
          </w:p>
        </w:tc>
      </w:tr>
      <w:tr>
        <w:tc>
          <w:tcPr>
            <w:tcW w:w="877" w:type="dxa"/>
          </w:tcPr>
          <w:p>
            <w:pPr>
              <w:pStyle w:val="Compact"/>
              <w:spacing w:after="40"/>
              <w:jc w:val="left"/>
            </w:pPr>
            <w:r>
              <w:rPr>
                <w:sz w:val="18"/>
              </w:rPr>
              <w:t xml:space="preserve">DLG</w:t>
            </w:r>
          </w:p>
        </w:tc>
        <w:tc>
          <w:tcPr>
            <w:tcW w:w="610"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863" w:type="dxa"/>
          </w:tcPr>
          <w:p>
            <w:pPr>
              <w:pStyle w:val="Compact"/>
              <w:spacing w:after="40"/>
              <w:jc w:val="left"/>
            </w:pPr>
            <w:r>
              <w:rPr>
                <w:bCs/>
                <w:b/>
                <w:sz w:val="18"/>
              </w:rPr>
              <w:t xml:space="preserve">— (never)</w:t>
            </w:r>
          </w:p>
        </w:tc>
        <w:tc>
          <w:tcPr>
            <w:tcW w:w="905" w:type="dxa"/>
          </w:tcPr>
          <w:p>
            <w:pPr>
              <w:pStyle w:val="Compact"/>
              <w:spacing w:after="40"/>
              <w:jc w:val="left"/>
            </w:pPr>
            <w:r>
              <w:rPr>
                <w:sz w:val="18"/>
              </w:rPr>
              <w:t xml:space="preserve">—</w:t>
            </w:r>
          </w:p>
        </w:tc>
        <w:tc>
          <w:tcPr>
            <w:tcW w:w="891" w:type="dxa"/>
          </w:tcPr>
          <w:p>
            <w:pPr>
              <w:pStyle w:val="Compact"/>
              <w:spacing w:after="40"/>
              <w:jc w:val="left"/>
            </w:pPr>
            <w:r>
              <w:rPr>
                <w:sz w:val="18"/>
              </w:rPr>
              <w:t xml:space="preserve">R</w:t>
            </w:r>
          </w:p>
        </w:tc>
        <w:tc>
          <w:tcPr>
            <w:tcW w:w="668" w:type="dxa"/>
          </w:tcPr>
          <w:p>
            <w:pPr>
              <w:pStyle w:val="Compact"/>
              <w:spacing w:after="40"/>
              <w:jc w:val="left"/>
            </w:pPr>
            <w:r>
              <w:rPr>
                <w:sz w:val="18"/>
              </w:rPr>
              <w:t xml:space="preserve">F</w:t>
            </w:r>
          </w:p>
        </w:tc>
        <w:tc>
          <w:tcPr>
            <w:tcW w:w="905" w:type="dxa"/>
          </w:tcPr>
          <w:p>
            <w:pPr>
              <w:pStyle w:val="Compact"/>
              <w:spacing w:after="40"/>
              <w:jc w:val="left"/>
            </w:pPr>
            <w:r>
              <w:rPr>
                <w:sz w:val="18"/>
              </w:rPr>
              <w:t xml:space="preserve">R</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F</w:t>
            </w:r>
          </w:p>
        </w:tc>
        <w:tc>
          <w:tcPr>
            <w:tcW w:w="649" w:type="dxa"/>
          </w:tcPr>
          <w:p>
            <w:pPr>
              <w:pStyle w:val="Compact"/>
              <w:spacing w:after="40"/>
              <w:jc w:val="left"/>
            </w:pPr>
            <w:r>
              <w:rPr>
                <w:sz w:val="18"/>
              </w:rPr>
              <w:t xml:space="preserve">—</w:t>
            </w:r>
          </w:p>
        </w:tc>
        <w:tc>
          <w:tcPr>
            <w:tcW w:w="792" w:type="dxa"/>
          </w:tcPr>
          <w:p>
            <w:pPr>
              <w:pStyle w:val="Compact"/>
              <w:spacing w:after="40"/>
              <w:jc w:val="left"/>
            </w:pPr>
            <w:r>
              <w:rPr>
                <w:sz w:val="18"/>
              </w:rPr>
              <w:t xml:space="preserve">R</w:t>
            </w:r>
          </w:p>
        </w:tc>
      </w:tr>
      <w:tr>
        <w:tc>
          <w:tcPr>
            <w:tcW w:w="877" w:type="dxa"/>
          </w:tcPr>
          <w:p>
            <w:pPr>
              <w:pStyle w:val="Compact"/>
              <w:spacing w:after="40"/>
              <w:jc w:val="left"/>
            </w:pPr>
            <w:r>
              <w:rPr>
                <w:sz w:val="18"/>
              </w:rPr>
              <w:t xml:space="preserve">Communications and recordings</w:t>
            </w:r>
          </w:p>
        </w:tc>
        <w:tc>
          <w:tcPr>
            <w:tcW w:w="610" w:type="dxa"/>
          </w:tcPr>
          <w:p>
            <w:pPr>
              <w:pStyle w:val="Compact"/>
              <w:spacing w:after="40"/>
              <w:jc w:val="left"/>
            </w:pPr>
            <w:r>
              <w:rPr>
                <w:sz w:val="18"/>
              </w:rPr>
              <w:t xml:space="preserve">O (preferences)</w:t>
            </w:r>
          </w:p>
        </w:tc>
        <w:tc>
          <w:tcPr>
            <w:tcW w:w="905" w:type="dxa"/>
          </w:tcPr>
          <w:p>
            <w:pPr>
              <w:pStyle w:val="Compact"/>
              <w:spacing w:after="40"/>
              <w:jc w:val="left"/>
            </w:pPr>
            <w:r>
              <w:rPr>
                <w:sz w:val="18"/>
              </w:rPr>
              <w:t xml:space="preserve">—</w:t>
            </w:r>
          </w:p>
        </w:tc>
        <w:tc>
          <w:tcPr>
            <w:tcW w:w="863" w:type="dxa"/>
          </w:tcPr>
          <w:p>
            <w:pPr>
              <w:pStyle w:val="Compact"/>
              <w:spacing w:after="40"/>
              <w:jc w:val="left"/>
            </w:pPr>
            <w:r>
              <w:rPr>
                <w:sz w:val="18"/>
              </w:rPr>
              <w:t xml:space="preserve">O (own calls)</w:t>
            </w:r>
          </w:p>
        </w:tc>
        <w:tc>
          <w:tcPr>
            <w:tcW w:w="905" w:type="dxa"/>
          </w:tcPr>
          <w:p>
            <w:pPr>
              <w:pStyle w:val="Compact"/>
              <w:spacing w:after="40"/>
              <w:jc w:val="left"/>
            </w:pPr>
            <w:r>
              <w:rPr>
                <w:sz w:val="18"/>
              </w:rPr>
              <w:t xml:space="preserve">M</w:t>
            </w:r>
          </w:p>
        </w:tc>
        <w:tc>
          <w:tcPr>
            <w:tcW w:w="891" w:type="dxa"/>
          </w:tcPr>
          <w:p>
            <w:pPr>
              <w:pStyle w:val="Compact"/>
              <w:spacing w:after="40"/>
              <w:jc w:val="left"/>
            </w:pPr>
            <w:r>
              <w:rPr>
                <w:sz w:val="18"/>
              </w:rPr>
              <w:t xml:space="preserve">F</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F (own scripts and numbers)</w:t>
            </w:r>
          </w:p>
        </w:tc>
        <w:tc>
          <w:tcPr>
            <w:tcW w:w="649" w:type="dxa"/>
          </w:tcPr>
          <w:p>
            <w:pPr>
              <w:pStyle w:val="Compact"/>
              <w:spacing w:after="40"/>
              <w:jc w:val="left"/>
            </w:pPr>
            <w:r>
              <w:rPr>
                <w:sz w:val="18"/>
              </w:rPr>
              <w:t xml:space="preserve">F</w:t>
            </w:r>
          </w:p>
        </w:tc>
        <w:tc>
          <w:tcPr>
            <w:tcW w:w="792" w:type="dxa"/>
          </w:tcPr>
          <w:p>
            <w:pPr>
              <w:pStyle w:val="Compact"/>
              <w:spacing w:after="40"/>
              <w:jc w:val="left"/>
            </w:pPr>
            <w:r>
              <w:rPr>
                <w:sz w:val="18"/>
              </w:rPr>
              <w:t xml:space="preserve">R (samples)</w:t>
            </w:r>
          </w:p>
        </w:tc>
      </w:tr>
      <w:tr>
        <w:tc>
          <w:tcPr>
            <w:tcW w:w="877" w:type="dxa"/>
          </w:tcPr>
          <w:p>
            <w:pPr>
              <w:pStyle w:val="Compact"/>
              <w:spacing w:after="40"/>
              <w:jc w:val="left"/>
            </w:pPr>
            <w:r>
              <w:rPr>
                <w:sz w:val="18"/>
              </w:rPr>
              <w:t xml:space="preserve">Engineering and releases</w:t>
            </w:r>
          </w:p>
        </w:tc>
        <w:tc>
          <w:tcPr>
            <w:tcW w:w="610"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863"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891" w:type="dxa"/>
          </w:tcPr>
          <w:p>
            <w:pPr>
              <w:pStyle w:val="Compact"/>
              <w:spacing w:after="40"/>
              <w:jc w:val="left"/>
            </w:pPr>
            <w:r>
              <w:rPr>
                <w:sz w:val="18"/>
              </w:rPr>
              <w:t xml:space="preserve">R</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F</w:t>
            </w:r>
          </w:p>
        </w:tc>
        <w:tc>
          <w:tcPr>
            <w:tcW w:w="905" w:type="dxa"/>
          </w:tcPr>
          <w:p>
            <w:pPr>
              <w:pStyle w:val="Compact"/>
              <w:spacing w:after="40"/>
              <w:jc w:val="left"/>
            </w:pPr>
            <w:r>
              <w:rPr>
                <w:sz w:val="18"/>
              </w:rPr>
              <w:t xml:space="preserve">R (Security and trust)</w:t>
            </w:r>
          </w:p>
        </w:tc>
        <w:tc>
          <w:tcPr>
            <w:tcW w:w="649" w:type="dxa"/>
          </w:tcPr>
          <w:p>
            <w:pPr>
              <w:pStyle w:val="Compact"/>
              <w:spacing w:after="40"/>
              <w:jc w:val="left"/>
            </w:pPr>
            <w:r>
              <w:rPr>
                <w:sz w:val="18"/>
              </w:rPr>
              <w:t xml:space="preserve">R</w:t>
            </w:r>
          </w:p>
        </w:tc>
        <w:tc>
          <w:tcPr>
            <w:tcW w:w="792" w:type="dxa"/>
          </w:tcPr>
          <w:p>
            <w:pPr>
              <w:pStyle w:val="Compact"/>
              <w:spacing w:after="40"/>
              <w:jc w:val="left"/>
            </w:pPr>
            <w:r>
              <w:rPr>
                <w:sz w:val="18"/>
              </w:rPr>
              <w:t xml:space="preserve">—</w:t>
            </w:r>
          </w:p>
        </w:tc>
      </w:tr>
      <w:tr>
        <w:tc>
          <w:tcPr>
            <w:tcW w:w="877" w:type="dxa"/>
          </w:tcPr>
          <w:p>
            <w:pPr>
              <w:pStyle w:val="Compact"/>
              <w:spacing w:after="40"/>
              <w:jc w:val="left"/>
            </w:pPr>
            <w:r>
              <w:rPr>
                <w:sz w:val="18"/>
              </w:rPr>
              <w:t xml:space="preserve">Users, roles, flags, themes</w:t>
            </w:r>
          </w:p>
        </w:tc>
        <w:tc>
          <w:tcPr>
            <w:tcW w:w="610"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863"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891" w:type="dxa"/>
          </w:tcPr>
          <w:p>
            <w:pPr>
              <w:pStyle w:val="Compact"/>
              <w:spacing w:after="40"/>
              <w:jc w:val="left"/>
            </w:pPr>
            <w:r>
              <w:rPr>
                <w:sz w:val="18"/>
              </w:rPr>
              <w:t xml:space="preserve">R</w:t>
            </w:r>
          </w:p>
        </w:tc>
        <w:tc>
          <w:tcPr>
            <w:tcW w:w="668" w:type="dxa"/>
          </w:tcPr>
          <w:p>
            <w:pPr>
              <w:pStyle w:val="Compact"/>
              <w:spacing w:after="40"/>
              <w:jc w:val="left"/>
            </w:pPr>
            <w:r>
              <w:rPr>
                <w:sz w:val="18"/>
              </w:rPr>
              <w:t xml:space="preserve">—</w:t>
            </w:r>
          </w:p>
        </w:tc>
        <w:tc>
          <w:tcPr>
            <w:tcW w:w="905" w:type="dxa"/>
          </w:tcPr>
          <w:p>
            <w:pPr>
              <w:pStyle w:val="Compact"/>
              <w:spacing w:after="40"/>
              <w:jc w:val="left"/>
            </w:pPr>
            <w:r>
              <w:rPr>
                <w:sz w:val="18"/>
              </w:rPr>
              <w:t xml:space="preserve">—</w:t>
            </w:r>
          </w:p>
        </w:tc>
        <w:tc>
          <w:tcPr>
            <w:tcW w:w="668" w:type="dxa"/>
          </w:tcPr>
          <w:p>
            <w:pPr>
              <w:pStyle w:val="Compact"/>
              <w:spacing w:after="40"/>
              <w:jc w:val="left"/>
            </w:pPr>
            <w:r>
              <w:rPr>
                <w:sz w:val="18"/>
              </w:rPr>
              <w:t xml:space="preserve">F (maker-checker)</w:t>
            </w:r>
          </w:p>
        </w:tc>
        <w:tc>
          <w:tcPr>
            <w:tcW w:w="905" w:type="dxa"/>
          </w:tcPr>
          <w:p>
            <w:pPr>
              <w:pStyle w:val="Compact"/>
              <w:spacing w:after="40"/>
              <w:jc w:val="left"/>
            </w:pPr>
            <w:r>
              <w:rPr>
                <w:sz w:val="18"/>
              </w:rPr>
              <w:t xml:space="preserve">F (own tenant users and branding)</w:t>
            </w:r>
          </w:p>
        </w:tc>
        <w:tc>
          <w:tcPr>
            <w:tcW w:w="649" w:type="dxa"/>
          </w:tcPr>
          <w:p>
            <w:pPr>
              <w:pStyle w:val="Compact"/>
              <w:spacing w:after="40"/>
              <w:jc w:val="left"/>
            </w:pPr>
            <w:r>
              <w:rPr>
                <w:sz w:val="18"/>
              </w:rPr>
              <w:t xml:space="preserve">F</w:t>
            </w:r>
          </w:p>
        </w:tc>
        <w:tc>
          <w:tcPr>
            <w:tcW w:w="792" w:type="dxa"/>
          </w:tcPr>
          <w:p>
            <w:pPr>
              <w:pStyle w:val="Compact"/>
              <w:spacing w:after="40"/>
              <w:jc w:val="left"/>
            </w:pPr>
            <w:r>
              <w:rPr>
                <w:sz w:val="18"/>
              </w:rPr>
              <w:t xml:space="preserve">—</w:t>
            </w:r>
          </w:p>
        </w:tc>
      </w:tr>
    </w:tbl>
    <w:p>
      <w:pPr>
        <w:pStyle w:val="BodyText"/>
      </w:pPr>
      <w:r>
        <w:t xml:space="preserve">DLG data is invisible to recovery agents, the ranking engine and the contact-policy engine (Part 4.4; UR6-C16).</w:t>
      </w:r>
    </w:p>
    <w:bookmarkEnd w:id="557"/>
    <w:bookmarkStart w:id="560" w:name="g.10-settings-catalogue"/>
    <w:p>
      <w:pPr>
        <w:pStyle w:val="Heading2"/>
      </w:pPr>
      <w:r>
        <w:t xml:space="preserve">G.10 Settings catalogue</w:t>
      </w:r>
    </w:p>
    <w:bookmarkStart w:id="558" w:name="g.10.1-hierarchy-and-resolution"/>
    <w:p>
      <w:pPr>
        <w:pStyle w:val="Heading3"/>
      </w:pPr>
      <w:r>
        <w:t xml:space="preserve">G.10.1 Hierarchy and resolution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53"/>
        <w:gridCol w:w="2311"/>
        <w:gridCol w:w="2841"/>
        <w:gridCol w:w="3033"/>
      </w:tblGrid>
      <w:tr>
        <w:trPr>
          <w:tblHeader w:val="true"/>
          <w:tblHeader w:val="true"/>
        </w:trPr>
        <w:tc>
          <w:tcPr>
            <w:tcW w:w="1453" w:type="dxa"/>
            <w:shd w:val="clear" w:color="auto" w:fill="1F3A5F"/>
          </w:tcPr>
          <w:p>
            <w:pPr>
              <w:pStyle w:val="Compact"/>
              <w:spacing w:after="40"/>
              <w:jc w:val="left"/>
            </w:pPr>
            <w:r>
              <w:rPr>
                <w:b/>
                <w:color w:val="FFFFFF"/>
                <w:sz w:val="18"/>
              </w:rPr>
              <w:t xml:space="preserve">Level</w:t>
            </w:r>
          </w:p>
        </w:tc>
        <w:tc>
          <w:tcPr>
            <w:tcW w:w="2311" w:type="dxa"/>
            <w:shd w:val="clear" w:color="auto" w:fill="1F3A5F"/>
          </w:tcPr>
          <w:p>
            <w:pPr>
              <w:pStyle w:val="Compact"/>
              <w:spacing w:after="40"/>
              <w:jc w:val="left"/>
            </w:pPr>
            <w:r>
              <w:rPr>
                <w:b/>
                <w:color w:val="FFFFFF"/>
                <w:sz w:val="18"/>
              </w:rPr>
              <w:t xml:space="preserve">Set by</w:t>
            </w:r>
          </w:p>
        </w:tc>
        <w:tc>
          <w:tcPr>
            <w:tcW w:w="2841" w:type="dxa"/>
            <w:shd w:val="clear" w:color="auto" w:fill="1F3A5F"/>
          </w:tcPr>
          <w:p>
            <w:pPr>
              <w:pStyle w:val="Compact"/>
              <w:spacing w:after="40"/>
              <w:jc w:val="left"/>
            </w:pPr>
            <w:r>
              <w:rPr>
                <w:b/>
                <w:color w:val="FFFFFF"/>
                <w:sz w:val="18"/>
              </w:rPr>
              <w:t xml:space="preserve">Change control</w:t>
            </w:r>
          </w:p>
        </w:tc>
        <w:tc>
          <w:tcPr>
            <w:tcW w:w="3033" w:type="dxa"/>
            <w:shd w:val="clear" w:color="auto" w:fill="1F3A5F"/>
          </w:tcPr>
          <w:p>
            <w:pPr>
              <w:pStyle w:val="Compact"/>
              <w:spacing w:after="40"/>
              <w:jc w:val="left"/>
            </w:pPr>
            <w:r>
              <w:rPr>
                <w:b/>
                <w:color w:val="FFFFFF"/>
                <w:sz w:val="18"/>
              </w:rPr>
              <w:t xml:space="preserve">Example</w:t>
            </w:r>
          </w:p>
        </w:tc>
      </w:tr>
      <w:tr>
        <w:tc>
          <w:tcPr>
            <w:tcW w:w="1453" w:type="dxa"/>
          </w:tcPr>
          <w:p>
            <w:pPr>
              <w:pStyle w:val="Compact"/>
              <w:spacing w:after="40"/>
              <w:jc w:val="left"/>
            </w:pPr>
            <w:r>
              <w:rPr>
                <w:sz w:val="18"/>
              </w:rPr>
              <w:t xml:space="preserve">L0 Platform floor</w:t>
            </w:r>
          </w:p>
        </w:tc>
        <w:tc>
          <w:tcPr>
            <w:tcW w:w="2311" w:type="dxa"/>
          </w:tcPr>
          <w:p>
            <w:pPr>
              <w:pStyle w:val="Compact"/>
              <w:spacing w:after="40"/>
              <w:jc w:val="left"/>
            </w:pPr>
            <w:r>
              <w:rPr>
                <w:sz w:val="18"/>
              </w:rPr>
              <w:t xml:space="preserve">Code and regulatory rule packs</w:t>
            </w:r>
          </w:p>
        </w:tc>
        <w:tc>
          <w:tcPr>
            <w:tcW w:w="2841" w:type="dxa"/>
          </w:tcPr>
          <w:p>
            <w:pPr>
              <w:pStyle w:val="Compact"/>
              <w:spacing w:after="40"/>
              <w:jc w:val="left"/>
            </w:pPr>
            <w:r>
              <w:rPr>
                <w:sz w:val="18"/>
              </w:rPr>
              <w:t xml:space="preserve">Release only; legal-review layer (Part 3.4)</w:t>
            </w:r>
          </w:p>
        </w:tc>
        <w:tc>
          <w:tcPr>
            <w:tcW w:w="3033" w:type="dxa"/>
          </w:tcPr>
          <w:p>
            <w:pPr>
              <w:pStyle w:val="Compact"/>
              <w:spacing w:after="40"/>
              <w:jc w:val="left"/>
            </w:pPr>
            <w:r>
              <w:rPr>
                <w:sz w:val="18"/>
              </w:rPr>
              <w:t xml:space="preserve">No contacts or SMS permission; cooling-off at least 1 day; no ranking keys</w:t>
            </w:r>
          </w:p>
        </w:tc>
      </w:tr>
      <w:tr>
        <w:tc>
          <w:tcPr>
            <w:tcW w:w="1453" w:type="dxa"/>
          </w:tcPr>
          <w:p>
            <w:pPr>
              <w:pStyle w:val="Compact"/>
              <w:spacing w:after="40"/>
              <w:jc w:val="left"/>
            </w:pPr>
            <w:r>
              <w:rPr>
                <w:sz w:val="18"/>
              </w:rPr>
              <w:t xml:space="preserve">L1 Udofin</w:t>
            </w:r>
          </w:p>
        </w:tc>
        <w:tc>
          <w:tcPr>
            <w:tcW w:w="2311" w:type="dxa"/>
          </w:tcPr>
          <w:p>
            <w:pPr>
              <w:pStyle w:val="Compact"/>
              <w:spacing w:after="40"/>
              <w:jc w:val="left"/>
            </w:pPr>
            <w:r>
              <w:rPr>
                <w:sz w:val="18"/>
              </w:rPr>
              <w:t xml:space="preserve">Udofin compliance, product, risk or finance</w:t>
            </w:r>
          </w:p>
        </w:tc>
        <w:tc>
          <w:tcPr>
            <w:tcW w:w="2841" w:type="dxa"/>
          </w:tcPr>
          <w:p>
            <w:pPr>
              <w:pStyle w:val="Compact"/>
              <w:spacing w:after="40"/>
              <w:jc w:val="left"/>
            </w:pPr>
            <w:r>
              <w:rPr>
                <w:sz w:val="18"/>
              </w:rPr>
              <w:t xml:space="preserve">Maker-checker; effective-dated</w:t>
            </w:r>
          </w:p>
        </w:tc>
        <w:tc>
          <w:tcPr>
            <w:tcW w:w="3033" w:type="dxa"/>
          </w:tcPr>
          <w:p>
            <w:pPr>
              <w:pStyle w:val="Compact"/>
              <w:spacing w:after="40"/>
              <w:jc w:val="left"/>
            </w:pPr>
            <w:r>
              <w:rPr>
                <w:sz w:val="18"/>
              </w:rPr>
              <w:t xml:space="preserve">Forwarding target 1 hour; signed-URL validity</w:t>
            </w:r>
          </w:p>
        </w:tc>
      </w:tr>
      <w:tr>
        <w:tc>
          <w:tcPr>
            <w:tcW w:w="1453" w:type="dxa"/>
          </w:tcPr>
          <w:p>
            <w:pPr>
              <w:pStyle w:val="Compact"/>
              <w:spacing w:after="40"/>
              <w:jc w:val="left"/>
            </w:pPr>
            <w:r>
              <w:rPr>
                <w:sz w:val="18"/>
              </w:rPr>
              <w:t xml:space="preserve">L2 RE deal</w:t>
            </w:r>
          </w:p>
        </w:tc>
        <w:tc>
          <w:tcPr>
            <w:tcW w:w="2311" w:type="dxa"/>
          </w:tcPr>
          <w:p>
            <w:pPr>
              <w:pStyle w:val="Compact"/>
              <w:spacing w:after="40"/>
              <w:jc w:val="left"/>
            </w:pPr>
            <w:r>
              <w:rPr>
                <w:sz w:val="18"/>
              </w:rPr>
              <w:t xml:space="preserve">UP2 configurator</w:t>
            </w:r>
          </w:p>
        </w:tc>
        <w:tc>
          <w:tcPr>
            <w:tcW w:w="2841" w:type="dxa"/>
          </w:tcPr>
          <w:p>
            <w:pPr>
              <w:pStyle w:val="Compact"/>
              <w:spacing w:after="40"/>
              <w:jc w:val="left"/>
            </w:pPr>
            <w:r>
              <w:rPr>
                <w:sz w:val="18"/>
              </w:rPr>
              <w:t xml:space="preserve">Udofin legal sign-off for sections 4, 7, 8, 9, 10; RE countersign</w:t>
            </w:r>
          </w:p>
        </w:tc>
        <w:tc>
          <w:tcPr>
            <w:tcW w:w="3033" w:type="dxa"/>
          </w:tcPr>
          <w:p>
            <w:pPr>
              <w:pStyle w:val="Compact"/>
              <w:spacing w:after="40"/>
              <w:jc w:val="left"/>
            </w:pPr>
            <w:r>
              <w:rPr>
                <w:sz w:val="18"/>
              </w:rPr>
              <w:t xml:space="preserve">Pricing model, KRI tightening, recovery and DLG options</w:t>
            </w:r>
          </w:p>
        </w:tc>
      </w:tr>
      <w:tr>
        <w:tc>
          <w:tcPr>
            <w:tcW w:w="1453" w:type="dxa"/>
          </w:tcPr>
          <w:p>
            <w:pPr>
              <w:pStyle w:val="Compact"/>
              <w:spacing w:after="40"/>
              <w:jc w:val="left"/>
            </w:pPr>
            <w:r>
              <w:rPr>
                <w:sz w:val="18"/>
              </w:rPr>
              <w:t xml:space="preserve">L3 Product</w:t>
            </w:r>
          </w:p>
        </w:tc>
        <w:tc>
          <w:tcPr>
            <w:tcW w:w="2311" w:type="dxa"/>
          </w:tcPr>
          <w:p>
            <w:pPr>
              <w:pStyle w:val="Compact"/>
              <w:spacing w:after="40"/>
              <w:jc w:val="left"/>
            </w:pPr>
            <w:r>
              <w:rPr>
                <w:rStyle w:val="VerbatimChar"/>
                <w:sz w:val="18"/>
              </w:rPr>
              <w:t xml:space="preserve">product_offer_version</w:t>
            </w:r>
            <w:r>
              <w:rPr>
                <w:sz w:val="18"/>
              </w:rPr>
              <w:t xml:space="preserve"> </w:t>
            </w:r>
            <w:r>
              <w:rPr>
                <w:sz w:val="18"/>
              </w:rPr>
              <w:t xml:space="preserve">(U2)</w:t>
            </w:r>
          </w:p>
        </w:tc>
        <w:tc>
          <w:tcPr>
            <w:tcW w:w="2841" w:type="dxa"/>
          </w:tcPr>
          <w:p>
            <w:pPr>
              <w:pStyle w:val="Compact"/>
              <w:spacing w:after="40"/>
              <w:jc w:val="left"/>
            </w:pPr>
            <w:r>
              <w:rPr>
                <w:sz w:val="18"/>
              </w:rPr>
              <w:t xml:space="preserve">RE publication plus Udofin approval</w:t>
            </w:r>
          </w:p>
        </w:tc>
        <w:tc>
          <w:tcPr>
            <w:tcW w:w="3033" w:type="dxa"/>
          </w:tcPr>
          <w:p>
            <w:pPr>
              <w:pStyle w:val="Compact"/>
              <w:spacing w:after="40"/>
              <w:jc w:val="left"/>
            </w:pPr>
            <w:r>
              <w:rPr>
                <w:sz w:val="18"/>
              </w:rPr>
              <w:t xml:space="preserve">Cooling-off period, KFS template, microfinance window</w:t>
            </w:r>
          </w:p>
        </w:tc>
      </w:tr>
      <w:tr>
        <w:tc>
          <w:tcPr>
            <w:tcW w:w="1453" w:type="dxa"/>
          </w:tcPr>
          <w:p>
            <w:pPr>
              <w:pStyle w:val="Compact"/>
              <w:spacing w:after="40"/>
              <w:jc w:val="left"/>
            </w:pPr>
            <w:r>
              <w:rPr>
                <w:sz w:val="18"/>
              </w:rPr>
              <w:t xml:space="preserve">L4 Channel</w:t>
            </w:r>
          </w:p>
        </w:tc>
        <w:tc>
          <w:tcPr>
            <w:tcW w:w="2311" w:type="dxa"/>
          </w:tcPr>
          <w:p>
            <w:pPr>
              <w:pStyle w:val="Compact"/>
              <w:spacing w:after="40"/>
              <w:jc w:val="left"/>
            </w:pPr>
            <w:r>
              <w:rPr>
                <w:sz w:val="18"/>
              </w:rPr>
              <w:t xml:space="preserve">Feature flags (U23)</w:t>
            </w:r>
          </w:p>
        </w:tc>
        <w:tc>
          <w:tcPr>
            <w:tcW w:w="2841" w:type="dxa"/>
          </w:tcPr>
          <w:p>
            <w:pPr>
              <w:pStyle w:val="Compact"/>
              <w:spacing w:after="40"/>
              <w:jc w:val="left"/>
            </w:pPr>
            <w:r>
              <w:rPr>
                <w:sz w:val="18"/>
              </w:rPr>
              <w:t xml:space="preserve">Platform-approved configuration</w:t>
            </w:r>
          </w:p>
        </w:tc>
        <w:tc>
          <w:tcPr>
            <w:tcW w:w="3033" w:type="dxa"/>
          </w:tcPr>
          <w:p>
            <w:pPr>
              <w:pStyle w:val="Compact"/>
              <w:spacing w:after="40"/>
              <w:jc w:val="left"/>
            </w:pPr>
            <w:r>
              <w:rPr>
                <w:sz w:val="18"/>
              </w:rPr>
              <w:t xml:space="preserve">Store filters, society gate on A, web transaction limits</w:t>
            </w:r>
          </w:p>
        </w:tc>
      </w:tr>
      <w:tr>
        <w:tc>
          <w:tcPr>
            <w:tcW w:w="1453" w:type="dxa"/>
          </w:tcPr>
          <w:p>
            <w:pPr>
              <w:pStyle w:val="Compact"/>
              <w:spacing w:after="40"/>
              <w:jc w:val="left"/>
            </w:pPr>
            <w:r>
              <w:rPr>
                <w:sz w:val="18"/>
              </w:rPr>
              <w:t xml:space="preserve">L5 User</w:t>
            </w:r>
          </w:p>
        </w:tc>
        <w:tc>
          <w:tcPr>
            <w:tcW w:w="2311" w:type="dxa"/>
          </w:tcPr>
          <w:p>
            <w:pPr>
              <w:pStyle w:val="Compact"/>
              <w:spacing w:after="40"/>
              <w:jc w:val="left"/>
            </w:pPr>
            <w:r>
              <w:rPr>
                <w:sz w:val="18"/>
              </w:rPr>
              <w:t xml:space="preserve">Borrower or staff member</w:t>
            </w:r>
          </w:p>
        </w:tc>
        <w:tc>
          <w:tcPr>
            <w:tcW w:w="2841" w:type="dxa"/>
          </w:tcPr>
          <w:p>
            <w:pPr>
              <w:pStyle w:val="Compact"/>
              <w:spacing w:after="40"/>
              <w:jc w:val="left"/>
            </w:pPr>
            <w:r>
              <w:rPr>
                <w:sz w:val="18"/>
              </w:rPr>
              <w:t xml:space="preserve">Self-service with step-up where sensitive</w:t>
            </w:r>
          </w:p>
        </w:tc>
        <w:tc>
          <w:tcPr>
            <w:tcW w:w="3033" w:type="dxa"/>
          </w:tcPr>
          <w:p>
            <w:pPr>
              <w:pStyle w:val="Compact"/>
              <w:spacing w:after="40"/>
              <w:jc w:val="left"/>
            </w:pPr>
            <w:r>
              <w:rPr>
                <w:sz w:val="18"/>
              </w:rPr>
              <w:t xml:space="preserve">Contact window, language, marketing choices</w:t>
            </w:r>
          </w:p>
        </w:tc>
      </w:tr>
    </w:tbl>
    <w:p>
      <w:pPr>
        <w:pStyle w:val="BodyText"/>
      </w:pPr>
      <w:r>
        <w:rPr>
          <w:bCs/>
          <w:b/>
        </w:rPr>
        <w:t xml:space="preserve">Resolution rules.</w:t>
      </w:r>
    </w:p>
    <w:p>
      <w:pPr>
        <w:numPr>
          <w:ilvl w:val="0"/>
          <w:numId w:val="1545"/>
        </w:numPr>
        <w:pStyle w:val="Compact"/>
      </w:pPr>
      <w:r>
        <w:t xml:space="preserve">Each setting has a</w:t>
      </w:r>
      <w:r>
        <w:t xml:space="preserve"> </w:t>
      </w:r>
      <w:r>
        <w:rPr>
          <w:rStyle w:val="VerbatimChar"/>
        </w:rPr>
        <w:t xml:space="preserve">nature</w:t>
      </w:r>
      <w:r>
        <w:t xml:space="preserve">:</w:t>
      </w:r>
      <w:r>
        <w:t xml:space="preserve"> </w:t>
      </w:r>
      <w:r>
        <w:rPr>
          <w:rStyle w:val="VerbatimChar"/>
        </w:rPr>
        <w:t xml:space="preserve">FLOOR</w:t>
      </w:r>
      <w:r>
        <w:t xml:space="preserve"> </w:t>
      </w:r>
      <w:r>
        <w:t xml:space="preserve">(minimum; lower levels may only tighten),</w:t>
      </w:r>
      <w:r>
        <w:t xml:space="preserve"> </w:t>
      </w:r>
      <w:r>
        <w:rPr>
          <w:rStyle w:val="VerbatimChar"/>
        </w:rPr>
        <w:t xml:space="preserve">CEILING</w:t>
      </w:r>
      <w:r>
        <w:t xml:space="preserve"> </w:t>
      </w:r>
      <w:r>
        <w:t xml:space="preserve">(maximum; lower levels may only lower),</w:t>
      </w:r>
      <w:r>
        <w:t xml:space="preserve"> </w:t>
      </w:r>
      <w:r>
        <w:rPr>
          <w:rStyle w:val="VerbatimChar"/>
        </w:rPr>
        <w:t xml:space="preserve">FIXED</w:t>
      </w:r>
      <w:r>
        <w:t xml:space="preserve"> </w:t>
      </w:r>
      <w:r>
        <w:t xml:space="preserve">(no override),</w:t>
      </w:r>
      <w:r>
        <w:t xml:space="preserve"> </w:t>
      </w:r>
      <w:r>
        <w:rPr>
          <w:rStyle w:val="VerbatimChar"/>
        </w:rPr>
        <w:t xml:space="preserve">HARD_BLOCK</w:t>
      </w:r>
      <w:r>
        <w:t xml:space="preserve"> </w:t>
      </w:r>
      <w:r>
        <w:t xml:space="preserve">(the feature does not exist in the schema),</w:t>
      </w:r>
      <w:r>
        <w:t xml:space="preserve"> </w:t>
      </w:r>
      <w:r>
        <w:rPr>
          <w:rStyle w:val="VerbatimChar"/>
        </w:rPr>
        <w:t xml:space="preserve">GATE</w:t>
      </w:r>
      <w:r>
        <w:t xml:space="preserve"> </w:t>
      </w:r>
      <w:r>
        <w:t xml:space="preserve">(on only when its evidence exists),</w:t>
      </w:r>
      <w:r>
        <w:t xml:space="preserve"> </w:t>
      </w:r>
      <w:r>
        <w:rPr>
          <w:rStyle w:val="VerbatimChar"/>
        </w:rPr>
        <w:t xml:space="preserve">COMMERCIAL</w:t>
      </w:r>
      <w:r>
        <w:t xml:space="preserve"> </w:t>
      </w:r>
      <w:r>
        <w:t xml:space="preserve">(most specific level wins within the range above),</w:t>
      </w:r>
      <w:r>
        <w:t xml:space="preserve"> </w:t>
      </w:r>
      <w:r>
        <w:rPr>
          <w:rStyle w:val="VerbatimChar"/>
        </w:rPr>
        <w:t xml:space="preserve">USER_CHOICE</w:t>
      </w:r>
      <w:r>
        <w:t xml:space="preserve"> </w:t>
      </w:r>
      <w:r>
        <w:t xml:space="preserve">(applies within the product and channel bounds; never relaxes a floor).</w:t>
      </w:r>
    </w:p>
    <w:p>
      <w:pPr>
        <w:numPr>
          <w:ilvl w:val="0"/>
          <w:numId w:val="1545"/>
        </w:numPr>
        <w:pStyle w:val="Compact"/>
      </w:pPr>
      <w:r>
        <w:t xml:space="preserve">Effective value = L0, then each lower level in order; the validator rejects a value that relaxes a</w:t>
      </w:r>
      <w:r>
        <w:t xml:space="preserve"> </w:t>
      </w:r>
      <w:r>
        <w:rPr>
          <w:rStyle w:val="VerbatimChar"/>
        </w:rPr>
        <w:t xml:space="preserve">FLOOR</w:t>
      </w:r>
      <w:r>
        <w:t xml:space="preserve"> </w:t>
      </w:r>
      <w:r>
        <w:t xml:space="preserve">or</w:t>
      </w:r>
      <w:r>
        <w:t xml:space="preserve"> </w:t>
      </w:r>
      <w:r>
        <w:rPr>
          <w:rStyle w:val="VerbatimChar"/>
        </w:rPr>
        <w:t xml:space="preserve">CEILING</w:t>
      </w:r>
      <w:r>
        <w:t xml:space="preserve"> </w:t>
      </w:r>
      <w:r>
        <w:t xml:space="preserve">and cites the basis. Between two sources at one level (for example Udofin and RE GRC KRIs), the stricter wins.</w:t>
      </w:r>
    </w:p>
    <w:p>
      <w:pPr>
        <w:numPr>
          <w:ilvl w:val="0"/>
          <w:numId w:val="1545"/>
        </w:numPr>
        <w:pStyle w:val="Compact"/>
      </w:pPr>
      <w:r>
        <w:t xml:space="preserve">Each record is a versioned, effective-dated</w:t>
      </w:r>
      <w:r>
        <w:t xml:space="preserve"> </w:t>
      </w:r>
      <w:r>
        <w:rPr>
          <w:rStyle w:val="VerbatimChar"/>
        </w:rPr>
        <w:t xml:space="preserve">module_setting</w:t>
      </w:r>
      <w:r>
        <w:t xml:space="preserve"> </w:t>
      </w:r>
      <w:r>
        <w:t xml:space="preserve">(key, level, scope, value, nature, basis, effective_from, effective_to, version, maker, checker, reason) with an impact preview for scheduled changes;</w:t>
      </w:r>
      <w:r>
        <w:t xml:space="preserve"> </w:t>
      </w:r>
      <w:r>
        <w:rPr>
          <w:rStyle w:val="VerbatimChar"/>
        </w:rPr>
        <w:t xml:space="preserve">GET /settings/effective</w:t>
      </w:r>
      <w:r>
        <w:t xml:space="preserve"> </w:t>
      </w:r>
      <w:r>
        <w:t xml:space="preserve">returns the value and its resolution trace.</w:t>
      </w:r>
    </w:p>
    <w:p>
      <w:pPr>
        <w:numPr>
          <w:ilvl w:val="0"/>
          <w:numId w:val="1545"/>
        </w:numPr>
        <w:pStyle w:val="Compact"/>
      </w:pPr>
      <w:r>
        <w:rPr>
          <w:rStyle w:val="VerbatimChar"/>
        </w:rPr>
        <w:t xml:space="preserve">GATE</w:t>
      </w:r>
      <w:r>
        <w:t xml:space="preserve"> </w:t>
      </w:r>
      <w:r>
        <w:t xml:space="preserve">settings cannot be set by hand; they follow their gate records.</w:t>
      </w:r>
    </w:p>
    <w:bookmarkEnd w:id="558"/>
    <w:bookmarkStart w:id="559" w:name="g.10.2-consolidated-key-settings"/>
    <w:p>
      <w:pPr>
        <w:pStyle w:val="Heading3"/>
      </w:pPr>
      <w:r>
        <w:t xml:space="preserve">G.10.2 Consolidated key settings</w:t>
      </w:r>
    </w:p>
    <w:p>
      <w:pPr>
        <w:pStyle w:val="FirstParagraph"/>
      </w:pPr>
      <w:r>
        <w:t xml:space="preserve">Cross-module and high-impact settings only; module-specific settings (for example pack, archive and download links, rollout steps, attachment limits) stay in each module’s</w:t>
      </w:r>
      <w:r>
        <w:t xml:space="preserve"> </w:t>
      </w:r>
      <w:r>
        <w:rPr>
          <w:rStyle w:val="VerbatimChar"/>
        </w:rPr>
        <w:t xml:space="preserve">Settings and options</w:t>
      </w:r>
      <w:r>
        <w:t xml:space="preserve"> </w:t>
      </w:r>
      <w:r>
        <w:t xml:space="preserve">table under the same resolution rules.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73"/>
        <w:gridCol w:w="1923"/>
        <w:gridCol w:w="1910"/>
        <w:gridCol w:w="1048"/>
        <w:gridCol w:w="1322"/>
        <w:gridCol w:w="1362"/>
      </w:tblGrid>
      <w:tr>
        <w:trPr>
          <w:tblHeader w:val="true"/>
          <w:tblHeader w:val="true"/>
        </w:trPr>
        <w:tc>
          <w:tcPr>
            <w:tcW w:w="2073" w:type="dxa"/>
            <w:shd w:val="clear" w:color="auto" w:fill="1F3A5F"/>
          </w:tcPr>
          <w:p>
            <w:pPr>
              <w:pStyle w:val="Compact"/>
              <w:spacing w:after="40"/>
              <w:jc w:val="left"/>
            </w:pPr>
            <w:r>
              <w:rPr>
                <w:b/>
                <w:color w:val="FFFFFF"/>
                <w:sz w:val="18"/>
              </w:rPr>
              <w:t xml:space="preserve">Setting</w:t>
            </w:r>
          </w:p>
        </w:tc>
        <w:tc>
          <w:tcPr>
            <w:tcW w:w="1923" w:type="dxa"/>
            <w:shd w:val="clear" w:color="auto" w:fill="1F3A5F"/>
          </w:tcPr>
          <w:p>
            <w:pPr>
              <w:pStyle w:val="Compact"/>
              <w:spacing w:after="40"/>
              <w:jc w:val="left"/>
            </w:pPr>
            <w:r>
              <w:rPr>
                <w:b/>
                <w:color w:val="FFFFFF"/>
                <w:sz w:val="18"/>
              </w:rPr>
              <w:t xml:space="preserve">Default</w:t>
            </w:r>
          </w:p>
        </w:tc>
        <w:tc>
          <w:tcPr>
            <w:tcW w:w="1910" w:type="dxa"/>
            <w:shd w:val="clear" w:color="auto" w:fill="1F3A5F"/>
          </w:tcPr>
          <w:p>
            <w:pPr>
              <w:pStyle w:val="Compact"/>
              <w:spacing w:after="40"/>
              <w:jc w:val="left"/>
            </w:pPr>
            <w:r>
              <w:rPr>
                <w:b/>
                <w:color w:val="FFFFFF"/>
                <w:sz w:val="18"/>
              </w:rPr>
              <w:t xml:space="preserve">Nature</w:t>
            </w:r>
          </w:p>
        </w:tc>
        <w:tc>
          <w:tcPr>
            <w:tcW w:w="1048" w:type="dxa"/>
            <w:shd w:val="clear" w:color="auto" w:fill="1F3A5F"/>
          </w:tcPr>
          <w:p>
            <w:pPr>
              <w:pStyle w:val="Compact"/>
              <w:spacing w:after="40"/>
              <w:jc w:val="left"/>
            </w:pPr>
            <w:r>
              <w:rPr>
                <w:b/>
                <w:color w:val="FFFFFF"/>
                <w:sz w:val="18"/>
              </w:rPr>
              <w:t xml:space="preserve">Lowest level to change</w:t>
            </w:r>
          </w:p>
        </w:tc>
        <w:tc>
          <w:tcPr>
            <w:tcW w:w="1322" w:type="dxa"/>
            <w:shd w:val="clear" w:color="auto" w:fill="1F3A5F"/>
          </w:tcPr>
          <w:p>
            <w:pPr>
              <w:pStyle w:val="Compact"/>
              <w:spacing w:after="40"/>
              <w:jc w:val="left"/>
            </w:pPr>
            <w:r>
              <w:rPr>
                <w:b/>
                <w:color w:val="FFFFFF"/>
                <w:sz w:val="18"/>
              </w:rPr>
              <w:t xml:space="preserve">Who changes</w:t>
            </w:r>
          </w:p>
        </w:tc>
        <w:tc>
          <w:tcPr>
            <w:tcW w:w="1362" w:type="dxa"/>
            <w:shd w:val="clear" w:color="auto" w:fill="1F3A5F"/>
          </w:tcPr>
          <w:p>
            <w:pPr>
              <w:pStyle w:val="Compact"/>
              <w:spacing w:after="40"/>
              <w:jc w:val="left"/>
            </w:pPr>
            <w:r>
              <w:rPr>
                <w:b/>
                <w:color w:val="FFFFFF"/>
                <w:sz w:val="18"/>
              </w:rPr>
              <w:t xml:space="preserve">Reference</w:t>
            </w:r>
          </w:p>
        </w:tc>
      </w:tr>
      <w:tr>
        <w:tc>
          <w:tcPr>
            <w:tcW w:w="2073" w:type="dxa"/>
          </w:tcPr>
          <w:p>
            <w:pPr>
              <w:pStyle w:val="Compact"/>
              <w:spacing w:after="40"/>
              <w:jc w:val="left"/>
            </w:pPr>
            <w:r>
              <w:rPr>
                <w:sz w:val="18"/>
              </w:rPr>
              <w:t xml:space="preserve">Device permissions (contacts, call logs, SMS, files, phone state, background location)</w:t>
            </w:r>
          </w:p>
        </w:tc>
        <w:tc>
          <w:tcPr>
            <w:tcW w:w="1923" w:type="dxa"/>
          </w:tcPr>
          <w:p>
            <w:pPr>
              <w:pStyle w:val="Compact"/>
              <w:spacing w:after="40"/>
              <w:jc w:val="left"/>
            </w:pPr>
            <w:r>
              <w:rPr>
                <w:sz w:val="18"/>
              </w:rPr>
              <w:t xml:space="preserve">None exist</w:t>
            </w:r>
          </w:p>
        </w:tc>
        <w:tc>
          <w:tcPr>
            <w:tcW w:w="1910" w:type="dxa"/>
          </w:tcPr>
          <w:p>
            <w:pPr>
              <w:pStyle w:val="Compact"/>
              <w:spacing w:after="40"/>
              <w:jc w:val="left"/>
            </w:pPr>
            <w:r>
              <w:rPr>
                <w:sz w:val="18"/>
              </w:rPr>
              <w:t xml:space="preserve">HARD_BLOCK</w:t>
            </w:r>
          </w:p>
        </w:tc>
        <w:tc>
          <w:tcPr>
            <w:tcW w:w="1048" w:type="dxa"/>
          </w:tcPr>
          <w:p>
            <w:pPr>
              <w:pStyle w:val="Compact"/>
              <w:spacing w:after="40"/>
              <w:jc w:val="left"/>
            </w:pPr>
            <w:r>
              <w:rPr>
                <w:sz w:val="18"/>
              </w:rPr>
              <w:t xml:space="preserve">—</w:t>
            </w:r>
          </w:p>
        </w:tc>
        <w:tc>
          <w:tcPr>
            <w:tcW w:w="1322" w:type="dxa"/>
          </w:tcPr>
          <w:p>
            <w:pPr>
              <w:pStyle w:val="Compact"/>
              <w:spacing w:after="40"/>
              <w:jc w:val="left"/>
            </w:pPr>
            <w:r>
              <w:rPr>
                <w:sz w:val="18"/>
              </w:rPr>
              <w:t xml:space="preserve">—</w:t>
            </w:r>
          </w:p>
        </w:tc>
        <w:tc>
          <w:tcPr>
            <w:tcW w:w="1362" w:type="dxa"/>
          </w:tcPr>
          <w:p>
            <w:pPr>
              <w:pStyle w:val="Compact"/>
              <w:spacing w:after="40"/>
              <w:jc w:val="left"/>
            </w:pPr>
            <w:r>
              <w:rPr>
                <w:sz w:val="18"/>
              </w:rPr>
              <w:t xml:space="preserve">CF para 13(1); Part 4.5</w:t>
            </w:r>
          </w:p>
        </w:tc>
      </w:tr>
      <w:tr>
        <w:tc>
          <w:tcPr>
            <w:tcW w:w="2073" w:type="dxa"/>
          </w:tcPr>
          <w:p>
            <w:pPr>
              <w:pStyle w:val="Compact"/>
              <w:spacing w:after="40"/>
              <w:jc w:val="left"/>
            </w:pPr>
            <w:r>
              <w:rPr>
                <w:sz w:val="18"/>
              </w:rPr>
              <w:t xml:space="preserve">Ranking keys, paid placement, borrower-paid Udofin fee lines</w:t>
            </w:r>
          </w:p>
        </w:tc>
        <w:tc>
          <w:tcPr>
            <w:tcW w:w="1923" w:type="dxa"/>
          </w:tcPr>
          <w:p>
            <w:pPr>
              <w:pStyle w:val="Compact"/>
              <w:spacing w:after="40"/>
              <w:jc w:val="left"/>
            </w:pPr>
            <w:r>
              <w:rPr>
                <w:sz w:val="18"/>
              </w:rPr>
              <w:t xml:space="preserve">None exist</w:t>
            </w:r>
          </w:p>
        </w:tc>
        <w:tc>
          <w:tcPr>
            <w:tcW w:w="1910" w:type="dxa"/>
          </w:tcPr>
          <w:p>
            <w:pPr>
              <w:pStyle w:val="Compact"/>
              <w:spacing w:after="40"/>
              <w:jc w:val="left"/>
            </w:pPr>
            <w:r>
              <w:rPr>
                <w:sz w:val="18"/>
              </w:rPr>
              <w:t xml:space="preserve">HARD_BLOCK</w:t>
            </w:r>
          </w:p>
        </w:tc>
        <w:tc>
          <w:tcPr>
            <w:tcW w:w="1048" w:type="dxa"/>
          </w:tcPr>
          <w:p>
            <w:pPr>
              <w:pStyle w:val="Compact"/>
              <w:spacing w:after="40"/>
              <w:jc w:val="left"/>
            </w:pPr>
            <w:r>
              <w:rPr>
                <w:sz w:val="18"/>
              </w:rPr>
              <w:t xml:space="preserve">—</w:t>
            </w:r>
          </w:p>
        </w:tc>
        <w:tc>
          <w:tcPr>
            <w:tcW w:w="1322" w:type="dxa"/>
          </w:tcPr>
          <w:p>
            <w:pPr>
              <w:pStyle w:val="Compact"/>
              <w:spacing w:after="40"/>
              <w:jc w:val="left"/>
            </w:pPr>
            <w:r>
              <w:rPr>
                <w:sz w:val="18"/>
              </w:rPr>
              <w:t xml:space="preserve">—</w:t>
            </w:r>
          </w:p>
        </w:tc>
        <w:tc>
          <w:tcPr>
            <w:tcW w:w="1362" w:type="dxa"/>
          </w:tcPr>
          <w:p>
            <w:pPr>
              <w:pStyle w:val="Compact"/>
              <w:spacing w:after="40"/>
              <w:jc w:val="left"/>
            </w:pPr>
            <w:r>
              <w:rPr>
                <w:sz w:val="18"/>
              </w:rPr>
              <w:t xml:space="preserve">CF paras 7(4), 10(4); UP2</w:t>
            </w:r>
          </w:p>
        </w:tc>
      </w:tr>
      <w:tr>
        <w:tc>
          <w:tcPr>
            <w:tcW w:w="2073" w:type="dxa"/>
          </w:tcPr>
          <w:p>
            <w:pPr>
              <w:pStyle w:val="Compact"/>
              <w:spacing w:after="40"/>
              <w:jc w:val="left"/>
            </w:pPr>
            <w:r>
              <w:rPr>
                <w:sz w:val="18"/>
              </w:rPr>
              <w:t xml:space="preserve">Offer ranking metric</w:t>
            </w:r>
          </w:p>
        </w:tc>
        <w:tc>
          <w:tcPr>
            <w:tcW w:w="1923" w:type="dxa"/>
          </w:tcPr>
          <w:p>
            <w:pPr>
              <w:pStyle w:val="Compact"/>
              <w:spacing w:after="40"/>
              <w:jc w:val="left"/>
            </w:pPr>
            <w:r>
              <w:rPr>
                <w:sz w:val="18"/>
              </w:rPr>
              <w:t xml:space="preserve">APR low to high; ties by monthly repayment obligation</w:t>
            </w:r>
          </w:p>
        </w:tc>
        <w:tc>
          <w:tcPr>
            <w:tcW w:w="1910" w:type="dxa"/>
          </w:tcPr>
          <w:p>
            <w:pPr>
              <w:pStyle w:val="Compact"/>
              <w:spacing w:after="40"/>
              <w:jc w:val="left"/>
            </w:pPr>
            <w:r>
              <w:rPr>
                <w:sz w:val="18"/>
              </w:rPr>
              <w:t xml:space="preserve">FIXED until a new metric is published on the website first</w:t>
            </w:r>
          </w:p>
        </w:tc>
        <w:tc>
          <w:tcPr>
            <w:tcW w:w="1048" w:type="dxa"/>
          </w:tcPr>
          <w:p>
            <w:pPr>
              <w:pStyle w:val="Compact"/>
              <w:spacing w:after="40"/>
              <w:jc w:val="left"/>
            </w:pPr>
            <w:r>
              <w:rPr>
                <w:sz w:val="18"/>
              </w:rPr>
              <w:t xml:space="preserve">L1</w:t>
            </w:r>
          </w:p>
        </w:tc>
        <w:tc>
          <w:tcPr>
            <w:tcW w:w="1322" w:type="dxa"/>
          </w:tcPr>
          <w:p>
            <w:pPr>
              <w:pStyle w:val="Compact"/>
              <w:spacing w:after="40"/>
              <w:jc w:val="left"/>
            </w:pPr>
            <w:r>
              <w:rPr>
                <w:sz w:val="18"/>
              </w:rPr>
              <w:t xml:space="preserve">Udofin compliance with legal review</w:t>
            </w:r>
          </w:p>
        </w:tc>
        <w:tc>
          <w:tcPr>
            <w:tcW w:w="1362" w:type="dxa"/>
          </w:tcPr>
          <w:p>
            <w:pPr>
              <w:pStyle w:val="Compact"/>
              <w:spacing w:after="40"/>
              <w:jc w:val="left"/>
            </w:pPr>
            <w:r>
              <w:rPr>
                <w:sz w:val="18"/>
              </w:rPr>
              <w:t xml:space="preserve">CF para 7(4); Part 4.6</w:t>
            </w:r>
          </w:p>
        </w:tc>
      </w:tr>
      <w:tr>
        <w:tc>
          <w:tcPr>
            <w:tcW w:w="2073" w:type="dxa"/>
          </w:tcPr>
          <w:p>
            <w:pPr>
              <w:pStyle w:val="Compact"/>
              <w:spacing w:after="40"/>
              <w:jc w:val="left"/>
            </w:pPr>
            <w:r>
              <w:rPr>
                <w:sz w:val="18"/>
              </w:rPr>
              <w:t xml:space="preserve">Consent and marketing choices</w:t>
            </w:r>
          </w:p>
        </w:tc>
        <w:tc>
          <w:tcPr>
            <w:tcW w:w="1923" w:type="dxa"/>
          </w:tcPr>
          <w:p>
            <w:pPr>
              <w:pStyle w:val="Compact"/>
              <w:spacing w:after="40"/>
              <w:jc w:val="left"/>
            </w:pPr>
            <w:r>
              <w:rPr>
                <w:sz w:val="18"/>
              </w:rPr>
              <w:t xml:space="preserve">No</w:t>
            </w:r>
          </w:p>
        </w:tc>
        <w:tc>
          <w:tcPr>
            <w:tcW w:w="1910" w:type="dxa"/>
          </w:tcPr>
          <w:p>
            <w:pPr>
              <w:pStyle w:val="Compact"/>
              <w:spacing w:after="40"/>
              <w:jc w:val="left"/>
            </w:pPr>
            <w:r>
              <w:rPr>
                <w:sz w:val="18"/>
              </w:rPr>
              <w:t xml:space="preserve">FLOOR</w:t>
            </w:r>
          </w:p>
        </w:tc>
        <w:tc>
          <w:tcPr>
            <w:tcW w:w="1048" w:type="dxa"/>
          </w:tcPr>
          <w:p>
            <w:pPr>
              <w:pStyle w:val="Compact"/>
              <w:spacing w:after="40"/>
              <w:jc w:val="left"/>
            </w:pPr>
            <w:r>
              <w:rPr>
                <w:sz w:val="18"/>
              </w:rPr>
              <w:t xml:space="preserve">L5 (user opts in)</w:t>
            </w:r>
          </w:p>
        </w:tc>
        <w:tc>
          <w:tcPr>
            <w:tcW w:w="1322" w:type="dxa"/>
          </w:tcPr>
          <w:p>
            <w:pPr>
              <w:pStyle w:val="Compact"/>
              <w:spacing w:after="40"/>
              <w:jc w:val="left"/>
            </w:pPr>
            <w:r>
              <w:rPr>
                <w:sz w:val="18"/>
              </w:rPr>
              <w:t xml:space="preserve">Borrower</w:t>
            </w:r>
          </w:p>
        </w:tc>
        <w:tc>
          <w:tcPr>
            <w:tcW w:w="1362" w:type="dxa"/>
          </w:tcPr>
          <w:p>
            <w:pPr>
              <w:pStyle w:val="Compact"/>
              <w:spacing w:after="40"/>
              <w:jc w:val="left"/>
            </w:pPr>
            <w:r>
              <w:rPr>
                <w:sz w:val="18"/>
              </w:rPr>
              <w:t xml:space="preserve">CF para 13; DPDP; FW4; XP4</w:t>
            </w:r>
          </w:p>
        </w:tc>
      </w:tr>
      <w:tr>
        <w:tc>
          <w:tcPr>
            <w:tcW w:w="2073" w:type="dxa"/>
          </w:tcPr>
          <w:p>
            <w:pPr>
              <w:pStyle w:val="Compact"/>
              <w:spacing w:after="40"/>
              <w:jc w:val="left"/>
            </w:pPr>
            <w:r>
              <w:rPr>
                <w:sz w:val="18"/>
              </w:rPr>
              <w:t xml:space="preserve">Cooling-off period</w:t>
            </w:r>
          </w:p>
        </w:tc>
        <w:tc>
          <w:tcPr>
            <w:tcW w:w="1923" w:type="dxa"/>
          </w:tcPr>
          <w:p>
            <w:pPr>
              <w:pStyle w:val="Compact"/>
              <w:spacing w:after="40"/>
              <w:jc w:val="left"/>
            </w:pPr>
            <w:r>
              <w:rPr>
                <w:sz w:val="18"/>
              </w:rPr>
              <w:t xml:space="preserve">RE credit policy</w:t>
            </w:r>
          </w:p>
        </w:tc>
        <w:tc>
          <w:tcPr>
            <w:tcW w:w="1910" w:type="dxa"/>
          </w:tcPr>
          <w:p>
            <w:pPr>
              <w:pStyle w:val="Compact"/>
              <w:spacing w:after="40"/>
              <w:jc w:val="left"/>
            </w:pPr>
            <w:r>
              <w:rPr>
                <w:sz w:val="18"/>
              </w:rPr>
              <w:t xml:space="preserve">FLOOR 1 day</w:t>
            </w:r>
          </w:p>
        </w:tc>
        <w:tc>
          <w:tcPr>
            <w:tcW w:w="1048" w:type="dxa"/>
          </w:tcPr>
          <w:p>
            <w:pPr>
              <w:pStyle w:val="Compact"/>
              <w:spacing w:after="40"/>
              <w:jc w:val="left"/>
            </w:pPr>
            <w:r>
              <w:rPr>
                <w:sz w:val="18"/>
              </w:rPr>
              <w:t xml:space="preserve">L3</w:t>
            </w:r>
          </w:p>
        </w:tc>
        <w:tc>
          <w:tcPr>
            <w:tcW w:w="1322" w:type="dxa"/>
          </w:tcPr>
          <w:p>
            <w:pPr>
              <w:pStyle w:val="Compact"/>
              <w:spacing w:after="40"/>
              <w:jc w:val="left"/>
            </w:pPr>
            <w:r>
              <w:rPr>
                <w:sz w:val="18"/>
              </w:rPr>
              <w:t xml:space="preserve">RE</w:t>
            </w:r>
          </w:p>
        </w:tc>
        <w:tc>
          <w:tcPr>
            <w:tcW w:w="1362" w:type="dxa"/>
          </w:tcPr>
          <w:p>
            <w:pPr>
              <w:pStyle w:val="Compact"/>
              <w:spacing w:after="40"/>
              <w:jc w:val="left"/>
            </w:pPr>
            <w:r>
              <w:rPr>
                <w:sz w:val="18"/>
              </w:rPr>
              <w:t xml:space="preserve">CF para 11(1); U2</w:t>
            </w:r>
          </w:p>
        </w:tc>
      </w:tr>
      <w:tr>
        <w:tc>
          <w:tcPr>
            <w:tcW w:w="2073" w:type="dxa"/>
          </w:tcPr>
          <w:p>
            <w:pPr>
              <w:pStyle w:val="Compact"/>
              <w:spacing w:after="40"/>
              <w:jc w:val="left"/>
            </w:pPr>
            <w:r>
              <w:rPr>
                <w:sz w:val="18"/>
              </w:rPr>
              <w:t xml:space="preserve">KFS validity</w:t>
            </w:r>
          </w:p>
        </w:tc>
        <w:tc>
          <w:tcPr>
            <w:tcW w:w="1923" w:type="dxa"/>
          </w:tcPr>
          <w:p>
            <w:pPr>
              <w:pStyle w:val="Compact"/>
              <w:spacing w:after="40"/>
              <w:jc w:val="left"/>
            </w:pPr>
            <w:r>
              <w:rPr>
                <w:sz w:val="18"/>
              </w:rPr>
              <w:t xml:space="preserve">From the RE</w:t>
            </w:r>
          </w:p>
        </w:tc>
        <w:tc>
          <w:tcPr>
            <w:tcW w:w="1910" w:type="dxa"/>
          </w:tcPr>
          <w:p>
            <w:pPr>
              <w:pStyle w:val="Compact"/>
              <w:spacing w:after="40"/>
              <w:jc w:val="left"/>
            </w:pPr>
            <w:r>
              <w:rPr>
                <w:sz w:val="18"/>
              </w:rPr>
              <w:t xml:space="preserve">FLOOR 3 working days (tenor 7 days or more), 1 working day (under 7 days)</w:t>
            </w:r>
          </w:p>
        </w:tc>
        <w:tc>
          <w:tcPr>
            <w:tcW w:w="1048" w:type="dxa"/>
          </w:tcPr>
          <w:p>
            <w:pPr>
              <w:pStyle w:val="Compact"/>
              <w:spacing w:after="40"/>
              <w:jc w:val="left"/>
            </w:pPr>
            <w:r>
              <w:rPr>
                <w:sz w:val="18"/>
              </w:rPr>
              <w:t xml:space="preserve">L3</w:t>
            </w:r>
          </w:p>
        </w:tc>
        <w:tc>
          <w:tcPr>
            <w:tcW w:w="1322" w:type="dxa"/>
          </w:tcPr>
          <w:p>
            <w:pPr>
              <w:pStyle w:val="Compact"/>
              <w:spacing w:after="40"/>
              <w:jc w:val="left"/>
            </w:pPr>
            <w:r>
              <w:rPr>
                <w:sz w:val="18"/>
              </w:rPr>
              <w:t xml:space="preserve">RE</w:t>
            </w:r>
          </w:p>
        </w:tc>
        <w:tc>
          <w:tcPr>
            <w:tcW w:w="1362" w:type="dxa"/>
          </w:tcPr>
          <w:p>
            <w:pPr>
              <w:pStyle w:val="Compact"/>
              <w:spacing w:after="40"/>
              <w:jc w:val="left"/>
            </w:pPr>
            <w:r>
              <w:rPr>
                <w:sz w:val="18"/>
              </w:rPr>
              <w:t xml:space="preserve">RBC para 29(2)</w:t>
            </w:r>
          </w:p>
        </w:tc>
      </w:tr>
      <w:tr>
        <w:tc>
          <w:tcPr>
            <w:tcW w:w="2073" w:type="dxa"/>
          </w:tcPr>
          <w:p>
            <w:pPr>
              <w:pStyle w:val="Compact"/>
              <w:spacing w:after="40"/>
              <w:jc w:val="left"/>
            </w:pPr>
            <w:r>
              <w:rPr>
                <w:sz w:val="18"/>
              </w:rPr>
              <w:t xml:space="preserve">Languages</w:t>
            </w:r>
          </w:p>
        </w:tc>
        <w:tc>
          <w:tcPr>
            <w:tcW w:w="1923" w:type="dxa"/>
          </w:tcPr>
          <w:p>
            <w:pPr>
              <w:pStyle w:val="Compact"/>
              <w:spacing w:after="40"/>
              <w:jc w:val="left"/>
            </w:pPr>
            <w:r>
              <w:rPr>
                <w:sz w:val="18"/>
              </w:rPr>
              <w:t xml:space="preserve">English and Hindi</w:t>
            </w:r>
          </w:p>
        </w:tc>
        <w:tc>
          <w:tcPr>
            <w:tcW w:w="1910" w:type="dxa"/>
          </w:tcPr>
          <w:p>
            <w:pPr>
              <w:pStyle w:val="Compact"/>
              <w:spacing w:after="40"/>
              <w:jc w:val="left"/>
            </w:pPr>
            <w:r>
              <w:rPr>
                <w:sz w:val="18"/>
              </w:rPr>
              <w:t xml:space="preserve">COMMERCIAL (a language goes live only when every string is approved)</w:t>
            </w:r>
          </w:p>
        </w:tc>
        <w:tc>
          <w:tcPr>
            <w:tcW w:w="1048" w:type="dxa"/>
          </w:tcPr>
          <w:p>
            <w:pPr>
              <w:pStyle w:val="Compact"/>
              <w:spacing w:after="40"/>
              <w:jc w:val="left"/>
            </w:pPr>
            <w:r>
              <w:rPr>
                <w:sz w:val="18"/>
              </w:rPr>
              <w:t xml:space="preserve">L1</w:t>
            </w:r>
          </w:p>
        </w:tc>
        <w:tc>
          <w:tcPr>
            <w:tcW w:w="1322" w:type="dxa"/>
          </w:tcPr>
          <w:p>
            <w:pPr>
              <w:pStyle w:val="Compact"/>
              <w:spacing w:after="40"/>
              <w:jc w:val="left"/>
            </w:pPr>
            <w:r>
              <w:rPr>
                <w:sz w:val="18"/>
              </w:rPr>
              <w:t xml:space="preserve">Udofin product</w:t>
            </w:r>
          </w:p>
        </w:tc>
        <w:tc>
          <w:tcPr>
            <w:tcW w:w="1362" w:type="dxa"/>
          </w:tcPr>
          <w:p>
            <w:pPr>
              <w:pStyle w:val="Compact"/>
              <w:spacing w:after="40"/>
              <w:jc w:val="left"/>
            </w:pPr>
            <w:r>
              <w:rPr>
                <w:sz w:val="18"/>
              </w:rPr>
              <w:t xml:space="preserve">RBC paras 10, 29(1); UB4; XP1</w:t>
            </w:r>
          </w:p>
        </w:tc>
      </w:tr>
      <w:tr>
        <w:tc>
          <w:tcPr>
            <w:tcW w:w="2073" w:type="dxa"/>
          </w:tcPr>
          <w:p>
            <w:pPr>
              <w:pStyle w:val="Compact"/>
              <w:spacing w:after="40"/>
              <w:jc w:val="left"/>
            </w:pPr>
            <w:r>
              <w:rPr>
                <w:sz w:val="18"/>
              </w:rPr>
              <w:t xml:space="preserve">OTP attempts and lockout</w:t>
            </w:r>
          </w:p>
        </w:tc>
        <w:tc>
          <w:tcPr>
            <w:tcW w:w="1923" w:type="dxa"/>
          </w:tcPr>
          <w:p>
            <w:pPr>
              <w:pStyle w:val="Compact"/>
              <w:spacing w:after="40"/>
              <w:jc w:val="left"/>
            </w:pPr>
            <w:r>
              <w:rPr>
                <w:sz w:val="18"/>
              </w:rPr>
              <w:t xml:space="preserve">5 attempts, 30-minute lockout [REC]</w:t>
            </w:r>
          </w:p>
        </w:tc>
        <w:tc>
          <w:tcPr>
            <w:tcW w:w="1910" w:type="dxa"/>
          </w:tcPr>
          <w:p>
            <w:pPr>
              <w:pStyle w:val="Compact"/>
              <w:spacing w:after="40"/>
              <w:jc w:val="left"/>
            </w:pPr>
            <w:r>
              <w:rPr>
                <w:sz w:val="18"/>
              </w:rPr>
              <w:t xml:space="preserve">FLOOR</w:t>
            </w:r>
          </w:p>
        </w:tc>
        <w:tc>
          <w:tcPr>
            <w:tcW w:w="1048" w:type="dxa"/>
          </w:tcPr>
          <w:p>
            <w:pPr>
              <w:pStyle w:val="Compact"/>
              <w:spacing w:after="40"/>
              <w:jc w:val="left"/>
            </w:pPr>
            <w:r>
              <w:rPr>
                <w:sz w:val="18"/>
              </w:rPr>
              <w:t xml:space="preserve">L1</w:t>
            </w:r>
          </w:p>
        </w:tc>
        <w:tc>
          <w:tcPr>
            <w:tcW w:w="1322" w:type="dxa"/>
          </w:tcPr>
          <w:p>
            <w:pPr>
              <w:pStyle w:val="Compact"/>
              <w:spacing w:after="40"/>
              <w:jc w:val="left"/>
            </w:pPr>
            <w:r>
              <w:rPr>
                <w:sz w:val="18"/>
              </w:rPr>
              <w:t xml:space="preserve">Udofin security</w:t>
            </w:r>
          </w:p>
        </w:tc>
        <w:tc>
          <w:tcPr>
            <w:tcW w:w="1362" w:type="dxa"/>
          </w:tcPr>
          <w:p>
            <w:pPr>
              <w:pStyle w:val="Compact"/>
              <w:spacing w:after="40"/>
              <w:jc w:val="left"/>
            </w:pPr>
            <w:r>
              <w:rPr>
                <w:sz w:val="18"/>
              </w:rPr>
              <w:t xml:space="preserve">U3</w:t>
            </w:r>
          </w:p>
        </w:tc>
      </w:tr>
      <w:tr>
        <w:tc>
          <w:tcPr>
            <w:tcW w:w="2073" w:type="dxa"/>
          </w:tcPr>
          <w:p>
            <w:pPr>
              <w:pStyle w:val="Compact"/>
              <w:spacing w:after="40"/>
              <w:jc w:val="left"/>
            </w:pPr>
            <w:r>
              <w:rPr>
                <w:sz w:val="18"/>
              </w:rPr>
              <w:t xml:space="preserve">App inactivity lock</w:t>
            </w:r>
          </w:p>
        </w:tc>
        <w:tc>
          <w:tcPr>
            <w:tcW w:w="1923" w:type="dxa"/>
          </w:tcPr>
          <w:p>
            <w:pPr>
              <w:pStyle w:val="Compact"/>
              <w:spacing w:after="40"/>
              <w:jc w:val="left"/>
            </w:pPr>
            <w:r>
              <w:rPr>
                <w:sz w:val="18"/>
              </w:rPr>
              <w:t xml:space="preserve">5 minutes [REC]</w:t>
            </w:r>
          </w:p>
        </w:tc>
        <w:tc>
          <w:tcPr>
            <w:tcW w:w="1910" w:type="dxa"/>
          </w:tcPr>
          <w:p>
            <w:pPr>
              <w:pStyle w:val="Compact"/>
              <w:spacing w:after="40"/>
              <w:jc w:val="left"/>
            </w:pPr>
            <w:r>
              <w:rPr>
                <w:sz w:val="18"/>
              </w:rPr>
              <w:t xml:space="preserve">FLOOR (may shorten)</w:t>
            </w:r>
          </w:p>
        </w:tc>
        <w:tc>
          <w:tcPr>
            <w:tcW w:w="1048" w:type="dxa"/>
          </w:tcPr>
          <w:p>
            <w:pPr>
              <w:pStyle w:val="Compact"/>
              <w:spacing w:after="40"/>
              <w:jc w:val="left"/>
            </w:pPr>
            <w:r>
              <w:rPr>
                <w:sz w:val="18"/>
              </w:rPr>
              <w:t xml:space="preserve">L5</w:t>
            </w:r>
          </w:p>
        </w:tc>
        <w:tc>
          <w:tcPr>
            <w:tcW w:w="1322" w:type="dxa"/>
          </w:tcPr>
          <w:p>
            <w:pPr>
              <w:pStyle w:val="Compact"/>
              <w:spacing w:after="40"/>
              <w:jc w:val="left"/>
            </w:pPr>
            <w:r>
              <w:rPr>
                <w:sz w:val="18"/>
              </w:rPr>
              <w:t xml:space="preserve">Borrower</w:t>
            </w:r>
          </w:p>
        </w:tc>
        <w:tc>
          <w:tcPr>
            <w:tcW w:w="1362" w:type="dxa"/>
          </w:tcPr>
          <w:p>
            <w:pPr>
              <w:pStyle w:val="Compact"/>
              <w:spacing w:after="40"/>
              <w:jc w:val="left"/>
            </w:pPr>
            <w:r>
              <w:rPr>
                <w:sz w:val="18"/>
              </w:rPr>
              <w:t xml:space="preserve">U3; DPS para 68(8) baseline</w:t>
            </w:r>
          </w:p>
        </w:tc>
      </w:tr>
      <w:tr>
        <w:tc>
          <w:tcPr>
            <w:tcW w:w="2073" w:type="dxa"/>
          </w:tcPr>
          <w:p>
            <w:pPr>
              <w:pStyle w:val="Compact"/>
              <w:spacing w:after="40"/>
              <w:jc w:val="left"/>
            </w:pPr>
            <w:r>
              <w:rPr>
                <w:sz w:val="18"/>
              </w:rPr>
              <w:t xml:space="preserve">Web session idle timeout</w:t>
            </w:r>
          </w:p>
        </w:tc>
        <w:tc>
          <w:tcPr>
            <w:tcW w:w="1923" w:type="dxa"/>
          </w:tcPr>
          <w:p>
            <w:pPr>
              <w:pStyle w:val="Compact"/>
              <w:spacing w:after="40"/>
              <w:jc w:val="left"/>
            </w:pPr>
            <w:r>
              <w:rPr>
                <w:sz w:val="18"/>
              </w:rPr>
              <w:t xml:space="preserve">10 minutes [REC]</w:t>
            </w:r>
          </w:p>
        </w:tc>
        <w:tc>
          <w:tcPr>
            <w:tcW w:w="1910" w:type="dxa"/>
          </w:tcPr>
          <w:p>
            <w:pPr>
              <w:pStyle w:val="Compact"/>
              <w:spacing w:after="40"/>
              <w:jc w:val="left"/>
            </w:pPr>
            <w:r>
              <w:rPr>
                <w:sz w:val="18"/>
              </w:rPr>
              <w:t xml:space="preserve">FLOOR</w:t>
            </w:r>
          </w:p>
        </w:tc>
        <w:tc>
          <w:tcPr>
            <w:tcW w:w="1048" w:type="dxa"/>
          </w:tcPr>
          <w:p>
            <w:pPr>
              <w:pStyle w:val="Compact"/>
              <w:spacing w:after="40"/>
              <w:jc w:val="left"/>
            </w:pPr>
            <w:r>
              <w:rPr>
                <w:sz w:val="18"/>
              </w:rPr>
              <w:t xml:space="preserve">L1</w:t>
            </w:r>
          </w:p>
        </w:tc>
        <w:tc>
          <w:tcPr>
            <w:tcW w:w="1322" w:type="dxa"/>
          </w:tcPr>
          <w:p>
            <w:pPr>
              <w:pStyle w:val="Compact"/>
              <w:spacing w:after="40"/>
              <w:jc w:val="left"/>
            </w:pPr>
            <w:r>
              <w:rPr>
                <w:sz w:val="18"/>
              </w:rPr>
              <w:t xml:space="preserve">Udofin security</w:t>
            </w:r>
          </w:p>
        </w:tc>
        <w:tc>
          <w:tcPr>
            <w:tcW w:w="1362" w:type="dxa"/>
          </w:tcPr>
          <w:p>
            <w:pPr>
              <w:pStyle w:val="Compact"/>
              <w:spacing w:after="40"/>
              <w:jc w:val="left"/>
            </w:pPr>
            <w:r>
              <w:rPr>
                <w:sz w:val="18"/>
              </w:rPr>
              <w:t xml:space="preserve">DPS para 67(4) baseline</w:t>
            </w:r>
          </w:p>
        </w:tc>
      </w:tr>
      <w:tr>
        <w:tc>
          <w:tcPr>
            <w:tcW w:w="2073" w:type="dxa"/>
          </w:tcPr>
          <w:p>
            <w:pPr>
              <w:pStyle w:val="Compact"/>
              <w:spacing w:after="40"/>
              <w:jc w:val="left"/>
            </w:pPr>
            <w:r>
              <w:rPr>
                <w:sz w:val="18"/>
              </w:rPr>
              <w:t xml:space="preserve">Step-up freshness for originals and exports</w:t>
            </w:r>
          </w:p>
        </w:tc>
        <w:tc>
          <w:tcPr>
            <w:tcW w:w="1923" w:type="dxa"/>
          </w:tcPr>
          <w:p>
            <w:pPr>
              <w:pStyle w:val="Compact"/>
              <w:spacing w:after="40"/>
              <w:jc w:val="left"/>
            </w:pPr>
            <w:r>
              <w:rPr>
                <w:sz w:val="18"/>
              </w:rPr>
              <w:t xml:space="preserve">5 minutes</w:t>
            </w:r>
          </w:p>
        </w:tc>
        <w:tc>
          <w:tcPr>
            <w:tcW w:w="1910" w:type="dxa"/>
          </w:tcPr>
          <w:p>
            <w:pPr>
              <w:pStyle w:val="Compact"/>
              <w:spacing w:after="40"/>
              <w:jc w:val="left"/>
            </w:pPr>
            <w:r>
              <w:rPr>
                <w:sz w:val="18"/>
              </w:rPr>
              <w:t xml:space="preserve">FLOOR</w:t>
            </w:r>
          </w:p>
        </w:tc>
        <w:tc>
          <w:tcPr>
            <w:tcW w:w="1048" w:type="dxa"/>
          </w:tcPr>
          <w:p>
            <w:pPr>
              <w:pStyle w:val="Compact"/>
              <w:spacing w:after="40"/>
              <w:jc w:val="left"/>
            </w:pPr>
            <w:r>
              <w:rPr>
                <w:sz w:val="18"/>
              </w:rPr>
              <w:t xml:space="preserve">L1</w:t>
            </w:r>
          </w:p>
        </w:tc>
        <w:tc>
          <w:tcPr>
            <w:tcW w:w="1322" w:type="dxa"/>
          </w:tcPr>
          <w:p>
            <w:pPr>
              <w:pStyle w:val="Compact"/>
              <w:spacing w:after="40"/>
              <w:jc w:val="left"/>
            </w:pPr>
            <w:r>
              <w:rPr>
                <w:sz w:val="18"/>
              </w:rPr>
              <w:t xml:space="preserve">Udofin security</w:t>
            </w:r>
          </w:p>
        </w:tc>
        <w:tc>
          <w:tcPr>
            <w:tcW w:w="1362" w:type="dxa"/>
          </w:tcPr>
          <w:p>
            <w:pPr>
              <w:pStyle w:val="Compact"/>
              <w:spacing w:after="40"/>
              <w:jc w:val="left"/>
            </w:pPr>
            <w:r>
              <w:rPr>
                <w:sz w:val="18"/>
              </w:rPr>
              <w:t xml:space="preserve">UB1</w:t>
            </w:r>
          </w:p>
        </w:tc>
      </w:tr>
      <w:tr>
        <w:tc>
          <w:tcPr>
            <w:tcW w:w="2073" w:type="dxa"/>
          </w:tcPr>
          <w:p>
            <w:pPr>
              <w:pStyle w:val="Compact"/>
              <w:spacing w:after="40"/>
              <w:jc w:val="left"/>
            </w:pPr>
            <w:r>
              <w:rPr>
                <w:sz w:val="18"/>
              </w:rPr>
              <w:t xml:space="preserve">Signed-URL validity (borrower documents)</w:t>
            </w:r>
          </w:p>
        </w:tc>
        <w:tc>
          <w:tcPr>
            <w:tcW w:w="1923" w:type="dxa"/>
          </w:tcPr>
          <w:p>
            <w:pPr>
              <w:pStyle w:val="Compact"/>
              <w:spacing w:after="40"/>
              <w:jc w:val="left"/>
            </w:pPr>
            <w:r>
              <w:rPr>
                <w:sz w:val="18"/>
              </w:rPr>
              <w:t xml:space="preserve">15 minutes</w:t>
            </w:r>
          </w:p>
        </w:tc>
        <w:tc>
          <w:tcPr>
            <w:tcW w:w="1910" w:type="dxa"/>
          </w:tcPr>
          <w:p>
            <w:pPr>
              <w:pStyle w:val="Compact"/>
              <w:spacing w:after="40"/>
              <w:jc w:val="left"/>
            </w:pPr>
            <w:r>
              <w:rPr>
                <w:sz w:val="18"/>
              </w:rPr>
              <w:t xml:space="preserve">FLOOR</w:t>
            </w:r>
          </w:p>
        </w:tc>
        <w:tc>
          <w:tcPr>
            <w:tcW w:w="1048" w:type="dxa"/>
          </w:tcPr>
          <w:p>
            <w:pPr>
              <w:pStyle w:val="Compact"/>
              <w:spacing w:after="40"/>
              <w:jc w:val="left"/>
            </w:pPr>
            <w:r>
              <w:rPr>
                <w:sz w:val="18"/>
              </w:rPr>
              <w:t xml:space="preserve">L1</w:t>
            </w:r>
          </w:p>
        </w:tc>
        <w:tc>
          <w:tcPr>
            <w:tcW w:w="1322" w:type="dxa"/>
          </w:tcPr>
          <w:p>
            <w:pPr>
              <w:pStyle w:val="Compact"/>
              <w:spacing w:after="40"/>
              <w:jc w:val="left"/>
            </w:pPr>
            <w:r>
              <w:rPr>
                <w:sz w:val="18"/>
              </w:rPr>
              <w:t xml:space="preserve">Udofin security</w:t>
            </w:r>
          </w:p>
        </w:tc>
        <w:tc>
          <w:tcPr>
            <w:tcW w:w="1362" w:type="dxa"/>
          </w:tcPr>
          <w:p>
            <w:pPr>
              <w:pStyle w:val="Compact"/>
              <w:spacing w:after="40"/>
              <w:jc w:val="left"/>
            </w:pPr>
            <w:r>
              <w:rPr>
                <w:sz w:val="18"/>
              </w:rPr>
              <w:t xml:space="preserve">UB1; Integration Spec 6.13</w:t>
            </w:r>
          </w:p>
        </w:tc>
      </w:tr>
      <w:tr>
        <w:tc>
          <w:tcPr>
            <w:tcW w:w="2073" w:type="dxa"/>
          </w:tcPr>
          <w:p>
            <w:pPr>
              <w:pStyle w:val="Compact"/>
              <w:spacing w:after="40"/>
              <w:jc w:val="left"/>
            </w:pPr>
            <w:r>
              <w:rPr>
                <w:sz w:val="18"/>
              </w:rPr>
              <w:t xml:space="preserve">Data-rights response target</w:t>
            </w:r>
          </w:p>
        </w:tc>
        <w:tc>
          <w:tcPr>
            <w:tcW w:w="1923" w:type="dxa"/>
          </w:tcPr>
          <w:p>
            <w:pPr>
              <w:pStyle w:val="Compact"/>
              <w:spacing w:after="40"/>
              <w:jc w:val="left"/>
            </w:pPr>
            <w:r>
              <w:rPr>
                <w:sz w:val="18"/>
              </w:rPr>
              <w:t xml:space="preserve">30 days (statutory maximum 90 days for grievances)</w:t>
            </w:r>
          </w:p>
        </w:tc>
        <w:tc>
          <w:tcPr>
            <w:tcW w:w="1910" w:type="dxa"/>
          </w:tcPr>
          <w:p>
            <w:pPr>
              <w:pStyle w:val="Compact"/>
              <w:spacing w:after="40"/>
              <w:jc w:val="left"/>
            </w:pPr>
            <w:r>
              <w:rPr>
                <w:sz w:val="18"/>
              </w:rPr>
              <w:t xml:space="preserve">FLOOR</w:t>
            </w:r>
          </w:p>
        </w:tc>
        <w:tc>
          <w:tcPr>
            <w:tcW w:w="1048" w:type="dxa"/>
          </w:tcPr>
          <w:p>
            <w:pPr>
              <w:pStyle w:val="Compact"/>
              <w:spacing w:after="40"/>
              <w:jc w:val="left"/>
            </w:pPr>
            <w:r>
              <w:rPr>
                <w:sz w:val="18"/>
              </w:rPr>
              <w:t xml:space="preserve">L1</w:t>
            </w:r>
          </w:p>
        </w:tc>
        <w:tc>
          <w:tcPr>
            <w:tcW w:w="1322" w:type="dxa"/>
          </w:tcPr>
          <w:p>
            <w:pPr>
              <w:pStyle w:val="Compact"/>
              <w:spacing w:after="40"/>
              <w:jc w:val="left"/>
            </w:pPr>
            <w:r>
              <w:rPr>
                <w:sz w:val="18"/>
              </w:rPr>
              <w:t xml:space="preserve">Udofin DPO</w:t>
            </w:r>
          </w:p>
        </w:tc>
        <w:tc>
          <w:tcPr>
            <w:tcW w:w="1362" w:type="dxa"/>
          </w:tcPr>
          <w:p>
            <w:pPr>
              <w:pStyle w:val="Compact"/>
              <w:spacing w:after="40"/>
              <w:jc w:val="left"/>
            </w:pPr>
            <w:r>
              <w:rPr>
                <w:sz w:val="18"/>
              </w:rPr>
              <w:t xml:space="preserve">DPDP Rules r.14(3) [VERIFY scope]; U4</w:t>
            </w:r>
          </w:p>
        </w:tc>
      </w:tr>
      <w:tr>
        <w:tc>
          <w:tcPr>
            <w:tcW w:w="2073" w:type="dxa"/>
          </w:tcPr>
          <w:p>
            <w:pPr>
              <w:pStyle w:val="Compact"/>
              <w:spacing w:after="40"/>
              <w:jc w:val="left"/>
            </w:pPr>
            <w:r>
              <w:rPr>
                <w:sz w:val="18"/>
              </w:rPr>
              <w:t xml:space="preserve">Stale application expiry</w:t>
            </w:r>
          </w:p>
        </w:tc>
        <w:tc>
          <w:tcPr>
            <w:tcW w:w="1923" w:type="dxa"/>
          </w:tcPr>
          <w:p>
            <w:pPr>
              <w:pStyle w:val="Compact"/>
              <w:spacing w:after="40"/>
              <w:jc w:val="left"/>
            </w:pPr>
            <w:r>
              <w:rPr>
                <w:sz w:val="18"/>
              </w:rPr>
              <w:t xml:space="preserve">30 days of inactivity [REC]</w:t>
            </w:r>
          </w:p>
        </w:tc>
        <w:tc>
          <w:tcPr>
            <w:tcW w:w="1910" w:type="dxa"/>
          </w:tcPr>
          <w:p>
            <w:pPr>
              <w:pStyle w:val="Compact"/>
              <w:spacing w:after="40"/>
              <w:jc w:val="left"/>
            </w:pPr>
            <w:r>
              <w:rPr>
                <w:sz w:val="18"/>
              </w:rPr>
              <w:t xml:space="preserve">COMMERCIAL</w:t>
            </w:r>
          </w:p>
        </w:tc>
        <w:tc>
          <w:tcPr>
            <w:tcW w:w="1048" w:type="dxa"/>
          </w:tcPr>
          <w:p>
            <w:pPr>
              <w:pStyle w:val="Compact"/>
              <w:spacing w:after="40"/>
              <w:jc w:val="left"/>
            </w:pPr>
            <w:r>
              <w:rPr>
                <w:sz w:val="18"/>
              </w:rPr>
              <w:t xml:space="preserve">L3</w:t>
            </w:r>
          </w:p>
        </w:tc>
        <w:tc>
          <w:tcPr>
            <w:tcW w:w="1322" w:type="dxa"/>
          </w:tcPr>
          <w:p>
            <w:pPr>
              <w:pStyle w:val="Compact"/>
              <w:spacing w:after="40"/>
              <w:jc w:val="left"/>
            </w:pPr>
            <w:r>
              <w:rPr>
                <w:sz w:val="18"/>
              </w:rPr>
              <w:t xml:space="preserve">Udofin product</w:t>
            </w:r>
          </w:p>
        </w:tc>
        <w:tc>
          <w:tcPr>
            <w:tcW w:w="1362" w:type="dxa"/>
          </w:tcPr>
          <w:p>
            <w:pPr>
              <w:pStyle w:val="Compact"/>
              <w:spacing w:after="40"/>
              <w:jc w:val="left"/>
            </w:pPr>
            <w:r>
              <w:rPr>
                <w:sz w:val="18"/>
              </w:rPr>
              <w:t xml:space="preserve">Part 3.3 item 4</w:t>
            </w:r>
          </w:p>
        </w:tc>
      </w:tr>
      <w:tr>
        <w:tc>
          <w:tcPr>
            <w:tcW w:w="2073" w:type="dxa"/>
          </w:tcPr>
          <w:p>
            <w:pPr>
              <w:pStyle w:val="Compact"/>
              <w:spacing w:after="40"/>
              <w:jc w:val="left"/>
            </w:pPr>
            <w:r>
              <w:rPr>
                <w:sz w:val="18"/>
              </w:rPr>
              <w:t xml:space="preserve">Grievance forwarding to RE</w:t>
            </w:r>
          </w:p>
        </w:tc>
        <w:tc>
          <w:tcPr>
            <w:tcW w:w="1923" w:type="dxa"/>
          </w:tcPr>
          <w:p>
            <w:pPr>
              <w:pStyle w:val="Compact"/>
              <w:spacing w:after="40"/>
              <w:jc w:val="left"/>
            </w:pPr>
            <w:r>
              <w:rPr>
                <w:sz w:val="18"/>
              </w:rPr>
              <w:t xml:space="preserve">1 hour</w:t>
            </w:r>
          </w:p>
        </w:tc>
        <w:tc>
          <w:tcPr>
            <w:tcW w:w="1910" w:type="dxa"/>
          </w:tcPr>
          <w:p>
            <w:pPr>
              <w:pStyle w:val="Compact"/>
              <w:spacing w:after="40"/>
              <w:jc w:val="left"/>
            </w:pPr>
            <w:r>
              <w:rPr>
                <w:sz w:val="18"/>
              </w:rPr>
              <w:t xml:space="preserve">FLOOR</w:t>
            </w:r>
          </w:p>
        </w:tc>
        <w:tc>
          <w:tcPr>
            <w:tcW w:w="1048" w:type="dxa"/>
          </w:tcPr>
          <w:p>
            <w:pPr>
              <w:pStyle w:val="Compact"/>
              <w:spacing w:after="40"/>
              <w:jc w:val="left"/>
            </w:pPr>
            <w:r>
              <w:rPr>
                <w:sz w:val="18"/>
              </w:rPr>
              <w:t xml:space="preserve">L1</w:t>
            </w:r>
          </w:p>
        </w:tc>
        <w:tc>
          <w:tcPr>
            <w:tcW w:w="1322" w:type="dxa"/>
          </w:tcPr>
          <w:p>
            <w:pPr>
              <w:pStyle w:val="Compact"/>
              <w:spacing w:after="40"/>
              <w:jc w:val="left"/>
            </w:pPr>
            <w:r>
              <w:rPr>
                <w:sz w:val="18"/>
              </w:rPr>
              <w:t xml:space="preserve">Udofin GRO</w:t>
            </w:r>
          </w:p>
        </w:tc>
        <w:tc>
          <w:tcPr>
            <w:tcW w:w="1362" w:type="dxa"/>
          </w:tcPr>
          <w:p>
            <w:pPr>
              <w:pStyle w:val="Compact"/>
              <w:spacing w:after="40"/>
              <w:jc w:val="left"/>
            </w:pPr>
            <w:r>
              <w:rPr>
                <w:sz w:val="18"/>
              </w:rPr>
              <w:t xml:space="preserve">UB3; CF para 12(4)</w:t>
            </w:r>
          </w:p>
        </w:tc>
      </w:tr>
      <w:tr>
        <w:tc>
          <w:tcPr>
            <w:tcW w:w="2073" w:type="dxa"/>
          </w:tcPr>
          <w:p>
            <w:pPr>
              <w:pStyle w:val="Compact"/>
              <w:spacing w:after="40"/>
              <w:jc w:val="left"/>
            </w:pPr>
            <w:r>
              <w:rPr>
                <w:sz w:val="18"/>
              </w:rPr>
              <w:t xml:space="preserve">RE reply period</w:t>
            </w:r>
          </w:p>
        </w:tc>
        <w:tc>
          <w:tcPr>
            <w:tcW w:w="1923" w:type="dxa"/>
          </w:tcPr>
          <w:p>
            <w:pPr>
              <w:pStyle w:val="Compact"/>
              <w:spacing w:after="40"/>
              <w:jc w:val="left"/>
            </w:pPr>
            <w:r>
              <w:rPr>
                <w:sz w:val="18"/>
              </w:rPr>
              <w:t xml:space="preserve">30 days; reminders day 20 and 25</w:t>
            </w:r>
          </w:p>
        </w:tc>
        <w:tc>
          <w:tcPr>
            <w:tcW w:w="1910" w:type="dxa"/>
          </w:tcPr>
          <w:p>
            <w:pPr>
              <w:pStyle w:val="Compact"/>
              <w:spacing w:after="40"/>
              <w:jc w:val="left"/>
            </w:pPr>
            <w:r>
              <w:rPr>
                <w:sz w:val="18"/>
              </w:rPr>
              <w:t xml:space="preserve">CEILING (RE may reply sooner)</w:t>
            </w:r>
          </w:p>
        </w:tc>
        <w:tc>
          <w:tcPr>
            <w:tcW w:w="1048" w:type="dxa"/>
          </w:tcPr>
          <w:p>
            <w:pPr>
              <w:pStyle w:val="Compact"/>
              <w:spacing w:after="40"/>
              <w:jc w:val="left"/>
            </w:pPr>
            <w:r>
              <w:rPr>
                <w:sz w:val="18"/>
              </w:rPr>
              <w:t xml:space="preserve">—</w:t>
            </w:r>
          </w:p>
        </w:tc>
        <w:tc>
          <w:tcPr>
            <w:tcW w:w="1322" w:type="dxa"/>
          </w:tcPr>
          <w:p>
            <w:pPr>
              <w:pStyle w:val="Compact"/>
              <w:spacing w:after="40"/>
              <w:jc w:val="left"/>
            </w:pPr>
            <w:r>
              <w:rPr>
                <w:sz w:val="18"/>
              </w:rPr>
              <w:t xml:space="preserve">Not configurable</w:t>
            </w:r>
          </w:p>
        </w:tc>
        <w:tc>
          <w:tcPr>
            <w:tcW w:w="1362" w:type="dxa"/>
          </w:tcPr>
          <w:p>
            <w:pPr>
              <w:pStyle w:val="Compact"/>
              <w:spacing w:after="40"/>
              <w:jc w:val="left"/>
            </w:pPr>
            <w:r>
              <w:rPr>
                <w:sz w:val="18"/>
              </w:rPr>
              <w:t xml:space="preserve">CF para 12(4); UB3</w:t>
            </w:r>
          </w:p>
        </w:tc>
      </w:tr>
      <w:tr>
        <w:tc>
          <w:tcPr>
            <w:tcW w:w="2073" w:type="dxa"/>
          </w:tcPr>
          <w:p>
            <w:pPr>
              <w:pStyle w:val="Compact"/>
              <w:spacing w:after="40"/>
              <w:jc w:val="left"/>
            </w:pPr>
            <w:r>
              <w:rPr>
                <w:sz w:val="18"/>
              </w:rPr>
              <w:t xml:space="preserve">External complaint window</w:t>
            </w:r>
          </w:p>
        </w:tc>
        <w:tc>
          <w:tcPr>
            <w:tcW w:w="1923" w:type="dxa"/>
          </w:tcPr>
          <w:p>
            <w:pPr>
              <w:pStyle w:val="Compact"/>
              <w:spacing w:after="40"/>
              <w:jc w:val="left"/>
            </w:pPr>
            <w:r>
              <w:rPr>
                <w:sz w:val="18"/>
              </w:rPr>
              <w:t xml:space="preserve">90 days</w:t>
            </w:r>
          </w:p>
        </w:tc>
        <w:tc>
          <w:tcPr>
            <w:tcW w:w="1910" w:type="dxa"/>
          </w:tcPr>
          <w:p>
            <w:pPr>
              <w:pStyle w:val="Compact"/>
              <w:spacing w:after="40"/>
              <w:jc w:val="left"/>
            </w:pPr>
            <w:r>
              <w:rPr>
                <w:sz w:val="18"/>
              </w:rPr>
              <w:t xml:space="preserve">FIXED</w:t>
            </w:r>
          </w:p>
        </w:tc>
        <w:tc>
          <w:tcPr>
            <w:tcW w:w="1048" w:type="dxa"/>
          </w:tcPr>
          <w:p>
            <w:pPr>
              <w:pStyle w:val="Compact"/>
              <w:spacing w:after="40"/>
              <w:jc w:val="left"/>
            </w:pPr>
            <w:r>
              <w:rPr>
                <w:sz w:val="18"/>
              </w:rPr>
              <w:t xml:space="preserve">—</w:t>
            </w:r>
          </w:p>
        </w:tc>
        <w:tc>
          <w:tcPr>
            <w:tcW w:w="1322" w:type="dxa"/>
          </w:tcPr>
          <w:p>
            <w:pPr>
              <w:pStyle w:val="Compact"/>
              <w:spacing w:after="40"/>
              <w:jc w:val="left"/>
            </w:pPr>
            <w:r>
              <w:rPr>
                <w:sz w:val="18"/>
              </w:rPr>
              <w:t xml:space="preserve">—</w:t>
            </w:r>
          </w:p>
        </w:tc>
        <w:tc>
          <w:tcPr>
            <w:tcW w:w="1362" w:type="dxa"/>
          </w:tcPr>
          <w:p>
            <w:pPr>
              <w:pStyle w:val="Compact"/>
              <w:spacing w:after="40"/>
              <w:jc w:val="left"/>
            </w:pPr>
            <w:r>
              <w:rPr>
                <w:sz w:val="18"/>
              </w:rPr>
              <w:t xml:space="preserve">RB-IOS 2026; UB3</w:t>
            </w:r>
          </w:p>
        </w:tc>
      </w:tr>
      <w:tr>
        <w:tc>
          <w:tcPr>
            <w:tcW w:w="2073" w:type="dxa"/>
          </w:tcPr>
          <w:p>
            <w:pPr>
              <w:pStyle w:val="Compact"/>
              <w:spacing w:after="40"/>
              <w:jc w:val="left"/>
            </w:pPr>
            <w:r>
              <w:rPr>
                <w:sz w:val="18"/>
              </w:rPr>
              <w:t xml:space="preserve">Deflection minimum before</w:t>
            </w:r>
            <w:r>
              <w:rPr>
                <w:sz w:val="18"/>
              </w:rPr>
              <w:t xml:space="preserve"> </w:t>
            </w:r>
            <w:r>
              <w:rPr>
                <w:sz w:val="18"/>
              </w:rPr>
              <w:t xml:space="preserve">“</w:t>
            </w:r>
            <w:r>
              <w:rPr>
                <w:sz w:val="18"/>
              </w:rPr>
              <w:t xml:space="preserve">Raise a complaint</w:t>
            </w:r>
            <w:r>
              <w:rPr>
                <w:sz w:val="18"/>
              </w:rPr>
              <w:t xml:space="preserve">”</w:t>
            </w:r>
          </w:p>
        </w:tc>
        <w:tc>
          <w:tcPr>
            <w:tcW w:w="1923" w:type="dxa"/>
          </w:tcPr>
          <w:p>
            <w:pPr>
              <w:pStyle w:val="Compact"/>
              <w:spacing w:after="40"/>
              <w:jc w:val="left"/>
            </w:pPr>
            <w:r>
              <w:rPr>
                <w:sz w:val="18"/>
              </w:rPr>
              <w:t xml:space="preserve">0</w:t>
            </w:r>
          </w:p>
        </w:tc>
        <w:tc>
          <w:tcPr>
            <w:tcW w:w="1910" w:type="dxa"/>
          </w:tcPr>
          <w:p>
            <w:pPr>
              <w:pStyle w:val="Compact"/>
              <w:spacing w:after="40"/>
              <w:jc w:val="left"/>
            </w:pPr>
            <w:r>
              <w:rPr>
                <w:sz w:val="18"/>
              </w:rPr>
              <w:t xml:space="preserve">FIXED</w:t>
            </w:r>
          </w:p>
        </w:tc>
        <w:tc>
          <w:tcPr>
            <w:tcW w:w="1048" w:type="dxa"/>
          </w:tcPr>
          <w:p>
            <w:pPr>
              <w:pStyle w:val="Compact"/>
              <w:spacing w:after="40"/>
              <w:jc w:val="left"/>
            </w:pPr>
            <w:r>
              <w:rPr>
                <w:sz w:val="18"/>
              </w:rPr>
              <w:t xml:space="preserve">—</w:t>
            </w:r>
          </w:p>
        </w:tc>
        <w:tc>
          <w:tcPr>
            <w:tcW w:w="1322" w:type="dxa"/>
          </w:tcPr>
          <w:p>
            <w:pPr>
              <w:pStyle w:val="Compact"/>
              <w:spacing w:after="40"/>
              <w:jc w:val="left"/>
            </w:pPr>
            <w:r>
              <w:rPr>
                <w:sz w:val="18"/>
              </w:rPr>
              <w:t xml:space="preserve">—</w:t>
            </w:r>
          </w:p>
        </w:tc>
        <w:tc>
          <w:tcPr>
            <w:tcW w:w="1362" w:type="dxa"/>
          </w:tcPr>
          <w:p>
            <w:pPr>
              <w:pStyle w:val="Compact"/>
              <w:spacing w:after="40"/>
              <w:jc w:val="left"/>
            </w:pPr>
            <w:r>
              <w:rPr>
                <w:sz w:val="18"/>
              </w:rPr>
              <w:t xml:space="preserve">UB4</w:t>
            </w:r>
          </w:p>
        </w:tc>
      </w:tr>
      <w:tr>
        <w:tc>
          <w:tcPr>
            <w:tcW w:w="2073" w:type="dxa"/>
          </w:tcPr>
          <w:p>
            <w:pPr>
              <w:pStyle w:val="Compact"/>
              <w:spacing w:after="40"/>
              <w:jc w:val="left"/>
            </w:pPr>
            <w:r>
              <w:rPr>
                <w:sz w:val="18"/>
              </w:rPr>
              <w:t xml:space="preserve">AI drafting of replies</w:t>
            </w:r>
          </w:p>
        </w:tc>
        <w:tc>
          <w:tcPr>
            <w:tcW w:w="1923" w:type="dxa"/>
          </w:tcPr>
          <w:p>
            <w:pPr>
              <w:pStyle w:val="Compact"/>
              <w:spacing w:after="40"/>
              <w:jc w:val="left"/>
            </w:pPr>
            <w:r>
              <w:rPr>
                <w:sz w:val="18"/>
              </w:rPr>
              <w:t xml:space="preserve">On, staff approval required</w:t>
            </w:r>
          </w:p>
        </w:tc>
        <w:tc>
          <w:tcPr>
            <w:tcW w:w="1910" w:type="dxa"/>
          </w:tcPr>
          <w:p>
            <w:pPr>
              <w:pStyle w:val="Compact"/>
              <w:spacing w:after="40"/>
              <w:jc w:val="left"/>
            </w:pPr>
            <w:r>
              <w:rPr>
                <w:sz w:val="18"/>
              </w:rPr>
              <w:t xml:space="preserve">FIXED (AI never sends, rejects or closes)</w:t>
            </w:r>
          </w:p>
        </w:tc>
        <w:tc>
          <w:tcPr>
            <w:tcW w:w="1048" w:type="dxa"/>
          </w:tcPr>
          <w:p>
            <w:pPr>
              <w:pStyle w:val="Compact"/>
              <w:spacing w:after="40"/>
              <w:jc w:val="left"/>
            </w:pPr>
            <w:r>
              <w:rPr>
                <w:sz w:val="18"/>
              </w:rPr>
              <w:t xml:space="preserve">L1</w:t>
            </w:r>
          </w:p>
        </w:tc>
        <w:tc>
          <w:tcPr>
            <w:tcW w:w="1322" w:type="dxa"/>
          </w:tcPr>
          <w:p>
            <w:pPr>
              <w:pStyle w:val="Compact"/>
              <w:spacing w:after="40"/>
              <w:jc w:val="left"/>
            </w:pPr>
            <w:r>
              <w:rPr>
                <w:sz w:val="18"/>
              </w:rPr>
              <w:t xml:space="preserve">Udofin compliance</w:t>
            </w:r>
          </w:p>
        </w:tc>
        <w:tc>
          <w:tcPr>
            <w:tcW w:w="1362" w:type="dxa"/>
          </w:tcPr>
          <w:p>
            <w:pPr>
              <w:pStyle w:val="Compact"/>
              <w:spacing w:after="40"/>
              <w:jc w:val="left"/>
            </w:pPr>
            <w:r>
              <w:rPr>
                <w:sz w:val="18"/>
              </w:rPr>
              <w:t xml:space="preserve">UB3; U20</w:t>
            </w:r>
          </w:p>
        </w:tc>
      </w:tr>
      <w:tr>
        <w:tc>
          <w:tcPr>
            <w:tcW w:w="2073" w:type="dxa"/>
          </w:tcPr>
          <w:p>
            <w:pPr>
              <w:pStyle w:val="Compact"/>
              <w:spacing w:after="40"/>
              <w:jc w:val="left"/>
            </w:pPr>
            <w:r>
              <w:rPr>
                <w:sz w:val="18"/>
              </w:rPr>
              <w:t xml:space="preserve">Recovery contact window</w:t>
            </w:r>
          </w:p>
        </w:tc>
        <w:tc>
          <w:tcPr>
            <w:tcW w:w="1923" w:type="dxa"/>
          </w:tcPr>
          <w:p>
            <w:pPr>
              <w:pStyle w:val="Compact"/>
              <w:spacing w:after="40"/>
              <w:jc w:val="left"/>
            </w:pPr>
            <w:r>
              <w:rPr>
                <w:sz w:val="18"/>
              </w:rPr>
              <w:t xml:space="preserve">08:00–19:00</w:t>
            </w:r>
          </w:p>
        </w:tc>
        <w:tc>
          <w:tcPr>
            <w:tcW w:w="1910" w:type="dxa"/>
          </w:tcPr>
          <w:p>
            <w:pPr>
              <w:pStyle w:val="Compact"/>
              <w:spacing w:after="40"/>
              <w:jc w:val="left"/>
            </w:pPr>
            <w:r>
              <w:rPr>
                <w:sz w:val="18"/>
              </w:rPr>
              <w:t xml:space="preserve">CEILING (RE and borrower may narrow)</w:t>
            </w:r>
          </w:p>
        </w:tc>
        <w:tc>
          <w:tcPr>
            <w:tcW w:w="1048" w:type="dxa"/>
          </w:tcPr>
          <w:p>
            <w:pPr>
              <w:pStyle w:val="Compact"/>
              <w:spacing w:after="40"/>
              <w:jc w:val="left"/>
            </w:pPr>
            <w:r>
              <w:rPr>
                <w:sz w:val="18"/>
              </w:rPr>
              <w:t xml:space="preserve">L3</w:t>
            </w:r>
          </w:p>
        </w:tc>
        <w:tc>
          <w:tcPr>
            <w:tcW w:w="1322" w:type="dxa"/>
          </w:tcPr>
          <w:p>
            <w:pPr>
              <w:pStyle w:val="Compact"/>
              <w:spacing w:after="40"/>
              <w:jc w:val="left"/>
            </w:pPr>
            <w:r>
              <w:rPr>
                <w:sz w:val="18"/>
              </w:rPr>
              <w:t xml:space="preserve">RE; borrower</w:t>
            </w:r>
          </w:p>
        </w:tc>
        <w:tc>
          <w:tcPr>
            <w:tcW w:w="1362" w:type="dxa"/>
          </w:tcPr>
          <w:p>
            <w:pPr>
              <w:pStyle w:val="Compact"/>
              <w:spacing w:after="40"/>
              <w:jc w:val="left"/>
            </w:pPr>
            <w:r>
              <w:rPr>
                <w:sz w:val="18"/>
              </w:rPr>
              <w:t xml:space="preserve">RBC para 100; UR4</w:t>
            </w:r>
          </w:p>
        </w:tc>
      </w:tr>
      <w:tr>
        <w:tc>
          <w:tcPr>
            <w:tcW w:w="2073" w:type="dxa"/>
          </w:tcPr>
          <w:p>
            <w:pPr>
              <w:pStyle w:val="Compact"/>
              <w:spacing w:after="40"/>
              <w:jc w:val="left"/>
            </w:pPr>
            <w:r>
              <w:rPr>
                <w:sz w:val="18"/>
              </w:rPr>
              <w:t xml:space="preserve">Microfinance contact window</w:t>
            </w:r>
          </w:p>
        </w:tc>
        <w:tc>
          <w:tcPr>
            <w:tcW w:w="1923" w:type="dxa"/>
          </w:tcPr>
          <w:p>
            <w:pPr>
              <w:pStyle w:val="Compact"/>
              <w:spacing w:after="40"/>
              <w:jc w:val="left"/>
            </w:pPr>
            <w:r>
              <w:rPr>
                <w:sz w:val="18"/>
              </w:rPr>
              <w:t xml:space="preserve">09:00–18:00 until 31 Dec 2026; RBC Third Amendment pack from 1 Jan 2027</w:t>
            </w:r>
          </w:p>
        </w:tc>
        <w:tc>
          <w:tcPr>
            <w:tcW w:w="1910" w:type="dxa"/>
          </w:tcPr>
          <w:p>
            <w:pPr>
              <w:pStyle w:val="Compact"/>
              <w:spacing w:after="40"/>
              <w:jc w:val="left"/>
            </w:pPr>
            <w:r>
              <w:rPr>
                <w:sz w:val="18"/>
              </w:rPr>
              <w:t xml:space="preserve">CEILING</w:t>
            </w:r>
          </w:p>
        </w:tc>
        <w:tc>
          <w:tcPr>
            <w:tcW w:w="1048" w:type="dxa"/>
          </w:tcPr>
          <w:p>
            <w:pPr>
              <w:pStyle w:val="Compact"/>
              <w:spacing w:after="40"/>
              <w:jc w:val="left"/>
            </w:pPr>
            <w:r>
              <w:rPr>
                <w:sz w:val="18"/>
              </w:rPr>
              <w:t xml:space="preserve">L3</w:t>
            </w:r>
          </w:p>
        </w:tc>
        <w:tc>
          <w:tcPr>
            <w:tcW w:w="1322" w:type="dxa"/>
          </w:tcPr>
          <w:p>
            <w:pPr>
              <w:pStyle w:val="Compact"/>
              <w:spacing w:after="40"/>
              <w:jc w:val="left"/>
            </w:pPr>
            <w:r>
              <w:rPr>
                <w:sz w:val="18"/>
              </w:rPr>
              <w:t xml:space="preserve">RE</w:t>
            </w:r>
          </w:p>
        </w:tc>
        <w:tc>
          <w:tcPr>
            <w:tcW w:w="1362" w:type="dxa"/>
          </w:tcPr>
          <w:p>
            <w:pPr>
              <w:pStyle w:val="Compact"/>
              <w:spacing w:after="40"/>
              <w:jc w:val="left"/>
            </w:pPr>
            <w:r>
              <w:rPr>
                <w:sz w:val="18"/>
              </w:rPr>
              <w:t xml:space="preserve">RBC para 91(2); RBI/2026-27/230; MG2</w:t>
            </w:r>
          </w:p>
        </w:tc>
      </w:tr>
      <w:tr>
        <w:tc>
          <w:tcPr>
            <w:tcW w:w="2073" w:type="dxa"/>
          </w:tcPr>
          <w:p>
            <w:pPr>
              <w:pStyle w:val="Compact"/>
              <w:spacing w:after="40"/>
              <w:jc w:val="left"/>
            </w:pPr>
            <w:r>
              <w:rPr>
                <w:sz w:val="18"/>
              </w:rPr>
              <w:t xml:space="preserve">Recovery attempts</w:t>
            </w:r>
          </w:p>
        </w:tc>
        <w:tc>
          <w:tcPr>
            <w:tcW w:w="1923" w:type="dxa"/>
          </w:tcPr>
          <w:p>
            <w:pPr>
              <w:pStyle w:val="Compact"/>
              <w:spacing w:after="40"/>
              <w:jc w:val="left"/>
            </w:pPr>
            <w:r>
              <w:rPr>
                <w:sz w:val="18"/>
              </w:rPr>
              <w:t xml:space="preserve">3 attempts and 1 connected call a day [REC]</w:t>
            </w:r>
          </w:p>
        </w:tc>
        <w:tc>
          <w:tcPr>
            <w:tcW w:w="1910" w:type="dxa"/>
          </w:tcPr>
          <w:p>
            <w:pPr>
              <w:pStyle w:val="Compact"/>
              <w:spacing w:after="40"/>
              <w:jc w:val="left"/>
            </w:pPr>
            <w:r>
              <w:rPr>
                <w:sz w:val="18"/>
              </w:rPr>
              <w:t xml:space="preserve">CEILING (RE may lower)</w:t>
            </w:r>
          </w:p>
        </w:tc>
        <w:tc>
          <w:tcPr>
            <w:tcW w:w="1048" w:type="dxa"/>
          </w:tcPr>
          <w:p>
            <w:pPr>
              <w:pStyle w:val="Compact"/>
              <w:spacing w:after="40"/>
              <w:jc w:val="left"/>
            </w:pPr>
            <w:r>
              <w:rPr>
                <w:sz w:val="18"/>
              </w:rPr>
              <w:t xml:space="preserve">L2</w:t>
            </w:r>
          </w:p>
        </w:tc>
        <w:tc>
          <w:tcPr>
            <w:tcW w:w="1322" w:type="dxa"/>
          </w:tcPr>
          <w:p>
            <w:pPr>
              <w:pStyle w:val="Compact"/>
              <w:spacing w:after="40"/>
              <w:jc w:val="left"/>
            </w:pPr>
            <w:r>
              <w:rPr>
                <w:sz w:val="18"/>
              </w:rPr>
              <w:t xml:space="preserve">RE</w:t>
            </w:r>
          </w:p>
        </w:tc>
        <w:tc>
          <w:tcPr>
            <w:tcW w:w="1362" w:type="dxa"/>
          </w:tcPr>
          <w:p>
            <w:pPr>
              <w:pStyle w:val="Compact"/>
              <w:spacing w:after="40"/>
              <w:jc w:val="left"/>
            </w:pPr>
            <w:r>
              <w:rPr>
                <w:sz w:val="18"/>
              </w:rPr>
              <w:t xml:space="preserve">RA5</w:t>
            </w:r>
          </w:p>
        </w:tc>
      </w:tr>
      <w:tr>
        <w:tc>
          <w:tcPr>
            <w:tcW w:w="2073" w:type="dxa"/>
          </w:tcPr>
          <w:p>
            <w:pPr>
              <w:pStyle w:val="Compact"/>
              <w:spacing w:after="40"/>
              <w:jc w:val="left"/>
            </w:pPr>
            <w:r>
              <w:rPr>
                <w:sz w:val="18"/>
              </w:rPr>
              <w:t xml:space="preserve">Promotional contact</w:t>
            </w:r>
          </w:p>
        </w:tc>
        <w:tc>
          <w:tcPr>
            <w:tcW w:w="1923" w:type="dxa"/>
          </w:tcPr>
          <w:p>
            <w:pPr>
              <w:pStyle w:val="Compact"/>
              <w:spacing w:after="40"/>
              <w:jc w:val="left"/>
            </w:pPr>
            <w:r>
              <w:rPr>
                <w:sz w:val="18"/>
              </w:rPr>
              <w:t xml:space="preserve">09:00–18:00, 140-series only, consent required</w:t>
            </w:r>
          </w:p>
        </w:tc>
        <w:tc>
          <w:tcPr>
            <w:tcW w:w="1910" w:type="dxa"/>
          </w:tcPr>
          <w:p>
            <w:pPr>
              <w:pStyle w:val="Compact"/>
              <w:spacing w:after="40"/>
              <w:jc w:val="left"/>
            </w:pPr>
            <w:r>
              <w:rPr>
                <w:sz w:val="18"/>
              </w:rPr>
              <w:t xml:space="preserve">CEILING</w:t>
            </w:r>
          </w:p>
        </w:tc>
        <w:tc>
          <w:tcPr>
            <w:tcW w:w="1048" w:type="dxa"/>
          </w:tcPr>
          <w:p>
            <w:pPr>
              <w:pStyle w:val="Compact"/>
              <w:spacing w:after="40"/>
              <w:jc w:val="left"/>
            </w:pPr>
            <w:r>
              <w:rPr>
                <w:sz w:val="18"/>
              </w:rPr>
              <w:t xml:space="preserve">L1</w:t>
            </w:r>
          </w:p>
        </w:tc>
        <w:tc>
          <w:tcPr>
            <w:tcW w:w="1322" w:type="dxa"/>
          </w:tcPr>
          <w:p>
            <w:pPr>
              <w:pStyle w:val="Compact"/>
              <w:spacing w:after="40"/>
              <w:jc w:val="left"/>
            </w:pPr>
            <w:r>
              <w:rPr>
                <w:sz w:val="18"/>
              </w:rPr>
              <w:t xml:space="preserve">Udofin compliance</w:t>
            </w:r>
          </w:p>
        </w:tc>
        <w:tc>
          <w:tcPr>
            <w:tcW w:w="1362" w:type="dxa"/>
          </w:tcPr>
          <w:p>
            <w:pPr>
              <w:pStyle w:val="Compact"/>
              <w:spacing w:after="40"/>
              <w:jc w:val="left"/>
            </w:pPr>
            <w:r>
              <w:rPr>
                <w:sz w:val="18"/>
              </w:rPr>
              <w:t xml:space="preserve">XP4; RA5.3 [VERIFY: final para 101O]</w:t>
            </w:r>
          </w:p>
        </w:tc>
      </w:tr>
      <w:tr>
        <w:tc>
          <w:tcPr>
            <w:tcW w:w="2073" w:type="dxa"/>
          </w:tcPr>
          <w:p>
            <w:pPr>
              <w:pStyle w:val="Compact"/>
              <w:spacing w:after="40"/>
              <w:jc w:val="left"/>
            </w:pPr>
            <w:r>
              <w:rPr>
                <w:sz w:val="18"/>
              </w:rPr>
              <w:t xml:space="preserve">Service-message quiet hours</w:t>
            </w:r>
          </w:p>
        </w:tc>
        <w:tc>
          <w:tcPr>
            <w:tcW w:w="1923" w:type="dxa"/>
          </w:tcPr>
          <w:p>
            <w:pPr>
              <w:pStyle w:val="Compact"/>
              <w:spacing w:after="40"/>
              <w:jc w:val="left"/>
            </w:pPr>
            <w:r>
              <w:rPr>
                <w:sz w:val="18"/>
              </w:rPr>
              <w:t xml:space="preserve">21:00–08:00 IST for non-urgent service push, SMS, WhatsApp and email [REC]</w:t>
            </w:r>
          </w:p>
        </w:tc>
        <w:tc>
          <w:tcPr>
            <w:tcW w:w="1910" w:type="dxa"/>
          </w:tcPr>
          <w:p>
            <w:pPr>
              <w:pStyle w:val="Compact"/>
              <w:spacing w:after="40"/>
              <w:jc w:val="left"/>
            </w:pPr>
            <w:r>
              <w:rPr>
                <w:sz w:val="18"/>
              </w:rPr>
              <w:t xml:space="preserve">FLOOR (borrower may widen the quiet period)</w:t>
            </w:r>
          </w:p>
        </w:tc>
        <w:tc>
          <w:tcPr>
            <w:tcW w:w="1048" w:type="dxa"/>
          </w:tcPr>
          <w:p>
            <w:pPr>
              <w:pStyle w:val="Compact"/>
              <w:spacing w:after="40"/>
              <w:jc w:val="left"/>
            </w:pPr>
            <w:r>
              <w:rPr>
                <w:sz w:val="18"/>
              </w:rPr>
              <w:t xml:space="preserve">L5</w:t>
            </w:r>
          </w:p>
        </w:tc>
        <w:tc>
          <w:tcPr>
            <w:tcW w:w="1322" w:type="dxa"/>
          </w:tcPr>
          <w:p>
            <w:pPr>
              <w:pStyle w:val="Compact"/>
              <w:spacing w:after="40"/>
              <w:jc w:val="left"/>
            </w:pPr>
            <w:r>
              <w:rPr>
                <w:sz w:val="18"/>
              </w:rPr>
              <w:t xml:space="preserve">Borrower</w:t>
            </w:r>
          </w:p>
        </w:tc>
        <w:tc>
          <w:tcPr>
            <w:tcW w:w="1362" w:type="dxa"/>
          </w:tcPr>
          <w:p>
            <w:pPr>
              <w:pStyle w:val="Compact"/>
              <w:spacing w:after="40"/>
              <w:jc w:val="left"/>
            </w:pPr>
            <w:r>
              <w:rPr>
                <w:sz w:val="18"/>
              </w:rPr>
              <w:t xml:space="preserve">U16 quiet-hours engine (REQ-RBC-20)</w:t>
            </w:r>
          </w:p>
        </w:tc>
      </w:tr>
      <w:tr>
        <w:tc>
          <w:tcPr>
            <w:tcW w:w="2073" w:type="dxa"/>
          </w:tcPr>
          <w:p>
            <w:pPr>
              <w:pStyle w:val="Compact"/>
              <w:spacing w:after="40"/>
              <w:jc w:val="left"/>
            </w:pPr>
            <w:r>
              <w:rPr>
                <w:sz w:val="18"/>
              </w:rPr>
              <w:t xml:space="preserve">WhatsApp for recovery</w:t>
            </w:r>
          </w:p>
        </w:tc>
        <w:tc>
          <w:tcPr>
            <w:tcW w:w="1923" w:type="dxa"/>
          </w:tcPr>
          <w:p>
            <w:pPr>
              <w:pStyle w:val="Compact"/>
              <w:spacing w:after="40"/>
              <w:jc w:val="left"/>
            </w:pPr>
            <w:r>
              <w:rPr>
                <w:sz w:val="18"/>
              </w:rPr>
              <w:t xml:space="preserve">Off</w:t>
            </w:r>
          </w:p>
        </w:tc>
        <w:tc>
          <w:tcPr>
            <w:tcW w:w="1910" w:type="dxa"/>
          </w:tcPr>
          <w:p>
            <w:pPr>
              <w:pStyle w:val="Compact"/>
              <w:spacing w:after="40"/>
              <w:jc w:val="left"/>
            </w:pPr>
            <w:r>
              <w:rPr>
                <w:sz w:val="18"/>
              </w:rPr>
              <w:t xml:space="preserve">HARD_BLOCK</w:t>
            </w:r>
          </w:p>
        </w:tc>
        <w:tc>
          <w:tcPr>
            <w:tcW w:w="1048" w:type="dxa"/>
          </w:tcPr>
          <w:p>
            <w:pPr>
              <w:pStyle w:val="Compact"/>
              <w:spacing w:after="40"/>
              <w:jc w:val="left"/>
            </w:pPr>
            <w:r>
              <w:rPr>
                <w:sz w:val="18"/>
              </w:rPr>
              <w:t xml:space="preserve">—</w:t>
            </w:r>
          </w:p>
        </w:tc>
        <w:tc>
          <w:tcPr>
            <w:tcW w:w="1322" w:type="dxa"/>
          </w:tcPr>
          <w:p>
            <w:pPr>
              <w:pStyle w:val="Compact"/>
              <w:spacing w:after="40"/>
              <w:jc w:val="left"/>
            </w:pPr>
            <w:r>
              <w:rPr>
                <w:sz w:val="18"/>
              </w:rPr>
              <w:t xml:space="preserve">—</w:t>
            </w:r>
          </w:p>
        </w:tc>
        <w:tc>
          <w:tcPr>
            <w:tcW w:w="1362" w:type="dxa"/>
          </w:tcPr>
          <w:p>
            <w:pPr>
              <w:pStyle w:val="Compact"/>
              <w:spacing w:after="40"/>
              <w:jc w:val="left"/>
            </w:pPr>
            <w:r>
              <w:rPr>
                <w:sz w:val="18"/>
              </w:rPr>
              <w:t xml:space="preserve">UR6-C12</w:t>
            </w:r>
          </w:p>
        </w:tc>
      </w:tr>
      <w:tr>
        <w:tc>
          <w:tcPr>
            <w:tcW w:w="2073" w:type="dxa"/>
          </w:tcPr>
          <w:p>
            <w:pPr>
              <w:pStyle w:val="Compact"/>
              <w:spacing w:after="40"/>
              <w:jc w:val="left"/>
            </w:pPr>
            <w:r>
              <w:rPr>
                <w:sz w:val="18"/>
              </w:rPr>
              <w:t xml:space="preserve">Notice visibility (UR3)</w:t>
            </w:r>
          </w:p>
        </w:tc>
        <w:tc>
          <w:tcPr>
            <w:tcW w:w="1923" w:type="dxa"/>
          </w:tcPr>
          <w:p>
            <w:pPr>
              <w:pStyle w:val="Compact"/>
              <w:spacing w:after="40"/>
              <w:jc w:val="left"/>
            </w:pPr>
            <w:r>
              <w:rPr>
                <w:sz w:val="18"/>
              </w:rPr>
              <w:t xml:space="preserve">Off per instrument and stage</w:t>
            </w:r>
          </w:p>
        </w:tc>
        <w:tc>
          <w:tcPr>
            <w:tcW w:w="1910" w:type="dxa"/>
          </w:tcPr>
          <w:p>
            <w:pPr>
              <w:pStyle w:val="Compact"/>
              <w:spacing w:after="40"/>
              <w:jc w:val="left"/>
            </w:pPr>
            <w:r>
              <w:rPr>
                <w:sz w:val="18"/>
              </w:rPr>
              <w:t xml:space="preserve">COMMERCIAL with RE legal approval</w:t>
            </w:r>
          </w:p>
        </w:tc>
        <w:tc>
          <w:tcPr>
            <w:tcW w:w="1048" w:type="dxa"/>
          </w:tcPr>
          <w:p>
            <w:pPr>
              <w:pStyle w:val="Compact"/>
              <w:spacing w:after="40"/>
              <w:jc w:val="left"/>
            </w:pPr>
            <w:r>
              <w:rPr>
                <w:sz w:val="18"/>
              </w:rPr>
              <w:t xml:space="preserve">L3</w:t>
            </w:r>
          </w:p>
        </w:tc>
        <w:tc>
          <w:tcPr>
            <w:tcW w:w="1322" w:type="dxa"/>
          </w:tcPr>
          <w:p>
            <w:pPr>
              <w:pStyle w:val="Compact"/>
              <w:spacing w:after="40"/>
              <w:jc w:val="left"/>
            </w:pPr>
            <w:r>
              <w:rPr>
                <w:sz w:val="18"/>
              </w:rPr>
              <w:t xml:space="preserve">RE</w:t>
            </w:r>
          </w:p>
        </w:tc>
        <w:tc>
          <w:tcPr>
            <w:tcW w:w="1362" w:type="dxa"/>
          </w:tcPr>
          <w:p>
            <w:pPr>
              <w:pStyle w:val="Compact"/>
              <w:spacing w:after="40"/>
              <w:jc w:val="left"/>
            </w:pPr>
            <w:r>
              <w:rPr>
                <w:sz w:val="18"/>
              </w:rPr>
              <w:t xml:space="preserve">UR3</w:t>
            </w:r>
          </w:p>
        </w:tc>
      </w:tr>
      <w:tr>
        <w:tc>
          <w:tcPr>
            <w:tcW w:w="2073" w:type="dxa"/>
          </w:tcPr>
          <w:p>
            <w:pPr>
              <w:pStyle w:val="Compact"/>
              <w:spacing w:after="40"/>
              <w:jc w:val="left"/>
            </w:pPr>
            <w:r>
              <w:rPr>
                <w:sz w:val="18"/>
              </w:rPr>
              <w:t xml:space="preserve">Society channels</w:t>
            </w:r>
          </w:p>
        </w:tc>
        <w:tc>
          <w:tcPr>
            <w:tcW w:w="1923" w:type="dxa"/>
          </w:tcPr>
          <w:p>
            <w:pPr>
              <w:pStyle w:val="Compact"/>
              <w:spacing w:after="40"/>
              <w:jc w:val="left"/>
            </w:pPr>
            <w:r>
              <w:rPr>
                <w:sz w:val="18"/>
              </w:rPr>
              <w:t xml:space="preserve">Web/PWA and assisted only</w:t>
            </w:r>
          </w:p>
        </w:tc>
        <w:tc>
          <w:tcPr>
            <w:tcW w:w="1910" w:type="dxa"/>
          </w:tcPr>
          <w:p>
            <w:pPr>
              <w:pStyle w:val="Compact"/>
              <w:spacing w:after="40"/>
              <w:jc w:val="left"/>
            </w:pPr>
            <w:r>
              <w:rPr>
                <w:sz w:val="18"/>
              </w:rPr>
              <w:t xml:space="preserve">GATE (</w:t>
            </w:r>
            <w:r>
              <w:rPr>
                <w:rStyle w:val="VerbatimChar"/>
                <w:sz w:val="18"/>
              </w:rPr>
              <w:t xml:space="preserve">coop_channel_gate</w:t>
            </w:r>
            <w:r>
              <w:rPr>
                <w:sz w:val="18"/>
              </w:rPr>
              <w:t xml:space="preserve">)</w:t>
            </w:r>
          </w:p>
        </w:tc>
        <w:tc>
          <w:tcPr>
            <w:tcW w:w="1048" w:type="dxa"/>
          </w:tcPr>
          <w:p>
            <w:pPr>
              <w:pStyle w:val="Compact"/>
              <w:spacing w:after="40"/>
              <w:jc w:val="left"/>
            </w:pPr>
            <w:r>
              <w:rPr>
                <w:sz w:val="18"/>
              </w:rPr>
              <w:t xml:space="preserve">L4</w:t>
            </w:r>
          </w:p>
        </w:tc>
        <w:tc>
          <w:tcPr>
            <w:tcW w:w="1322" w:type="dxa"/>
          </w:tcPr>
          <w:p>
            <w:pPr>
              <w:pStyle w:val="Compact"/>
              <w:spacing w:after="40"/>
              <w:jc w:val="left"/>
            </w:pPr>
            <w:r>
              <w:rPr>
                <w:sz w:val="18"/>
              </w:rPr>
              <w:t xml:space="preserve">Udofin compliance</w:t>
            </w:r>
          </w:p>
        </w:tc>
        <w:tc>
          <w:tcPr>
            <w:tcW w:w="1362" w:type="dxa"/>
          </w:tcPr>
          <w:p>
            <w:pPr>
              <w:pStyle w:val="Compact"/>
              <w:spacing w:after="40"/>
              <w:jc w:val="left"/>
            </w:pPr>
            <w:r>
              <w:rPr>
                <w:sz w:val="18"/>
              </w:rPr>
              <w:t xml:space="preserve">UP4</w:t>
            </w:r>
          </w:p>
        </w:tc>
      </w:tr>
      <w:tr>
        <w:tc>
          <w:tcPr>
            <w:tcW w:w="2073" w:type="dxa"/>
          </w:tcPr>
          <w:p>
            <w:pPr>
              <w:pStyle w:val="Compact"/>
              <w:spacing w:after="40"/>
              <w:jc w:val="left"/>
            </w:pPr>
            <w:r>
              <w:rPr>
                <w:sz w:val="18"/>
              </w:rPr>
              <w:t xml:space="preserve">Deposit features,</w:t>
            </w:r>
            <w:r>
              <w:rPr>
                <w:sz w:val="18"/>
              </w:rPr>
              <w:t xml:space="preserve"> </w:t>
            </w:r>
            <w:r>
              <w:rPr>
                <w:sz w:val="18"/>
              </w:rPr>
              <w:t xml:space="preserve">“</w:t>
            </w:r>
            <w:r>
              <w:rPr>
                <w:sz w:val="18"/>
              </w:rPr>
              <w:t xml:space="preserve">bank</w:t>
            </w:r>
            <w:r>
              <w:rPr>
                <w:sz w:val="18"/>
              </w:rPr>
              <w:t xml:space="preserve">”</w:t>
            </w:r>
            <w:r>
              <w:rPr>
                <w:sz w:val="18"/>
              </w:rPr>
              <w:t xml:space="preserve"> </w:t>
            </w:r>
            <w:r>
              <w:rPr>
                <w:sz w:val="18"/>
              </w:rPr>
              <w:t xml:space="preserve">vocabulary for societies</w:t>
            </w:r>
          </w:p>
        </w:tc>
        <w:tc>
          <w:tcPr>
            <w:tcW w:w="1923" w:type="dxa"/>
          </w:tcPr>
          <w:p>
            <w:pPr>
              <w:pStyle w:val="Compact"/>
              <w:spacing w:after="40"/>
              <w:jc w:val="left"/>
            </w:pPr>
            <w:r>
              <w:rPr>
                <w:sz w:val="18"/>
              </w:rPr>
              <w:t xml:space="preserve">None exist</w:t>
            </w:r>
          </w:p>
        </w:tc>
        <w:tc>
          <w:tcPr>
            <w:tcW w:w="1910" w:type="dxa"/>
          </w:tcPr>
          <w:p>
            <w:pPr>
              <w:pStyle w:val="Compact"/>
              <w:spacing w:after="40"/>
              <w:jc w:val="left"/>
            </w:pPr>
            <w:r>
              <w:rPr>
                <w:sz w:val="18"/>
              </w:rPr>
              <w:t xml:space="preserve">HARD_BLOCK</w:t>
            </w:r>
          </w:p>
        </w:tc>
        <w:tc>
          <w:tcPr>
            <w:tcW w:w="1048" w:type="dxa"/>
          </w:tcPr>
          <w:p>
            <w:pPr>
              <w:pStyle w:val="Compact"/>
              <w:spacing w:after="40"/>
              <w:jc w:val="left"/>
            </w:pPr>
            <w:r>
              <w:rPr>
                <w:sz w:val="18"/>
              </w:rPr>
              <w:t xml:space="preserve">—</w:t>
            </w:r>
          </w:p>
        </w:tc>
        <w:tc>
          <w:tcPr>
            <w:tcW w:w="1322" w:type="dxa"/>
          </w:tcPr>
          <w:p>
            <w:pPr>
              <w:pStyle w:val="Compact"/>
              <w:spacing w:after="40"/>
              <w:jc w:val="left"/>
            </w:pPr>
            <w:r>
              <w:rPr>
                <w:sz w:val="18"/>
              </w:rPr>
              <w:t xml:space="preserve">—</w:t>
            </w:r>
          </w:p>
        </w:tc>
        <w:tc>
          <w:tcPr>
            <w:tcW w:w="1362" w:type="dxa"/>
          </w:tcPr>
          <w:p>
            <w:pPr>
              <w:pStyle w:val="Compact"/>
              <w:spacing w:after="40"/>
              <w:jc w:val="left"/>
            </w:pPr>
            <w:r>
              <w:rPr>
                <w:sz w:val="18"/>
              </w:rPr>
              <w:t xml:space="preserve">UP4; MG1</w:t>
            </w:r>
          </w:p>
        </w:tc>
      </w:tr>
      <w:tr>
        <w:tc>
          <w:tcPr>
            <w:tcW w:w="2073" w:type="dxa"/>
          </w:tcPr>
          <w:p>
            <w:pPr>
              <w:pStyle w:val="Compact"/>
              <w:spacing w:after="40"/>
              <w:jc w:val="left"/>
            </w:pPr>
            <w:r>
              <w:rPr>
                <w:sz w:val="18"/>
              </w:rPr>
              <w:t xml:space="preserve">Cash at centre meetings (RE staff, regular instalments)</w:t>
            </w:r>
          </w:p>
        </w:tc>
        <w:tc>
          <w:tcPr>
            <w:tcW w:w="1923" w:type="dxa"/>
          </w:tcPr>
          <w:p>
            <w:pPr>
              <w:pStyle w:val="Compact"/>
              <w:spacing w:after="40"/>
              <w:jc w:val="left"/>
            </w:pPr>
            <w:r>
              <w:rPr>
                <w:sz w:val="18"/>
              </w:rPr>
              <w:t xml:space="preserve">Off</w:t>
            </w:r>
          </w:p>
        </w:tc>
        <w:tc>
          <w:tcPr>
            <w:tcW w:w="1910" w:type="dxa"/>
          </w:tcPr>
          <w:p>
            <w:pPr>
              <w:pStyle w:val="Compact"/>
              <w:spacing w:after="40"/>
              <w:jc w:val="left"/>
            </w:pPr>
            <w:r>
              <w:rPr>
                <w:sz w:val="18"/>
              </w:rPr>
              <w:t xml:space="preserve">GATE (RE legal opinion recorded)</w:t>
            </w:r>
          </w:p>
        </w:tc>
        <w:tc>
          <w:tcPr>
            <w:tcW w:w="1048" w:type="dxa"/>
          </w:tcPr>
          <w:p>
            <w:pPr>
              <w:pStyle w:val="Compact"/>
              <w:spacing w:after="40"/>
              <w:jc w:val="left"/>
            </w:pPr>
            <w:r>
              <w:rPr>
                <w:sz w:val="18"/>
              </w:rPr>
              <w:t xml:space="preserve">L3</w:t>
            </w:r>
          </w:p>
        </w:tc>
        <w:tc>
          <w:tcPr>
            <w:tcW w:w="1322" w:type="dxa"/>
          </w:tcPr>
          <w:p>
            <w:pPr>
              <w:pStyle w:val="Compact"/>
              <w:spacing w:after="40"/>
              <w:jc w:val="left"/>
            </w:pPr>
            <w:r>
              <w:rPr>
                <w:sz w:val="18"/>
              </w:rPr>
              <w:t xml:space="preserve">RE</w:t>
            </w:r>
          </w:p>
        </w:tc>
        <w:tc>
          <w:tcPr>
            <w:tcW w:w="1362" w:type="dxa"/>
          </w:tcPr>
          <w:p>
            <w:pPr>
              <w:pStyle w:val="Compact"/>
              <w:spacing w:after="40"/>
              <w:jc w:val="left"/>
            </w:pPr>
            <w:r>
              <w:rPr>
                <w:sz w:val="18"/>
              </w:rPr>
              <w:t xml:space="preserve">MG4; CF paras 10(2), 10(5)</w:t>
            </w:r>
          </w:p>
        </w:tc>
      </w:tr>
      <w:tr>
        <w:tc>
          <w:tcPr>
            <w:tcW w:w="2073" w:type="dxa"/>
          </w:tcPr>
          <w:p>
            <w:pPr>
              <w:pStyle w:val="Compact"/>
              <w:spacing w:after="40"/>
              <w:jc w:val="left"/>
            </w:pPr>
            <w:r>
              <w:rPr>
                <w:sz w:val="18"/>
              </w:rPr>
              <w:t xml:space="preserve">Udofin staff cash collection</w:t>
            </w:r>
          </w:p>
        </w:tc>
        <w:tc>
          <w:tcPr>
            <w:tcW w:w="1923" w:type="dxa"/>
          </w:tcPr>
          <w:p>
            <w:pPr>
              <w:pStyle w:val="Compact"/>
              <w:spacing w:after="40"/>
              <w:jc w:val="left"/>
            </w:pPr>
            <w:r>
              <w:rPr>
                <w:sz w:val="18"/>
              </w:rPr>
              <w:t xml:space="preserve">Off</w:t>
            </w:r>
          </w:p>
        </w:tc>
        <w:tc>
          <w:tcPr>
            <w:tcW w:w="1910" w:type="dxa"/>
          </w:tcPr>
          <w:p>
            <w:pPr>
              <w:pStyle w:val="Compact"/>
              <w:spacing w:after="40"/>
              <w:jc w:val="left"/>
            </w:pPr>
            <w:r>
              <w:rPr>
                <w:sz w:val="18"/>
              </w:rPr>
              <w:t xml:space="preserve">GATE (UR4 appointment, overdue loans only)</w:t>
            </w:r>
          </w:p>
        </w:tc>
        <w:tc>
          <w:tcPr>
            <w:tcW w:w="1048" w:type="dxa"/>
          </w:tcPr>
          <w:p>
            <w:pPr>
              <w:pStyle w:val="Compact"/>
              <w:spacing w:after="40"/>
              <w:jc w:val="left"/>
            </w:pPr>
            <w:r>
              <w:rPr>
                <w:sz w:val="18"/>
              </w:rPr>
              <w:t xml:space="preserve">L2</w:t>
            </w:r>
          </w:p>
        </w:tc>
        <w:tc>
          <w:tcPr>
            <w:tcW w:w="1322" w:type="dxa"/>
          </w:tcPr>
          <w:p>
            <w:pPr>
              <w:pStyle w:val="Compact"/>
              <w:spacing w:after="40"/>
              <w:jc w:val="left"/>
            </w:pPr>
            <w:r>
              <w:rPr>
                <w:sz w:val="18"/>
              </w:rPr>
              <w:t xml:space="preserve">RE</w:t>
            </w:r>
          </w:p>
        </w:tc>
        <w:tc>
          <w:tcPr>
            <w:tcW w:w="1362" w:type="dxa"/>
          </w:tcPr>
          <w:p>
            <w:pPr>
              <w:pStyle w:val="Compact"/>
              <w:spacing w:after="40"/>
              <w:jc w:val="left"/>
            </w:pPr>
            <w:r>
              <w:rPr>
                <w:sz w:val="18"/>
              </w:rPr>
              <w:t xml:space="preserve">UR4; CF para 10(5)</w:t>
            </w:r>
          </w:p>
        </w:tc>
      </w:tr>
      <w:tr>
        <w:tc>
          <w:tcPr>
            <w:tcW w:w="2073" w:type="dxa"/>
          </w:tcPr>
          <w:p>
            <w:pPr>
              <w:pStyle w:val="Compact"/>
              <w:spacing w:after="40"/>
              <w:jc w:val="left"/>
            </w:pPr>
            <w:r>
              <w:rPr>
                <w:rStyle w:val="VerbatimChar"/>
                <w:sz w:val="18"/>
              </w:rPr>
              <w:t xml:space="preserve">addons.wellness</w:t>
            </w:r>
          </w:p>
        </w:tc>
        <w:tc>
          <w:tcPr>
            <w:tcW w:w="1923" w:type="dxa"/>
          </w:tcPr>
          <w:p>
            <w:pPr>
              <w:pStyle w:val="Compact"/>
              <w:spacing w:after="40"/>
              <w:jc w:val="left"/>
            </w:pPr>
            <w:r>
              <w:rPr>
                <w:sz w:val="18"/>
              </w:rPr>
              <w:t xml:space="preserve">Off</w:t>
            </w:r>
          </w:p>
        </w:tc>
        <w:tc>
          <w:tcPr>
            <w:tcW w:w="1910" w:type="dxa"/>
          </w:tcPr>
          <w:p>
            <w:pPr>
              <w:pStyle w:val="Compact"/>
              <w:spacing w:after="40"/>
              <w:jc w:val="left"/>
            </w:pPr>
            <w:r>
              <w:rPr>
                <w:sz w:val="18"/>
              </w:rPr>
              <w:t xml:space="preserve">GATE (G1, G2, G5; FW1–FW2 also G3)</w:t>
            </w:r>
          </w:p>
        </w:tc>
        <w:tc>
          <w:tcPr>
            <w:tcW w:w="1048" w:type="dxa"/>
          </w:tcPr>
          <w:p>
            <w:pPr>
              <w:pStyle w:val="Compact"/>
              <w:spacing w:after="40"/>
              <w:jc w:val="left"/>
            </w:pPr>
            <w:r>
              <w:rPr>
                <w:sz w:val="18"/>
              </w:rPr>
              <w:t xml:space="preserve">L1</w:t>
            </w:r>
          </w:p>
        </w:tc>
        <w:tc>
          <w:tcPr>
            <w:tcW w:w="1322" w:type="dxa"/>
          </w:tcPr>
          <w:p>
            <w:pPr>
              <w:pStyle w:val="Compact"/>
              <w:spacing w:after="40"/>
              <w:jc w:val="left"/>
            </w:pPr>
            <w:r>
              <w:rPr>
                <w:sz w:val="18"/>
              </w:rPr>
              <w:t xml:space="preserve">Udofin compliance</w:t>
            </w:r>
          </w:p>
        </w:tc>
        <w:tc>
          <w:tcPr>
            <w:tcW w:w="1362" w:type="dxa"/>
          </w:tcPr>
          <w:p>
            <w:pPr>
              <w:pStyle w:val="Compact"/>
              <w:spacing w:after="40"/>
              <w:jc w:val="left"/>
            </w:pPr>
            <w:r>
              <w:rPr>
                <w:sz w:val="18"/>
              </w:rPr>
              <w:t xml:space="preserve">FW4</w:t>
            </w:r>
          </w:p>
        </w:tc>
      </w:tr>
      <w:tr>
        <w:tc>
          <w:tcPr>
            <w:tcW w:w="2073" w:type="dxa"/>
          </w:tcPr>
          <w:p>
            <w:pPr>
              <w:pStyle w:val="Compact"/>
              <w:spacing w:after="40"/>
              <w:jc w:val="left"/>
            </w:pPr>
            <w:r>
              <w:rPr>
                <w:sz w:val="18"/>
              </w:rPr>
              <w:t xml:space="preserve">Paid consumer plans</w:t>
            </w:r>
          </w:p>
        </w:tc>
        <w:tc>
          <w:tcPr>
            <w:tcW w:w="1923" w:type="dxa"/>
          </w:tcPr>
          <w:p>
            <w:pPr>
              <w:pStyle w:val="Compact"/>
              <w:spacing w:after="40"/>
              <w:jc w:val="left"/>
            </w:pPr>
            <w:r>
              <w:rPr>
                <w:sz w:val="18"/>
              </w:rPr>
              <w:t xml:space="preserve">Off</w:t>
            </w:r>
          </w:p>
        </w:tc>
        <w:tc>
          <w:tcPr>
            <w:tcW w:w="1910" w:type="dxa"/>
          </w:tcPr>
          <w:p>
            <w:pPr>
              <w:pStyle w:val="Compact"/>
              <w:spacing w:after="40"/>
              <w:jc w:val="left"/>
            </w:pPr>
            <w:r>
              <w:rPr>
                <w:sz w:val="18"/>
              </w:rPr>
              <w:t xml:space="preserve">GATE (G4 and S09</w:t>
            </w:r>
            <w:r>
              <w:rPr>
                <w:sz w:val="18"/>
              </w:rPr>
              <w:t xml:space="preserve"> </w:t>
            </w:r>
            <w:r>
              <w:rPr>
                <w:rStyle w:val="VerbatimChar"/>
                <w:sz w:val="18"/>
              </w:rPr>
              <w:t xml:space="preserve">ACTIVE</w:t>
            </w:r>
            <w:r>
              <w:rPr>
                <w:sz w:val="18"/>
              </w:rPr>
              <w:t xml:space="preserve">)</w:t>
            </w:r>
          </w:p>
        </w:tc>
        <w:tc>
          <w:tcPr>
            <w:tcW w:w="1048" w:type="dxa"/>
          </w:tcPr>
          <w:p>
            <w:pPr>
              <w:pStyle w:val="Compact"/>
              <w:spacing w:after="40"/>
              <w:jc w:val="left"/>
            </w:pPr>
            <w:r>
              <w:rPr>
                <w:sz w:val="18"/>
              </w:rPr>
              <w:t xml:space="preserve">L1</w:t>
            </w:r>
          </w:p>
        </w:tc>
        <w:tc>
          <w:tcPr>
            <w:tcW w:w="1322" w:type="dxa"/>
          </w:tcPr>
          <w:p>
            <w:pPr>
              <w:pStyle w:val="Compact"/>
              <w:spacing w:after="40"/>
              <w:jc w:val="left"/>
            </w:pPr>
            <w:r>
              <w:rPr>
                <w:sz w:val="18"/>
              </w:rPr>
              <w:t xml:space="preserve">Owner decision</w:t>
            </w:r>
          </w:p>
        </w:tc>
        <w:tc>
          <w:tcPr>
            <w:tcW w:w="1362" w:type="dxa"/>
          </w:tcPr>
          <w:p>
            <w:pPr>
              <w:pStyle w:val="Compact"/>
              <w:spacing w:after="40"/>
              <w:jc w:val="left"/>
            </w:pPr>
            <w:r>
              <w:rPr>
                <w:sz w:val="18"/>
              </w:rPr>
              <w:t xml:space="preserve">FW4; RV1</w:t>
            </w:r>
          </w:p>
        </w:tc>
      </w:tr>
      <w:tr>
        <w:tc>
          <w:tcPr>
            <w:tcW w:w="2073" w:type="dxa"/>
          </w:tcPr>
          <w:p>
            <w:pPr>
              <w:pStyle w:val="Compact"/>
              <w:spacing w:after="40"/>
              <w:jc w:val="left"/>
            </w:pPr>
            <w:r>
              <w:rPr>
                <w:rStyle w:val="VerbatimChar"/>
                <w:sz w:val="18"/>
              </w:rPr>
              <w:t xml:space="preserve">Account › Protect</w:t>
            </w:r>
            <w:r>
              <w:rPr>
                <w:sz w:val="18"/>
              </w:rPr>
              <w:t xml:space="preserve"> </w:t>
            </w:r>
            <w:r>
              <w:rPr>
                <w:sz w:val="18"/>
              </w:rPr>
              <w:t xml:space="preserve">visibility</w:t>
            </w:r>
          </w:p>
        </w:tc>
        <w:tc>
          <w:tcPr>
            <w:tcW w:w="1923" w:type="dxa"/>
          </w:tcPr>
          <w:p>
            <w:pPr>
              <w:pStyle w:val="Compact"/>
              <w:spacing w:after="40"/>
              <w:jc w:val="left"/>
            </w:pPr>
            <w:r>
              <w:rPr>
                <w:sz w:val="18"/>
              </w:rPr>
              <w:t xml:space="preserve">Hidden</w:t>
            </w:r>
          </w:p>
        </w:tc>
        <w:tc>
          <w:tcPr>
            <w:tcW w:w="1910" w:type="dxa"/>
          </w:tcPr>
          <w:p>
            <w:pPr>
              <w:pStyle w:val="Compact"/>
              <w:spacing w:after="40"/>
              <w:jc w:val="left"/>
            </w:pPr>
            <w:r>
              <w:rPr>
                <w:sz w:val="18"/>
              </w:rPr>
              <w:t xml:space="preserve">GATE (module</w:t>
            </w:r>
            <w:r>
              <w:rPr>
                <w:sz w:val="18"/>
              </w:rPr>
              <w:t xml:space="preserve"> </w:t>
            </w:r>
            <w:r>
              <w:rPr>
                <w:rStyle w:val="VerbatimChar"/>
                <w:sz w:val="18"/>
              </w:rPr>
              <w:t xml:space="preserve">ENABLED</w:t>
            </w:r>
            <w:r>
              <w:rPr>
                <w:sz w:val="18"/>
              </w:rPr>
              <w:t xml:space="preserve">)</w:t>
            </w:r>
          </w:p>
        </w:tc>
        <w:tc>
          <w:tcPr>
            <w:tcW w:w="1048" w:type="dxa"/>
          </w:tcPr>
          <w:p>
            <w:pPr>
              <w:pStyle w:val="Compact"/>
              <w:spacing w:after="40"/>
              <w:jc w:val="left"/>
            </w:pPr>
            <w:r>
              <w:rPr>
                <w:sz w:val="18"/>
              </w:rPr>
              <w:t xml:space="preserve">L4</w:t>
            </w:r>
          </w:p>
        </w:tc>
        <w:tc>
          <w:tcPr>
            <w:tcW w:w="1322" w:type="dxa"/>
          </w:tcPr>
          <w:p>
            <w:pPr>
              <w:pStyle w:val="Compact"/>
              <w:spacing w:after="40"/>
              <w:jc w:val="left"/>
            </w:pPr>
            <w:r>
              <w:rPr>
                <w:sz w:val="18"/>
              </w:rPr>
              <w:t xml:space="preserve">Compliance</w:t>
            </w:r>
          </w:p>
        </w:tc>
        <w:tc>
          <w:tcPr>
            <w:tcW w:w="1362" w:type="dxa"/>
          </w:tcPr>
          <w:p>
            <w:pPr>
              <w:pStyle w:val="Compact"/>
              <w:spacing w:after="40"/>
              <w:jc w:val="left"/>
            </w:pPr>
            <w:r>
              <w:rPr>
                <w:sz w:val="18"/>
              </w:rPr>
              <w:t xml:space="preserve">XP2</w:t>
            </w:r>
          </w:p>
        </w:tc>
      </w:tr>
      <w:tr>
        <w:tc>
          <w:tcPr>
            <w:tcW w:w="2073" w:type="dxa"/>
          </w:tcPr>
          <w:p>
            <w:pPr>
              <w:pStyle w:val="Compact"/>
              <w:spacing w:after="40"/>
              <w:jc w:val="left"/>
            </w:pPr>
            <w:r>
              <w:rPr>
                <w:sz w:val="18"/>
              </w:rPr>
              <w:t xml:space="preserve">Cross-sell quiet periods</w:t>
            </w:r>
          </w:p>
        </w:tc>
        <w:tc>
          <w:tcPr>
            <w:tcW w:w="1923" w:type="dxa"/>
          </w:tcPr>
          <w:p>
            <w:pPr>
              <w:pStyle w:val="Compact"/>
              <w:spacing w:after="40"/>
              <w:jc w:val="left"/>
            </w:pPr>
            <w:r>
              <w:rPr>
                <w:sz w:val="18"/>
              </w:rPr>
              <w:t xml:space="preserve">Cooling-off, day of disbursal, 30 days after a microfinance disbursal</w:t>
            </w:r>
          </w:p>
        </w:tc>
        <w:tc>
          <w:tcPr>
            <w:tcW w:w="1910" w:type="dxa"/>
          </w:tcPr>
          <w:p>
            <w:pPr>
              <w:pStyle w:val="Compact"/>
              <w:spacing w:after="40"/>
              <w:jc w:val="left"/>
            </w:pPr>
            <w:r>
              <w:rPr>
                <w:sz w:val="18"/>
              </w:rPr>
              <w:t xml:space="preserve">FLOOR (may lengthen)</w:t>
            </w:r>
          </w:p>
        </w:tc>
        <w:tc>
          <w:tcPr>
            <w:tcW w:w="1048" w:type="dxa"/>
          </w:tcPr>
          <w:p>
            <w:pPr>
              <w:pStyle w:val="Compact"/>
              <w:spacing w:after="40"/>
              <w:jc w:val="left"/>
            </w:pPr>
            <w:r>
              <w:rPr>
                <w:sz w:val="18"/>
              </w:rPr>
              <w:t xml:space="preserve">L1</w:t>
            </w:r>
          </w:p>
        </w:tc>
        <w:tc>
          <w:tcPr>
            <w:tcW w:w="1322" w:type="dxa"/>
          </w:tcPr>
          <w:p>
            <w:pPr>
              <w:pStyle w:val="Compact"/>
              <w:spacing w:after="40"/>
              <w:jc w:val="left"/>
            </w:pPr>
            <w:r>
              <w:rPr>
                <w:sz w:val="18"/>
              </w:rPr>
              <w:t xml:space="preserve">Compliance</w:t>
            </w:r>
          </w:p>
        </w:tc>
        <w:tc>
          <w:tcPr>
            <w:tcW w:w="1362" w:type="dxa"/>
          </w:tcPr>
          <w:p>
            <w:pPr>
              <w:pStyle w:val="Compact"/>
              <w:spacing w:after="40"/>
              <w:jc w:val="left"/>
            </w:pPr>
            <w:r>
              <w:rPr>
                <w:sz w:val="18"/>
              </w:rPr>
              <w:t xml:space="preserve">XP2; MG2</w:t>
            </w:r>
          </w:p>
        </w:tc>
      </w:tr>
      <w:tr>
        <w:tc>
          <w:tcPr>
            <w:tcW w:w="2073" w:type="dxa"/>
          </w:tcPr>
          <w:p>
            <w:pPr>
              <w:pStyle w:val="Compact"/>
              <w:spacing w:after="40"/>
              <w:jc w:val="left"/>
            </w:pPr>
            <w:r>
              <w:rPr>
                <w:sz w:val="18"/>
              </w:rPr>
              <w:t xml:space="preserve">Advertising (S10)</w:t>
            </w:r>
          </w:p>
        </w:tc>
        <w:tc>
          <w:tcPr>
            <w:tcW w:w="1923" w:type="dxa"/>
          </w:tcPr>
          <w:p>
            <w:pPr>
              <w:pStyle w:val="Compact"/>
              <w:spacing w:after="40"/>
              <w:jc w:val="left"/>
            </w:pPr>
            <w:r>
              <w:rPr>
                <w:sz w:val="18"/>
              </w:rPr>
              <w:t xml:space="preserve">Off</w:t>
            </w:r>
          </w:p>
        </w:tc>
        <w:tc>
          <w:tcPr>
            <w:tcW w:w="1910" w:type="dxa"/>
          </w:tcPr>
          <w:p>
            <w:pPr>
              <w:pStyle w:val="Compact"/>
              <w:spacing w:after="40"/>
              <w:jc w:val="left"/>
            </w:pPr>
            <w:r>
              <w:rPr>
                <w:sz w:val="18"/>
              </w:rPr>
              <w:t xml:space="preserve">GATE (Appendix B item 29)</w:t>
            </w:r>
          </w:p>
        </w:tc>
        <w:tc>
          <w:tcPr>
            <w:tcW w:w="1048" w:type="dxa"/>
          </w:tcPr>
          <w:p>
            <w:pPr>
              <w:pStyle w:val="Compact"/>
              <w:spacing w:after="40"/>
              <w:jc w:val="left"/>
            </w:pPr>
            <w:r>
              <w:rPr>
                <w:sz w:val="18"/>
              </w:rPr>
              <w:t xml:space="preserve">L1</w:t>
            </w:r>
          </w:p>
        </w:tc>
        <w:tc>
          <w:tcPr>
            <w:tcW w:w="1322" w:type="dxa"/>
          </w:tcPr>
          <w:p>
            <w:pPr>
              <w:pStyle w:val="Compact"/>
              <w:spacing w:after="40"/>
              <w:jc w:val="left"/>
            </w:pPr>
            <w:r>
              <w:rPr>
                <w:sz w:val="18"/>
              </w:rPr>
              <w:t xml:space="preserve">Owner decision</w:t>
            </w:r>
          </w:p>
        </w:tc>
        <w:tc>
          <w:tcPr>
            <w:tcW w:w="1362" w:type="dxa"/>
          </w:tcPr>
          <w:p>
            <w:pPr>
              <w:pStyle w:val="Compact"/>
              <w:spacing w:after="40"/>
              <w:jc w:val="left"/>
            </w:pPr>
            <w:r>
              <w:rPr>
                <w:sz w:val="18"/>
              </w:rPr>
              <w:t xml:space="preserve">RV4</w:t>
            </w:r>
          </w:p>
        </w:tc>
      </w:tr>
      <w:tr>
        <w:tc>
          <w:tcPr>
            <w:tcW w:w="2073" w:type="dxa"/>
          </w:tcPr>
          <w:p>
            <w:pPr>
              <w:pStyle w:val="Compact"/>
              <w:spacing w:after="40"/>
              <w:jc w:val="left"/>
            </w:pPr>
            <w:r>
              <w:rPr>
                <w:sz w:val="18"/>
              </w:rPr>
              <w:t xml:space="preserve">External-access grant</w:t>
            </w:r>
          </w:p>
        </w:tc>
        <w:tc>
          <w:tcPr>
            <w:tcW w:w="1923" w:type="dxa"/>
          </w:tcPr>
          <w:p>
            <w:pPr>
              <w:pStyle w:val="Compact"/>
              <w:spacing w:after="40"/>
              <w:jc w:val="left"/>
            </w:pPr>
            <w:r>
              <w:rPr>
                <w:sz w:val="18"/>
              </w:rPr>
              <w:t xml:space="preserve">30 days</w:t>
            </w:r>
          </w:p>
        </w:tc>
        <w:tc>
          <w:tcPr>
            <w:tcW w:w="1910" w:type="dxa"/>
          </w:tcPr>
          <w:p>
            <w:pPr>
              <w:pStyle w:val="Compact"/>
              <w:spacing w:after="40"/>
              <w:jc w:val="left"/>
            </w:pPr>
            <w:r>
              <w:rPr>
                <w:sz w:val="18"/>
              </w:rPr>
              <w:t xml:space="preserve">CEILING 90 days including extensions</w:t>
            </w:r>
          </w:p>
        </w:tc>
        <w:tc>
          <w:tcPr>
            <w:tcW w:w="1048" w:type="dxa"/>
          </w:tcPr>
          <w:p>
            <w:pPr>
              <w:pStyle w:val="Compact"/>
              <w:spacing w:after="40"/>
              <w:jc w:val="left"/>
            </w:pPr>
            <w:r>
              <w:rPr>
                <w:sz w:val="18"/>
              </w:rPr>
              <w:t xml:space="preserve">L2</w:t>
            </w:r>
          </w:p>
        </w:tc>
        <w:tc>
          <w:tcPr>
            <w:tcW w:w="1322" w:type="dxa"/>
          </w:tcPr>
          <w:p>
            <w:pPr>
              <w:pStyle w:val="Compact"/>
              <w:spacing w:after="40"/>
              <w:jc w:val="left"/>
            </w:pPr>
            <w:r>
              <w:rPr>
                <w:sz w:val="18"/>
              </w:rPr>
              <w:t xml:space="preserve">RE CCO</w:t>
            </w:r>
          </w:p>
        </w:tc>
        <w:tc>
          <w:tcPr>
            <w:tcW w:w="1362" w:type="dxa"/>
          </w:tcPr>
          <w:p>
            <w:pPr>
              <w:pStyle w:val="Compact"/>
              <w:spacing w:after="40"/>
              <w:jc w:val="left"/>
            </w:pPr>
            <w:r>
              <w:rPr>
                <w:sz w:val="18"/>
              </w:rPr>
              <w:t xml:space="preserve">RA2</w:t>
            </w:r>
          </w:p>
        </w:tc>
      </w:tr>
      <w:tr>
        <w:tc>
          <w:tcPr>
            <w:tcW w:w="2073" w:type="dxa"/>
          </w:tcPr>
          <w:p>
            <w:pPr>
              <w:pStyle w:val="Compact"/>
              <w:spacing w:after="40"/>
              <w:jc w:val="left"/>
            </w:pPr>
            <w:r>
              <w:rPr>
                <w:sz w:val="18"/>
              </w:rPr>
              <w:t xml:space="preserve">Post-exit borrower download access</w:t>
            </w:r>
          </w:p>
        </w:tc>
        <w:tc>
          <w:tcPr>
            <w:tcW w:w="1923" w:type="dxa"/>
          </w:tcPr>
          <w:p>
            <w:pPr>
              <w:pStyle w:val="Compact"/>
              <w:spacing w:after="40"/>
              <w:jc w:val="left"/>
            </w:pPr>
            <w:r>
              <w:rPr>
                <w:sz w:val="18"/>
              </w:rPr>
              <w:t xml:space="preserve">90 days, notice 15 days before</w:t>
            </w:r>
          </w:p>
        </w:tc>
        <w:tc>
          <w:tcPr>
            <w:tcW w:w="1910" w:type="dxa"/>
          </w:tcPr>
          <w:p>
            <w:pPr>
              <w:pStyle w:val="Compact"/>
              <w:spacing w:after="40"/>
              <w:jc w:val="left"/>
            </w:pPr>
            <w:r>
              <w:rPr>
                <w:sz w:val="18"/>
              </w:rPr>
              <w:t xml:space="preserve">FLOOR (may lengthen)</w:t>
            </w:r>
          </w:p>
        </w:tc>
        <w:tc>
          <w:tcPr>
            <w:tcW w:w="1048" w:type="dxa"/>
          </w:tcPr>
          <w:p>
            <w:pPr>
              <w:pStyle w:val="Compact"/>
              <w:spacing w:after="40"/>
              <w:jc w:val="left"/>
            </w:pPr>
            <w:r>
              <w:rPr>
                <w:sz w:val="18"/>
              </w:rPr>
              <w:t xml:space="preserve">L2</w:t>
            </w:r>
          </w:p>
        </w:tc>
        <w:tc>
          <w:tcPr>
            <w:tcW w:w="1322" w:type="dxa"/>
          </w:tcPr>
          <w:p>
            <w:pPr>
              <w:pStyle w:val="Compact"/>
              <w:spacing w:after="40"/>
              <w:jc w:val="left"/>
            </w:pPr>
            <w:r>
              <w:rPr>
                <w:sz w:val="18"/>
              </w:rPr>
              <w:t xml:space="preserve">Udofin and RE</w:t>
            </w:r>
          </w:p>
        </w:tc>
        <w:tc>
          <w:tcPr>
            <w:tcW w:w="1362" w:type="dxa"/>
          </w:tcPr>
          <w:p>
            <w:pPr>
              <w:pStyle w:val="Compact"/>
              <w:spacing w:after="40"/>
              <w:jc w:val="left"/>
            </w:pPr>
            <w:r>
              <w:rPr>
                <w:sz w:val="18"/>
              </w:rPr>
              <w:t xml:space="preserve">UP5</w:t>
            </w:r>
          </w:p>
        </w:tc>
      </w:tr>
      <w:tr>
        <w:tc>
          <w:tcPr>
            <w:tcW w:w="2073" w:type="dxa"/>
          </w:tcPr>
          <w:p>
            <w:pPr>
              <w:pStyle w:val="Compact"/>
              <w:spacing w:after="40"/>
              <w:jc w:val="left"/>
            </w:pPr>
            <w:r>
              <w:rPr>
                <w:sz w:val="18"/>
              </w:rPr>
              <w:t xml:space="preserve">DLG cap and headroom alert</w:t>
            </w:r>
          </w:p>
        </w:tc>
        <w:tc>
          <w:tcPr>
            <w:tcW w:w="1923" w:type="dxa"/>
          </w:tcPr>
          <w:p>
            <w:pPr>
              <w:pStyle w:val="Compact"/>
              <w:spacing w:after="40"/>
              <w:jc w:val="left"/>
            </w:pPr>
            <w:r>
              <w:rPr>
                <w:sz w:val="18"/>
              </w:rPr>
              <w:t xml:space="preserve">Amber 4.5%, red 5.0%</w:t>
            </w:r>
          </w:p>
        </w:tc>
        <w:tc>
          <w:tcPr>
            <w:tcW w:w="1910" w:type="dxa"/>
          </w:tcPr>
          <w:p>
            <w:pPr>
              <w:pStyle w:val="Compact"/>
              <w:spacing w:after="40"/>
              <w:jc w:val="left"/>
            </w:pPr>
            <w:r>
              <w:rPr>
                <w:sz w:val="18"/>
              </w:rPr>
              <w:t xml:space="preserve">CEILING 5%</w:t>
            </w:r>
          </w:p>
        </w:tc>
        <w:tc>
          <w:tcPr>
            <w:tcW w:w="1048" w:type="dxa"/>
          </w:tcPr>
          <w:p>
            <w:pPr>
              <w:pStyle w:val="Compact"/>
              <w:spacing w:after="40"/>
              <w:jc w:val="left"/>
            </w:pPr>
            <w:r>
              <w:rPr>
                <w:sz w:val="18"/>
              </w:rPr>
              <w:t xml:space="preserve">L2</w:t>
            </w:r>
          </w:p>
        </w:tc>
        <w:tc>
          <w:tcPr>
            <w:tcW w:w="1322" w:type="dxa"/>
          </w:tcPr>
          <w:p>
            <w:pPr>
              <w:pStyle w:val="Compact"/>
              <w:spacing w:after="40"/>
              <w:jc w:val="left"/>
            </w:pPr>
            <w:r>
              <w:rPr>
                <w:sz w:val="18"/>
              </w:rPr>
              <w:t xml:space="preserve">Risk</w:t>
            </w:r>
          </w:p>
        </w:tc>
        <w:tc>
          <w:tcPr>
            <w:tcW w:w="1362" w:type="dxa"/>
          </w:tcPr>
          <w:p>
            <w:pPr>
              <w:pStyle w:val="Compact"/>
              <w:spacing w:after="40"/>
              <w:jc w:val="left"/>
            </w:pPr>
            <w:r>
              <w:rPr>
                <w:sz w:val="18"/>
              </w:rPr>
              <w:t xml:space="preserve">CF para 24; RA1</w:t>
            </w:r>
          </w:p>
        </w:tc>
      </w:tr>
      <w:tr>
        <w:tc>
          <w:tcPr>
            <w:tcW w:w="2073" w:type="dxa"/>
          </w:tcPr>
          <w:p>
            <w:pPr>
              <w:pStyle w:val="Compact"/>
              <w:spacing w:after="40"/>
              <w:jc w:val="left"/>
            </w:pPr>
            <w:r>
              <w:rPr>
                <w:sz w:val="18"/>
              </w:rPr>
              <w:t xml:space="preserve">Udofin’s own outbound service voice</w:t>
            </w:r>
          </w:p>
        </w:tc>
        <w:tc>
          <w:tcPr>
            <w:tcW w:w="1923" w:type="dxa"/>
          </w:tcPr>
          <w:p>
            <w:pPr>
              <w:pStyle w:val="Compact"/>
              <w:spacing w:after="40"/>
              <w:jc w:val="left"/>
            </w:pPr>
            <w:r>
              <w:rPr>
                <w:sz w:val="18"/>
              </w:rPr>
              <w:t xml:space="preserve">Off</w:t>
            </w:r>
          </w:p>
        </w:tc>
        <w:tc>
          <w:tcPr>
            <w:tcW w:w="1910" w:type="dxa"/>
          </w:tcPr>
          <w:p>
            <w:pPr>
              <w:pStyle w:val="Compact"/>
              <w:spacing w:after="40"/>
              <w:jc w:val="left"/>
            </w:pPr>
            <w:r>
              <w:rPr>
                <w:sz w:val="18"/>
              </w:rPr>
              <w:t xml:space="preserve">GATE (Appendix B item 36)</w:t>
            </w:r>
          </w:p>
        </w:tc>
        <w:tc>
          <w:tcPr>
            <w:tcW w:w="1048" w:type="dxa"/>
          </w:tcPr>
          <w:p>
            <w:pPr>
              <w:pStyle w:val="Compact"/>
              <w:spacing w:after="40"/>
              <w:jc w:val="left"/>
            </w:pPr>
            <w:r>
              <w:rPr>
                <w:sz w:val="18"/>
              </w:rPr>
              <w:t xml:space="preserve">L1</w:t>
            </w:r>
          </w:p>
        </w:tc>
        <w:tc>
          <w:tcPr>
            <w:tcW w:w="1322" w:type="dxa"/>
          </w:tcPr>
          <w:p>
            <w:pPr>
              <w:pStyle w:val="Compact"/>
              <w:spacing w:after="40"/>
              <w:jc w:val="left"/>
            </w:pPr>
            <w:r>
              <w:rPr>
                <w:sz w:val="18"/>
              </w:rPr>
              <w:t xml:space="preserve">Owner decision</w:t>
            </w:r>
          </w:p>
        </w:tc>
        <w:tc>
          <w:tcPr>
            <w:tcW w:w="1362" w:type="dxa"/>
          </w:tcPr>
          <w:p>
            <w:pPr>
              <w:pStyle w:val="Compact"/>
              <w:spacing w:after="40"/>
              <w:jc w:val="left"/>
            </w:pPr>
            <w:r>
              <w:rPr>
                <w:sz w:val="18"/>
              </w:rPr>
              <w:t xml:space="preserve">RA5</w:t>
            </w:r>
          </w:p>
        </w:tc>
      </w:tr>
      <w:tr>
        <w:tc>
          <w:tcPr>
            <w:tcW w:w="2073" w:type="dxa"/>
          </w:tcPr>
          <w:p>
            <w:pPr>
              <w:pStyle w:val="Compact"/>
              <w:spacing w:after="40"/>
              <w:jc w:val="left"/>
            </w:pPr>
            <w:r>
              <w:rPr>
                <w:sz w:val="18"/>
              </w:rPr>
              <w:t xml:space="preserve">AI assistant (chat or voice)</w:t>
            </w:r>
          </w:p>
        </w:tc>
        <w:tc>
          <w:tcPr>
            <w:tcW w:w="1923" w:type="dxa"/>
          </w:tcPr>
          <w:p>
            <w:pPr>
              <w:pStyle w:val="Compact"/>
              <w:spacing w:after="40"/>
              <w:jc w:val="left"/>
            </w:pPr>
            <w:r>
              <w:rPr>
                <w:sz w:val="18"/>
              </w:rPr>
              <w:t xml:space="preserve">Off</w:t>
            </w:r>
          </w:p>
        </w:tc>
        <w:tc>
          <w:tcPr>
            <w:tcW w:w="1910" w:type="dxa"/>
          </w:tcPr>
          <w:p>
            <w:pPr>
              <w:pStyle w:val="Compact"/>
              <w:spacing w:after="40"/>
              <w:jc w:val="left"/>
            </w:pPr>
            <w:r>
              <w:rPr>
                <w:sz w:val="18"/>
              </w:rPr>
              <w:t xml:space="preserve">COMMERCIAL (disclosure and handover cannot be switched off)</w:t>
            </w:r>
          </w:p>
        </w:tc>
        <w:tc>
          <w:tcPr>
            <w:tcW w:w="1048" w:type="dxa"/>
          </w:tcPr>
          <w:p>
            <w:pPr>
              <w:pStyle w:val="Compact"/>
              <w:spacing w:after="40"/>
              <w:jc w:val="left"/>
            </w:pPr>
            <w:r>
              <w:rPr>
                <w:sz w:val="18"/>
              </w:rPr>
              <w:t xml:space="preserve">L2</w:t>
            </w:r>
          </w:p>
        </w:tc>
        <w:tc>
          <w:tcPr>
            <w:tcW w:w="1322" w:type="dxa"/>
          </w:tcPr>
          <w:p>
            <w:pPr>
              <w:pStyle w:val="Compact"/>
              <w:spacing w:after="40"/>
              <w:jc w:val="left"/>
            </w:pPr>
            <w:r>
              <w:rPr>
                <w:sz w:val="18"/>
              </w:rPr>
              <w:t xml:space="preserve">RE; Udofin for own channels</w:t>
            </w:r>
          </w:p>
        </w:tc>
        <w:tc>
          <w:tcPr>
            <w:tcW w:w="1362" w:type="dxa"/>
          </w:tcPr>
          <w:p>
            <w:pPr>
              <w:pStyle w:val="Compact"/>
              <w:spacing w:after="40"/>
              <w:jc w:val="left"/>
            </w:pPr>
            <w:r>
              <w:rPr>
                <w:sz w:val="18"/>
              </w:rPr>
              <w:t xml:space="preserve">RA5</w:t>
            </w:r>
          </w:p>
        </w:tc>
      </w:tr>
    </w:tbl>
    <w:bookmarkEnd w:id="559"/>
    <w:bookmarkEnd w:id="560"/>
    <w:bookmarkStart w:id="563" w:name="g.11-notification-catalogue"/>
    <w:p>
      <w:pPr>
        <w:pStyle w:val="Heading2"/>
      </w:pPr>
      <w:r>
        <w:t xml:space="preserve">G.11 Notification catalogue</w:t>
      </w:r>
    </w:p>
    <w:bookmarkStart w:id="561" w:name="g.11.1-classes-and-channel-rules"/>
    <w:p>
      <w:pPr>
        <w:pStyle w:val="Heading3"/>
      </w:pPr>
      <w:r>
        <w:t xml:space="preserve">G.11.1 Classes and channel rules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95"/>
        <w:gridCol w:w="1806"/>
        <w:gridCol w:w="1354"/>
        <w:gridCol w:w="1663"/>
        <w:gridCol w:w="2370"/>
        <w:gridCol w:w="1450"/>
      </w:tblGrid>
      <w:tr>
        <w:trPr>
          <w:tblHeader w:val="true"/>
          <w:tblHeader w:val="true"/>
        </w:trPr>
        <w:tc>
          <w:tcPr>
            <w:tcW w:w="995" w:type="dxa"/>
            <w:shd w:val="clear" w:color="auto" w:fill="1F3A5F"/>
          </w:tcPr>
          <w:p>
            <w:pPr>
              <w:pStyle w:val="Compact"/>
              <w:spacing w:after="40"/>
              <w:jc w:val="left"/>
            </w:pPr>
            <w:r>
              <w:rPr>
                <w:b/>
                <w:color w:val="FFFFFF"/>
                <w:sz w:val="18"/>
              </w:rPr>
              <w:t xml:space="preserve">Class</w:t>
            </w:r>
          </w:p>
        </w:tc>
        <w:tc>
          <w:tcPr>
            <w:tcW w:w="1806" w:type="dxa"/>
            <w:shd w:val="clear" w:color="auto" w:fill="1F3A5F"/>
          </w:tcPr>
          <w:p>
            <w:pPr>
              <w:pStyle w:val="Compact"/>
              <w:spacing w:after="40"/>
              <w:jc w:val="left"/>
            </w:pPr>
            <w:r>
              <w:rPr>
                <w:b/>
                <w:color w:val="FFFFFF"/>
                <w:sz w:val="18"/>
              </w:rPr>
              <w:t xml:space="preserve">Examples</w:t>
            </w:r>
          </w:p>
        </w:tc>
        <w:tc>
          <w:tcPr>
            <w:tcW w:w="1354" w:type="dxa"/>
            <w:shd w:val="clear" w:color="auto" w:fill="1F3A5F"/>
          </w:tcPr>
          <w:p>
            <w:pPr>
              <w:pStyle w:val="Compact"/>
              <w:spacing w:after="40"/>
              <w:jc w:val="left"/>
            </w:pPr>
            <w:r>
              <w:rPr>
                <w:b/>
                <w:color w:val="FFFFFF"/>
                <w:sz w:val="18"/>
              </w:rPr>
              <w:t xml:space="preserve">Consent</w:t>
            </w:r>
          </w:p>
        </w:tc>
        <w:tc>
          <w:tcPr>
            <w:tcW w:w="1663" w:type="dxa"/>
            <w:shd w:val="clear" w:color="auto" w:fill="1F3A5F"/>
          </w:tcPr>
          <w:p>
            <w:pPr>
              <w:pStyle w:val="Compact"/>
              <w:spacing w:after="40"/>
              <w:jc w:val="left"/>
            </w:pPr>
            <w:r>
              <w:rPr>
                <w:b/>
                <w:color w:val="FFFFFF"/>
                <w:sz w:val="18"/>
              </w:rPr>
              <w:t xml:space="preserve">Sender and numbers</w:t>
            </w:r>
          </w:p>
        </w:tc>
        <w:tc>
          <w:tcPr>
            <w:tcW w:w="2370" w:type="dxa"/>
            <w:shd w:val="clear" w:color="auto" w:fill="1F3A5F"/>
          </w:tcPr>
          <w:p>
            <w:pPr>
              <w:pStyle w:val="Compact"/>
              <w:spacing w:after="40"/>
              <w:jc w:val="left"/>
            </w:pPr>
            <w:r>
              <w:rPr>
                <w:b/>
                <w:color w:val="FFFFFF"/>
                <w:sz w:val="18"/>
              </w:rPr>
              <w:t xml:space="preserve">Quiet hours</w:t>
            </w:r>
          </w:p>
        </w:tc>
        <w:tc>
          <w:tcPr>
            <w:tcW w:w="1450" w:type="dxa"/>
            <w:shd w:val="clear" w:color="auto" w:fill="1F3A5F"/>
          </w:tcPr>
          <w:p>
            <w:pPr>
              <w:pStyle w:val="Compact"/>
              <w:spacing w:after="40"/>
              <w:jc w:val="left"/>
            </w:pPr>
            <w:r>
              <w:rPr>
                <w:b/>
                <w:color w:val="FFFFFF"/>
                <w:sz w:val="18"/>
              </w:rPr>
              <w:t xml:space="preserve">Borrower can switch off?</w:t>
            </w:r>
          </w:p>
        </w:tc>
      </w:tr>
      <w:tr>
        <w:tc>
          <w:tcPr>
            <w:tcW w:w="995" w:type="dxa"/>
          </w:tcPr>
          <w:p>
            <w:pPr>
              <w:pStyle w:val="Compact"/>
              <w:spacing w:after="40"/>
              <w:jc w:val="left"/>
            </w:pPr>
            <w:r>
              <w:rPr>
                <w:sz w:val="18"/>
              </w:rPr>
              <w:t xml:space="preserve">Security</w:t>
            </w:r>
          </w:p>
        </w:tc>
        <w:tc>
          <w:tcPr>
            <w:tcW w:w="1806" w:type="dxa"/>
          </w:tcPr>
          <w:p>
            <w:pPr>
              <w:pStyle w:val="Compact"/>
              <w:spacing w:after="40"/>
              <w:jc w:val="left"/>
            </w:pPr>
            <w:r>
              <w:rPr>
                <w:sz w:val="18"/>
              </w:rPr>
              <w:t xml:space="preserve">OTP, new device, contact change, original download, data export generated</w:t>
            </w:r>
          </w:p>
        </w:tc>
        <w:tc>
          <w:tcPr>
            <w:tcW w:w="1354" w:type="dxa"/>
          </w:tcPr>
          <w:p>
            <w:pPr>
              <w:pStyle w:val="Compact"/>
              <w:spacing w:after="40"/>
              <w:jc w:val="left"/>
            </w:pPr>
            <w:r>
              <w:rPr>
                <w:sz w:val="18"/>
              </w:rPr>
              <w:t xml:space="preserve">Not required (account protection)</w:t>
            </w:r>
          </w:p>
        </w:tc>
        <w:tc>
          <w:tcPr>
            <w:tcW w:w="1663" w:type="dxa"/>
          </w:tcPr>
          <w:p>
            <w:pPr>
              <w:pStyle w:val="Compact"/>
              <w:spacing w:after="40"/>
              <w:jc w:val="left"/>
            </w:pPr>
            <w:r>
              <w:rPr>
                <w:sz w:val="18"/>
              </w:rPr>
              <w:t xml:space="preserve">Udofin DLT header; OTP templates carry the SMS Retriever hash and origin-bound line (Part 10.3)</w:t>
            </w:r>
          </w:p>
        </w:tc>
        <w:tc>
          <w:tcPr>
            <w:tcW w:w="2370" w:type="dxa"/>
          </w:tcPr>
          <w:p>
            <w:pPr>
              <w:pStyle w:val="Compact"/>
              <w:spacing w:after="40"/>
              <w:jc w:val="left"/>
            </w:pPr>
            <w:r>
              <w:rPr>
                <w:sz w:val="18"/>
              </w:rPr>
              <w:t xml:space="preserve">Exempt</w:t>
            </w:r>
          </w:p>
        </w:tc>
        <w:tc>
          <w:tcPr>
            <w:tcW w:w="1450" w:type="dxa"/>
          </w:tcPr>
          <w:p>
            <w:pPr>
              <w:pStyle w:val="Compact"/>
              <w:spacing w:after="40"/>
              <w:jc w:val="left"/>
            </w:pPr>
            <w:r>
              <w:rPr>
                <w:sz w:val="18"/>
              </w:rPr>
              <w:t xml:space="preserve">No</w:t>
            </w:r>
          </w:p>
        </w:tc>
      </w:tr>
      <w:tr>
        <w:tc>
          <w:tcPr>
            <w:tcW w:w="995" w:type="dxa"/>
          </w:tcPr>
          <w:p>
            <w:pPr>
              <w:pStyle w:val="Compact"/>
              <w:spacing w:after="40"/>
              <w:jc w:val="left"/>
            </w:pPr>
            <w:r>
              <w:rPr>
                <w:sz w:val="18"/>
              </w:rPr>
              <w:t xml:space="preserve">Transactional (borrower-triggered)</w:t>
            </w:r>
          </w:p>
        </w:tc>
        <w:tc>
          <w:tcPr>
            <w:tcW w:w="1806" w:type="dxa"/>
          </w:tcPr>
          <w:p>
            <w:pPr>
              <w:pStyle w:val="Compact"/>
              <w:spacing w:after="40"/>
              <w:jc w:val="left"/>
            </w:pPr>
            <w:r>
              <w:rPr>
                <w:sz w:val="18"/>
              </w:rPr>
              <w:t xml:space="preserve">Payment initiated, application submitted, KFS accepted, eSign completed</w:t>
            </w:r>
          </w:p>
        </w:tc>
        <w:tc>
          <w:tcPr>
            <w:tcW w:w="1354" w:type="dxa"/>
          </w:tcPr>
          <w:p>
            <w:pPr>
              <w:pStyle w:val="Compact"/>
              <w:spacing w:after="40"/>
              <w:jc w:val="left"/>
            </w:pPr>
            <w:r>
              <w:rPr>
                <w:sz w:val="18"/>
              </w:rPr>
              <w:t xml:space="preserve">Inferred from the action</w:t>
            </w:r>
          </w:p>
        </w:tc>
        <w:tc>
          <w:tcPr>
            <w:tcW w:w="1663" w:type="dxa"/>
          </w:tcPr>
          <w:p>
            <w:pPr>
              <w:pStyle w:val="Compact"/>
              <w:spacing w:after="40"/>
              <w:jc w:val="left"/>
            </w:pPr>
            <w:r>
              <w:rPr>
                <w:sz w:val="18"/>
              </w:rPr>
              <w:t xml:space="preserve">RE header for RE matters; Udofin header for platform matters</w:t>
            </w:r>
          </w:p>
        </w:tc>
        <w:tc>
          <w:tcPr>
            <w:tcW w:w="2370" w:type="dxa"/>
          </w:tcPr>
          <w:p>
            <w:pPr>
              <w:pStyle w:val="Compact"/>
              <w:spacing w:after="40"/>
              <w:jc w:val="left"/>
            </w:pPr>
            <w:r>
              <w:rPr>
                <w:sz w:val="18"/>
              </w:rPr>
              <w:t xml:space="preserve">Exempt (sent at the time of the action)</w:t>
            </w:r>
          </w:p>
        </w:tc>
        <w:tc>
          <w:tcPr>
            <w:tcW w:w="1450" w:type="dxa"/>
          </w:tcPr>
          <w:p>
            <w:pPr>
              <w:pStyle w:val="Compact"/>
              <w:spacing w:after="40"/>
              <w:jc w:val="left"/>
            </w:pPr>
            <w:r>
              <w:rPr>
                <w:sz w:val="18"/>
              </w:rPr>
              <w:t xml:space="preserve">No</w:t>
            </w:r>
          </w:p>
        </w:tc>
      </w:tr>
      <w:tr>
        <w:tc>
          <w:tcPr>
            <w:tcW w:w="995" w:type="dxa"/>
          </w:tcPr>
          <w:p>
            <w:pPr>
              <w:pStyle w:val="Compact"/>
              <w:spacing w:after="40"/>
              <w:jc w:val="left"/>
            </w:pPr>
            <w:r>
              <w:rPr>
                <w:sz w:val="18"/>
              </w:rPr>
              <w:t xml:space="preserve">Service (lifecycle)</w:t>
            </w:r>
          </w:p>
        </w:tc>
        <w:tc>
          <w:tcPr>
            <w:tcW w:w="1806" w:type="dxa"/>
          </w:tcPr>
          <w:p>
            <w:pPr>
              <w:pStyle w:val="Compact"/>
              <w:spacing w:after="40"/>
              <w:jc w:val="left"/>
            </w:pPr>
            <w:r>
              <w:rPr>
                <w:sz w:val="18"/>
              </w:rPr>
              <w:t xml:space="preserve">Due reminders with penal charge, KFS awaiting acceptance, document issued, complaint updates, cooling-off ending</w:t>
            </w:r>
          </w:p>
        </w:tc>
        <w:tc>
          <w:tcPr>
            <w:tcW w:w="1354" w:type="dxa"/>
          </w:tcPr>
          <w:p>
            <w:pPr>
              <w:pStyle w:val="Compact"/>
              <w:spacing w:after="40"/>
              <w:jc w:val="left"/>
            </w:pPr>
            <w:r>
              <w:rPr>
                <w:sz w:val="18"/>
              </w:rPr>
              <w:t xml:space="preserve">Service relationship while the contract lasts</w:t>
            </w:r>
          </w:p>
        </w:tc>
        <w:tc>
          <w:tcPr>
            <w:tcW w:w="1663" w:type="dxa"/>
          </w:tcPr>
          <w:p>
            <w:pPr>
              <w:pStyle w:val="Compact"/>
              <w:spacing w:after="40"/>
              <w:jc w:val="left"/>
            </w:pPr>
            <w:r>
              <w:rPr>
                <w:sz w:val="18"/>
              </w:rPr>
              <w:t xml:space="preserve">RE header and the RE’s 1600-series voice numbers for RE matters</w:t>
            </w:r>
          </w:p>
        </w:tc>
        <w:tc>
          <w:tcPr>
            <w:tcW w:w="2370" w:type="dxa"/>
          </w:tcPr>
          <w:p>
            <w:pPr>
              <w:pStyle w:val="Compact"/>
              <w:spacing w:after="40"/>
              <w:jc w:val="left"/>
            </w:pPr>
            <w:r>
              <w:rPr>
                <w:sz w:val="18"/>
              </w:rPr>
              <w:t xml:space="preserve">Default 21:00–08:00 [REC]; regulatory deadlines may be sent at 08:00 next day</w:t>
            </w:r>
          </w:p>
        </w:tc>
        <w:tc>
          <w:tcPr>
            <w:tcW w:w="1450" w:type="dxa"/>
          </w:tcPr>
          <w:p>
            <w:pPr>
              <w:pStyle w:val="Compact"/>
              <w:spacing w:after="40"/>
              <w:jc w:val="left"/>
            </w:pPr>
            <w:r>
              <w:rPr>
                <w:sz w:val="18"/>
              </w:rPr>
              <w:t xml:space="preserve">Channel choice only; at least one channel stays on</w:t>
            </w:r>
          </w:p>
        </w:tc>
      </w:tr>
      <w:tr>
        <w:tc>
          <w:tcPr>
            <w:tcW w:w="995" w:type="dxa"/>
          </w:tcPr>
          <w:p>
            <w:pPr>
              <w:pStyle w:val="Compact"/>
              <w:spacing w:after="40"/>
              <w:jc w:val="left"/>
            </w:pPr>
            <w:r>
              <w:rPr>
                <w:sz w:val="18"/>
              </w:rPr>
              <w:t xml:space="preserve">Recovery</w:t>
            </w:r>
          </w:p>
        </w:tc>
        <w:tc>
          <w:tcPr>
            <w:tcW w:w="1806" w:type="dxa"/>
          </w:tcPr>
          <w:p>
            <w:pPr>
              <w:pStyle w:val="Compact"/>
              <w:spacing w:after="40"/>
              <w:jc w:val="left"/>
            </w:pPr>
            <w:r>
              <w:rPr>
                <w:sz w:val="18"/>
              </w:rPr>
              <w:t xml:space="preserve">Overdue reminders, agent particulars, settlement offers, RE notices (content only in the authenticated inbox)</w:t>
            </w:r>
          </w:p>
        </w:tc>
        <w:tc>
          <w:tcPr>
            <w:tcW w:w="1354" w:type="dxa"/>
          </w:tcPr>
          <w:p>
            <w:pPr>
              <w:pStyle w:val="Compact"/>
              <w:spacing w:after="40"/>
              <w:jc w:val="left"/>
            </w:pPr>
            <w:r>
              <w:rPr>
                <w:sz w:val="18"/>
              </w:rPr>
              <w:t xml:space="preserve">RE contract and CF para 9(6)</w:t>
            </w:r>
          </w:p>
        </w:tc>
        <w:tc>
          <w:tcPr>
            <w:tcW w:w="1663" w:type="dxa"/>
          </w:tcPr>
          <w:p>
            <w:pPr>
              <w:pStyle w:val="Compact"/>
              <w:spacing w:after="40"/>
              <w:jc w:val="left"/>
            </w:pPr>
            <w:r>
              <w:rPr>
                <w:sz w:val="18"/>
              </w:rPr>
              <w:t xml:space="preserve">RE header and RE 1600-series numbers only; no WhatsApp</w:t>
            </w:r>
          </w:p>
        </w:tc>
        <w:tc>
          <w:tcPr>
            <w:tcW w:w="2370" w:type="dxa"/>
          </w:tcPr>
          <w:p>
            <w:pPr>
              <w:pStyle w:val="Compact"/>
              <w:spacing w:after="40"/>
              <w:jc w:val="left"/>
            </w:pPr>
            <w:r>
              <w:rPr>
                <w:sz w:val="18"/>
              </w:rPr>
              <w:t xml:space="preserve">08:00–19:00 (RBC para 100); microfinance 09:00–18:00 until 31 Dec 2026 (RBC para 91(2)), then the RBC Third Amendment pack from 1 Jan 2027 (RBI/2026-27/230); narrower RE or borrower window wins</w:t>
            </w:r>
          </w:p>
        </w:tc>
        <w:tc>
          <w:tcPr>
            <w:tcW w:w="1450" w:type="dxa"/>
          </w:tcPr>
          <w:p>
            <w:pPr>
              <w:pStyle w:val="Compact"/>
              <w:spacing w:after="40"/>
              <w:jc w:val="left"/>
            </w:pPr>
            <w:r>
              <w:rPr>
                <w:sz w:val="18"/>
              </w:rPr>
              <w:t xml:space="preserve">No (statutory and contractual), but the borrower sets a preferred window</w:t>
            </w:r>
          </w:p>
        </w:tc>
      </w:tr>
      <w:tr>
        <w:tc>
          <w:tcPr>
            <w:tcW w:w="995" w:type="dxa"/>
          </w:tcPr>
          <w:p>
            <w:pPr>
              <w:pStyle w:val="Compact"/>
              <w:spacing w:after="40"/>
              <w:jc w:val="left"/>
            </w:pPr>
            <w:r>
              <w:rPr>
                <w:sz w:val="18"/>
              </w:rPr>
              <w:t xml:space="preserve">Promotional</w:t>
            </w:r>
          </w:p>
        </w:tc>
        <w:tc>
          <w:tcPr>
            <w:tcW w:w="1806" w:type="dxa"/>
          </w:tcPr>
          <w:p>
            <w:pPr>
              <w:pStyle w:val="Compact"/>
              <w:spacing w:after="40"/>
              <w:jc w:val="left"/>
            </w:pPr>
            <w:r>
              <w:rPr>
                <w:sz w:val="18"/>
              </w:rPr>
              <w:t xml:space="preserve">Udofin campaigns, non-loan products, plan offers</w:t>
            </w:r>
          </w:p>
        </w:tc>
        <w:tc>
          <w:tcPr>
            <w:tcW w:w="1354" w:type="dxa"/>
          </w:tcPr>
          <w:p>
            <w:pPr>
              <w:pStyle w:val="Compact"/>
              <w:spacing w:after="40"/>
              <w:jc w:val="left"/>
            </w:pPr>
            <w:r>
              <w:rPr>
                <w:sz w:val="18"/>
              </w:rPr>
              <w:t xml:space="preserve">Explicit promotional consent per channel, default No; DND scrub</w:t>
            </w:r>
          </w:p>
        </w:tc>
        <w:tc>
          <w:tcPr>
            <w:tcW w:w="1663" w:type="dxa"/>
          </w:tcPr>
          <w:p>
            <w:pPr>
              <w:pStyle w:val="Compact"/>
              <w:spacing w:after="40"/>
              <w:jc w:val="left"/>
            </w:pPr>
            <w:r>
              <w:rPr>
                <w:sz w:val="18"/>
              </w:rPr>
              <w:t xml:space="preserve">Udofin promotional header; 140-series voice through a registered telemarketer</w:t>
            </w:r>
          </w:p>
        </w:tc>
        <w:tc>
          <w:tcPr>
            <w:tcW w:w="2370" w:type="dxa"/>
          </w:tcPr>
          <w:p>
            <w:pPr>
              <w:pStyle w:val="Compact"/>
              <w:spacing w:after="40"/>
              <w:jc w:val="left"/>
            </w:pPr>
            <w:r>
              <w:rPr>
                <w:sz w:val="18"/>
              </w:rPr>
              <w:t xml:space="preserve">09:00–18:00 [VERIFY: final para 101O]; XP4 suppression reasons</w:t>
            </w:r>
          </w:p>
        </w:tc>
        <w:tc>
          <w:tcPr>
            <w:tcW w:w="1450" w:type="dxa"/>
          </w:tcPr>
          <w:p>
            <w:pPr>
              <w:pStyle w:val="Compact"/>
              <w:spacing w:after="40"/>
              <w:jc w:val="left"/>
            </w:pPr>
            <w:r>
              <w:rPr>
                <w:sz w:val="18"/>
              </w:rPr>
              <w:t xml:space="preserve">Yes, one tap</w:t>
            </w:r>
          </w:p>
        </w:tc>
      </w:tr>
    </w:tbl>
    <w:p>
      <w:pPr>
        <w:pStyle w:val="BodyText"/>
      </w:pPr>
      <w:r>
        <w:rPr>
          <w:bCs/>
          <w:b/>
        </w:rPr>
        <w:t xml:space="preserve">Common rules.</w:t>
      </w:r>
      <w:r>
        <w:t xml:space="preserve"> </w:t>
      </w:r>
      <w:r>
        <w:t xml:space="preserve">Every SMS uses a TRAI DLT-registered header and content template under the correct principal entity and category (TCCCPR 2018; header suffix by category as TRAI requires [VERIFY: current suffix rule]); URLs only on the DLT-whitelisted domain [VERIFY]; push, SMS and email carry no PII, amount or case content where the event is sensitive (recovery, grievance, notices, credit reports); every message is in the borrower’s chosen language from an RE-approved template for RE matters (RBC para 10); RE service calls never use ordinary 10-digit numbers; Udofin’s own outbound service calls stay off until 1600-series eligibility is confirmed (RA5). Frequency: no persistent calling; promotional messages at most 2 per week per channel [REC].</w:t>
      </w:r>
    </w:p>
    <w:bookmarkEnd w:id="561"/>
    <w:bookmarkStart w:id="562" w:name="g.11.2-event-catalogue"/>
    <w:p>
      <w:pPr>
        <w:pStyle w:val="Heading3"/>
      </w:pPr>
      <w:r>
        <w:t xml:space="preserve">G.11.2 Event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10"/>
        <w:gridCol w:w="1990"/>
        <w:gridCol w:w="1125"/>
        <w:gridCol w:w="1541"/>
        <w:gridCol w:w="2572"/>
      </w:tblGrid>
      <w:tr>
        <w:trPr>
          <w:tblHeader w:val="true"/>
          <w:tblHeader w:val="true"/>
        </w:trPr>
        <w:tc>
          <w:tcPr>
            <w:tcW w:w="2410" w:type="dxa"/>
            <w:shd w:val="clear" w:color="auto" w:fill="1F3A5F"/>
          </w:tcPr>
          <w:p>
            <w:pPr>
              <w:pStyle w:val="Compact"/>
              <w:spacing w:after="40"/>
              <w:jc w:val="left"/>
            </w:pPr>
            <w:r>
              <w:rPr>
                <w:b/>
                <w:color w:val="FFFFFF"/>
                <w:sz w:val="18"/>
              </w:rPr>
              <w:t xml:space="preserve">Trigger (event or timer)</w:t>
            </w:r>
          </w:p>
        </w:tc>
        <w:tc>
          <w:tcPr>
            <w:tcW w:w="1990" w:type="dxa"/>
            <w:shd w:val="clear" w:color="auto" w:fill="1F3A5F"/>
          </w:tcPr>
          <w:p>
            <w:pPr>
              <w:pStyle w:val="Compact"/>
              <w:spacing w:after="40"/>
              <w:jc w:val="left"/>
            </w:pPr>
            <w:r>
              <w:rPr>
                <w:b/>
                <w:color w:val="FFFFFF"/>
                <w:sz w:val="18"/>
              </w:rPr>
              <w:t xml:space="preserve">Message</w:t>
            </w:r>
          </w:p>
        </w:tc>
        <w:tc>
          <w:tcPr>
            <w:tcW w:w="1125" w:type="dxa"/>
            <w:shd w:val="clear" w:color="auto" w:fill="1F3A5F"/>
          </w:tcPr>
          <w:p>
            <w:pPr>
              <w:pStyle w:val="Compact"/>
              <w:spacing w:after="40"/>
              <w:jc w:val="left"/>
            </w:pPr>
            <w:r>
              <w:rPr>
                <w:b/>
                <w:color w:val="FFFFFF"/>
                <w:sz w:val="18"/>
              </w:rPr>
              <w:t xml:space="preserve">Class</w:t>
            </w:r>
          </w:p>
        </w:tc>
        <w:tc>
          <w:tcPr>
            <w:tcW w:w="1541" w:type="dxa"/>
            <w:shd w:val="clear" w:color="auto" w:fill="1F3A5F"/>
          </w:tcPr>
          <w:p>
            <w:pPr>
              <w:pStyle w:val="Compact"/>
              <w:spacing w:after="40"/>
              <w:jc w:val="left"/>
            </w:pPr>
            <w:r>
              <w:rPr>
                <w:b/>
                <w:color w:val="FFFFFF"/>
                <w:sz w:val="18"/>
              </w:rPr>
              <w:t xml:space="preserve">Channels</w:t>
            </w:r>
          </w:p>
        </w:tc>
        <w:tc>
          <w:tcPr>
            <w:tcW w:w="2572" w:type="dxa"/>
            <w:shd w:val="clear" w:color="auto" w:fill="1F3A5F"/>
          </w:tcPr>
          <w:p>
            <w:pPr>
              <w:pStyle w:val="Compact"/>
              <w:spacing w:after="40"/>
              <w:jc w:val="left"/>
            </w:pPr>
            <w:r>
              <w:rPr>
                <w:b/>
                <w:color w:val="FFFFFF"/>
                <w:sz w:val="18"/>
              </w:rPr>
              <w:t xml:space="preserve">Sender and notes</w:t>
            </w:r>
          </w:p>
        </w:tc>
      </w:tr>
      <w:tr>
        <w:tc>
          <w:tcPr>
            <w:tcW w:w="2410" w:type="dxa"/>
          </w:tcPr>
          <w:p>
            <w:pPr>
              <w:pStyle w:val="Compact"/>
              <w:spacing w:after="40"/>
              <w:jc w:val="left"/>
            </w:pPr>
            <w:r>
              <w:rPr>
                <w:sz w:val="18"/>
              </w:rPr>
              <w:t xml:space="preserve">Login; new device bound; contact change</w:t>
            </w:r>
          </w:p>
        </w:tc>
        <w:tc>
          <w:tcPr>
            <w:tcW w:w="1990" w:type="dxa"/>
          </w:tcPr>
          <w:p>
            <w:pPr>
              <w:pStyle w:val="Compact"/>
              <w:spacing w:after="40"/>
              <w:jc w:val="left"/>
            </w:pPr>
            <w:r>
              <w:rPr>
                <w:sz w:val="18"/>
              </w:rPr>
              <w:t xml:space="preserve">OTP;</w:t>
            </w:r>
            <w:r>
              <w:rPr>
                <w:sz w:val="18"/>
              </w:rPr>
              <w:t xml:space="preserve"> </w:t>
            </w:r>
            <w:r>
              <w:rPr>
                <w:sz w:val="18"/>
              </w:rPr>
              <w:t xml:space="preserve">“</w:t>
            </w:r>
            <w:r>
              <w:rPr>
                <w:sz w:val="18"/>
              </w:rPr>
              <w:t xml:space="preserve">A new device was added</w:t>
            </w:r>
            <w:r>
              <w:rPr>
                <w:sz w:val="18"/>
              </w:rPr>
              <w:t xml:space="preserve">”</w:t>
            </w:r>
            <w:r>
              <w:rPr>
                <w:sz w:val="18"/>
              </w:rPr>
              <w:t xml:space="preserve"> </w:t>
            </w:r>
            <w:r>
              <w:rPr>
                <w:sz w:val="18"/>
              </w:rPr>
              <w:t xml:space="preserve">with</w:t>
            </w:r>
            <w:r>
              <w:rPr>
                <w:sz w:val="18"/>
              </w:rPr>
              <w:t xml:space="preserve"> </w:t>
            </w:r>
            <w:r>
              <w:rPr>
                <w:bCs/>
                <w:b/>
                <w:sz w:val="18"/>
              </w:rPr>
              <w:t xml:space="preserve">Not me</w:t>
            </w:r>
          </w:p>
        </w:tc>
        <w:tc>
          <w:tcPr>
            <w:tcW w:w="1125" w:type="dxa"/>
          </w:tcPr>
          <w:p>
            <w:pPr>
              <w:pStyle w:val="Compact"/>
              <w:spacing w:after="40"/>
              <w:jc w:val="left"/>
            </w:pPr>
            <w:r>
              <w:rPr>
                <w:sz w:val="18"/>
              </w:rPr>
              <w:t xml:space="preserve">Security</w:t>
            </w:r>
          </w:p>
        </w:tc>
        <w:tc>
          <w:tcPr>
            <w:tcW w:w="1541" w:type="dxa"/>
          </w:tcPr>
          <w:p>
            <w:pPr>
              <w:pStyle w:val="Compact"/>
              <w:spacing w:after="40"/>
              <w:jc w:val="left"/>
            </w:pPr>
            <w:r>
              <w:rPr>
                <w:sz w:val="18"/>
              </w:rPr>
              <w:t xml:space="preserve">SMS; email and push to other devices</w:t>
            </w:r>
          </w:p>
        </w:tc>
        <w:tc>
          <w:tcPr>
            <w:tcW w:w="2572" w:type="dxa"/>
          </w:tcPr>
          <w:p>
            <w:pPr>
              <w:pStyle w:val="Compact"/>
              <w:spacing w:after="40"/>
              <w:jc w:val="left"/>
            </w:pPr>
            <w:r>
              <w:rPr>
                <w:sz w:val="18"/>
              </w:rPr>
              <w:t xml:space="preserve">Udofin; DPS para 68(6) baseline</w:t>
            </w:r>
          </w:p>
        </w:tc>
      </w:tr>
      <w:tr>
        <w:tc>
          <w:tcPr>
            <w:tcW w:w="2410" w:type="dxa"/>
          </w:tcPr>
          <w:p>
            <w:pPr>
              <w:pStyle w:val="Compact"/>
              <w:spacing w:after="40"/>
              <w:jc w:val="left"/>
            </w:pPr>
            <w:r>
              <w:rPr>
                <w:rStyle w:val="VerbatimChar"/>
                <w:sz w:val="18"/>
              </w:rPr>
              <w:t xml:space="preserve">ApplicationStatusChanged</w:t>
            </w:r>
            <w:r>
              <w:rPr>
                <w:sz w:val="18"/>
              </w:rPr>
              <w:t xml:space="preserve">,</w:t>
            </w:r>
            <w:r>
              <w:rPr>
                <w:sz w:val="18"/>
              </w:rPr>
              <w:t xml:space="preserve"> </w:t>
            </w:r>
            <w:r>
              <w:rPr>
                <w:rStyle w:val="VerbatimChar"/>
                <w:sz w:val="18"/>
              </w:rPr>
              <w:t xml:space="preserve">DecisionMade</w:t>
            </w:r>
            <w:r>
              <w:rPr>
                <w:sz w:val="18"/>
              </w:rPr>
              <w:t xml:space="preserve">,</w:t>
            </w:r>
            <w:r>
              <w:rPr>
                <w:sz w:val="18"/>
              </w:rPr>
              <w:t xml:space="preserve"> </w:t>
            </w:r>
            <w:r>
              <w:rPr>
                <w:rStyle w:val="VerbatimChar"/>
                <w:sz w:val="18"/>
              </w:rPr>
              <w:t xml:space="preserve">AdditionalInfoRequested</w:t>
            </w:r>
          </w:p>
        </w:tc>
        <w:tc>
          <w:tcPr>
            <w:tcW w:w="1990" w:type="dxa"/>
          </w:tcPr>
          <w:p>
            <w:pPr>
              <w:pStyle w:val="Compact"/>
              <w:spacing w:after="40"/>
              <w:jc w:val="left"/>
            </w:pPr>
            <w:r>
              <w:rPr>
                <w:sz w:val="18"/>
              </w:rPr>
              <w:t xml:space="preserve">Status in plain words; task with due date and one reminder</w:t>
            </w:r>
          </w:p>
        </w:tc>
        <w:tc>
          <w:tcPr>
            <w:tcW w:w="1125" w:type="dxa"/>
          </w:tcPr>
          <w:p>
            <w:pPr>
              <w:pStyle w:val="Compact"/>
              <w:spacing w:after="40"/>
              <w:jc w:val="left"/>
            </w:pPr>
            <w:r>
              <w:rPr>
                <w:sz w:val="18"/>
              </w:rPr>
              <w:t xml:space="preserve">Service</w:t>
            </w:r>
          </w:p>
        </w:tc>
        <w:tc>
          <w:tcPr>
            <w:tcW w:w="1541" w:type="dxa"/>
          </w:tcPr>
          <w:p>
            <w:pPr>
              <w:pStyle w:val="Compact"/>
              <w:spacing w:after="40"/>
              <w:jc w:val="left"/>
            </w:pPr>
            <w:r>
              <w:rPr>
                <w:sz w:val="18"/>
              </w:rPr>
              <w:t xml:space="preserve">Push, SMS, in-app</w:t>
            </w:r>
          </w:p>
        </w:tc>
        <w:tc>
          <w:tcPr>
            <w:tcW w:w="2572" w:type="dxa"/>
          </w:tcPr>
          <w:p>
            <w:pPr>
              <w:pStyle w:val="Compact"/>
              <w:spacing w:after="40"/>
              <w:jc w:val="left"/>
            </w:pPr>
            <w:r>
              <w:rPr>
                <w:sz w:val="18"/>
              </w:rPr>
              <w:t xml:space="preserve">Udofin for [RE name]; reason codes only in app</w:t>
            </w:r>
          </w:p>
        </w:tc>
      </w:tr>
      <w:tr>
        <w:tc>
          <w:tcPr>
            <w:tcW w:w="2410" w:type="dxa"/>
          </w:tcPr>
          <w:p>
            <w:pPr>
              <w:pStyle w:val="Compact"/>
              <w:spacing w:after="40"/>
              <w:jc w:val="left"/>
            </w:pPr>
            <w:r>
              <w:rPr>
                <w:rStyle w:val="VerbatimChar"/>
                <w:sz w:val="18"/>
              </w:rPr>
              <w:t xml:space="preserve">KFSIssued</w:t>
            </w:r>
            <w:r>
              <w:rPr>
                <w:sz w:val="18"/>
              </w:rPr>
              <w:t xml:space="preserve">; 1 working day before validity ends</w:t>
            </w:r>
          </w:p>
        </w:tc>
        <w:tc>
          <w:tcPr>
            <w:tcW w:w="1990" w:type="dxa"/>
          </w:tcPr>
          <w:p>
            <w:pPr>
              <w:pStyle w:val="Compact"/>
              <w:spacing w:after="40"/>
              <w:jc w:val="left"/>
            </w:pPr>
            <w:r>
              <w:rPr>
                <w:sz w:val="18"/>
              </w:rPr>
              <w:t xml:space="preserve">KFS ready,</w:t>
            </w:r>
            <w:r>
              <w:rPr>
                <w:sz w:val="18"/>
              </w:rPr>
              <w:t xml:space="preserve"> </w:t>
            </w:r>
            <w:r>
              <w:rPr>
                <w:sz w:val="18"/>
              </w:rPr>
              <w:t xml:space="preserve">“</w:t>
            </w:r>
            <w:r>
              <w:rPr>
                <w:sz w:val="18"/>
              </w:rPr>
              <w:t xml:space="preserve">valid until [date]</w:t>
            </w:r>
            <w:r>
              <w:rPr>
                <w:sz w:val="18"/>
              </w:rPr>
              <w:t xml:space="preserve">”</w:t>
            </w:r>
            <w:r>
              <w:rPr>
                <w:sz w:val="18"/>
              </w:rPr>
              <w:t xml:space="preserve">; one reminder</w:t>
            </w:r>
          </w:p>
        </w:tc>
        <w:tc>
          <w:tcPr>
            <w:tcW w:w="1125" w:type="dxa"/>
          </w:tcPr>
          <w:p>
            <w:pPr>
              <w:pStyle w:val="Compact"/>
              <w:spacing w:after="40"/>
              <w:jc w:val="left"/>
            </w:pPr>
            <w:r>
              <w:rPr>
                <w:sz w:val="18"/>
              </w:rPr>
              <w:t xml:space="preserve">Service</w:t>
            </w:r>
          </w:p>
        </w:tc>
        <w:tc>
          <w:tcPr>
            <w:tcW w:w="1541" w:type="dxa"/>
          </w:tcPr>
          <w:p>
            <w:pPr>
              <w:pStyle w:val="Compact"/>
              <w:spacing w:after="40"/>
              <w:jc w:val="left"/>
            </w:pPr>
            <w:r>
              <w:rPr>
                <w:sz w:val="18"/>
              </w:rPr>
              <w:t xml:space="preserve">Push, SMS, email</w:t>
            </w:r>
          </w:p>
        </w:tc>
        <w:tc>
          <w:tcPr>
            <w:tcW w:w="2572" w:type="dxa"/>
          </w:tcPr>
          <w:p>
            <w:pPr>
              <w:pStyle w:val="Compact"/>
              <w:spacing w:after="40"/>
              <w:jc w:val="left"/>
            </w:pPr>
            <w:r>
              <w:rPr>
                <w:sz w:val="18"/>
              </w:rPr>
              <w:t xml:space="preserve">RE template; no urgency language</w:t>
            </w:r>
          </w:p>
        </w:tc>
      </w:tr>
      <w:tr>
        <w:tc>
          <w:tcPr>
            <w:tcW w:w="2410" w:type="dxa"/>
          </w:tcPr>
          <w:p>
            <w:pPr>
              <w:pStyle w:val="Compact"/>
              <w:spacing w:after="40"/>
              <w:jc w:val="left"/>
            </w:pPr>
            <w:r>
              <w:rPr>
                <w:rStyle w:val="VerbatimChar"/>
                <w:sz w:val="18"/>
              </w:rPr>
              <w:t xml:space="preserve">ESignCompleted</w:t>
            </w:r>
            <w:r>
              <w:rPr>
                <w:sz w:val="18"/>
              </w:rPr>
              <w:t xml:space="preserve">,</w:t>
            </w:r>
            <w:r>
              <w:rPr>
                <w:sz w:val="18"/>
              </w:rPr>
              <w:t xml:space="preserve"> </w:t>
            </w:r>
            <w:r>
              <w:rPr>
                <w:rStyle w:val="VerbatimChar"/>
                <w:sz w:val="18"/>
              </w:rPr>
              <w:t xml:space="preserve">EStampCompleted</w:t>
            </w:r>
          </w:p>
        </w:tc>
        <w:tc>
          <w:tcPr>
            <w:tcW w:w="1990" w:type="dxa"/>
          </w:tcPr>
          <w:p>
            <w:pPr>
              <w:pStyle w:val="Compact"/>
              <w:spacing w:after="40"/>
              <w:jc w:val="left"/>
            </w:pPr>
            <w:r>
              <w:rPr>
                <w:sz w:val="18"/>
              </w:rPr>
              <w:t xml:space="preserve">Execution complete; RE-signed pack delivered</w:t>
            </w:r>
          </w:p>
        </w:tc>
        <w:tc>
          <w:tcPr>
            <w:tcW w:w="1125" w:type="dxa"/>
          </w:tcPr>
          <w:p>
            <w:pPr>
              <w:pStyle w:val="Compact"/>
              <w:spacing w:after="40"/>
              <w:jc w:val="left"/>
            </w:pPr>
            <w:r>
              <w:rPr>
                <w:sz w:val="18"/>
              </w:rPr>
              <w:t xml:space="preserve">Transactional</w:t>
            </w:r>
          </w:p>
        </w:tc>
        <w:tc>
          <w:tcPr>
            <w:tcW w:w="1541" w:type="dxa"/>
          </w:tcPr>
          <w:p>
            <w:pPr>
              <w:pStyle w:val="Compact"/>
              <w:spacing w:after="40"/>
              <w:jc w:val="left"/>
            </w:pPr>
            <w:r>
              <w:rPr>
                <w:sz w:val="18"/>
              </w:rPr>
              <w:t xml:space="preserve">Email; SMS link</w:t>
            </w:r>
          </w:p>
        </w:tc>
        <w:tc>
          <w:tcPr>
            <w:tcW w:w="2572" w:type="dxa"/>
          </w:tcPr>
          <w:p>
            <w:pPr>
              <w:pStyle w:val="Compact"/>
              <w:spacing w:after="40"/>
              <w:jc w:val="left"/>
            </w:pPr>
            <w:r>
              <w:rPr>
                <w:sz w:val="18"/>
              </w:rPr>
              <w:t xml:space="preserve">RE, or Udofin on its behalf (CF para 9(3))</w:t>
            </w:r>
          </w:p>
        </w:tc>
      </w:tr>
      <w:tr>
        <w:tc>
          <w:tcPr>
            <w:tcW w:w="2410" w:type="dxa"/>
          </w:tcPr>
          <w:p>
            <w:pPr>
              <w:pStyle w:val="Compact"/>
              <w:spacing w:after="40"/>
              <w:jc w:val="left"/>
            </w:pPr>
            <w:r>
              <w:rPr>
                <w:rStyle w:val="VerbatimChar"/>
                <w:sz w:val="18"/>
              </w:rPr>
              <w:t xml:space="preserve">MandateRegistered</w:t>
            </w:r>
            <w:r>
              <w:rPr>
                <w:sz w:val="18"/>
              </w:rPr>
              <w:t xml:space="preserve"> </w:t>
            </w:r>
            <w:r>
              <w:rPr>
                <w:sz w:val="18"/>
              </w:rPr>
              <w:t xml:space="preserve">or failure</w:t>
            </w:r>
          </w:p>
        </w:tc>
        <w:tc>
          <w:tcPr>
            <w:tcW w:w="1990" w:type="dxa"/>
          </w:tcPr>
          <w:p>
            <w:pPr>
              <w:pStyle w:val="Compact"/>
              <w:spacing w:after="40"/>
              <w:jc w:val="left"/>
            </w:pPr>
            <w:r>
              <w:rPr>
                <w:sz w:val="18"/>
              </w:rPr>
              <w:t xml:space="preserve">AutoPay status and next step</w:t>
            </w:r>
          </w:p>
        </w:tc>
        <w:tc>
          <w:tcPr>
            <w:tcW w:w="1125" w:type="dxa"/>
          </w:tcPr>
          <w:p>
            <w:pPr>
              <w:pStyle w:val="Compact"/>
              <w:spacing w:after="40"/>
              <w:jc w:val="left"/>
            </w:pPr>
            <w:r>
              <w:rPr>
                <w:sz w:val="18"/>
              </w:rPr>
              <w:t xml:space="preserve">Service</w:t>
            </w:r>
          </w:p>
        </w:tc>
        <w:tc>
          <w:tcPr>
            <w:tcW w:w="1541" w:type="dxa"/>
          </w:tcPr>
          <w:p>
            <w:pPr>
              <w:pStyle w:val="Compact"/>
              <w:spacing w:after="40"/>
              <w:jc w:val="left"/>
            </w:pPr>
            <w:r>
              <w:rPr>
                <w:sz w:val="18"/>
              </w:rPr>
              <w:t xml:space="preserve">Push, SMS</w:t>
            </w:r>
          </w:p>
        </w:tc>
        <w:tc>
          <w:tcPr>
            <w:tcW w:w="2572" w:type="dxa"/>
          </w:tcPr>
          <w:p>
            <w:pPr>
              <w:pStyle w:val="Compact"/>
              <w:spacing w:after="40"/>
              <w:jc w:val="left"/>
            </w:pPr>
            <w:r>
              <w:rPr>
                <w:sz w:val="18"/>
              </w:rPr>
              <w:t xml:space="preserve">RE template</w:t>
            </w:r>
          </w:p>
        </w:tc>
      </w:tr>
      <w:tr>
        <w:tc>
          <w:tcPr>
            <w:tcW w:w="2410" w:type="dxa"/>
          </w:tcPr>
          <w:p>
            <w:pPr>
              <w:pStyle w:val="Compact"/>
              <w:spacing w:after="40"/>
              <w:jc w:val="left"/>
            </w:pPr>
            <w:r>
              <w:rPr>
                <w:rStyle w:val="VerbatimChar"/>
                <w:sz w:val="18"/>
              </w:rPr>
              <w:t xml:space="preserve">LoanDisbursed</w:t>
            </w:r>
            <w:r>
              <w:rPr>
                <w:sz w:val="18"/>
              </w:rPr>
              <w:t xml:space="preserve">,</w:t>
            </w:r>
            <w:r>
              <w:rPr>
                <w:sz w:val="18"/>
              </w:rPr>
              <w:t xml:space="preserve"> </w:t>
            </w:r>
            <w:r>
              <w:rPr>
                <w:rStyle w:val="VerbatimChar"/>
                <w:sz w:val="18"/>
              </w:rPr>
              <w:t xml:space="preserve">DisbursementFailed</w:t>
            </w:r>
          </w:p>
        </w:tc>
        <w:tc>
          <w:tcPr>
            <w:tcW w:w="1990" w:type="dxa"/>
          </w:tcPr>
          <w:p>
            <w:pPr>
              <w:pStyle w:val="Compact"/>
              <w:spacing w:after="40"/>
              <w:jc w:val="left"/>
            </w:pPr>
            <w:r>
              <w:rPr>
                <w:sz w:val="18"/>
              </w:rPr>
              <w:t xml:space="preserve">Amount and date, cooling-off end date and exit right; or the RE’s next step</w:t>
            </w:r>
          </w:p>
        </w:tc>
        <w:tc>
          <w:tcPr>
            <w:tcW w:w="1125" w:type="dxa"/>
          </w:tcPr>
          <w:p>
            <w:pPr>
              <w:pStyle w:val="Compact"/>
              <w:spacing w:after="40"/>
              <w:jc w:val="left"/>
            </w:pPr>
            <w:r>
              <w:rPr>
                <w:sz w:val="18"/>
              </w:rPr>
              <w:t xml:space="preserve">Service</w:t>
            </w:r>
          </w:p>
        </w:tc>
        <w:tc>
          <w:tcPr>
            <w:tcW w:w="1541" w:type="dxa"/>
          </w:tcPr>
          <w:p>
            <w:pPr>
              <w:pStyle w:val="Compact"/>
              <w:spacing w:after="40"/>
              <w:jc w:val="left"/>
            </w:pPr>
            <w:r>
              <w:rPr>
                <w:sz w:val="18"/>
              </w:rPr>
              <w:t xml:space="preserve">SMS, push, email</w:t>
            </w:r>
          </w:p>
        </w:tc>
        <w:tc>
          <w:tcPr>
            <w:tcW w:w="2572" w:type="dxa"/>
          </w:tcPr>
          <w:p>
            <w:pPr>
              <w:pStyle w:val="Compact"/>
              <w:spacing w:after="40"/>
              <w:jc w:val="left"/>
            </w:pPr>
            <w:r>
              <w:rPr>
                <w:sz w:val="18"/>
              </w:rPr>
              <w:t xml:space="preserve">RE template; cooling-off display starts (Part 5.2)</w:t>
            </w:r>
          </w:p>
        </w:tc>
      </w:tr>
      <w:tr>
        <w:tc>
          <w:tcPr>
            <w:tcW w:w="2410" w:type="dxa"/>
          </w:tcPr>
          <w:p>
            <w:pPr>
              <w:pStyle w:val="Compact"/>
              <w:spacing w:after="40"/>
              <w:jc w:val="left"/>
            </w:pPr>
            <w:r>
              <w:rPr>
                <w:sz w:val="18"/>
              </w:rPr>
              <w:t xml:space="preserve">Cooling-off: 1 day before end</w:t>
            </w:r>
          </w:p>
        </w:tc>
        <w:tc>
          <w:tcPr>
            <w:tcW w:w="1990" w:type="dxa"/>
          </w:tcPr>
          <w:p>
            <w:pPr>
              <w:pStyle w:val="Compact"/>
              <w:spacing w:after="40"/>
              <w:jc w:val="left"/>
            </w:pPr>
            <w:r>
              <w:rPr>
                <w:sz w:val="18"/>
              </w:rPr>
              <w:t xml:space="preserve">“</w:t>
            </w:r>
            <w:r>
              <w:rPr>
                <w:sz w:val="18"/>
              </w:rPr>
              <w:t xml:space="preserve">You can still exit until [date]</w:t>
            </w:r>
            <w:r>
              <w:rPr>
                <w:sz w:val="18"/>
              </w:rPr>
              <w:t xml:space="preserve">”</w:t>
            </w:r>
          </w:p>
        </w:tc>
        <w:tc>
          <w:tcPr>
            <w:tcW w:w="1125" w:type="dxa"/>
          </w:tcPr>
          <w:p>
            <w:pPr>
              <w:pStyle w:val="Compact"/>
              <w:spacing w:after="40"/>
              <w:jc w:val="left"/>
            </w:pPr>
            <w:r>
              <w:rPr>
                <w:sz w:val="18"/>
              </w:rPr>
              <w:t xml:space="preserve">Service</w:t>
            </w:r>
          </w:p>
        </w:tc>
        <w:tc>
          <w:tcPr>
            <w:tcW w:w="1541" w:type="dxa"/>
          </w:tcPr>
          <w:p>
            <w:pPr>
              <w:pStyle w:val="Compact"/>
              <w:spacing w:after="40"/>
              <w:jc w:val="left"/>
            </w:pPr>
            <w:r>
              <w:rPr>
                <w:sz w:val="18"/>
              </w:rPr>
              <w:t xml:space="preserve">Push, in-app</w:t>
            </w:r>
          </w:p>
        </w:tc>
        <w:tc>
          <w:tcPr>
            <w:tcW w:w="2572" w:type="dxa"/>
          </w:tcPr>
          <w:p>
            <w:pPr>
              <w:pStyle w:val="Compact"/>
              <w:spacing w:after="40"/>
              <w:jc w:val="left"/>
            </w:pPr>
            <w:r>
              <w:rPr>
                <w:sz w:val="18"/>
              </w:rPr>
              <w:t xml:space="preserve">Udofin for [RE name] (CF para 11)</w:t>
            </w:r>
          </w:p>
        </w:tc>
      </w:tr>
      <w:tr>
        <w:tc>
          <w:tcPr>
            <w:tcW w:w="2410" w:type="dxa"/>
          </w:tcPr>
          <w:p>
            <w:pPr>
              <w:pStyle w:val="Compact"/>
              <w:spacing w:after="40"/>
              <w:jc w:val="left"/>
            </w:pPr>
            <w:r>
              <w:rPr>
                <w:rStyle w:val="VerbatimChar"/>
                <w:sz w:val="18"/>
              </w:rPr>
              <w:t xml:space="preserve">DueReminderTrigger</w:t>
            </w:r>
            <w:r>
              <w:rPr>
                <w:sz w:val="18"/>
              </w:rPr>
              <w:t xml:space="preserve">,</w:t>
            </w:r>
            <w:r>
              <w:rPr>
                <w:sz w:val="18"/>
              </w:rPr>
              <w:t xml:space="preserve"> </w:t>
            </w:r>
            <w:r>
              <w:rPr>
                <w:rStyle w:val="VerbatimChar"/>
                <w:sz w:val="18"/>
              </w:rPr>
              <w:t xml:space="preserve">ScheduleChanged</w:t>
            </w:r>
          </w:p>
        </w:tc>
        <w:tc>
          <w:tcPr>
            <w:tcW w:w="1990" w:type="dxa"/>
          </w:tcPr>
          <w:p>
            <w:pPr>
              <w:pStyle w:val="Compact"/>
              <w:spacing w:after="40"/>
              <w:jc w:val="left"/>
            </w:pPr>
            <w:r>
              <w:rPr>
                <w:sz w:val="18"/>
              </w:rPr>
              <w:t xml:space="preserve">Pre-due reminder with amount, date and penal charge; change of terms</w:t>
            </w:r>
          </w:p>
        </w:tc>
        <w:tc>
          <w:tcPr>
            <w:tcW w:w="1125" w:type="dxa"/>
          </w:tcPr>
          <w:p>
            <w:pPr>
              <w:pStyle w:val="Compact"/>
              <w:spacing w:after="40"/>
              <w:jc w:val="left"/>
            </w:pPr>
            <w:r>
              <w:rPr>
                <w:sz w:val="18"/>
              </w:rPr>
              <w:t xml:space="preserve">Service</w:t>
            </w:r>
          </w:p>
        </w:tc>
        <w:tc>
          <w:tcPr>
            <w:tcW w:w="1541" w:type="dxa"/>
          </w:tcPr>
          <w:p>
            <w:pPr>
              <w:pStyle w:val="Compact"/>
              <w:spacing w:after="40"/>
              <w:jc w:val="left"/>
            </w:pPr>
            <w:r>
              <w:rPr>
                <w:sz w:val="18"/>
              </w:rPr>
              <w:t xml:space="preserve">Push, SMS, WhatsApp (never recovery), email</w:t>
            </w:r>
          </w:p>
        </w:tc>
        <w:tc>
          <w:tcPr>
            <w:tcW w:w="2572" w:type="dxa"/>
          </w:tcPr>
          <w:p>
            <w:pPr>
              <w:pStyle w:val="Compact"/>
              <w:spacing w:after="40"/>
              <w:jc w:val="left"/>
            </w:pPr>
            <w:r>
              <w:rPr>
                <w:sz w:val="18"/>
              </w:rPr>
              <w:t xml:space="preserve">RE template (RBC paras 15, 30)</w:t>
            </w:r>
          </w:p>
        </w:tc>
      </w:tr>
      <w:tr>
        <w:tc>
          <w:tcPr>
            <w:tcW w:w="2410" w:type="dxa"/>
          </w:tcPr>
          <w:p>
            <w:pPr>
              <w:pStyle w:val="Compact"/>
              <w:spacing w:after="40"/>
              <w:jc w:val="left"/>
            </w:pPr>
            <w:r>
              <w:rPr>
                <w:rStyle w:val="VerbatimChar"/>
                <w:sz w:val="18"/>
              </w:rPr>
              <w:t xml:space="preserve">PaymentReceived</w:t>
            </w:r>
            <w:r>
              <w:rPr>
                <w:sz w:val="18"/>
              </w:rPr>
              <w:t xml:space="preserve">,</w:t>
            </w:r>
            <w:r>
              <w:rPr>
                <w:sz w:val="18"/>
              </w:rPr>
              <w:t xml:space="preserve"> </w:t>
            </w:r>
            <w:r>
              <w:rPr>
                <w:rStyle w:val="VerbatimChar"/>
                <w:sz w:val="18"/>
              </w:rPr>
              <w:t xml:space="preserve">PaymentBounced</w:t>
            </w:r>
          </w:p>
        </w:tc>
        <w:tc>
          <w:tcPr>
            <w:tcW w:w="1990" w:type="dxa"/>
          </w:tcPr>
          <w:p>
            <w:pPr>
              <w:pStyle w:val="Compact"/>
              <w:spacing w:after="40"/>
              <w:jc w:val="left"/>
            </w:pPr>
            <w:r>
              <w:rPr>
                <w:sz w:val="18"/>
              </w:rPr>
              <w:t xml:space="preserve">RE receipt available; bounce with the RE’s charges and options</w:t>
            </w:r>
          </w:p>
        </w:tc>
        <w:tc>
          <w:tcPr>
            <w:tcW w:w="1125" w:type="dxa"/>
          </w:tcPr>
          <w:p>
            <w:pPr>
              <w:pStyle w:val="Compact"/>
              <w:spacing w:after="40"/>
              <w:jc w:val="left"/>
            </w:pPr>
            <w:r>
              <w:rPr>
                <w:sz w:val="18"/>
              </w:rPr>
              <w:t xml:space="preserve">Transactional or service</w:t>
            </w:r>
          </w:p>
        </w:tc>
        <w:tc>
          <w:tcPr>
            <w:tcW w:w="1541" w:type="dxa"/>
          </w:tcPr>
          <w:p>
            <w:pPr>
              <w:pStyle w:val="Compact"/>
              <w:spacing w:after="40"/>
              <w:jc w:val="left"/>
            </w:pPr>
            <w:r>
              <w:rPr>
                <w:sz w:val="18"/>
              </w:rPr>
              <w:t xml:space="preserve">Push, SMS, in-app</w:t>
            </w:r>
          </w:p>
        </w:tc>
        <w:tc>
          <w:tcPr>
            <w:tcW w:w="2572" w:type="dxa"/>
          </w:tcPr>
          <w:p>
            <w:pPr>
              <w:pStyle w:val="Compact"/>
              <w:spacing w:after="40"/>
              <w:jc w:val="left"/>
            </w:pPr>
            <w:r>
              <w:rPr>
                <w:sz w:val="18"/>
              </w:rPr>
              <w:t xml:space="preserve">RE; Udofin’s acknowledgement reads</w:t>
            </w:r>
            <w:r>
              <w:rPr>
                <w:sz w:val="18"/>
              </w:rPr>
              <w:t xml:space="preserve"> </w:t>
            </w:r>
            <w:r>
              <w:rPr>
                <w:sz w:val="18"/>
              </w:rPr>
              <w:t xml:space="preserve">“</w:t>
            </w:r>
            <w:r>
              <w:rPr>
                <w:sz w:val="18"/>
              </w:rPr>
              <w:t xml:space="preserve">payment initiated</w:t>
            </w:r>
            <w:r>
              <w:rPr>
                <w:sz w:val="18"/>
              </w:rPr>
              <w:t xml:space="preserve">”</w:t>
            </w:r>
            <w:r>
              <w:rPr>
                <w:sz w:val="18"/>
              </w:rPr>
              <w:t xml:space="preserve"> </w:t>
            </w:r>
            <w:r>
              <w:rPr>
                <w:sz w:val="18"/>
              </w:rPr>
              <w:t xml:space="preserve">until the receipt</w:t>
            </w:r>
          </w:p>
        </w:tc>
      </w:tr>
      <w:tr>
        <w:tc>
          <w:tcPr>
            <w:tcW w:w="2410" w:type="dxa"/>
          </w:tcPr>
          <w:p>
            <w:pPr>
              <w:pStyle w:val="Compact"/>
              <w:spacing w:after="40"/>
              <w:jc w:val="left"/>
            </w:pPr>
            <w:r>
              <w:rPr>
                <w:rStyle w:val="VerbatimChar"/>
                <w:sz w:val="18"/>
              </w:rPr>
              <w:t xml:space="preserve">DPDChanged</w:t>
            </w:r>
            <w:r>
              <w:rPr>
                <w:sz w:val="18"/>
              </w:rPr>
              <w:t xml:space="preserve"> </w:t>
            </w:r>
            <w:r>
              <w:rPr>
                <w:sz w:val="18"/>
              </w:rPr>
              <w:t xml:space="preserve">(overdue)</w:t>
            </w:r>
          </w:p>
        </w:tc>
        <w:tc>
          <w:tcPr>
            <w:tcW w:w="1990" w:type="dxa"/>
          </w:tcPr>
          <w:p>
            <w:pPr>
              <w:pStyle w:val="Compact"/>
              <w:spacing w:after="40"/>
              <w:jc w:val="left"/>
            </w:pPr>
            <w:r>
              <w:rPr>
                <w:sz w:val="18"/>
              </w:rPr>
              <w:t xml:space="preserve">Overdue reminder linking to the authenticated centre</w:t>
            </w:r>
          </w:p>
        </w:tc>
        <w:tc>
          <w:tcPr>
            <w:tcW w:w="1125" w:type="dxa"/>
          </w:tcPr>
          <w:p>
            <w:pPr>
              <w:pStyle w:val="Compact"/>
              <w:spacing w:after="40"/>
              <w:jc w:val="left"/>
            </w:pPr>
            <w:r>
              <w:rPr>
                <w:sz w:val="18"/>
              </w:rPr>
              <w:t xml:space="preserve">Recovery</w:t>
            </w:r>
          </w:p>
        </w:tc>
        <w:tc>
          <w:tcPr>
            <w:tcW w:w="1541" w:type="dxa"/>
          </w:tcPr>
          <w:p>
            <w:pPr>
              <w:pStyle w:val="Compact"/>
              <w:spacing w:after="40"/>
              <w:jc w:val="left"/>
            </w:pPr>
            <w:r>
              <w:rPr>
                <w:sz w:val="18"/>
              </w:rPr>
              <w:t xml:space="preserve">SMS, push (no amount), in-app</w:t>
            </w:r>
          </w:p>
        </w:tc>
        <w:tc>
          <w:tcPr>
            <w:tcW w:w="2572" w:type="dxa"/>
          </w:tcPr>
          <w:p>
            <w:pPr>
              <w:pStyle w:val="Compact"/>
              <w:spacing w:after="40"/>
              <w:jc w:val="left"/>
            </w:pPr>
            <w:r>
              <w:rPr>
                <w:sz w:val="18"/>
              </w:rPr>
              <w:t xml:space="preserve">RE template; windows and caps per G.11.1</w:t>
            </w:r>
          </w:p>
        </w:tc>
      </w:tr>
      <w:tr>
        <w:tc>
          <w:tcPr>
            <w:tcW w:w="2410" w:type="dxa"/>
          </w:tcPr>
          <w:p>
            <w:pPr>
              <w:pStyle w:val="Compact"/>
              <w:spacing w:after="40"/>
              <w:jc w:val="left"/>
            </w:pPr>
            <w:r>
              <w:rPr>
                <w:rStyle w:val="VerbatimChar"/>
                <w:sz w:val="18"/>
              </w:rPr>
              <w:t xml:space="preserve">CollectionAllocated</w:t>
            </w:r>
          </w:p>
        </w:tc>
        <w:tc>
          <w:tcPr>
            <w:tcW w:w="1990" w:type="dxa"/>
          </w:tcPr>
          <w:p>
            <w:pPr>
              <w:pStyle w:val="Compact"/>
              <w:spacing w:after="40"/>
              <w:jc w:val="left"/>
            </w:pPr>
            <w:r>
              <w:rPr>
                <w:sz w:val="18"/>
              </w:rPr>
              <w:t xml:space="preserve">Agent particulars before first contact</w:t>
            </w:r>
          </w:p>
        </w:tc>
        <w:tc>
          <w:tcPr>
            <w:tcW w:w="1125" w:type="dxa"/>
          </w:tcPr>
          <w:p>
            <w:pPr>
              <w:pStyle w:val="Compact"/>
              <w:spacing w:after="40"/>
              <w:jc w:val="left"/>
            </w:pPr>
            <w:r>
              <w:rPr>
                <w:sz w:val="18"/>
              </w:rPr>
              <w:t xml:space="preserve">Recovery</w:t>
            </w:r>
          </w:p>
        </w:tc>
        <w:tc>
          <w:tcPr>
            <w:tcW w:w="1541" w:type="dxa"/>
          </w:tcPr>
          <w:p>
            <w:pPr>
              <w:pStyle w:val="Compact"/>
              <w:spacing w:after="40"/>
              <w:jc w:val="left"/>
            </w:pPr>
            <w:r>
              <w:rPr>
                <w:sz w:val="18"/>
              </w:rPr>
              <w:t xml:space="preserve">SMS and email</w:t>
            </w:r>
          </w:p>
        </w:tc>
        <w:tc>
          <w:tcPr>
            <w:tcW w:w="2572" w:type="dxa"/>
          </w:tcPr>
          <w:p>
            <w:pPr>
              <w:pStyle w:val="Compact"/>
              <w:spacing w:after="40"/>
              <w:jc w:val="left"/>
            </w:pPr>
            <w:r>
              <w:rPr>
                <w:sz w:val="18"/>
              </w:rPr>
              <w:t xml:space="preserve">RE or Udofin on its behalf; hard gate (CF para 9(6)); from 1 Jan 2027 at least 1 day before a visit (para 100L) [VERIFY]</w:t>
            </w:r>
          </w:p>
        </w:tc>
      </w:tr>
      <w:tr>
        <w:tc>
          <w:tcPr>
            <w:tcW w:w="2410" w:type="dxa"/>
          </w:tcPr>
          <w:p>
            <w:pPr>
              <w:pStyle w:val="Compact"/>
              <w:spacing w:after="40"/>
              <w:jc w:val="left"/>
            </w:pPr>
            <w:r>
              <w:rPr>
                <w:rStyle w:val="VerbatimChar"/>
                <w:sz w:val="18"/>
              </w:rPr>
              <w:t xml:space="preserve">LegalNoticeIssued</w:t>
            </w:r>
            <w:r>
              <w:rPr>
                <w:sz w:val="18"/>
              </w:rPr>
              <w:t xml:space="preserve">;</w:t>
            </w:r>
            <w:r>
              <w:rPr>
                <w:sz w:val="18"/>
              </w:rPr>
              <w:t xml:space="preserve"> </w:t>
            </w:r>
            <w:r>
              <w:rPr>
                <w:rStyle w:val="VerbatimChar"/>
                <w:sz w:val="18"/>
              </w:rPr>
              <w:t xml:space="preserve">SettlementOfferIssued</w:t>
            </w:r>
            <w:r>
              <w:rPr>
                <w:sz w:val="18"/>
              </w:rPr>
              <w:t xml:space="preserve"> </w:t>
            </w:r>
            <w:r>
              <w:rPr>
                <w:sz w:val="18"/>
              </w:rPr>
              <w:t xml:space="preserve">and 2 days before its validity ends</w:t>
            </w:r>
          </w:p>
        </w:tc>
        <w:tc>
          <w:tcPr>
            <w:tcW w:w="1990" w:type="dxa"/>
          </w:tcPr>
          <w:p>
            <w:pPr>
              <w:pStyle w:val="Compact"/>
              <w:spacing w:after="40"/>
              <w:jc w:val="left"/>
            </w:pPr>
            <w:r>
              <w:rPr>
                <w:sz w:val="18"/>
              </w:rPr>
              <w:t xml:space="preserve">“</w:t>
            </w:r>
            <w:r>
              <w:rPr>
                <w:sz w:val="18"/>
              </w:rPr>
              <w:t xml:space="preserve">You have a new notice from [RE name]</w:t>
            </w:r>
            <w:r>
              <w:rPr>
                <w:sz w:val="18"/>
              </w:rPr>
              <w:t xml:space="preserve">”</w:t>
            </w:r>
            <w:r>
              <w:rPr>
                <w:sz w:val="18"/>
              </w:rPr>
              <w:t xml:space="preserve">; offer available</w:t>
            </w:r>
          </w:p>
        </w:tc>
        <w:tc>
          <w:tcPr>
            <w:tcW w:w="1125" w:type="dxa"/>
          </w:tcPr>
          <w:p>
            <w:pPr>
              <w:pStyle w:val="Compact"/>
              <w:spacing w:after="40"/>
              <w:jc w:val="left"/>
            </w:pPr>
            <w:r>
              <w:rPr>
                <w:sz w:val="18"/>
              </w:rPr>
              <w:t xml:space="preserve">Recovery</w:t>
            </w:r>
          </w:p>
        </w:tc>
        <w:tc>
          <w:tcPr>
            <w:tcW w:w="1541" w:type="dxa"/>
          </w:tcPr>
          <w:p>
            <w:pPr>
              <w:pStyle w:val="Compact"/>
              <w:spacing w:after="40"/>
              <w:jc w:val="left"/>
            </w:pPr>
            <w:r>
              <w:rPr>
                <w:sz w:val="18"/>
              </w:rPr>
              <w:t xml:space="preserve">In-app, SMS link, email; push without content</w:t>
            </w:r>
          </w:p>
        </w:tc>
        <w:tc>
          <w:tcPr>
            <w:tcW w:w="2572" w:type="dxa"/>
          </w:tcPr>
          <w:p>
            <w:pPr>
              <w:pStyle w:val="Compact"/>
              <w:spacing w:after="40"/>
              <w:jc w:val="left"/>
            </w:pPr>
            <w:r>
              <w:rPr>
                <w:sz w:val="18"/>
              </w:rPr>
              <w:t xml:space="preserve">“</w:t>
            </w:r>
            <w:r>
              <w:rPr>
                <w:sz w:val="18"/>
              </w:rPr>
              <w:t xml:space="preserve">Delivered by Udofin, LSP of [RE name]</w:t>
            </w:r>
            <w:r>
              <w:rPr>
                <w:sz w:val="18"/>
              </w:rPr>
              <w:t xml:space="preserve">”</w:t>
            </w:r>
            <w:r>
              <w:rPr>
                <w:sz w:val="18"/>
              </w:rPr>
              <w:t xml:space="preserve">; never</w:t>
            </w:r>
            <w:r>
              <w:rPr>
                <w:sz w:val="18"/>
              </w:rPr>
              <w:t xml:space="preserve"> </w:t>
            </w:r>
            <w:r>
              <w:rPr>
                <w:sz w:val="18"/>
              </w:rPr>
              <w:t xml:space="preserve">“</w:t>
            </w:r>
            <w:r>
              <w:rPr>
                <w:sz w:val="18"/>
              </w:rPr>
              <w:t xml:space="preserve">served</w:t>
            </w:r>
            <w:r>
              <w:rPr>
                <w:sz w:val="18"/>
              </w:rPr>
              <w:t xml:space="preserve">”</w:t>
            </w:r>
            <w:r>
              <w:rPr>
                <w:sz w:val="18"/>
              </w:rPr>
              <w:t xml:space="preserve">; no false urgency</w:t>
            </w:r>
          </w:p>
        </w:tc>
      </w:tr>
      <w:tr>
        <w:tc>
          <w:tcPr>
            <w:tcW w:w="2410" w:type="dxa"/>
          </w:tcPr>
          <w:p>
            <w:pPr>
              <w:pStyle w:val="Compact"/>
              <w:spacing w:after="40"/>
              <w:jc w:val="left"/>
            </w:pPr>
            <w:r>
              <w:rPr>
                <w:rStyle w:val="VerbatimChar"/>
                <w:sz w:val="18"/>
              </w:rPr>
              <w:t xml:space="preserve">ADRHearingScheduled</w:t>
            </w:r>
          </w:p>
        </w:tc>
        <w:tc>
          <w:tcPr>
            <w:tcW w:w="1990" w:type="dxa"/>
          </w:tcPr>
          <w:p>
            <w:pPr>
              <w:pStyle w:val="Compact"/>
              <w:spacing w:after="40"/>
              <w:jc w:val="left"/>
            </w:pPr>
            <w:r>
              <w:rPr>
                <w:sz w:val="18"/>
              </w:rPr>
              <w:t xml:space="preserve">Hearing date; reminder at least 3 days before</w:t>
            </w:r>
          </w:p>
        </w:tc>
        <w:tc>
          <w:tcPr>
            <w:tcW w:w="1125" w:type="dxa"/>
          </w:tcPr>
          <w:p>
            <w:pPr>
              <w:pStyle w:val="Compact"/>
              <w:spacing w:after="40"/>
              <w:jc w:val="left"/>
            </w:pPr>
            <w:r>
              <w:rPr>
                <w:sz w:val="18"/>
              </w:rPr>
              <w:t xml:space="preserve">Service</w:t>
            </w:r>
          </w:p>
        </w:tc>
        <w:tc>
          <w:tcPr>
            <w:tcW w:w="1541" w:type="dxa"/>
          </w:tcPr>
          <w:p>
            <w:pPr>
              <w:pStyle w:val="Compact"/>
              <w:spacing w:after="40"/>
              <w:jc w:val="left"/>
            </w:pPr>
            <w:r>
              <w:rPr>
                <w:sz w:val="18"/>
              </w:rPr>
              <w:t xml:space="preserve">Push, SMS, email</w:t>
            </w:r>
          </w:p>
        </w:tc>
        <w:tc>
          <w:tcPr>
            <w:tcW w:w="2572" w:type="dxa"/>
          </w:tcPr>
          <w:p>
            <w:pPr>
              <w:pStyle w:val="Compact"/>
              <w:spacing w:after="40"/>
              <w:jc w:val="left"/>
            </w:pPr>
            <w:r>
              <w:rPr>
                <w:sz w:val="18"/>
              </w:rPr>
              <w:t xml:space="preserve">Udofin for [RE name] (UR2)</w:t>
            </w:r>
          </w:p>
        </w:tc>
      </w:tr>
      <w:tr>
        <w:tc>
          <w:tcPr>
            <w:tcW w:w="2410" w:type="dxa"/>
          </w:tcPr>
          <w:p>
            <w:pPr>
              <w:pStyle w:val="Compact"/>
              <w:spacing w:after="40"/>
              <w:jc w:val="left"/>
            </w:pPr>
            <w:r>
              <w:rPr>
                <w:rStyle w:val="VerbatimChar"/>
                <w:sz w:val="18"/>
              </w:rPr>
              <w:t xml:space="preserve">GrievanceRaised</w:t>
            </w:r>
            <w:r>
              <w:rPr>
                <w:sz w:val="18"/>
              </w:rPr>
              <w:t xml:space="preserve">,</w:t>
            </w:r>
            <w:r>
              <w:rPr>
                <w:sz w:val="18"/>
              </w:rPr>
              <w:t xml:space="preserve"> </w:t>
            </w:r>
            <w:r>
              <w:rPr>
                <w:rStyle w:val="VerbatimChar"/>
                <w:sz w:val="18"/>
              </w:rPr>
              <w:t xml:space="preserve">GrievanceUpdated</w:t>
            </w:r>
            <w:r>
              <w:rPr>
                <w:sz w:val="18"/>
              </w:rPr>
              <w:t xml:space="preserve">,</w:t>
            </w:r>
            <w:r>
              <w:rPr>
                <w:sz w:val="18"/>
              </w:rPr>
              <w:t xml:space="preserve"> </w:t>
            </w:r>
            <w:r>
              <w:rPr>
                <w:rStyle w:val="VerbatimChar"/>
                <w:sz w:val="18"/>
              </w:rPr>
              <w:t xml:space="preserve">GrievanceEscalated</w:t>
            </w:r>
            <w:r>
              <w:rPr>
                <w:sz w:val="18"/>
              </w:rPr>
              <w:t xml:space="preserve">; external window 30, 14 and 3 days before close (opt-in)</w:t>
            </w:r>
          </w:p>
        </w:tc>
        <w:tc>
          <w:tcPr>
            <w:tcW w:w="1990" w:type="dxa"/>
          </w:tcPr>
          <w:p>
            <w:pPr>
              <w:pStyle w:val="Compact"/>
              <w:spacing w:after="40"/>
              <w:jc w:val="left"/>
            </w:pPr>
            <w:r>
              <w:rPr>
                <w:sz w:val="18"/>
              </w:rPr>
              <w:t xml:space="preserve">Reference; forwarding, reply and escalation updates; window reminders</w:t>
            </w:r>
          </w:p>
        </w:tc>
        <w:tc>
          <w:tcPr>
            <w:tcW w:w="1125" w:type="dxa"/>
          </w:tcPr>
          <w:p>
            <w:pPr>
              <w:pStyle w:val="Compact"/>
              <w:spacing w:after="40"/>
              <w:jc w:val="left"/>
            </w:pPr>
            <w:r>
              <w:rPr>
                <w:sz w:val="18"/>
              </w:rPr>
              <w:t xml:space="preserve">Transactional or service</w:t>
            </w:r>
          </w:p>
        </w:tc>
        <w:tc>
          <w:tcPr>
            <w:tcW w:w="1541" w:type="dxa"/>
          </w:tcPr>
          <w:p>
            <w:pPr>
              <w:pStyle w:val="Compact"/>
              <w:spacing w:after="40"/>
              <w:jc w:val="left"/>
            </w:pPr>
            <w:r>
              <w:rPr>
                <w:sz w:val="18"/>
              </w:rPr>
              <w:t xml:space="preserve">In-app; push and SMS without content</w:t>
            </w:r>
          </w:p>
        </w:tc>
        <w:tc>
          <w:tcPr>
            <w:tcW w:w="2572" w:type="dxa"/>
          </w:tcPr>
          <w:p>
            <w:pPr>
              <w:pStyle w:val="Compact"/>
              <w:spacing w:after="40"/>
              <w:jc w:val="left"/>
            </w:pPr>
            <w:r>
              <w:rPr>
                <w:sz w:val="18"/>
              </w:rPr>
              <w:t xml:space="preserve">Udofin (UB3)</w:t>
            </w:r>
          </w:p>
        </w:tc>
      </w:tr>
      <w:tr>
        <w:tc>
          <w:tcPr>
            <w:tcW w:w="2410" w:type="dxa"/>
          </w:tcPr>
          <w:p>
            <w:pPr>
              <w:pStyle w:val="Compact"/>
              <w:spacing w:after="40"/>
              <w:jc w:val="left"/>
            </w:pPr>
            <w:r>
              <w:rPr>
                <w:rStyle w:val="VerbatimChar"/>
                <w:sz w:val="18"/>
              </w:rPr>
              <w:t xml:space="preserve">DocumentShared</w:t>
            </w:r>
            <w:r>
              <w:rPr>
                <w:sz w:val="18"/>
              </w:rPr>
              <w:t xml:space="preserve">,</w:t>
            </w:r>
            <w:r>
              <w:rPr>
                <w:sz w:val="18"/>
              </w:rPr>
              <w:t xml:space="preserve"> </w:t>
            </w:r>
            <w:r>
              <w:rPr>
                <w:rStyle w:val="VerbatimChar"/>
                <w:sz w:val="18"/>
              </w:rPr>
              <w:t xml:space="preserve">NOCIssued</w:t>
            </w:r>
            <w:r>
              <w:rPr>
                <w:sz w:val="18"/>
              </w:rPr>
              <w:t xml:space="preserve">,</w:t>
            </w:r>
            <w:r>
              <w:rPr>
                <w:sz w:val="18"/>
              </w:rPr>
              <w:t xml:space="preserve"> </w:t>
            </w:r>
            <w:r>
              <w:rPr>
                <w:rStyle w:val="VerbatimChar"/>
                <w:sz w:val="18"/>
              </w:rPr>
              <w:t xml:space="preserve">InterestCertificateIssued</w:t>
            </w:r>
            <w:r>
              <w:rPr>
                <w:sz w:val="18"/>
              </w:rPr>
              <w:t xml:space="preserve">; document-release clock day 25</w:t>
            </w:r>
          </w:p>
        </w:tc>
        <w:tc>
          <w:tcPr>
            <w:tcW w:w="1990" w:type="dxa"/>
          </w:tcPr>
          <w:p>
            <w:pPr>
              <w:pStyle w:val="Compact"/>
              <w:spacing w:after="40"/>
              <w:jc w:val="left"/>
            </w:pPr>
            <w:r>
              <w:rPr>
                <w:sz w:val="18"/>
              </w:rPr>
              <w:t xml:space="preserve">Document available; status of original documents</w:t>
            </w:r>
          </w:p>
        </w:tc>
        <w:tc>
          <w:tcPr>
            <w:tcW w:w="1125" w:type="dxa"/>
          </w:tcPr>
          <w:p>
            <w:pPr>
              <w:pStyle w:val="Compact"/>
              <w:spacing w:after="40"/>
              <w:jc w:val="left"/>
            </w:pPr>
            <w:r>
              <w:rPr>
                <w:sz w:val="18"/>
              </w:rPr>
              <w:t xml:space="preserve">Service</w:t>
            </w:r>
          </w:p>
        </w:tc>
        <w:tc>
          <w:tcPr>
            <w:tcW w:w="1541" w:type="dxa"/>
          </w:tcPr>
          <w:p>
            <w:pPr>
              <w:pStyle w:val="Compact"/>
              <w:spacing w:after="40"/>
              <w:jc w:val="left"/>
            </w:pPr>
            <w:r>
              <w:rPr>
                <w:sz w:val="18"/>
              </w:rPr>
              <w:t xml:space="preserve">Push, email, SMS</w:t>
            </w:r>
          </w:p>
        </w:tc>
        <w:tc>
          <w:tcPr>
            <w:tcW w:w="2572" w:type="dxa"/>
          </w:tcPr>
          <w:p>
            <w:pPr>
              <w:pStyle w:val="Compact"/>
              <w:spacing w:after="40"/>
              <w:jc w:val="left"/>
            </w:pPr>
            <w:r>
              <w:rPr>
                <w:sz w:val="18"/>
              </w:rPr>
              <w:t xml:space="preserve">Udofin for [RE name]; download needs step-up (RBC para 35)</w:t>
            </w:r>
          </w:p>
        </w:tc>
      </w:tr>
      <w:tr>
        <w:tc>
          <w:tcPr>
            <w:tcW w:w="2410" w:type="dxa"/>
          </w:tcPr>
          <w:p>
            <w:pPr>
              <w:pStyle w:val="Compact"/>
              <w:spacing w:after="40"/>
              <w:jc w:val="left"/>
            </w:pPr>
            <w:r>
              <w:rPr>
                <w:sz w:val="18"/>
              </w:rPr>
              <w:t xml:space="preserve">Original downloaded; data export generated</w:t>
            </w:r>
          </w:p>
        </w:tc>
        <w:tc>
          <w:tcPr>
            <w:tcW w:w="1990" w:type="dxa"/>
          </w:tcPr>
          <w:p>
            <w:pPr>
              <w:pStyle w:val="Compact"/>
              <w:spacing w:after="40"/>
              <w:jc w:val="left"/>
            </w:pPr>
            <w:r>
              <w:rPr>
                <w:sz w:val="18"/>
              </w:rPr>
              <w:t xml:space="preserve">Account-takeover alert</w:t>
            </w:r>
          </w:p>
        </w:tc>
        <w:tc>
          <w:tcPr>
            <w:tcW w:w="1125" w:type="dxa"/>
          </w:tcPr>
          <w:p>
            <w:pPr>
              <w:pStyle w:val="Compact"/>
              <w:spacing w:after="40"/>
              <w:jc w:val="left"/>
            </w:pPr>
            <w:r>
              <w:rPr>
                <w:sz w:val="18"/>
              </w:rPr>
              <w:t xml:space="preserve">Security</w:t>
            </w:r>
          </w:p>
        </w:tc>
        <w:tc>
          <w:tcPr>
            <w:tcW w:w="1541" w:type="dxa"/>
          </w:tcPr>
          <w:p>
            <w:pPr>
              <w:pStyle w:val="Compact"/>
              <w:spacing w:after="40"/>
              <w:jc w:val="left"/>
            </w:pPr>
            <w:r>
              <w:rPr>
                <w:sz w:val="18"/>
              </w:rPr>
              <w:t xml:space="preserve">All registered channels</w:t>
            </w:r>
          </w:p>
        </w:tc>
        <w:tc>
          <w:tcPr>
            <w:tcW w:w="2572" w:type="dxa"/>
          </w:tcPr>
          <w:p>
            <w:pPr>
              <w:pStyle w:val="Compact"/>
              <w:spacing w:after="40"/>
              <w:jc w:val="left"/>
            </w:pPr>
            <w:r>
              <w:rPr>
                <w:sz w:val="18"/>
              </w:rPr>
              <w:t xml:space="preserve">Udofin; cannot be switched off</w:t>
            </w:r>
          </w:p>
        </w:tc>
      </w:tr>
      <w:tr>
        <w:tc>
          <w:tcPr>
            <w:tcW w:w="2410" w:type="dxa"/>
          </w:tcPr>
          <w:p>
            <w:pPr>
              <w:pStyle w:val="Compact"/>
              <w:spacing w:after="40"/>
              <w:jc w:val="left"/>
            </w:pPr>
            <w:r>
              <w:rPr>
                <w:rStyle w:val="VerbatimChar"/>
                <w:sz w:val="18"/>
              </w:rPr>
              <w:t xml:space="preserve">LenderDealSuspended</w:t>
            </w:r>
            <w:r>
              <w:rPr>
                <w:sz w:val="18"/>
              </w:rPr>
              <w:t xml:space="preserve">,</w:t>
            </w:r>
            <w:r>
              <w:rPr>
                <w:sz w:val="18"/>
              </w:rPr>
              <w:t xml:space="preserve"> </w:t>
            </w:r>
            <w:r>
              <w:rPr>
                <w:rStyle w:val="VerbatimChar"/>
                <w:sz w:val="18"/>
              </w:rPr>
              <w:t xml:space="preserve">LenderDealTerminated</w:t>
            </w:r>
          </w:p>
        </w:tc>
        <w:tc>
          <w:tcPr>
            <w:tcW w:w="1990" w:type="dxa"/>
          </w:tcPr>
          <w:p>
            <w:pPr>
              <w:pStyle w:val="Compact"/>
              <w:spacing w:after="40"/>
              <w:jc w:val="left"/>
            </w:pPr>
            <w:r>
              <w:rPr>
                <w:sz w:val="18"/>
              </w:rPr>
              <w:t xml:space="preserve">RE-approved continuity notice; download end date 15 days before it ends</w:t>
            </w:r>
          </w:p>
        </w:tc>
        <w:tc>
          <w:tcPr>
            <w:tcW w:w="1125" w:type="dxa"/>
          </w:tcPr>
          <w:p>
            <w:pPr>
              <w:pStyle w:val="Compact"/>
              <w:spacing w:after="40"/>
              <w:jc w:val="left"/>
            </w:pPr>
            <w:r>
              <w:rPr>
                <w:sz w:val="18"/>
              </w:rPr>
              <w:t xml:space="preserve">Service</w:t>
            </w:r>
          </w:p>
        </w:tc>
        <w:tc>
          <w:tcPr>
            <w:tcW w:w="1541" w:type="dxa"/>
          </w:tcPr>
          <w:p>
            <w:pPr>
              <w:pStyle w:val="Compact"/>
              <w:spacing w:after="40"/>
              <w:jc w:val="left"/>
            </w:pPr>
            <w:r>
              <w:rPr>
                <w:sz w:val="18"/>
              </w:rPr>
              <w:t xml:space="preserve">Email, SMS, in-app</w:t>
            </w:r>
          </w:p>
        </w:tc>
        <w:tc>
          <w:tcPr>
            <w:tcW w:w="2572" w:type="dxa"/>
          </w:tcPr>
          <w:p>
            <w:pPr>
              <w:pStyle w:val="Compact"/>
              <w:spacing w:after="40"/>
              <w:jc w:val="left"/>
            </w:pPr>
            <w:r>
              <w:rPr>
                <w:sz w:val="18"/>
              </w:rPr>
              <w:t xml:space="preserve">RE text (UP5)</w:t>
            </w:r>
          </w:p>
        </w:tc>
      </w:tr>
      <w:tr>
        <w:tc>
          <w:tcPr>
            <w:tcW w:w="2410" w:type="dxa"/>
          </w:tcPr>
          <w:p>
            <w:pPr>
              <w:pStyle w:val="Compact"/>
              <w:spacing w:after="40"/>
              <w:jc w:val="left"/>
            </w:pPr>
            <w:r>
              <w:rPr>
                <w:rStyle w:val="VerbatimChar"/>
                <w:sz w:val="18"/>
              </w:rPr>
              <w:t xml:space="preserve">ConsentWithdrawn</w:t>
            </w:r>
            <w:r>
              <w:rPr>
                <w:sz w:val="18"/>
              </w:rPr>
              <w:t xml:space="preserve">, consent expiry</w:t>
            </w:r>
          </w:p>
        </w:tc>
        <w:tc>
          <w:tcPr>
            <w:tcW w:w="1990" w:type="dxa"/>
          </w:tcPr>
          <w:p>
            <w:pPr>
              <w:pStyle w:val="Compact"/>
              <w:spacing w:after="40"/>
              <w:jc w:val="left"/>
            </w:pPr>
            <w:r>
              <w:rPr>
                <w:sz w:val="18"/>
              </w:rPr>
              <w:t xml:space="preserve">Receipt or renewal prompt</w:t>
            </w:r>
          </w:p>
        </w:tc>
        <w:tc>
          <w:tcPr>
            <w:tcW w:w="1125" w:type="dxa"/>
          </w:tcPr>
          <w:p>
            <w:pPr>
              <w:pStyle w:val="Compact"/>
              <w:spacing w:after="40"/>
              <w:jc w:val="left"/>
            </w:pPr>
            <w:r>
              <w:rPr>
                <w:sz w:val="18"/>
              </w:rPr>
              <w:t xml:space="preserve">Service</w:t>
            </w:r>
          </w:p>
        </w:tc>
        <w:tc>
          <w:tcPr>
            <w:tcW w:w="1541" w:type="dxa"/>
          </w:tcPr>
          <w:p>
            <w:pPr>
              <w:pStyle w:val="Compact"/>
              <w:spacing w:after="40"/>
              <w:jc w:val="left"/>
            </w:pPr>
            <w:r>
              <w:rPr>
                <w:sz w:val="18"/>
              </w:rPr>
              <w:t xml:space="preserve">In-app, email</w:t>
            </w:r>
          </w:p>
        </w:tc>
        <w:tc>
          <w:tcPr>
            <w:tcW w:w="2572" w:type="dxa"/>
          </w:tcPr>
          <w:p>
            <w:pPr>
              <w:pStyle w:val="Compact"/>
              <w:spacing w:after="40"/>
              <w:jc w:val="left"/>
            </w:pPr>
            <w:r>
              <w:rPr>
                <w:sz w:val="18"/>
              </w:rPr>
              <w:t xml:space="preserve">Udofin; never a pre-ticked renewal</w:t>
            </w:r>
          </w:p>
        </w:tc>
      </w:tr>
      <w:tr>
        <w:tc>
          <w:tcPr>
            <w:tcW w:w="2410" w:type="dxa"/>
          </w:tcPr>
          <w:p>
            <w:pPr>
              <w:pStyle w:val="Compact"/>
              <w:spacing w:after="40"/>
              <w:jc w:val="left"/>
            </w:pPr>
            <w:r>
              <w:rPr>
                <w:sz w:val="18"/>
              </w:rPr>
              <w:t xml:space="preserve">FW1 monitoring alert</w:t>
            </w:r>
          </w:p>
        </w:tc>
        <w:tc>
          <w:tcPr>
            <w:tcW w:w="1990" w:type="dxa"/>
          </w:tcPr>
          <w:p>
            <w:pPr>
              <w:pStyle w:val="Compact"/>
              <w:spacing w:after="40"/>
              <w:jc w:val="left"/>
            </w:pPr>
            <w:r>
              <w:rPr>
                <w:sz w:val="18"/>
              </w:rPr>
              <w:t xml:space="preserve">“</w:t>
            </w:r>
            <w:r>
              <w:rPr>
                <w:sz w:val="18"/>
              </w:rPr>
              <w:t xml:space="preserve">There is an update in your credit report</w:t>
            </w:r>
            <w:r>
              <w:rPr>
                <w:sz w:val="18"/>
              </w:rPr>
              <w:t xml:space="preserve">”</w:t>
            </w:r>
            <w:r>
              <w:rPr>
                <w:sz w:val="18"/>
              </w:rPr>
              <w:t xml:space="preserve"> </w:t>
            </w:r>
            <w:r>
              <w:rPr>
                <w:sz w:val="18"/>
              </w:rPr>
              <w:t xml:space="preserve">only</w:t>
            </w:r>
          </w:p>
        </w:tc>
        <w:tc>
          <w:tcPr>
            <w:tcW w:w="1125" w:type="dxa"/>
          </w:tcPr>
          <w:p>
            <w:pPr>
              <w:pStyle w:val="Compact"/>
              <w:spacing w:after="40"/>
              <w:jc w:val="left"/>
            </w:pPr>
            <w:r>
              <w:rPr>
                <w:sz w:val="18"/>
              </w:rPr>
              <w:t xml:space="preserve">Service (opt-in)</w:t>
            </w:r>
          </w:p>
        </w:tc>
        <w:tc>
          <w:tcPr>
            <w:tcW w:w="1541" w:type="dxa"/>
          </w:tcPr>
          <w:p>
            <w:pPr>
              <w:pStyle w:val="Compact"/>
              <w:spacing w:after="40"/>
              <w:jc w:val="left"/>
            </w:pPr>
            <w:r>
              <w:rPr>
                <w:sz w:val="18"/>
              </w:rPr>
              <w:t xml:space="preserve">Push</w:t>
            </w:r>
          </w:p>
        </w:tc>
        <w:tc>
          <w:tcPr>
            <w:tcW w:w="2572" w:type="dxa"/>
          </w:tcPr>
          <w:p>
            <w:pPr>
              <w:pStyle w:val="Compact"/>
              <w:spacing w:after="40"/>
              <w:jc w:val="left"/>
            </w:pPr>
            <w:r>
              <w:rPr>
                <w:sz w:val="18"/>
              </w:rPr>
              <w:t xml:space="preserve">Udofin; no figures or lender names</w:t>
            </w:r>
          </w:p>
        </w:tc>
      </w:tr>
      <w:tr>
        <w:tc>
          <w:tcPr>
            <w:tcW w:w="2410" w:type="dxa"/>
          </w:tcPr>
          <w:p>
            <w:pPr>
              <w:pStyle w:val="Compact"/>
              <w:spacing w:after="40"/>
              <w:jc w:val="left"/>
            </w:pPr>
            <w:r>
              <w:rPr>
                <w:sz w:val="18"/>
              </w:rPr>
              <w:t xml:space="preserve">Plan renewal 7 days and 1 day before; 48 hours before each debit</w:t>
            </w:r>
          </w:p>
        </w:tc>
        <w:tc>
          <w:tcPr>
            <w:tcW w:w="1990" w:type="dxa"/>
          </w:tcPr>
          <w:p>
            <w:pPr>
              <w:pStyle w:val="Compact"/>
              <w:spacing w:after="40"/>
              <w:jc w:val="left"/>
            </w:pPr>
            <w:r>
              <w:rPr>
                <w:sz w:val="18"/>
              </w:rPr>
              <w:t xml:space="preserve">Renewal and debit notices</w:t>
            </w:r>
          </w:p>
        </w:tc>
        <w:tc>
          <w:tcPr>
            <w:tcW w:w="1125" w:type="dxa"/>
          </w:tcPr>
          <w:p>
            <w:pPr>
              <w:pStyle w:val="Compact"/>
              <w:spacing w:after="40"/>
              <w:jc w:val="left"/>
            </w:pPr>
            <w:r>
              <w:rPr>
                <w:sz w:val="18"/>
              </w:rPr>
              <w:t xml:space="preserve">Service</w:t>
            </w:r>
          </w:p>
        </w:tc>
        <w:tc>
          <w:tcPr>
            <w:tcW w:w="1541" w:type="dxa"/>
          </w:tcPr>
          <w:p>
            <w:pPr>
              <w:pStyle w:val="Compact"/>
              <w:spacing w:after="40"/>
              <w:jc w:val="left"/>
            </w:pPr>
            <w:r>
              <w:rPr>
                <w:sz w:val="18"/>
              </w:rPr>
              <w:t xml:space="preserve">Push, email, SMS</w:t>
            </w:r>
          </w:p>
        </w:tc>
        <w:tc>
          <w:tcPr>
            <w:tcW w:w="2572" w:type="dxa"/>
          </w:tcPr>
          <w:p>
            <w:pPr>
              <w:pStyle w:val="Compact"/>
              <w:spacing w:after="40"/>
              <w:jc w:val="left"/>
            </w:pPr>
            <w:r>
              <w:rPr>
                <w:sz w:val="18"/>
              </w:rPr>
              <w:t xml:space="preserve">Udofin; pre-debit notice cannot be switched off</w:t>
            </w:r>
          </w:p>
        </w:tc>
      </w:tr>
      <w:tr>
        <w:tc>
          <w:tcPr>
            <w:tcW w:w="2410" w:type="dxa"/>
          </w:tcPr>
          <w:p>
            <w:pPr>
              <w:pStyle w:val="Compact"/>
              <w:spacing w:after="40"/>
              <w:jc w:val="left"/>
            </w:pPr>
            <w:r>
              <w:rPr>
                <w:rStyle w:val="VerbatimChar"/>
                <w:sz w:val="18"/>
              </w:rPr>
              <w:t xml:space="preserve">PolicyIssued</w:t>
            </w:r>
            <w:r>
              <w:rPr>
                <w:sz w:val="18"/>
              </w:rPr>
              <w:t xml:space="preserve">; free-look 5 days before expiry; renewal 30 and 7 days before</w:t>
            </w:r>
          </w:p>
        </w:tc>
        <w:tc>
          <w:tcPr>
            <w:tcW w:w="1990" w:type="dxa"/>
          </w:tcPr>
          <w:p>
            <w:pPr>
              <w:pStyle w:val="Compact"/>
              <w:spacing w:after="40"/>
              <w:jc w:val="left"/>
            </w:pPr>
            <w:r>
              <w:rPr>
                <w:sz w:val="18"/>
              </w:rPr>
              <w:t xml:space="preserve">Policy and reminders</w:t>
            </w:r>
          </w:p>
        </w:tc>
        <w:tc>
          <w:tcPr>
            <w:tcW w:w="1125" w:type="dxa"/>
          </w:tcPr>
          <w:p>
            <w:pPr>
              <w:pStyle w:val="Compact"/>
              <w:spacing w:after="40"/>
              <w:jc w:val="left"/>
            </w:pPr>
            <w:r>
              <w:rPr>
                <w:sz w:val="18"/>
              </w:rPr>
              <w:t xml:space="preserve">Service</w:t>
            </w:r>
          </w:p>
        </w:tc>
        <w:tc>
          <w:tcPr>
            <w:tcW w:w="1541" w:type="dxa"/>
          </w:tcPr>
          <w:p>
            <w:pPr>
              <w:pStyle w:val="Compact"/>
              <w:spacing w:after="40"/>
              <w:jc w:val="left"/>
            </w:pPr>
            <w:r>
              <w:rPr>
                <w:sz w:val="18"/>
              </w:rPr>
              <w:t xml:space="preserve">Push, email, SMS</w:t>
            </w:r>
          </w:p>
        </w:tc>
        <w:tc>
          <w:tcPr>
            <w:tcW w:w="2572" w:type="dxa"/>
          </w:tcPr>
          <w:p>
            <w:pPr>
              <w:pStyle w:val="Compact"/>
              <w:spacing w:after="40"/>
              <w:jc w:val="left"/>
            </w:pPr>
            <w:r>
              <w:rPr>
                <w:sz w:val="18"/>
              </w:rPr>
              <w:t xml:space="preserve">Udofin with insurer documents (XP2)</w:t>
            </w:r>
          </w:p>
        </w:tc>
      </w:tr>
      <w:tr>
        <w:tc>
          <w:tcPr>
            <w:tcW w:w="2410" w:type="dxa"/>
          </w:tcPr>
          <w:p>
            <w:pPr>
              <w:pStyle w:val="Compact"/>
              <w:spacing w:after="40"/>
              <w:jc w:val="left"/>
            </w:pPr>
            <w:r>
              <w:rPr>
                <w:sz w:val="18"/>
              </w:rPr>
              <w:t xml:space="preserve">Campaigns and non-loan offers</w:t>
            </w:r>
          </w:p>
        </w:tc>
        <w:tc>
          <w:tcPr>
            <w:tcW w:w="1990" w:type="dxa"/>
          </w:tcPr>
          <w:p>
            <w:pPr>
              <w:pStyle w:val="Compact"/>
              <w:spacing w:after="40"/>
              <w:jc w:val="left"/>
            </w:pPr>
            <w:r>
              <w:rPr>
                <w:sz w:val="18"/>
              </w:rPr>
              <w:t xml:space="preserve">Promotion</w:t>
            </w:r>
          </w:p>
        </w:tc>
        <w:tc>
          <w:tcPr>
            <w:tcW w:w="1125" w:type="dxa"/>
          </w:tcPr>
          <w:p>
            <w:pPr>
              <w:pStyle w:val="Compact"/>
              <w:spacing w:after="40"/>
              <w:jc w:val="left"/>
            </w:pPr>
            <w:r>
              <w:rPr>
                <w:sz w:val="18"/>
              </w:rPr>
              <w:t xml:space="preserve">Promotional</w:t>
            </w:r>
          </w:p>
        </w:tc>
        <w:tc>
          <w:tcPr>
            <w:tcW w:w="1541" w:type="dxa"/>
          </w:tcPr>
          <w:p>
            <w:pPr>
              <w:pStyle w:val="Compact"/>
              <w:spacing w:after="40"/>
              <w:jc w:val="left"/>
            </w:pPr>
            <w:r>
              <w:rPr>
                <w:sz w:val="18"/>
              </w:rPr>
              <w:t xml:space="preserve">Consented channels only</w:t>
            </w:r>
          </w:p>
        </w:tc>
        <w:tc>
          <w:tcPr>
            <w:tcW w:w="2572" w:type="dxa"/>
          </w:tcPr>
          <w:p>
            <w:pPr>
              <w:pStyle w:val="Compact"/>
              <w:spacing w:after="40"/>
              <w:jc w:val="left"/>
            </w:pPr>
            <w:r>
              <w:rPr>
                <w:sz w:val="18"/>
              </w:rPr>
              <w:t xml:space="preserve">Udofin; suppressed during overdue, recovery, hardship, open grievance, cooling-off and 30 days after a microfinance disbursal</w:t>
            </w:r>
          </w:p>
        </w:tc>
      </w:tr>
    </w:tbl>
    <w:bookmarkEnd w:id="562"/>
    <w:bookmarkEnd w:id="563"/>
    <w:bookmarkStart w:id="564" w:name="g.12-menu-to-phase-build-map"/>
    <w:p>
      <w:pPr>
        <w:pStyle w:val="Heading2"/>
      </w:pPr>
      <w:r>
        <w:t xml:space="preserve">G.12 Menu-to-phase build map</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552"/>
        <w:gridCol w:w="1294"/>
        <w:gridCol w:w="1294"/>
        <w:gridCol w:w="2498"/>
      </w:tblGrid>
      <w:tr>
        <w:trPr>
          <w:tblHeader w:val="true"/>
          <w:tblHeader w:val="true"/>
        </w:trPr>
        <w:tc>
          <w:tcPr>
            <w:tcW w:w="4552" w:type="dxa"/>
            <w:shd w:val="clear" w:color="auto" w:fill="1F3A5F"/>
          </w:tcPr>
          <w:p>
            <w:pPr>
              <w:pStyle w:val="Compact"/>
              <w:spacing w:after="40"/>
              <w:jc w:val="left"/>
            </w:pPr>
            <w:r>
              <w:rPr>
                <w:b/>
                <w:color w:val="FFFFFF"/>
                <w:sz w:val="18"/>
              </w:rPr>
              <w:t xml:space="preserve">Area or menu</w:t>
            </w:r>
          </w:p>
        </w:tc>
        <w:tc>
          <w:tcPr>
            <w:tcW w:w="1294" w:type="dxa"/>
            <w:shd w:val="clear" w:color="auto" w:fill="1F3A5F"/>
          </w:tcPr>
          <w:p>
            <w:pPr>
              <w:pStyle w:val="Compact"/>
              <w:spacing w:after="40"/>
              <w:jc w:val="left"/>
            </w:pPr>
            <w:r>
              <w:rPr>
                <w:b/>
                <w:color w:val="FFFFFF"/>
                <w:sz w:val="18"/>
              </w:rPr>
              <w:t xml:space="preserve">Channel</w:t>
            </w:r>
          </w:p>
        </w:tc>
        <w:tc>
          <w:tcPr>
            <w:tcW w:w="1294" w:type="dxa"/>
            <w:shd w:val="clear" w:color="auto" w:fill="1F3A5F"/>
          </w:tcPr>
          <w:p>
            <w:pPr>
              <w:pStyle w:val="Compact"/>
              <w:spacing w:after="40"/>
              <w:jc w:val="left"/>
            </w:pPr>
            <w:r>
              <w:rPr>
                <w:b/>
                <w:color w:val="FFFFFF"/>
                <w:sz w:val="18"/>
              </w:rPr>
              <w:t xml:space="preserve">Phase</w:t>
            </w:r>
          </w:p>
        </w:tc>
        <w:tc>
          <w:tcPr>
            <w:tcW w:w="2498" w:type="dxa"/>
            <w:shd w:val="clear" w:color="auto" w:fill="1F3A5F"/>
          </w:tcPr>
          <w:p>
            <w:pPr>
              <w:pStyle w:val="Compact"/>
              <w:spacing w:after="40"/>
              <w:jc w:val="left"/>
            </w:pPr>
            <w:r>
              <w:rPr>
                <w:b/>
                <w:color w:val="FFFFFF"/>
                <w:sz w:val="18"/>
              </w:rPr>
              <w:t xml:space="preserve">Gate or condition</w:t>
            </w:r>
          </w:p>
        </w:tc>
      </w:tr>
      <w:tr>
        <w:tc>
          <w:tcPr>
            <w:tcW w:w="4552" w:type="dxa"/>
          </w:tcPr>
          <w:p>
            <w:pPr>
              <w:pStyle w:val="Compact"/>
              <w:spacing w:after="40"/>
              <w:jc w:val="left"/>
            </w:pPr>
            <w:r>
              <w:rPr>
                <w:sz w:val="18"/>
              </w:rPr>
              <w:t xml:space="preserve">Tab bar shell, tokens, global states,</w:t>
            </w:r>
            <w:r>
              <w:rPr>
                <w:sz w:val="18"/>
              </w:rPr>
              <w:t xml:space="preserve"> </w:t>
            </w:r>
            <w:r>
              <w:rPr>
                <w:rStyle w:val="VerbatimChar"/>
                <w:sz w:val="18"/>
              </w:rPr>
              <w:t xml:space="preserve">navigation.yaml</w:t>
            </w:r>
          </w:p>
        </w:tc>
        <w:tc>
          <w:tcPr>
            <w:tcW w:w="1294" w:type="dxa"/>
          </w:tcPr>
          <w:p>
            <w:pPr>
              <w:pStyle w:val="Compact"/>
              <w:spacing w:after="40"/>
              <w:jc w:val="left"/>
            </w:pPr>
            <w:r>
              <w:rPr>
                <w:sz w:val="18"/>
              </w:rPr>
              <w:t xml:space="preserve">A, B, C, D</w:t>
            </w:r>
          </w:p>
        </w:tc>
        <w:tc>
          <w:tcPr>
            <w:tcW w:w="1294" w:type="dxa"/>
          </w:tcPr>
          <w:p>
            <w:pPr>
              <w:pStyle w:val="Compact"/>
              <w:spacing w:after="40"/>
              <w:jc w:val="left"/>
            </w:pPr>
            <w:r>
              <w:rPr>
                <w:sz w:val="18"/>
              </w:rPr>
              <w:t xml:space="preserve">1</w:t>
            </w:r>
          </w:p>
        </w:tc>
        <w:tc>
          <w:tcPr>
            <w:tcW w:w="2498" w:type="dxa"/>
          </w:tcPr>
          <w:p>
            <w:pPr>
              <w:pStyle w:val="Compact"/>
              <w:spacing w:after="40"/>
              <w:jc w:val="left"/>
            </w:pPr>
            <w:r>
              <w:rPr>
                <w:sz w:val="18"/>
              </w:rPr>
              <w:t xml:space="preserve">Map approved (Appendix B item 42)</w:t>
            </w:r>
          </w:p>
        </w:tc>
      </w:tr>
      <w:tr>
        <w:tc>
          <w:tcPr>
            <w:tcW w:w="4552" w:type="dxa"/>
          </w:tcPr>
          <w:p>
            <w:pPr>
              <w:pStyle w:val="Compact"/>
              <w:spacing w:after="40"/>
              <w:jc w:val="left"/>
            </w:pPr>
            <w:r>
              <w:rPr>
                <w:sz w:val="18"/>
              </w:rPr>
              <w:t xml:space="preserve">Roles, guards, maker-checker, audit; channel F</w:t>
            </w:r>
          </w:p>
        </w:tc>
        <w:tc>
          <w:tcPr>
            <w:tcW w:w="1294" w:type="dxa"/>
          </w:tcPr>
          <w:p>
            <w:pPr>
              <w:pStyle w:val="Compact"/>
              <w:spacing w:after="40"/>
              <w:jc w:val="left"/>
            </w:pPr>
            <w:r>
              <w:rPr>
                <w:sz w:val="18"/>
              </w:rPr>
              <w:t xml:space="preserve">C, D, F</w:t>
            </w:r>
          </w:p>
        </w:tc>
        <w:tc>
          <w:tcPr>
            <w:tcW w:w="1294" w:type="dxa"/>
          </w:tcPr>
          <w:p>
            <w:pPr>
              <w:pStyle w:val="Compact"/>
              <w:spacing w:after="40"/>
              <w:jc w:val="left"/>
            </w:pPr>
            <w:r>
              <w:rPr>
                <w:sz w:val="18"/>
              </w:rPr>
              <w:t xml:space="preserve">2</w:t>
            </w:r>
          </w:p>
        </w:tc>
        <w:tc>
          <w:tcPr>
            <w:tcW w:w="2498" w:type="dxa"/>
          </w:tcPr>
          <w:p>
            <w:pPr>
              <w:pStyle w:val="Compact"/>
              <w:spacing w:after="40"/>
              <w:jc w:val="left"/>
            </w:pPr>
            <w:r>
              <w:rPr>
                <w:sz w:val="18"/>
              </w:rPr>
              <w:t xml:space="preserve">Isolation tests</w:t>
            </w:r>
          </w:p>
        </w:tc>
      </w:tr>
      <w:tr>
        <w:tc>
          <w:tcPr>
            <w:tcW w:w="4552" w:type="dxa"/>
          </w:tcPr>
          <w:p>
            <w:pPr>
              <w:pStyle w:val="Compact"/>
              <w:spacing w:after="40"/>
              <w:jc w:val="left"/>
            </w:pPr>
            <w:r>
              <w:rPr>
                <w:rStyle w:val="VerbatimChar"/>
                <w:sz w:val="18"/>
              </w:rPr>
              <w:t xml:space="preserve">Partners</w:t>
            </w:r>
            <w:r>
              <w:rPr>
                <w:sz w:val="18"/>
              </w:rPr>
              <w:t xml:space="preserve"> </w:t>
            </w:r>
            <w:r>
              <w:rPr>
                <w:sz w:val="18"/>
              </w:rPr>
              <w:t xml:space="preserve">workspace;</w:t>
            </w:r>
            <w:r>
              <w:rPr>
                <w:sz w:val="18"/>
              </w:rPr>
              <w:t xml:space="preserve"> </w:t>
            </w:r>
            <w:r>
              <w:rPr>
                <w:rStyle w:val="VerbatimChar"/>
                <w:sz w:val="18"/>
              </w:rPr>
              <w:t xml:space="preserve">Exports › Packs</w:t>
            </w:r>
            <w:r>
              <w:rPr>
                <w:sz w:val="18"/>
              </w:rPr>
              <w:t xml:space="preserve">; D</w:t>
            </w:r>
            <w:r>
              <w:rPr>
                <w:sz w:val="18"/>
              </w:rPr>
              <w:t xml:space="preserve"> </w:t>
            </w:r>
            <w:r>
              <w:rPr>
                <w:rStyle w:val="VerbatimChar"/>
                <w:sz w:val="18"/>
              </w:rPr>
              <w:t xml:space="preserve">Products</w:t>
            </w:r>
            <w:r>
              <w:rPr>
                <w:sz w:val="18"/>
              </w:rPr>
              <w:t xml:space="preserve">,</w:t>
            </w:r>
            <w:r>
              <w:rPr>
                <w:sz w:val="18"/>
              </w:rPr>
              <w:t xml:space="preserve"> </w:t>
            </w:r>
            <w:r>
              <w:rPr>
                <w:rStyle w:val="VerbatimChar"/>
                <w:sz w:val="18"/>
              </w:rPr>
              <w:t xml:space="preserve">Settings › Users and roles</w:t>
            </w:r>
          </w:p>
        </w:tc>
        <w:tc>
          <w:tcPr>
            <w:tcW w:w="1294" w:type="dxa"/>
          </w:tcPr>
          <w:p>
            <w:pPr>
              <w:pStyle w:val="Compact"/>
              <w:spacing w:after="40"/>
              <w:jc w:val="left"/>
            </w:pPr>
            <w:r>
              <w:rPr>
                <w:sz w:val="18"/>
              </w:rPr>
              <w:t xml:space="preserve">C, D</w:t>
            </w:r>
          </w:p>
        </w:tc>
        <w:tc>
          <w:tcPr>
            <w:tcW w:w="1294" w:type="dxa"/>
          </w:tcPr>
          <w:p>
            <w:pPr>
              <w:pStyle w:val="Compact"/>
              <w:spacing w:after="40"/>
              <w:jc w:val="left"/>
            </w:pPr>
            <w:r>
              <w:rPr>
                <w:sz w:val="18"/>
              </w:rPr>
              <w:t xml:space="preserve">3, 3c</w:t>
            </w:r>
          </w:p>
        </w:tc>
        <w:tc>
          <w:tcPr>
            <w:tcW w:w="2498" w:type="dxa"/>
          </w:tcPr>
          <w:p>
            <w:pPr>
              <w:pStyle w:val="Compact"/>
              <w:spacing w:after="40"/>
              <w:jc w:val="left"/>
            </w:pPr>
            <w:r>
              <w:rPr>
                <w:sz w:val="18"/>
              </w:rPr>
              <w:t xml:space="preserve">Deal gates; packs as source modules land</w:t>
            </w:r>
          </w:p>
        </w:tc>
      </w:tr>
      <w:tr>
        <w:tc>
          <w:tcPr>
            <w:tcW w:w="4552" w:type="dxa"/>
          </w:tcPr>
          <w:p>
            <w:pPr>
              <w:pStyle w:val="Compact"/>
              <w:spacing w:after="40"/>
              <w:jc w:val="left"/>
            </w:pPr>
            <w:r>
              <w:rPr>
                <w:rStyle w:val="VerbatimChar"/>
                <w:sz w:val="18"/>
              </w:rPr>
              <w:t xml:space="preserve">Communications › Templates</w:t>
            </w:r>
            <w:r>
              <w:rPr>
                <w:sz w:val="18"/>
              </w:rPr>
              <w:t xml:space="preserve">; consent screens;</w:t>
            </w:r>
            <w:r>
              <w:rPr>
                <w:sz w:val="18"/>
              </w:rPr>
              <w:t xml:space="preserve"> </w:t>
            </w:r>
            <w:r>
              <w:rPr>
                <w:rStyle w:val="VerbatimChar"/>
                <w:sz w:val="18"/>
              </w:rPr>
              <w:t xml:space="preserve">Settings › Notifications and marketing</w:t>
            </w:r>
          </w:p>
        </w:tc>
        <w:tc>
          <w:tcPr>
            <w:tcW w:w="1294" w:type="dxa"/>
          </w:tcPr>
          <w:p>
            <w:pPr>
              <w:pStyle w:val="Compact"/>
              <w:spacing w:after="40"/>
              <w:jc w:val="left"/>
            </w:pPr>
            <w:r>
              <w:rPr>
                <w:sz w:val="18"/>
              </w:rPr>
              <w:t xml:space="preserve">A, B, C</w:t>
            </w:r>
          </w:p>
        </w:tc>
        <w:tc>
          <w:tcPr>
            <w:tcW w:w="1294" w:type="dxa"/>
          </w:tcPr>
          <w:p>
            <w:pPr>
              <w:pStyle w:val="Compact"/>
              <w:spacing w:after="40"/>
              <w:jc w:val="left"/>
            </w:pPr>
            <w:r>
              <w:rPr>
                <w:sz w:val="18"/>
              </w:rPr>
              <w:t xml:space="preserve">3b</w:t>
            </w:r>
          </w:p>
        </w:tc>
        <w:tc>
          <w:tcPr>
            <w:tcW w:w="2498" w:type="dxa"/>
          </w:tcPr>
          <w:p>
            <w:pPr>
              <w:pStyle w:val="Compact"/>
              <w:spacing w:after="40"/>
              <w:jc w:val="left"/>
            </w:pPr>
            <w:r>
              <w:rPr>
                <w:sz w:val="18"/>
              </w:rPr>
              <w:t xml:space="preserve">Consent ledger live</w:t>
            </w:r>
          </w:p>
        </w:tc>
      </w:tr>
      <w:tr>
        <w:tc>
          <w:tcPr>
            <w:tcW w:w="4552" w:type="dxa"/>
          </w:tcPr>
          <w:p>
            <w:pPr>
              <w:pStyle w:val="Compact"/>
              <w:spacing w:after="40"/>
              <w:jc w:val="left"/>
            </w:pPr>
            <w:r>
              <w:rPr>
                <w:sz w:val="18"/>
              </w:rPr>
              <w:t xml:space="preserve">Start, OTP, binding,</w:t>
            </w:r>
            <w:r>
              <w:rPr>
                <w:sz w:val="18"/>
              </w:rPr>
              <w:t xml:space="preserve"> </w:t>
            </w:r>
            <w:r>
              <w:rPr>
                <w:rStyle w:val="VerbatimChar"/>
                <w:sz w:val="18"/>
              </w:rPr>
              <w:t xml:space="preserve">Account › Profile</w:t>
            </w:r>
            <w:r>
              <w:rPr>
                <w:sz w:val="18"/>
              </w:rPr>
              <w:t xml:space="preserve">,</w:t>
            </w:r>
            <w:r>
              <w:rPr>
                <w:sz w:val="18"/>
              </w:rPr>
              <w:t xml:space="preserve"> </w:t>
            </w:r>
            <w:r>
              <w:rPr>
                <w:rStyle w:val="VerbatimChar"/>
                <w:sz w:val="18"/>
              </w:rPr>
              <w:t xml:space="preserve">Settings › Security</w:t>
            </w:r>
            <w:r>
              <w:rPr>
                <w:sz w:val="18"/>
              </w:rPr>
              <w:t xml:space="preserve">; KYC; chooser to lender checks</w:t>
            </w:r>
          </w:p>
        </w:tc>
        <w:tc>
          <w:tcPr>
            <w:tcW w:w="1294" w:type="dxa"/>
          </w:tcPr>
          <w:p>
            <w:pPr>
              <w:pStyle w:val="Compact"/>
              <w:spacing w:after="40"/>
              <w:jc w:val="left"/>
            </w:pPr>
            <w:r>
              <w:rPr>
                <w:sz w:val="18"/>
              </w:rPr>
              <w:t xml:space="preserve">A, B</w:t>
            </w:r>
          </w:p>
        </w:tc>
        <w:tc>
          <w:tcPr>
            <w:tcW w:w="1294" w:type="dxa"/>
          </w:tcPr>
          <w:p>
            <w:pPr>
              <w:pStyle w:val="Compact"/>
              <w:spacing w:after="40"/>
              <w:jc w:val="left"/>
            </w:pPr>
            <w:r>
              <w:rPr>
                <w:sz w:val="18"/>
              </w:rPr>
              <w:t xml:space="preserve">4–6</w:t>
            </w:r>
          </w:p>
        </w:tc>
        <w:tc>
          <w:tcPr>
            <w:tcW w:w="2498" w:type="dxa"/>
          </w:tcPr>
          <w:p>
            <w:pPr>
              <w:pStyle w:val="Compact"/>
              <w:spacing w:after="40"/>
              <w:jc w:val="left"/>
            </w:pPr>
            <w:r>
              <w:rPr>
                <w:sz w:val="18"/>
              </w:rPr>
              <w:t xml:space="preserve">RE KYC route configured</w:t>
            </w:r>
          </w:p>
        </w:tc>
      </w:tr>
      <w:tr>
        <w:tc>
          <w:tcPr>
            <w:tcW w:w="4552" w:type="dxa"/>
          </w:tcPr>
          <w:p>
            <w:pPr>
              <w:pStyle w:val="Compact"/>
              <w:spacing w:after="40"/>
              <w:jc w:val="left"/>
            </w:pPr>
            <w:r>
              <w:rPr>
                <w:sz w:val="18"/>
              </w:rPr>
              <w:t xml:space="preserve">Offers, KFS, cooling-off card;</w:t>
            </w:r>
            <w:r>
              <w:rPr>
                <w:sz w:val="18"/>
              </w:rPr>
              <w:t xml:space="preserve"> </w:t>
            </w:r>
            <w:r>
              <w:rPr>
                <w:rStyle w:val="VerbatimChar"/>
                <w:sz w:val="18"/>
              </w:rPr>
              <w:t xml:space="preserve">Applications</w:t>
            </w:r>
          </w:p>
        </w:tc>
        <w:tc>
          <w:tcPr>
            <w:tcW w:w="1294" w:type="dxa"/>
          </w:tcPr>
          <w:p>
            <w:pPr>
              <w:pStyle w:val="Compact"/>
              <w:spacing w:after="40"/>
              <w:jc w:val="left"/>
            </w:pPr>
            <w:r>
              <w:rPr>
                <w:sz w:val="18"/>
              </w:rPr>
              <w:t xml:space="preserve">A, B, C, D</w:t>
            </w:r>
          </w:p>
        </w:tc>
        <w:tc>
          <w:tcPr>
            <w:tcW w:w="1294" w:type="dxa"/>
          </w:tcPr>
          <w:p>
            <w:pPr>
              <w:pStyle w:val="Compact"/>
              <w:spacing w:after="40"/>
              <w:jc w:val="left"/>
            </w:pPr>
            <w:r>
              <w:rPr>
                <w:sz w:val="18"/>
              </w:rPr>
              <w:t xml:space="preserve">7</w:t>
            </w:r>
          </w:p>
        </w:tc>
        <w:tc>
          <w:tcPr>
            <w:tcW w:w="2498" w:type="dxa"/>
          </w:tcPr>
          <w:p>
            <w:pPr>
              <w:pStyle w:val="Compact"/>
              <w:spacing w:after="40"/>
              <w:jc w:val="left"/>
            </w:pPr>
            <w:r>
              <w:rPr>
                <w:sz w:val="18"/>
              </w:rPr>
              <w:t xml:space="preserve">Neutrality suite green</w:t>
            </w:r>
          </w:p>
        </w:tc>
      </w:tr>
      <w:tr>
        <w:tc>
          <w:tcPr>
            <w:tcW w:w="4552" w:type="dxa"/>
          </w:tcPr>
          <w:p>
            <w:pPr>
              <w:pStyle w:val="Compact"/>
              <w:spacing w:after="40"/>
              <w:jc w:val="left"/>
            </w:pPr>
            <w:r>
              <w:rPr>
                <w:sz w:val="18"/>
              </w:rPr>
              <w:t xml:space="preserve">Sign step;</w:t>
            </w:r>
            <w:r>
              <w:rPr>
                <w:sz w:val="18"/>
              </w:rPr>
              <w:t xml:space="preserve"> </w:t>
            </w:r>
            <w:r>
              <w:rPr>
                <w:rStyle w:val="VerbatimChar"/>
                <w:sz w:val="18"/>
              </w:rPr>
              <w:t xml:space="preserve">Documents and data</w:t>
            </w:r>
            <w:r>
              <w:rPr>
                <w:sz w:val="18"/>
              </w:rPr>
              <w:t xml:space="preserve"> </w:t>
            </w:r>
            <w:r>
              <w:rPr>
                <w:sz w:val="18"/>
              </w:rPr>
              <w:t xml:space="preserve">(by loan, by type)</w:t>
            </w:r>
          </w:p>
        </w:tc>
        <w:tc>
          <w:tcPr>
            <w:tcW w:w="1294" w:type="dxa"/>
          </w:tcPr>
          <w:p>
            <w:pPr>
              <w:pStyle w:val="Compact"/>
              <w:spacing w:after="40"/>
              <w:jc w:val="left"/>
            </w:pPr>
            <w:r>
              <w:rPr>
                <w:sz w:val="18"/>
              </w:rPr>
              <w:t xml:space="preserve">A, B</w:t>
            </w:r>
          </w:p>
        </w:tc>
        <w:tc>
          <w:tcPr>
            <w:tcW w:w="1294" w:type="dxa"/>
          </w:tcPr>
          <w:p>
            <w:pPr>
              <w:pStyle w:val="Compact"/>
              <w:spacing w:after="40"/>
              <w:jc w:val="left"/>
            </w:pPr>
            <w:r>
              <w:rPr>
                <w:sz w:val="18"/>
              </w:rPr>
              <w:t xml:space="preserve">8</w:t>
            </w:r>
          </w:p>
        </w:tc>
        <w:tc>
          <w:tcPr>
            <w:tcW w:w="2498" w:type="dxa"/>
          </w:tcPr>
          <w:p>
            <w:pPr>
              <w:pStyle w:val="Compact"/>
              <w:spacing w:after="40"/>
              <w:jc w:val="left"/>
            </w:pPr>
            <w:r>
              <w:rPr>
                <w:sz w:val="18"/>
              </w:rPr>
              <w:t xml:space="preserve">ESP evidence</w:t>
            </w:r>
          </w:p>
        </w:tc>
      </w:tr>
      <w:tr>
        <w:tc>
          <w:tcPr>
            <w:tcW w:w="4552" w:type="dxa"/>
          </w:tcPr>
          <w:p>
            <w:pPr>
              <w:pStyle w:val="Compact"/>
              <w:spacing w:after="40"/>
              <w:jc w:val="left"/>
            </w:pPr>
            <w:r>
              <w:rPr>
                <w:sz w:val="18"/>
              </w:rPr>
              <w:t xml:space="preserve">Bank account, disbursal tracker;</w:t>
            </w:r>
            <w:r>
              <w:rPr>
                <w:sz w:val="18"/>
              </w:rPr>
              <w:t xml:space="preserve"> </w:t>
            </w:r>
            <w:r>
              <w:rPr>
                <w:rStyle w:val="VerbatimChar"/>
                <w:sz w:val="18"/>
              </w:rPr>
              <w:t xml:space="preserve">Integrations</w:t>
            </w:r>
            <w:r>
              <w:rPr>
                <w:sz w:val="18"/>
              </w:rPr>
              <w:t xml:space="preserve">; D</w:t>
            </w:r>
            <w:r>
              <w:rPr>
                <w:sz w:val="18"/>
              </w:rPr>
              <w:t xml:space="preserve"> </w:t>
            </w:r>
            <w:r>
              <w:rPr>
                <w:rStyle w:val="VerbatimChar"/>
                <w:sz w:val="18"/>
              </w:rPr>
              <w:t xml:space="preserve">Settings › Connectors and credentials</w:t>
            </w:r>
          </w:p>
        </w:tc>
        <w:tc>
          <w:tcPr>
            <w:tcW w:w="1294" w:type="dxa"/>
          </w:tcPr>
          <w:p>
            <w:pPr>
              <w:pStyle w:val="Compact"/>
              <w:spacing w:after="40"/>
              <w:jc w:val="left"/>
            </w:pPr>
            <w:r>
              <w:rPr>
                <w:sz w:val="18"/>
              </w:rPr>
              <w:t xml:space="preserve">A, B, C, D</w:t>
            </w:r>
          </w:p>
        </w:tc>
        <w:tc>
          <w:tcPr>
            <w:tcW w:w="1294" w:type="dxa"/>
          </w:tcPr>
          <w:p>
            <w:pPr>
              <w:pStyle w:val="Compact"/>
              <w:spacing w:after="40"/>
              <w:jc w:val="left"/>
            </w:pPr>
            <w:r>
              <w:rPr>
                <w:sz w:val="18"/>
              </w:rPr>
              <w:t xml:space="preserve">9</w:t>
            </w:r>
          </w:p>
        </w:tc>
        <w:tc>
          <w:tcPr>
            <w:tcW w:w="2498" w:type="dxa"/>
          </w:tcPr>
          <w:p>
            <w:pPr>
              <w:pStyle w:val="Compact"/>
              <w:spacing w:after="40"/>
              <w:jc w:val="left"/>
            </w:pPr>
            <w:r>
              <w:rPr>
                <w:sz w:val="18"/>
              </w:rPr>
              <w:t xml:space="preserve">Connector certified</w:t>
            </w:r>
          </w:p>
        </w:tc>
      </w:tr>
      <w:tr>
        <w:tc>
          <w:tcPr>
            <w:tcW w:w="4552" w:type="dxa"/>
          </w:tcPr>
          <w:p>
            <w:pPr>
              <w:pStyle w:val="Compact"/>
              <w:spacing w:after="40"/>
              <w:jc w:val="left"/>
            </w:pPr>
            <w:r>
              <w:rPr>
                <w:rStyle w:val="VerbatimChar"/>
                <w:sz w:val="18"/>
              </w:rPr>
              <w:t xml:space="preserve">Pay</w:t>
            </w:r>
            <w:r>
              <w:rPr>
                <w:sz w:val="18"/>
              </w:rPr>
              <w:t xml:space="preserve">,</w:t>
            </w:r>
            <w:r>
              <w:rPr>
                <w:sz w:val="18"/>
              </w:rPr>
              <w:t xml:space="preserve"> </w:t>
            </w:r>
            <w:r>
              <w:rPr>
                <w:rStyle w:val="VerbatimChar"/>
                <w:sz w:val="18"/>
              </w:rPr>
              <w:t xml:space="preserve">Pay › AutoPay</w:t>
            </w:r>
            <w:r>
              <w:rPr>
                <w:sz w:val="18"/>
              </w:rPr>
              <w:t xml:space="preserve">,</w:t>
            </w:r>
            <w:r>
              <w:rPr>
                <w:sz w:val="18"/>
              </w:rPr>
              <w:t xml:space="preserve"> </w:t>
            </w:r>
            <w:r>
              <w:rPr>
                <w:rStyle w:val="VerbatimChar"/>
                <w:sz w:val="18"/>
              </w:rPr>
              <w:t xml:space="preserve">Servicing › Payments and reconciliation</w:t>
            </w:r>
          </w:p>
        </w:tc>
        <w:tc>
          <w:tcPr>
            <w:tcW w:w="1294" w:type="dxa"/>
          </w:tcPr>
          <w:p>
            <w:pPr>
              <w:pStyle w:val="Compact"/>
              <w:spacing w:after="40"/>
              <w:jc w:val="left"/>
            </w:pPr>
            <w:r>
              <w:rPr>
                <w:sz w:val="18"/>
              </w:rPr>
              <w:t xml:space="preserve">A, B, C</w:t>
            </w:r>
          </w:p>
        </w:tc>
        <w:tc>
          <w:tcPr>
            <w:tcW w:w="1294" w:type="dxa"/>
          </w:tcPr>
          <w:p>
            <w:pPr>
              <w:pStyle w:val="Compact"/>
              <w:spacing w:after="40"/>
              <w:jc w:val="left"/>
            </w:pPr>
            <w:r>
              <w:rPr>
                <w:sz w:val="18"/>
              </w:rPr>
              <w:t xml:space="preserve">10</w:t>
            </w:r>
          </w:p>
        </w:tc>
        <w:tc>
          <w:tcPr>
            <w:tcW w:w="2498" w:type="dxa"/>
          </w:tcPr>
          <w:p>
            <w:pPr>
              <w:pStyle w:val="Compact"/>
              <w:spacing w:after="40"/>
              <w:jc w:val="left"/>
            </w:pPr>
            <w:r>
              <w:rPr>
                <w:sz w:val="18"/>
              </w:rPr>
              <w:t xml:space="preserve">RE merchant accounts only</w:t>
            </w:r>
          </w:p>
        </w:tc>
      </w:tr>
      <w:tr>
        <w:tc>
          <w:tcPr>
            <w:tcW w:w="4552" w:type="dxa"/>
          </w:tcPr>
          <w:p>
            <w:pPr>
              <w:pStyle w:val="Compact"/>
              <w:spacing w:after="40"/>
              <w:jc w:val="left"/>
            </w:pPr>
            <w:r>
              <w:rPr>
                <w:rStyle w:val="VerbatimChar"/>
                <w:sz w:val="18"/>
              </w:rPr>
              <w:t xml:space="preserve">Loans › My loans</w:t>
            </w:r>
            <w:r>
              <w:rPr>
                <w:sz w:val="18"/>
              </w:rPr>
              <w:t xml:space="preserve"> </w:t>
            </w:r>
            <w:r>
              <w:rPr>
                <w:sz w:val="18"/>
              </w:rPr>
              <w:t xml:space="preserve">and loan detail; Home due cards;</w:t>
            </w:r>
            <w:r>
              <w:rPr>
                <w:sz w:val="18"/>
              </w:rPr>
              <w:t xml:space="preserve"> </w:t>
            </w:r>
            <w:r>
              <w:rPr>
                <w:rStyle w:val="VerbatimChar"/>
                <w:sz w:val="18"/>
              </w:rPr>
              <w:t xml:space="preserve">Servicing</w:t>
            </w:r>
          </w:p>
        </w:tc>
        <w:tc>
          <w:tcPr>
            <w:tcW w:w="1294" w:type="dxa"/>
          </w:tcPr>
          <w:p>
            <w:pPr>
              <w:pStyle w:val="Compact"/>
              <w:spacing w:after="40"/>
              <w:jc w:val="left"/>
            </w:pPr>
            <w:r>
              <w:rPr>
                <w:sz w:val="18"/>
              </w:rPr>
              <w:t xml:space="preserve">A, B, C, D</w:t>
            </w:r>
          </w:p>
        </w:tc>
        <w:tc>
          <w:tcPr>
            <w:tcW w:w="1294" w:type="dxa"/>
          </w:tcPr>
          <w:p>
            <w:pPr>
              <w:pStyle w:val="Compact"/>
              <w:spacing w:after="40"/>
              <w:jc w:val="left"/>
            </w:pPr>
            <w:r>
              <w:rPr>
                <w:sz w:val="18"/>
              </w:rPr>
              <w:t xml:space="preserve">11</w:t>
            </w:r>
          </w:p>
        </w:tc>
        <w:tc>
          <w:tcPr>
            <w:tcW w:w="2498" w:type="dxa"/>
          </w:tcPr>
          <w:p>
            <w:pPr>
              <w:pStyle w:val="Compact"/>
              <w:spacing w:after="40"/>
              <w:jc w:val="left"/>
            </w:pPr>
            <w:r>
              <w:rPr>
                <w:sz w:val="18"/>
              </w:rPr>
              <w:t xml:space="preserve">Mirror live</w:t>
            </w:r>
          </w:p>
        </w:tc>
      </w:tr>
      <w:tr>
        <w:tc>
          <w:tcPr>
            <w:tcW w:w="4552" w:type="dxa"/>
          </w:tcPr>
          <w:p>
            <w:pPr>
              <w:pStyle w:val="Compact"/>
              <w:spacing w:after="40"/>
              <w:jc w:val="left"/>
            </w:pPr>
            <w:r>
              <w:rPr>
                <w:rStyle w:val="VerbatimChar"/>
                <w:sz w:val="18"/>
              </w:rPr>
              <w:t xml:space="preserve">My data</w:t>
            </w:r>
            <w:r>
              <w:rPr>
                <w:sz w:val="18"/>
              </w:rPr>
              <w:t xml:space="preserve">,</w:t>
            </w:r>
            <w:r>
              <w:rPr>
                <w:sz w:val="18"/>
              </w:rPr>
              <w:t xml:space="preserve"> </w:t>
            </w:r>
            <w:r>
              <w:rPr>
                <w:rStyle w:val="VerbatimChar"/>
                <w:sz w:val="18"/>
              </w:rPr>
              <w:t xml:space="preserve">Tax documents</w:t>
            </w:r>
            <w:r>
              <w:rPr>
                <w:sz w:val="18"/>
              </w:rPr>
              <w:t xml:space="preserve">;</w:t>
            </w:r>
            <w:r>
              <w:rPr>
                <w:sz w:val="18"/>
              </w:rPr>
              <w:t xml:space="preserve"> </w:t>
            </w:r>
            <w:r>
              <w:rPr>
                <w:rStyle w:val="VerbatimChar"/>
                <w:sz w:val="18"/>
              </w:rPr>
              <w:t xml:space="preserve">Servicing › Document requests</w:t>
            </w:r>
            <w:r>
              <w:rPr>
                <w:sz w:val="18"/>
              </w:rPr>
              <w:t xml:space="preserve">,</w:t>
            </w:r>
            <w:r>
              <w:rPr>
                <w:sz w:val="18"/>
              </w:rPr>
              <w:t xml:space="preserve"> </w:t>
            </w:r>
            <w:r>
              <w:rPr>
                <w:rStyle w:val="VerbatimChar"/>
                <w:sz w:val="18"/>
              </w:rPr>
              <w:t xml:space="preserve">› Tax</w:t>
            </w:r>
          </w:p>
        </w:tc>
        <w:tc>
          <w:tcPr>
            <w:tcW w:w="1294" w:type="dxa"/>
          </w:tcPr>
          <w:p>
            <w:pPr>
              <w:pStyle w:val="Compact"/>
              <w:spacing w:after="40"/>
              <w:jc w:val="left"/>
            </w:pPr>
            <w:r>
              <w:rPr>
                <w:sz w:val="18"/>
              </w:rPr>
              <w:t xml:space="preserve">A, B, C, D</w:t>
            </w:r>
          </w:p>
        </w:tc>
        <w:tc>
          <w:tcPr>
            <w:tcW w:w="1294" w:type="dxa"/>
          </w:tcPr>
          <w:p>
            <w:pPr>
              <w:pStyle w:val="Compact"/>
              <w:spacing w:after="40"/>
              <w:jc w:val="left"/>
            </w:pPr>
            <w:r>
              <w:rPr>
                <w:sz w:val="18"/>
              </w:rPr>
              <w:t xml:space="preserve">11b</w:t>
            </w:r>
          </w:p>
        </w:tc>
        <w:tc>
          <w:tcPr>
            <w:tcW w:w="2498" w:type="dxa"/>
          </w:tcPr>
          <w:p>
            <w:pPr>
              <w:pStyle w:val="Compact"/>
              <w:spacing w:after="40"/>
              <w:jc w:val="left"/>
            </w:pPr>
            <w:r>
              <w:rPr>
                <w:sz w:val="18"/>
              </w:rPr>
              <w:t xml:space="preserve">—</w:t>
            </w:r>
          </w:p>
        </w:tc>
      </w:tr>
      <w:tr>
        <w:tc>
          <w:tcPr>
            <w:tcW w:w="4552" w:type="dxa"/>
          </w:tcPr>
          <w:p>
            <w:pPr>
              <w:pStyle w:val="Compact"/>
              <w:spacing w:after="40"/>
              <w:jc w:val="left"/>
            </w:pPr>
            <w:r>
              <w:rPr>
                <w:sz w:val="18"/>
              </w:rPr>
              <w:t xml:space="preserve">Reminders;</w:t>
            </w:r>
            <w:r>
              <w:rPr>
                <w:sz w:val="18"/>
              </w:rPr>
              <w:t xml:space="preserve"> </w:t>
            </w:r>
            <w:r>
              <w:rPr>
                <w:rStyle w:val="VerbatimChar"/>
                <w:sz w:val="18"/>
              </w:rPr>
              <w:t xml:space="preserve">Loans › [loan] › Recovery contact</w:t>
            </w:r>
          </w:p>
        </w:tc>
        <w:tc>
          <w:tcPr>
            <w:tcW w:w="1294" w:type="dxa"/>
          </w:tcPr>
          <w:p>
            <w:pPr>
              <w:pStyle w:val="Compact"/>
              <w:spacing w:after="40"/>
              <w:jc w:val="left"/>
            </w:pPr>
            <w:r>
              <w:rPr>
                <w:sz w:val="18"/>
              </w:rPr>
              <w:t xml:space="preserve">A, B</w:t>
            </w:r>
          </w:p>
        </w:tc>
        <w:tc>
          <w:tcPr>
            <w:tcW w:w="1294" w:type="dxa"/>
          </w:tcPr>
          <w:p>
            <w:pPr>
              <w:pStyle w:val="Compact"/>
              <w:spacing w:after="40"/>
              <w:jc w:val="left"/>
            </w:pPr>
            <w:r>
              <w:rPr>
                <w:sz w:val="18"/>
              </w:rPr>
              <w:t xml:space="preserve">12</w:t>
            </w:r>
          </w:p>
        </w:tc>
        <w:tc>
          <w:tcPr>
            <w:tcW w:w="2498" w:type="dxa"/>
          </w:tcPr>
          <w:p>
            <w:pPr>
              <w:pStyle w:val="Compact"/>
              <w:spacing w:after="40"/>
              <w:jc w:val="left"/>
            </w:pPr>
            <w:r>
              <w:rPr>
                <w:sz w:val="18"/>
              </w:rPr>
              <w:t xml:space="preserve">Recovery contract where agents act</w:t>
            </w:r>
          </w:p>
        </w:tc>
      </w:tr>
      <w:tr>
        <w:tc>
          <w:tcPr>
            <w:tcW w:w="4552" w:type="dxa"/>
          </w:tcPr>
          <w:p>
            <w:pPr>
              <w:pStyle w:val="Compact"/>
              <w:spacing w:after="40"/>
              <w:jc w:val="left"/>
            </w:pPr>
            <w:r>
              <w:rPr>
                <w:rStyle w:val="VerbatimChar"/>
                <w:sz w:val="18"/>
              </w:rPr>
              <w:t xml:space="preserve">Pay › Overdue and settlement</w:t>
            </w:r>
            <w:r>
              <w:rPr>
                <w:sz w:val="18"/>
              </w:rPr>
              <w:t xml:space="preserve">,</w:t>
            </w:r>
            <w:r>
              <w:rPr>
                <w:sz w:val="18"/>
              </w:rPr>
              <w:t xml:space="preserve"> </w:t>
            </w:r>
            <w:r>
              <w:rPr>
                <w:rStyle w:val="VerbatimChar"/>
                <w:sz w:val="18"/>
              </w:rPr>
              <w:t xml:space="preserve">› Notices</w:t>
            </w:r>
            <w:r>
              <w:rPr>
                <w:sz w:val="18"/>
              </w:rPr>
              <w:t xml:space="preserve">,</w:t>
            </w:r>
            <w:r>
              <w:rPr>
                <w:sz w:val="18"/>
              </w:rPr>
              <w:t xml:space="preserve"> </w:t>
            </w:r>
            <w:r>
              <w:rPr>
                <w:rStyle w:val="VerbatimChar"/>
                <w:sz w:val="18"/>
              </w:rPr>
              <w:t xml:space="preserve">Help › Disputes and ADR</w:t>
            </w:r>
            <w:r>
              <w:rPr>
                <w:sz w:val="18"/>
              </w:rPr>
              <w:t xml:space="preserve">,</w:t>
            </w:r>
            <w:r>
              <w:rPr>
                <w:sz w:val="18"/>
              </w:rPr>
              <w:t xml:space="preserve"> </w:t>
            </w:r>
            <w:r>
              <w:rPr>
                <w:rStyle w:val="VerbatimChar"/>
                <w:sz w:val="18"/>
              </w:rPr>
              <w:t xml:space="preserve">Recovery</w:t>
            </w:r>
            <w:r>
              <w:rPr>
                <w:sz w:val="18"/>
              </w:rPr>
              <w:t xml:space="preserve">,</w:t>
            </w:r>
            <w:r>
              <w:rPr>
                <w:sz w:val="18"/>
              </w:rPr>
              <w:t xml:space="preserve"> </w:t>
            </w:r>
            <w:r>
              <w:rPr>
                <w:rStyle w:val="VerbatimChar"/>
                <w:sz w:val="18"/>
              </w:rPr>
              <w:t xml:space="preserve">Collections › Recovery cases</w:t>
            </w:r>
          </w:p>
        </w:tc>
        <w:tc>
          <w:tcPr>
            <w:tcW w:w="1294" w:type="dxa"/>
          </w:tcPr>
          <w:p>
            <w:pPr>
              <w:pStyle w:val="Compact"/>
              <w:spacing w:after="40"/>
              <w:jc w:val="left"/>
            </w:pPr>
            <w:r>
              <w:rPr>
                <w:sz w:val="18"/>
              </w:rPr>
              <w:t xml:space="preserve">A–E</w:t>
            </w:r>
          </w:p>
        </w:tc>
        <w:tc>
          <w:tcPr>
            <w:tcW w:w="1294" w:type="dxa"/>
          </w:tcPr>
          <w:p>
            <w:pPr>
              <w:pStyle w:val="Compact"/>
              <w:spacing w:after="40"/>
              <w:jc w:val="left"/>
            </w:pPr>
            <w:r>
              <w:rPr>
                <w:sz w:val="18"/>
              </w:rPr>
              <w:t xml:space="preserve">12b</w:t>
            </w:r>
          </w:p>
        </w:tc>
        <w:tc>
          <w:tcPr>
            <w:tcW w:w="2498" w:type="dxa"/>
          </w:tcPr>
          <w:p>
            <w:pPr>
              <w:pStyle w:val="Compact"/>
              <w:spacing w:after="40"/>
              <w:jc w:val="left"/>
            </w:pPr>
            <w:r>
              <w:rPr>
                <w:sz w:val="18"/>
              </w:rPr>
              <w:t xml:space="preserve">Part 7A attached per RE and product</w:t>
            </w:r>
          </w:p>
        </w:tc>
      </w:tr>
      <w:tr>
        <w:tc>
          <w:tcPr>
            <w:tcW w:w="4552" w:type="dxa"/>
          </w:tcPr>
          <w:p>
            <w:pPr>
              <w:pStyle w:val="Compact"/>
              <w:spacing w:after="40"/>
              <w:jc w:val="left"/>
            </w:pPr>
            <w:r>
              <w:rPr>
                <w:sz w:val="18"/>
              </w:rPr>
              <w:t xml:space="preserve">D</w:t>
            </w:r>
            <w:r>
              <w:rPr>
                <w:sz w:val="18"/>
              </w:rPr>
              <w:t xml:space="preserve"> </w:t>
            </w:r>
            <w:r>
              <w:rPr>
                <w:rStyle w:val="VerbatimChar"/>
                <w:sz w:val="18"/>
              </w:rPr>
              <w:t xml:space="preserve">DLG</w:t>
            </w:r>
            <w:r>
              <w:rPr>
                <w:sz w:val="18"/>
              </w:rPr>
              <w:t xml:space="preserve">; DLG ledger lines</w:t>
            </w:r>
          </w:p>
        </w:tc>
        <w:tc>
          <w:tcPr>
            <w:tcW w:w="1294" w:type="dxa"/>
          </w:tcPr>
          <w:p>
            <w:pPr>
              <w:pStyle w:val="Compact"/>
              <w:spacing w:after="40"/>
              <w:jc w:val="left"/>
            </w:pPr>
            <w:r>
              <w:rPr>
                <w:sz w:val="18"/>
              </w:rPr>
              <w:t xml:space="preserve">C, D</w:t>
            </w:r>
          </w:p>
        </w:tc>
        <w:tc>
          <w:tcPr>
            <w:tcW w:w="1294" w:type="dxa"/>
          </w:tcPr>
          <w:p>
            <w:pPr>
              <w:pStyle w:val="Compact"/>
              <w:spacing w:after="40"/>
              <w:jc w:val="left"/>
            </w:pPr>
            <w:r>
              <w:rPr>
                <w:sz w:val="18"/>
              </w:rPr>
              <w:t xml:space="preserve">13</w:t>
            </w:r>
          </w:p>
        </w:tc>
        <w:tc>
          <w:tcPr>
            <w:tcW w:w="2498" w:type="dxa"/>
          </w:tcPr>
          <w:p>
            <w:pPr>
              <w:pStyle w:val="Compact"/>
              <w:spacing w:after="40"/>
              <w:jc w:val="left"/>
            </w:pPr>
            <w:r>
              <w:rPr>
                <w:sz w:val="18"/>
              </w:rPr>
              <w:t xml:space="preserve">Arrangement registered</w:t>
            </w:r>
          </w:p>
        </w:tc>
      </w:tr>
      <w:tr>
        <w:tc>
          <w:tcPr>
            <w:tcW w:w="4552" w:type="dxa"/>
          </w:tcPr>
          <w:p>
            <w:pPr>
              <w:pStyle w:val="Compact"/>
              <w:spacing w:after="40"/>
              <w:jc w:val="left"/>
            </w:pPr>
            <w:r>
              <w:rPr>
                <w:rStyle w:val="VerbatimChar"/>
                <w:sz w:val="18"/>
              </w:rPr>
              <w:t xml:space="preserve">Help</w:t>
            </w:r>
            <w:r>
              <w:rPr>
                <w:sz w:val="18"/>
              </w:rPr>
              <w:t xml:space="preserve"> </w:t>
            </w:r>
            <w:r>
              <w:rPr>
                <w:sz w:val="18"/>
              </w:rPr>
              <w:t xml:space="preserve">(with AI assistant), complaints,</w:t>
            </w:r>
            <w:r>
              <w:rPr>
                <w:sz w:val="18"/>
              </w:rPr>
              <w:t xml:space="preserve"> </w:t>
            </w:r>
            <w:r>
              <w:rPr>
                <w:rStyle w:val="VerbatimChar"/>
                <w:sz w:val="18"/>
              </w:rPr>
              <w:t xml:space="preserve">Grievances</w:t>
            </w:r>
            <w:r>
              <w:rPr>
                <w:sz w:val="18"/>
              </w:rPr>
              <w:t xml:space="preserve">,</w:t>
            </w:r>
            <w:r>
              <w:rPr>
                <w:sz w:val="18"/>
              </w:rPr>
              <w:t xml:space="preserve"> </w:t>
            </w:r>
            <w:r>
              <w:rPr>
                <w:rStyle w:val="VerbatimChar"/>
                <w:sz w:val="18"/>
              </w:rPr>
              <w:t xml:space="preserve">Help centre</w:t>
            </w:r>
            <w:r>
              <w:rPr>
                <w:sz w:val="18"/>
              </w:rPr>
              <w:t xml:space="preserve">, D</w:t>
            </w:r>
            <w:r>
              <w:rPr>
                <w:sz w:val="18"/>
              </w:rPr>
              <w:t xml:space="preserve"> </w:t>
            </w:r>
            <w:r>
              <w:rPr>
                <w:rStyle w:val="VerbatimChar"/>
                <w:sz w:val="18"/>
              </w:rPr>
              <w:t xml:space="preserve">Help content</w:t>
            </w:r>
          </w:p>
        </w:tc>
        <w:tc>
          <w:tcPr>
            <w:tcW w:w="1294" w:type="dxa"/>
          </w:tcPr>
          <w:p>
            <w:pPr>
              <w:pStyle w:val="Compact"/>
              <w:spacing w:after="40"/>
              <w:jc w:val="left"/>
            </w:pPr>
            <w:r>
              <w:rPr>
                <w:sz w:val="18"/>
              </w:rPr>
              <w:t xml:space="preserve">A, B, C, D</w:t>
            </w:r>
          </w:p>
        </w:tc>
        <w:tc>
          <w:tcPr>
            <w:tcW w:w="1294" w:type="dxa"/>
          </w:tcPr>
          <w:p>
            <w:pPr>
              <w:pStyle w:val="Compact"/>
              <w:spacing w:after="40"/>
              <w:jc w:val="left"/>
            </w:pPr>
            <w:r>
              <w:rPr>
                <w:sz w:val="18"/>
              </w:rPr>
              <w:t xml:space="preserve">14, 14b</w:t>
            </w:r>
          </w:p>
        </w:tc>
        <w:tc>
          <w:tcPr>
            <w:tcW w:w="2498" w:type="dxa"/>
          </w:tcPr>
          <w:p>
            <w:pPr>
              <w:pStyle w:val="Compact"/>
              <w:spacing w:after="40"/>
              <w:jc w:val="left"/>
            </w:pPr>
            <w:r>
              <w:rPr>
                <w:sz w:val="18"/>
              </w:rPr>
              <w:t xml:space="preserve">Redress profile computed</w:t>
            </w:r>
          </w:p>
        </w:tc>
      </w:tr>
      <w:tr>
        <w:tc>
          <w:tcPr>
            <w:tcW w:w="4552" w:type="dxa"/>
          </w:tcPr>
          <w:p>
            <w:pPr>
              <w:pStyle w:val="Compact"/>
              <w:spacing w:after="40"/>
              <w:jc w:val="left"/>
            </w:pPr>
            <w:r>
              <w:rPr>
                <w:rStyle w:val="VerbatimChar"/>
                <w:sz w:val="18"/>
              </w:rPr>
              <w:t xml:space="preserve">Finance › Ledger</w:t>
            </w:r>
            <w:r>
              <w:rPr>
                <w:sz w:val="18"/>
              </w:rPr>
              <w:t xml:space="preserve">,</w:t>
            </w:r>
            <w:r>
              <w:rPr>
                <w:sz w:val="18"/>
              </w:rPr>
              <w:t xml:space="preserve"> </w:t>
            </w:r>
            <w:r>
              <w:rPr>
                <w:rStyle w:val="VerbatimChar"/>
                <w:sz w:val="18"/>
              </w:rPr>
              <w:t xml:space="preserve">Reports</w:t>
            </w:r>
            <w:r>
              <w:rPr>
                <w:sz w:val="18"/>
              </w:rPr>
              <w:t xml:space="preserve">,</w:t>
            </w:r>
            <w:r>
              <w:rPr>
                <w:sz w:val="18"/>
              </w:rPr>
              <w:t xml:space="preserve"> </w:t>
            </w:r>
            <w:r>
              <w:rPr>
                <w:rStyle w:val="VerbatimChar"/>
                <w:sz w:val="18"/>
              </w:rPr>
              <w:t xml:space="preserve">Compliance</w:t>
            </w:r>
            <w:r>
              <w:rPr>
                <w:sz w:val="18"/>
              </w:rPr>
              <w:t xml:space="preserve">,</w:t>
            </w:r>
            <w:r>
              <w:rPr>
                <w:sz w:val="18"/>
              </w:rPr>
              <w:t xml:space="preserve"> </w:t>
            </w:r>
            <w:r>
              <w:rPr>
                <w:rStyle w:val="VerbatimChar"/>
                <w:sz w:val="18"/>
              </w:rPr>
              <w:t xml:space="preserve">Security</w:t>
            </w:r>
          </w:p>
        </w:tc>
        <w:tc>
          <w:tcPr>
            <w:tcW w:w="1294" w:type="dxa"/>
          </w:tcPr>
          <w:p>
            <w:pPr>
              <w:pStyle w:val="Compact"/>
              <w:spacing w:after="40"/>
              <w:jc w:val="left"/>
            </w:pPr>
            <w:r>
              <w:rPr>
                <w:sz w:val="18"/>
              </w:rPr>
              <w:t xml:space="preserve">C, D</w:t>
            </w:r>
          </w:p>
        </w:tc>
        <w:tc>
          <w:tcPr>
            <w:tcW w:w="1294" w:type="dxa"/>
          </w:tcPr>
          <w:p>
            <w:pPr>
              <w:pStyle w:val="Compact"/>
              <w:spacing w:after="40"/>
              <w:jc w:val="left"/>
            </w:pPr>
            <w:r>
              <w:rPr>
                <w:sz w:val="18"/>
              </w:rPr>
              <w:t xml:space="preserve">15, 16</w:t>
            </w:r>
          </w:p>
        </w:tc>
        <w:tc>
          <w:tcPr>
            <w:tcW w:w="2498" w:type="dxa"/>
          </w:tcPr>
          <w:p>
            <w:pPr>
              <w:pStyle w:val="Compact"/>
              <w:spacing w:after="40"/>
              <w:jc w:val="left"/>
            </w:pPr>
            <w:r>
              <w:rPr>
                <w:sz w:val="18"/>
              </w:rPr>
              <w:t xml:space="preserve">—</w:t>
            </w:r>
          </w:p>
        </w:tc>
      </w:tr>
      <w:tr>
        <w:tc>
          <w:tcPr>
            <w:tcW w:w="4552" w:type="dxa"/>
          </w:tcPr>
          <w:p>
            <w:pPr>
              <w:pStyle w:val="Compact"/>
              <w:spacing w:after="40"/>
              <w:jc w:val="left"/>
            </w:pPr>
            <w:r>
              <w:rPr>
                <w:rStyle w:val="VerbatimChar"/>
                <w:sz w:val="18"/>
              </w:rPr>
              <w:t xml:space="preserve">Recovery › Modules</w:t>
            </w:r>
            <w:r>
              <w:rPr>
                <w:sz w:val="18"/>
              </w:rPr>
              <w:t xml:space="preserve">, certification in</w:t>
            </w:r>
            <w:r>
              <w:rPr>
                <w:sz w:val="18"/>
              </w:rPr>
              <w:t xml:space="preserve"> </w:t>
            </w:r>
            <w:r>
              <w:rPr>
                <w:rStyle w:val="VerbatimChar"/>
                <w:sz w:val="18"/>
              </w:rPr>
              <w:t xml:space="preserve">Integrations</w:t>
            </w:r>
          </w:p>
        </w:tc>
        <w:tc>
          <w:tcPr>
            <w:tcW w:w="1294" w:type="dxa"/>
          </w:tcPr>
          <w:p>
            <w:pPr>
              <w:pStyle w:val="Compact"/>
              <w:spacing w:after="40"/>
              <w:jc w:val="left"/>
            </w:pPr>
            <w:r>
              <w:rPr>
                <w:sz w:val="18"/>
              </w:rPr>
              <w:t xml:space="preserve">C, D</w:t>
            </w:r>
          </w:p>
        </w:tc>
        <w:tc>
          <w:tcPr>
            <w:tcW w:w="1294" w:type="dxa"/>
          </w:tcPr>
          <w:p>
            <w:pPr>
              <w:pStyle w:val="Compact"/>
              <w:spacing w:after="40"/>
              <w:jc w:val="left"/>
            </w:pPr>
            <w:r>
              <w:rPr>
                <w:sz w:val="18"/>
              </w:rPr>
              <w:t xml:space="preserve">16b</w:t>
            </w:r>
          </w:p>
        </w:tc>
        <w:tc>
          <w:tcPr>
            <w:tcW w:w="2498" w:type="dxa"/>
          </w:tcPr>
          <w:p>
            <w:pPr>
              <w:pStyle w:val="Compact"/>
              <w:spacing w:after="40"/>
              <w:jc w:val="left"/>
            </w:pPr>
            <w:r>
              <w:rPr>
                <w:sz w:val="18"/>
              </w:rPr>
              <w:t xml:space="preserve">Integration Spec conformance</w:t>
            </w:r>
          </w:p>
        </w:tc>
      </w:tr>
      <w:tr>
        <w:tc>
          <w:tcPr>
            <w:tcW w:w="4552" w:type="dxa"/>
          </w:tcPr>
          <w:p>
            <w:pPr>
              <w:pStyle w:val="Compact"/>
              <w:spacing w:after="40"/>
              <w:jc w:val="left"/>
            </w:pPr>
            <w:r>
              <w:rPr>
                <w:rStyle w:val="VerbatimChar"/>
                <w:sz w:val="18"/>
              </w:rPr>
              <w:t xml:space="preserve">Risk</w:t>
            </w:r>
            <w:r>
              <w:rPr>
                <w:sz w:val="18"/>
              </w:rPr>
              <w:t xml:space="preserve">,</w:t>
            </w:r>
            <w:r>
              <w:rPr>
                <w:sz w:val="18"/>
              </w:rPr>
              <w:t xml:space="preserve"> </w:t>
            </w:r>
            <w:r>
              <w:rPr>
                <w:rStyle w:val="VerbatimChar"/>
                <w:sz w:val="18"/>
              </w:rPr>
              <w:t xml:space="preserve">Audit access</w:t>
            </w:r>
            <w:r>
              <w:rPr>
                <w:sz w:val="18"/>
              </w:rPr>
              <w:t xml:space="preserve">, RA3</w:t>
            </w:r>
            <w:r>
              <w:rPr>
                <w:sz w:val="18"/>
              </w:rPr>
              <w:t xml:space="preserve"> </w:t>
            </w:r>
            <w:r>
              <w:rPr>
                <w:rStyle w:val="VerbatimChar"/>
                <w:sz w:val="18"/>
              </w:rPr>
              <w:t xml:space="preserve">Exports</w:t>
            </w:r>
            <w:r>
              <w:rPr>
                <w:sz w:val="18"/>
              </w:rPr>
              <w:t xml:space="preserve">,</w:t>
            </w:r>
            <w:r>
              <w:rPr>
                <w:sz w:val="18"/>
              </w:rPr>
              <w:t xml:space="preserve"> </w:t>
            </w:r>
            <w:r>
              <w:rPr>
                <w:rStyle w:val="VerbatimChar"/>
                <w:sz w:val="18"/>
              </w:rPr>
              <w:t xml:space="preserve">Portability</w:t>
            </w:r>
            <w:r>
              <w:rPr>
                <w:sz w:val="18"/>
              </w:rPr>
              <w:t xml:space="preserve">,</w:t>
            </w:r>
            <w:r>
              <w:rPr>
                <w:sz w:val="18"/>
              </w:rPr>
              <w:t xml:space="preserve"> </w:t>
            </w:r>
            <w:r>
              <w:rPr>
                <w:rStyle w:val="VerbatimChar"/>
                <w:sz w:val="18"/>
              </w:rPr>
              <w:t xml:space="preserve">Engineering</w:t>
            </w:r>
            <w:r>
              <w:rPr>
                <w:sz w:val="18"/>
              </w:rPr>
              <w:t xml:space="preserve">, channel G,</w:t>
            </w:r>
            <w:r>
              <w:rPr>
                <w:sz w:val="18"/>
              </w:rPr>
              <w:t xml:space="preserve"> </w:t>
            </w:r>
            <w:r>
              <w:rPr>
                <w:rStyle w:val="VerbatimChar"/>
                <w:sz w:val="18"/>
              </w:rPr>
              <w:t xml:space="preserve">Settings › Security and trust</w:t>
            </w:r>
          </w:p>
        </w:tc>
        <w:tc>
          <w:tcPr>
            <w:tcW w:w="1294" w:type="dxa"/>
          </w:tcPr>
          <w:p>
            <w:pPr>
              <w:pStyle w:val="Compact"/>
              <w:spacing w:after="40"/>
              <w:jc w:val="left"/>
            </w:pPr>
            <w:r>
              <w:rPr>
                <w:sz w:val="18"/>
              </w:rPr>
              <w:t xml:space="preserve">C, D, G</w:t>
            </w:r>
          </w:p>
        </w:tc>
        <w:tc>
          <w:tcPr>
            <w:tcW w:w="1294" w:type="dxa"/>
          </w:tcPr>
          <w:p>
            <w:pPr>
              <w:pStyle w:val="Compact"/>
              <w:spacing w:after="40"/>
              <w:jc w:val="left"/>
            </w:pPr>
            <w:r>
              <w:rPr>
                <w:sz w:val="18"/>
              </w:rPr>
              <w:t xml:space="preserve">16c</w:t>
            </w:r>
          </w:p>
        </w:tc>
        <w:tc>
          <w:tcPr>
            <w:tcW w:w="2498" w:type="dxa"/>
          </w:tcPr>
          <w:p>
            <w:pPr>
              <w:pStyle w:val="Compact"/>
              <w:spacing w:after="40"/>
              <w:jc w:val="left"/>
            </w:pPr>
            <w:r>
              <w:rPr>
                <w:sz w:val="18"/>
              </w:rPr>
              <w:t xml:space="preserve">90-day grant cap enforced</w:t>
            </w:r>
          </w:p>
        </w:tc>
      </w:tr>
      <w:tr>
        <w:tc>
          <w:tcPr>
            <w:tcW w:w="4552" w:type="dxa"/>
          </w:tcPr>
          <w:p>
            <w:pPr>
              <w:pStyle w:val="Compact"/>
              <w:spacing w:after="40"/>
              <w:jc w:val="left"/>
            </w:pPr>
            <w:r>
              <w:rPr>
                <w:sz w:val="18"/>
              </w:rPr>
              <w:t xml:space="preserve">Store declarations, PWA install; pilot go-live (A Android, B, C, D)</w:t>
            </w:r>
          </w:p>
        </w:tc>
        <w:tc>
          <w:tcPr>
            <w:tcW w:w="1294" w:type="dxa"/>
          </w:tcPr>
          <w:p>
            <w:pPr>
              <w:pStyle w:val="Compact"/>
              <w:spacing w:after="40"/>
              <w:jc w:val="left"/>
            </w:pPr>
            <w:r>
              <w:rPr>
                <w:sz w:val="18"/>
              </w:rPr>
              <w:t xml:space="preserve">A–D</w:t>
            </w:r>
          </w:p>
        </w:tc>
        <w:tc>
          <w:tcPr>
            <w:tcW w:w="1294" w:type="dxa"/>
          </w:tcPr>
          <w:p>
            <w:pPr>
              <w:pStyle w:val="Compact"/>
              <w:spacing w:after="40"/>
              <w:jc w:val="left"/>
            </w:pPr>
            <w:r>
              <w:rPr>
                <w:sz w:val="18"/>
              </w:rPr>
              <w:t xml:space="preserve">17, P</w:t>
            </w:r>
          </w:p>
        </w:tc>
        <w:tc>
          <w:tcPr>
            <w:tcW w:w="2498" w:type="dxa"/>
          </w:tcPr>
          <w:p>
            <w:pPr>
              <w:pStyle w:val="Compact"/>
              <w:spacing w:after="40"/>
              <w:jc w:val="left"/>
            </w:pPr>
            <w:r>
              <w:rPr>
                <w:sz w:val="18"/>
              </w:rPr>
              <w:t xml:space="preserve">3c, 11b, 14b, 16c complete</w:t>
            </w:r>
          </w:p>
        </w:tc>
      </w:tr>
      <w:tr>
        <w:tc>
          <w:tcPr>
            <w:tcW w:w="4552" w:type="dxa"/>
          </w:tcPr>
          <w:p>
            <w:pPr>
              <w:pStyle w:val="Compact"/>
              <w:spacing w:after="40"/>
              <w:jc w:val="left"/>
            </w:pPr>
            <w:r>
              <w:rPr>
                <w:sz w:val="18"/>
              </w:rPr>
              <w:t xml:space="preserve">Secured-product steps</w:t>
            </w:r>
          </w:p>
        </w:tc>
        <w:tc>
          <w:tcPr>
            <w:tcW w:w="1294" w:type="dxa"/>
          </w:tcPr>
          <w:p>
            <w:pPr>
              <w:pStyle w:val="Compact"/>
              <w:spacing w:after="40"/>
              <w:jc w:val="left"/>
            </w:pPr>
            <w:r>
              <w:rPr>
                <w:sz w:val="18"/>
              </w:rPr>
              <w:t xml:space="preserve">A, B, D</w:t>
            </w:r>
          </w:p>
        </w:tc>
        <w:tc>
          <w:tcPr>
            <w:tcW w:w="1294" w:type="dxa"/>
          </w:tcPr>
          <w:p>
            <w:pPr>
              <w:pStyle w:val="Compact"/>
              <w:spacing w:after="40"/>
              <w:jc w:val="left"/>
            </w:pPr>
            <w:r>
              <w:rPr>
                <w:sz w:val="18"/>
              </w:rPr>
              <w:t xml:space="preserve">18</w:t>
            </w:r>
          </w:p>
        </w:tc>
        <w:tc>
          <w:tcPr>
            <w:tcW w:w="2498" w:type="dxa"/>
          </w:tcPr>
          <w:p>
            <w:pPr>
              <w:pStyle w:val="Compact"/>
              <w:spacing w:after="40"/>
              <w:jc w:val="left"/>
            </w:pPr>
            <w:r>
              <w:rPr>
                <w:sz w:val="18"/>
              </w:rPr>
              <w:t xml:space="preserve">Finbyx Phase 17 for LAS</w:t>
            </w:r>
          </w:p>
        </w:tc>
      </w:tr>
      <w:tr>
        <w:tc>
          <w:tcPr>
            <w:tcW w:w="4552" w:type="dxa"/>
          </w:tcPr>
          <w:p>
            <w:pPr>
              <w:pStyle w:val="Compact"/>
              <w:spacing w:after="40"/>
              <w:jc w:val="left"/>
            </w:pPr>
            <w:r>
              <w:rPr>
                <w:rStyle w:val="VerbatimChar"/>
                <w:sz w:val="18"/>
              </w:rPr>
              <w:t xml:space="preserve">Your society</w:t>
            </w:r>
            <w:r>
              <w:rPr>
                <w:sz w:val="18"/>
              </w:rPr>
              <w:t xml:space="preserve">,</w:t>
            </w:r>
            <w:r>
              <w:rPr>
                <w:sz w:val="18"/>
              </w:rPr>
              <w:t xml:space="preserve"> </w:t>
            </w:r>
            <w:r>
              <w:rPr>
                <w:rStyle w:val="VerbatimChar"/>
                <w:sz w:val="18"/>
              </w:rPr>
              <w:t xml:space="preserve">Group loan</w:t>
            </w:r>
            <w:r>
              <w:rPr>
                <w:sz w:val="18"/>
              </w:rPr>
              <w:t xml:space="preserve">,</w:t>
            </w:r>
            <w:r>
              <w:rPr>
                <w:sz w:val="18"/>
              </w:rPr>
              <w:t xml:space="preserve"> </w:t>
            </w:r>
            <w:r>
              <w:rPr>
                <w:rStyle w:val="VerbatimChar"/>
                <w:sz w:val="18"/>
              </w:rPr>
              <w:t xml:space="preserve">My SHG</w:t>
            </w:r>
            <w:r>
              <w:rPr>
                <w:sz w:val="18"/>
              </w:rPr>
              <w:t xml:space="preserve">,</w:t>
            </w:r>
            <w:r>
              <w:rPr>
                <w:sz w:val="18"/>
              </w:rPr>
              <w:t xml:space="preserve"> </w:t>
            </w:r>
            <w:r>
              <w:rPr>
                <w:rStyle w:val="VerbatimChar"/>
                <w:sz w:val="18"/>
              </w:rPr>
              <w:t xml:space="preserve">Partners › Members</w:t>
            </w:r>
            <w:r>
              <w:rPr>
                <w:sz w:val="18"/>
              </w:rPr>
              <w:t xml:space="preserve">,</w:t>
            </w:r>
            <w:r>
              <w:rPr>
                <w:sz w:val="18"/>
              </w:rPr>
              <w:t xml:space="preserve"> </w:t>
            </w:r>
            <w:r>
              <w:rPr>
                <w:rStyle w:val="VerbatimChar"/>
                <w:sz w:val="18"/>
              </w:rPr>
              <w:t xml:space="preserve">Microfinance</w:t>
            </w:r>
            <w:r>
              <w:rPr>
                <w:sz w:val="18"/>
              </w:rPr>
              <w:t xml:space="preserve">,</w:t>
            </w:r>
            <w:r>
              <w:rPr>
                <w:sz w:val="18"/>
              </w:rPr>
              <w:t xml:space="preserve"> </w:t>
            </w:r>
            <w:r>
              <w:rPr>
                <w:rStyle w:val="VerbatimChar"/>
                <w:sz w:val="18"/>
              </w:rPr>
              <w:t xml:space="preserve">Field operations</w:t>
            </w:r>
            <w:r>
              <w:rPr>
                <w:sz w:val="18"/>
              </w:rPr>
              <w:t xml:space="preserve">, channel E,</w:t>
            </w:r>
            <w:r>
              <w:rPr>
                <w:sz w:val="18"/>
              </w:rPr>
              <w:t xml:space="preserve"> </w:t>
            </w:r>
            <w:r>
              <w:rPr>
                <w:rStyle w:val="VerbatimChar"/>
                <w:sz w:val="18"/>
              </w:rPr>
              <w:t xml:space="preserve">Field devices</w:t>
            </w:r>
          </w:p>
        </w:tc>
        <w:tc>
          <w:tcPr>
            <w:tcW w:w="1294" w:type="dxa"/>
          </w:tcPr>
          <w:p>
            <w:pPr>
              <w:pStyle w:val="Compact"/>
              <w:spacing w:after="40"/>
              <w:jc w:val="left"/>
            </w:pPr>
            <w:r>
              <w:rPr>
                <w:sz w:val="18"/>
              </w:rPr>
              <w:t xml:space="preserve">A–E</w:t>
            </w:r>
          </w:p>
        </w:tc>
        <w:tc>
          <w:tcPr>
            <w:tcW w:w="1294" w:type="dxa"/>
          </w:tcPr>
          <w:p>
            <w:pPr>
              <w:pStyle w:val="Compact"/>
              <w:spacing w:after="40"/>
              <w:jc w:val="left"/>
            </w:pPr>
            <w:r>
              <w:rPr>
                <w:sz w:val="18"/>
              </w:rPr>
              <w:t xml:space="preserve">18c</w:t>
            </w:r>
          </w:p>
        </w:tc>
        <w:tc>
          <w:tcPr>
            <w:tcW w:w="2498" w:type="dxa"/>
          </w:tcPr>
          <w:p>
            <w:pPr>
              <w:pStyle w:val="Compact"/>
              <w:spacing w:after="40"/>
              <w:jc w:val="left"/>
            </w:pPr>
            <w:r>
              <w:rPr>
                <w:rStyle w:val="VerbatimChar"/>
                <w:sz w:val="18"/>
              </w:rPr>
              <w:t xml:space="preserve">coop_channel_gate</w:t>
            </w:r>
            <w:r>
              <w:rPr>
                <w:sz w:val="18"/>
              </w:rPr>
              <w:t xml:space="preserve"> </w:t>
            </w:r>
            <w:r>
              <w:rPr>
                <w:sz w:val="18"/>
              </w:rPr>
              <w:t xml:space="preserve">on A; RE opinion for cash</w:t>
            </w:r>
          </w:p>
        </w:tc>
      </w:tr>
      <w:tr>
        <w:tc>
          <w:tcPr>
            <w:tcW w:w="4552" w:type="dxa"/>
          </w:tcPr>
          <w:p>
            <w:pPr>
              <w:pStyle w:val="Compact"/>
              <w:spacing w:after="40"/>
              <w:jc w:val="left"/>
            </w:pPr>
            <w:r>
              <w:rPr>
                <w:rStyle w:val="VerbatimChar"/>
                <w:sz w:val="18"/>
              </w:rPr>
              <w:t xml:space="preserve">Marketing › Campaigns</w:t>
            </w:r>
          </w:p>
        </w:tc>
        <w:tc>
          <w:tcPr>
            <w:tcW w:w="1294" w:type="dxa"/>
          </w:tcPr>
          <w:p>
            <w:pPr>
              <w:pStyle w:val="Compact"/>
              <w:spacing w:after="40"/>
              <w:jc w:val="left"/>
            </w:pPr>
            <w:r>
              <w:rPr>
                <w:sz w:val="18"/>
              </w:rPr>
              <w:t xml:space="preserve">C</w:t>
            </w:r>
          </w:p>
        </w:tc>
        <w:tc>
          <w:tcPr>
            <w:tcW w:w="1294" w:type="dxa"/>
          </w:tcPr>
          <w:p>
            <w:pPr>
              <w:pStyle w:val="Compact"/>
              <w:spacing w:after="40"/>
              <w:jc w:val="left"/>
            </w:pPr>
            <w:r>
              <w:rPr>
                <w:sz w:val="18"/>
              </w:rPr>
              <w:t xml:space="preserve">20</w:t>
            </w:r>
          </w:p>
        </w:tc>
        <w:tc>
          <w:tcPr>
            <w:tcW w:w="2498" w:type="dxa"/>
          </w:tcPr>
          <w:p>
            <w:pPr>
              <w:pStyle w:val="Compact"/>
              <w:spacing w:after="40"/>
              <w:jc w:val="left"/>
            </w:pPr>
            <w:r>
              <w:rPr>
                <w:sz w:val="18"/>
              </w:rPr>
              <w:t xml:space="preserve">Consented marketing only</w:t>
            </w:r>
          </w:p>
        </w:tc>
      </w:tr>
      <w:tr>
        <w:tc>
          <w:tcPr>
            <w:tcW w:w="4552" w:type="dxa"/>
          </w:tcPr>
          <w:p>
            <w:pPr>
              <w:pStyle w:val="Compact"/>
              <w:spacing w:after="40"/>
              <w:jc w:val="left"/>
            </w:pPr>
            <w:r>
              <w:rPr>
                <w:rStyle w:val="VerbatimChar"/>
                <w:sz w:val="18"/>
              </w:rPr>
              <w:t xml:space="preserve">Money tools</w:t>
            </w:r>
            <w:r>
              <w:rPr>
                <w:sz w:val="18"/>
              </w:rPr>
              <w:t xml:space="preserve">,</w:t>
            </w:r>
            <w:r>
              <w:rPr>
                <w:sz w:val="18"/>
              </w:rPr>
              <w:t xml:space="preserve"> </w:t>
            </w:r>
            <w:r>
              <w:rPr>
                <w:rStyle w:val="VerbatimChar"/>
                <w:sz w:val="18"/>
              </w:rPr>
              <w:t xml:space="preserve">Plans and billing</w:t>
            </w:r>
            <w:r>
              <w:rPr>
                <w:sz w:val="18"/>
              </w:rPr>
              <w:t xml:space="preserve">,</w:t>
            </w:r>
            <w:r>
              <w:rPr>
                <w:sz w:val="18"/>
              </w:rPr>
              <w:t xml:space="preserve"> </w:t>
            </w:r>
            <w:r>
              <w:rPr>
                <w:rStyle w:val="VerbatimChar"/>
                <w:sz w:val="18"/>
              </w:rPr>
              <w:t xml:space="preserve">Ads and interests</w:t>
            </w:r>
            <w:r>
              <w:rPr>
                <w:sz w:val="18"/>
              </w:rPr>
              <w:t xml:space="preserve">,</w:t>
            </w:r>
            <w:r>
              <w:rPr>
                <w:sz w:val="18"/>
              </w:rPr>
              <w:t xml:space="preserve"> </w:t>
            </w:r>
            <w:r>
              <w:rPr>
                <w:rStyle w:val="VerbatimChar"/>
                <w:sz w:val="18"/>
              </w:rPr>
              <w:t xml:space="preserve">Finance › Revenue streams</w:t>
            </w:r>
            <w:r>
              <w:rPr>
                <w:sz w:val="18"/>
              </w:rPr>
              <w:t xml:space="preserve">,</w:t>
            </w:r>
            <w:r>
              <w:rPr>
                <w:sz w:val="18"/>
              </w:rPr>
              <w:t xml:space="preserve"> </w:t>
            </w:r>
            <w:r>
              <w:rPr>
                <w:rStyle w:val="VerbatimChar"/>
                <w:sz w:val="18"/>
              </w:rPr>
              <w:t xml:space="preserve">› Billing operations</w:t>
            </w:r>
            <w:r>
              <w:rPr>
                <w:sz w:val="18"/>
              </w:rPr>
              <w:t xml:space="preserve">, D</w:t>
            </w:r>
            <w:r>
              <w:rPr>
                <w:sz w:val="18"/>
              </w:rPr>
              <w:t xml:space="preserve"> </w:t>
            </w:r>
            <w:r>
              <w:rPr>
                <w:rStyle w:val="VerbatimChar"/>
                <w:sz w:val="18"/>
              </w:rPr>
              <w:t xml:space="preserve">Billing and plan</w:t>
            </w:r>
            <w:r>
              <w:rPr>
                <w:sz w:val="18"/>
              </w:rPr>
              <w:t xml:space="preserve">,</w:t>
            </w:r>
            <w:r>
              <w:rPr>
                <w:sz w:val="18"/>
              </w:rPr>
              <w:t xml:space="preserve"> </w:t>
            </w:r>
            <w:r>
              <w:rPr>
                <w:rStyle w:val="VerbatimChar"/>
                <w:sz w:val="18"/>
              </w:rPr>
              <w:t xml:space="preserve">Marketing › Advertising</w:t>
            </w:r>
          </w:p>
        </w:tc>
        <w:tc>
          <w:tcPr>
            <w:tcW w:w="1294" w:type="dxa"/>
          </w:tcPr>
          <w:p>
            <w:pPr>
              <w:pStyle w:val="Compact"/>
              <w:spacing w:after="40"/>
              <w:jc w:val="left"/>
            </w:pPr>
            <w:r>
              <w:rPr>
                <w:sz w:val="18"/>
              </w:rPr>
              <w:t xml:space="preserve">A–D</w:t>
            </w:r>
          </w:p>
        </w:tc>
        <w:tc>
          <w:tcPr>
            <w:tcW w:w="1294" w:type="dxa"/>
          </w:tcPr>
          <w:p>
            <w:pPr>
              <w:pStyle w:val="Compact"/>
              <w:spacing w:after="40"/>
              <w:jc w:val="left"/>
            </w:pPr>
            <w:r>
              <w:rPr>
                <w:sz w:val="18"/>
              </w:rPr>
              <w:t xml:space="preserve">20b</w:t>
            </w:r>
          </w:p>
        </w:tc>
        <w:tc>
          <w:tcPr>
            <w:tcW w:w="2498" w:type="dxa"/>
          </w:tcPr>
          <w:p>
            <w:pPr>
              <w:pStyle w:val="Compact"/>
              <w:spacing w:after="40"/>
              <w:jc w:val="left"/>
            </w:pPr>
            <w:r>
              <w:rPr>
                <w:sz w:val="18"/>
              </w:rPr>
              <w:t xml:space="preserve">FW4 G1–G5; RV1 gate; S09 and S10 status</w:t>
            </w:r>
          </w:p>
        </w:tc>
      </w:tr>
      <w:tr>
        <w:tc>
          <w:tcPr>
            <w:tcW w:w="4552" w:type="dxa"/>
          </w:tcPr>
          <w:p>
            <w:pPr>
              <w:pStyle w:val="Compact"/>
              <w:spacing w:after="40"/>
              <w:jc w:val="left"/>
            </w:pPr>
            <w:r>
              <w:rPr>
                <w:rStyle w:val="VerbatimChar"/>
                <w:sz w:val="18"/>
              </w:rPr>
              <w:t xml:space="preserve">Account › Protect</w:t>
            </w:r>
            <w:r>
              <w:rPr>
                <w:sz w:val="18"/>
              </w:rPr>
              <w:t xml:space="preserve">,</w:t>
            </w:r>
            <w:r>
              <w:rPr>
                <w:sz w:val="18"/>
              </w:rPr>
              <w:t xml:space="preserve"> </w:t>
            </w:r>
            <w:r>
              <w:rPr>
                <w:rStyle w:val="VerbatimChar"/>
                <w:sz w:val="18"/>
              </w:rPr>
              <w:t xml:space="preserve">Products</w:t>
            </w:r>
            <w:r>
              <w:rPr>
                <w:sz w:val="18"/>
              </w:rPr>
              <w:t xml:space="preserve">,</w:t>
            </w:r>
            <w:r>
              <w:rPr>
                <w:sz w:val="18"/>
              </w:rPr>
              <w:t xml:space="preserve"> </w:t>
            </w:r>
            <w:r>
              <w:rPr>
                <w:rStyle w:val="VerbatimChar"/>
                <w:sz w:val="18"/>
              </w:rPr>
              <w:t xml:space="preserve">Insurance</w:t>
            </w:r>
            <w:r>
              <w:rPr>
                <w:sz w:val="18"/>
              </w:rPr>
              <w:t xml:space="preserve">,</w:t>
            </w:r>
            <w:r>
              <w:rPr>
                <w:sz w:val="18"/>
              </w:rPr>
              <w:t xml:space="preserve"> </w:t>
            </w:r>
            <w:r>
              <w:rPr>
                <w:rStyle w:val="VerbatimChar"/>
                <w:sz w:val="18"/>
              </w:rPr>
              <w:t xml:space="preserve">Compliance › Sales practice</w:t>
            </w:r>
          </w:p>
        </w:tc>
        <w:tc>
          <w:tcPr>
            <w:tcW w:w="1294" w:type="dxa"/>
          </w:tcPr>
          <w:p>
            <w:pPr>
              <w:pStyle w:val="Compact"/>
              <w:spacing w:after="40"/>
              <w:jc w:val="left"/>
            </w:pPr>
            <w:r>
              <w:rPr>
                <w:sz w:val="18"/>
              </w:rPr>
              <w:t xml:space="preserve">A, B, C</w:t>
            </w:r>
          </w:p>
        </w:tc>
        <w:tc>
          <w:tcPr>
            <w:tcW w:w="1294" w:type="dxa"/>
          </w:tcPr>
          <w:p>
            <w:pPr>
              <w:pStyle w:val="Compact"/>
              <w:spacing w:after="40"/>
              <w:jc w:val="left"/>
            </w:pPr>
            <w:r>
              <w:rPr>
                <w:sz w:val="18"/>
              </w:rPr>
              <w:t xml:space="preserve">20c</w:t>
            </w:r>
          </w:p>
        </w:tc>
        <w:tc>
          <w:tcPr>
            <w:tcW w:w="2498" w:type="dxa"/>
          </w:tcPr>
          <w:p>
            <w:pPr>
              <w:pStyle w:val="Compact"/>
              <w:spacing w:after="40"/>
              <w:jc w:val="left"/>
            </w:pPr>
            <w:r>
              <w:rPr>
                <w:sz w:val="18"/>
              </w:rPr>
              <w:t xml:space="preserve">IRDAI model and XP1 gate</w:t>
            </w:r>
          </w:p>
        </w:tc>
      </w:tr>
      <w:tr>
        <w:tc>
          <w:tcPr>
            <w:tcW w:w="4552" w:type="dxa"/>
          </w:tcPr>
          <w:p>
            <w:pPr>
              <w:pStyle w:val="Compact"/>
              <w:spacing w:after="40"/>
              <w:jc w:val="left"/>
            </w:pPr>
            <w:r>
              <w:rPr>
                <w:rStyle w:val="VerbatimChar"/>
                <w:sz w:val="18"/>
              </w:rPr>
              <w:t xml:space="preserve">Communications</w:t>
            </w:r>
            <w:r>
              <w:rPr>
                <w:sz w:val="18"/>
              </w:rPr>
              <w:t xml:space="preserve"> </w:t>
            </w:r>
            <w:r>
              <w:rPr>
                <w:sz w:val="18"/>
              </w:rPr>
              <w:t xml:space="preserve">RA5 items; D</w:t>
            </w:r>
            <w:r>
              <w:rPr>
                <w:sz w:val="18"/>
              </w:rPr>
              <w:t xml:space="preserve"> </w:t>
            </w:r>
            <w:r>
              <w:rPr>
                <w:rStyle w:val="VerbatimChar"/>
                <w:sz w:val="18"/>
              </w:rPr>
              <w:t xml:space="preserve">Settings › Communications</w:t>
            </w:r>
            <w:r>
              <w:rPr>
                <w:sz w:val="18"/>
              </w:rPr>
              <w:t xml:space="preserve">;</w:t>
            </w:r>
            <w:r>
              <w:rPr>
                <w:sz w:val="18"/>
              </w:rPr>
              <w:t xml:space="preserve"> </w:t>
            </w:r>
            <w:r>
              <w:rPr>
                <w:rStyle w:val="VerbatimChar"/>
                <w:sz w:val="18"/>
              </w:rPr>
              <w:t xml:space="preserve">Settings › Contact preferences</w:t>
            </w:r>
          </w:p>
        </w:tc>
        <w:tc>
          <w:tcPr>
            <w:tcW w:w="1294" w:type="dxa"/>
          </w:tcPr>
          <w:p>
            <w:pPr>
              <w:pStyle w:val="Compact"/>
              <w:spacing w:after="40"/>
              <w:jc w:val="left"/>
            </w:pPr>
            <w:r>
              <w:rPr>
                <w:sz w:val="18"/>
              </w:rPr>
              <w:t xml:space="preserve">A–D</w:t>
            </w:r>
          </w:p>
        </w:tc>
        <w:tc>
          <w:tcPr>
            <w:tcW w:w="1294" w:type="dxa"/>
          </w:tcPr>
          <w:p>
            <w:pPr>
              <w:pStyle w:val="Compact"/>
              <w:spacing w:after="40"/>
              <w:jc w:val="left"/>
            </w:pPr>
            <w:r>
              <w:rPr>
                <w:sz w:val="18"/>
              </w:rPr>
              <w:t xml:space="preserve">20d</w:t>
            </w:r>
          </w:p>
        </w:tc>
        <w:tc>
          <w:tcPr>
            <w:tcW w:w="2498" w:type="dxa"/>
          </w:tcPr>
          <w:p>
            <w:pPr>
              <w:pStyle w:val="Compact"/>
              <w:spacing w:after="40"/>
              <w:jc w:val="left"/>
            </w:pPr>
            <w:r>
              <w:rPr>
                <w:sz w:val="18"/>
              </w:rPr>
              <w:t xml:space="preserve">1600-series position (Appendix B item 36)</w:t>
            </w:r>
          </w:p>
        </w:tc>
      </w:tr>
    </w:tbl>
    <w:bookmarkEnd w:id="564"/>
    <w:bookmarkStart w:id="565" w:name="g.13-harmonisation-register"/>
    <w:p>
      <w:pPr>
        <w:pStyle w:val="Heading2"/>
      </w:pPr>
      <w:r>
        <w:t xml:space="preserve">G.13 Harmonisation register</w:t>
      </w:r>
    </w:p>
    <w:p>
      <w:pPr>
        <w:pStyle w:val="FirstParagraph"/>
      </w:pPr>
      <w:r>
        <w:t xml:space="preserve">These path conflicts were found in Parts 3, 7 and 7A–7H. The resolved path applies everywhere; the module text keeps its behaviour.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82"/>
        <w:gridCol w:w="1217"/>
        <w:gridCol w:w="2562"/>
        <w:gridCol w:w="3497"/>
        <w:gridCol w:w="1580"/>
      </w:tblGrid>
      <w:tr>
        <w:trPr>
          <w:tblHeader w:val="true"/>
          <w:tblHeader w:val="true"/>
        </w:trPr>
        <w:tc>
          <w:tcPr>
            <w:tcW w:w="782" w:type="dxa"/>
            <w:shd w:val="clear" w:color="auto" w:fill="1F3A5F"/>
          </w:tcPr>
          <w:p>
            <w:pPr>
              <w:pStyle w:val="Compact"/>
              <w:spacing w:after="40"/>
              <w:jc w:val="left"/>
            </w:pPr>
            <w:r>
              <w:rPr>
                <w:b/>
                <w:color w:val="FFFFFF"/>
                <w:sz w:val="18"/>
              </w:rPr>
              <w:t xml:space="preserve">#</w:t>
            </w:r>
          </w:p>
        </w:tc>
        <w:tc>
          <w:tcPr>
            <w:tcW w:w="1217" w:type="dxa"/>
            <w:shd w:val="clear" w:color="auto" w:fill="1F3A5F"/>
          </w:tcPr>
          <w:p>
            <w:pPr>
              <w:pStyle w:val="Compact"/>
              <w:spacing w:after="40"/>
              <w:jc w:val="left"/>
            </w:pPr>
            <w:r>
              <w:rPr>
                <w:b/>
                <w:color w:val="FFFFFF"/>
                <w:sz w:val="18"/>
              </w:rPr>
              <w:t xml:space="preserve">Found in</w:t>
            </w:r>
          </w:p>
        </w:tc>
        <w:tc>
          <w:tcPr>
            <w:tcW w:w="2562" w:type="dxa"/>
            <w:shd w:val="clear" w:color="auto" w:fill="1F3A5F"/>
          </w:tcPr>
          <w:p>
            <w:pPr>
              <w:pStyle w:val="Compact"/>
              <w:spacing w:after="40"/>
              <w:jc w:val="left"/>
            </w:pPr>
            <w:r>
              <w:rPr>
                <w:b/>
                <w:color w:val="FFFFFF"/>
                <w:sz w:val="18"/>
              </w:rPr>
              <w:t xml:space="preserve">As written</w:t>
            </w:r>
          </w:p>
        </w:tc>
        <w:tc>
          <w:tcPr>
            <w:tcW w:w="3497" w:type="dxa"/>
            <w:shd w:val="clear" w:color="auto" w:fill="1F3A5F"/>
          </w:tcPr>
          <w:p>
            <w:pPr>
              <w:pStyle w:val="Compact"/>
              <w:spacing w:after="40"/>
              <w:jc w:val="left"/>
            </w:pPr>
            <w:r>
              <w:rPr>
                <w:b/>
                <w:color w:val="FFFFFF"/>
                <w:sz w:val="18"/>
              </w:rPr>
              <w:t xml:space="preserve">Resolved path</w:t>
            </w:r>
          </w:p>
        </w:tc>
        <w:tc>
          <w:tcPr>
            <w:tcW w:w="1580" w:type="dxa"/>
            <w:shd w:val="clear" w:color="auto" w:fill="1F3A5F"/>
          </w:tcPr>
          <w:p>
            <w:pPr>
              <w:pStyle w:val="Compact"/>
              <w:spacing w:after="40"/>
              <w:jc w:val="left"/>
            </w:pPr>
            <w:r>
              <w:rPr>
                <w:b/>
                <w:color w:val="FFFFFF"/>
                <w:sz w:val="18"/>
              </w:rPr>
              <w:t xml:space="preserve">Reason</w:t>
            </w:r>
          </w:p>
        </w:tc>
      </w:tr>
      <w:tr>
        <w:tc>
          <w:tcPr>
            <w:tcW w:w="782" w:type="dxa"/>
          </w:tcPr>
          <w:p>
            <w:pPr>
              <w:pStyle w:val="Compact"/>
              <w:spacing w:after="40"/>
              <w:jc w:val="left"/>
            </w:pPr>
            <w:r>
              <w:rPr>
                <w:sz w:val="18"/>
              </w:rPr>
              <w:t xml:space="preserve">1</w:t>
            </w:r>
          </w:p>
        </w:tc>
        <w:tc>
          <w:tcPr>
            <w:tcW w:w="1217" w:type="dxa"/>
          </w:tcPr>
          <w:p>
            <w:pPr>
              <w:pStyle w:val="Compact"/>
              <w:spacing w:after="40"/>
              <w:jc w:val="left"/>
            </w:pPr>
            <w:r>
              <w:rPr>
                <w:sz w:val="18"/>
              </w:rPr>
              <w:t xml:space="preserve">UB1</w:t>
            </w:r>
          </w:p>
        </w:tc>
        <w:tc>
          <w:tcPr>
            <w:tcW w:w="2562" w:type="dxa"/>
          </w:tcPr>
          <w:p>
            <w:pPr>
              <w:pStyle w:val="Compact"/>
              <w:spacing w:after="40"/>
              <w:jc w:val="left"/>
            </w:pPr>
            <w:r>
              <w:rPr>
                <w:rStyle w:val="VerbatimChar"/>
                <w:sz w:val="18"/>
              </w:rPr>
              <w:t xml:space="preserve">Account › My documents and data</w:t>
            </w:r>
          </w:p>
        </w:tc>
        <w:tc>
          <w:tcPr>
            <w:tcW w:w="3497" w:type="dxa"/>
          </w:tcPr>
          <w:p>
            <w:pPr>
              <w:pStyle w:val="Compact"/>
              <w:spacing w:after="40"/>
              <w:jc w:val="left"/>
            </w:pPr>
            <w:r>
              <w:rPr>
                <w:rStyle w:val="VerbatimChar"/>
                <w:sz w:val="18"/>
              </w:rPr>
              <w:t xml:space="preserve">Account › Documents and data</w:t>
            </w:r>
          </w:p>
        </w:tc>
        <w:tc>
          <w:tcPr>
            <w:tcW w:w="1580" w:type="dxa"/>
          </w:tcPr>
          <w:p>
            <w:pPr>
              <w:pStyle w:val="Compact"/>
              <w:spacing w:after="40"/>
              <w:jc w:val="left"/>
            </w:pPr>
            <w:r>
              <w:rPr>
                <w:sz w:val="18"/>
              </w:rPr>
              <w:t xml:space="preserve">Binding Account area name</w:t>
            </w:r>
          </w:p>
        </w:tc>
      </w:tr>
      <w:tr>
        <w:tc>
          <w:tcPr>
            <w:tcW w:w="782" w:type="dxa"/>
          </w:tcPr>
          <w:p>
            <w:pPr>
              <w:pStyle w:val="Compact"/>
              <w:spacing w:after="40"/>
              <w:jc w:val="left"/>
            </w:pPr>
            <w:r>
              <w:rPr>
                <w:sz w:val="18"/>
              </w:rPr>
              <w:t xml:space="preserve">2</w:t>
            </w:r>
          </w:p>
        </w:tc>
        <w:tc>
          <w:tcPr>
            <w:tcW w:w="1217" w:type="dxa"/>
          </w:tcPr>
          <w:p>
            <w:pPr>
              <w:pStyle w:val="Compact"/>
              <w:spacing w:after="40"/>
              <w:jc w:val="left"/>
            </w:pPr>
            <w:r>
              <w:rPr>
                <w:sz w:val="18"/>
              </w:rPr>
              <w:t xml:space="preserve">UB2</w:t>
            </w:r>
          </w:p>
        </w:tc>
        <w:tc>
          <w:tcPr>
            <w:tcW w:w="2562" w:type="dxa"/>
          </w:tcPr>
          <w:p>
            <w:pPr>
              <w:pStyle w:val="Compact"/>
              <w:spacing w:after="40"/>
              <w:jc w:val="left"/>
            </w:pPr>
            <w:r>
              <w:rPr>
                <w:rStyle w:val="VerbatimChar"/>
                <w:sz w:val="18"/>
              </w:rPr>
              <w:t xml:space="preserve">Account › Tax documents</w:t>
            </w:r>
            <w:r>
              <w:rPr>
                <w:sz w:val="18"/>
              </w:rPr>
              <w:t xml:space="preserve"> </w:t>
            </w:r>
            <w:r>
              <w:rPr>
                <w:sz w:val="18"/>
              </w:rPr>
              <w:t xml:space="preserve">(and</w:t>
            </w:r>
            <w:r>
              <w:rPr>
                <w:sz w:val="18"/>
              </w:rPr>
              <w:t xml:space="preserve"> </w:t>
            </w:r>
            <w:r>
              <w:rPr>
                <w:rStyle w:val="VerbatimChar"/>
                <w:sz w:val="18"/>
              </w:rPr>
              <w:t xml:space="preserve">Business details</w:t>
            </w:r>
            <w:r>
              <w:rPr>
                <w:sz w:val="18"/>
              </w:rPr>
              <w:t xml:space="preserve">)</w:t>
            </w:r>
          </w:p>
        </w:tc>
        <w:tc>
          <w:tcPr>
            <w:tcW w:w="3497" w:type="dxa"/>
          </w:tcPr>
          <w:p>
            <w:pPr>
              <w:pStyle w:val="Compact"/>
              <w:spacing w:after="40"/>
              <w:jc w:val="left"/>
            </w:pPr>
            <w:r>
              <w:rPr>
                <w:rStyle w:val="VerbatimChar"/>
                <w:sz w:val="18"/>
              </w:rPr>
              <w:t xml:space="preserve">Account › Documents and data › Tax documents</w:t>
            </w:r>
            <w:r>
              <w:rPr>
                <w:sz w:val="18"/>
              </w:rPr>
              <w:t xml:space="preserve"> </w:t>
            </w:r>
            <w:r>
              <w:rPr>
                <w:sz w:val="18"/>
              </w:rPr>
              <w:t xml:space="preserve">(with</w:t>
            </w:r>
            <w:r>
              <w:rPr>
                <w:sz w:val="18"/>
              </w:rPr>
              <w:t xml:space="preserve"> </w:t>
            </w:r>
            <w:r>
              <w:rPr>
                <w:rStyle w:val="VerbatimChar"/>
                <w:sz w:val="18"/>
              </w:rPr>
              <w:t xml:space="preserve">Business details</w:t>
            </w:r>
            <w:r>
              <w:rPr>
                <w:sz w:val="18"/>
              </w:rPr>
              <w:t xml:space="preserve"> </w:t>
            </w:r>
            <w:r>
              <w:rPr>
                <w:sz w:val="18"/>
              </w:rPr>
              <w:t xml:space="preserve">inside)</w:t>
            </w:r>
          </w:p>
        </w:tc>
        <w:tc>
          <w:tcPr>
            <w:tcW w:w="1580" w:type="dxa"/>
          </w:tcPr>
          <w:p>
            <w:pPr>
              <w:pStyle w:val="Compact"/>
              <w:spacing w:after="40"/>
              <w:jc w:val="left"/>
            </w:pPr>
            <w:r>
              <w:rPr>
                <w:sz w:val="18"/>
              </w:rPr>
              <w:t xml:space="preserve">Account holds only the six binding areas</w:t>
            </w:r>
          </w:p>
        </w:tc>
      </w:tr>
      <w:tr>
        <w:tc>
          <w:tcPr>
            <w:tcW w:w="782" w:type="dxa"/>
          </w:tcPr>
          <w:p>
            <w:pPr>
              <w:pStyle w:val="Compact"/>
              <w:spacing w:after="40"/>
              <w:jc w:val="left"/>
            </w:pPr>
            <w:r>
              <w:rPr>
                <w:sz w:val="18"/>
              </w:rPr>
              <w:t xml:space="preserve">3</w:t>
            </w:r>
          </w:p>
        </w:tc>
        <w:tc>
          <w:tcPr>
            <w:tcW w:w="1217" w:type="dxa"/>
          </w:tcPr>
          <w:p>
            <w:pPr>
              <w:pStyle w:val="Compact"/>
              <w:spacing w:after="40"/>
              <w:jc w:val="left"/>
            </w:pPr>
            <w:r>
              <w:rPr>
                <w:sz w:val="18"/>
              </w:rPr>
              <w:t xml:space="preserve">RV2.3</w:t>
            </w:r>
          </w:p>
        </w:tc>
        <w:tc>
          <w:tcPr>
            <w:tcW w:w="2562" w:type="dxa"/>
          </w:tcPr>
          <w:p>
            <w:pPr>
              <w:pStyle w:val="Compact"/>
              <w:spacing w:after="40"/>
              <w:jc w:val="left"/>
            </w:pPr>
            <w:r>
              <w:rPr>
                <w:rStyle w:val="VerbatimChar"/>
                <w:sz w:val="18"/>
              </w:rPr>
              <w:t xml:space="preserve">Account › Settings</w:t>
            </w:r>
            <w:r>
              <w:rPr>
                <w:sz w:val="18"/>
              </w:rPr>
              <w:t xml:space="preserve"> </w:t>
            </w:r>
            <w:r>
              <w:rPr>
                <w:sz w:val="18"/>
              </w:rPr>
              <w:t xml:space="preserve">holding language, notification and marketing preferences, privacy dashboard, devices, plan-related export</w:t>
            </w:r>
          </w:p>
        </w:tc>
        <w:tc>
          <w:tcPr>
            <w:tcW w:w="3497" w:type="dxa"/>
          </w:tcPr>
          <w:p>
            <w:pPr>
              <w:pStyle w:val="Compact"/>
              <w:spacing w:after="40"/>
              <w:jc w:val="left"/>
            </w:pPr>
            <w:r>
              <w:rPr>
                <w:sz w:val="18"/>
              </w:rPr>
              <w:t xml:space="preserve">Settings holds</w:t>
            </w:r>
            <w:r>
              <w:rPr>
                <w:sz w:val="18"/>
              </w:rPr>
              <w:t xml:space="preserve"> </w:t>
            </w:r>
            <w:r>
              <w:rPr>
                <w:rStyle w:val="VerbatimChar"/>
                <w:sz w:val="18"/>
              </w:rPr>
              <w:t xml:space="preserve">Notifications and marketing</w:t>
            </w:r>
            <w:r>
              <w:rPr>
                <w:sz w:val="18"/>
              </w:rPr>
              <w:t xml:space="preserve">,</w:t>
            </w:r>
            <w:r>
              <w:rPr>
                <w:sz w:val="18"/>
              </w:rPr>
              <w:t xml:space="preserve"> </w:t>
            </w:r>
            <w:r>
              <w:rPr>
                <w:rStyle w:val="VerbatimChar"/>
                <w:sz w:val="18"/>
              </w:rPr>
              <w:t xml:space="preserve">Ads and interests</w:t>
            </w:r>
            <w:r>
              <w:rPr>
                <w:sz w:val="18"/>
              </w:rPr>
              <w:t xml:space="preserve">,</w:t>
            </w:r>
            <w:r>
              <w:rPr>
                <w:sz w:val="18"/>
              </w:rPr>
              <w:t xml:space="preserve"> </w:t>
            </w:r>
            <w:r>
              <w:rPr>
                <w:rStyle w:val="VerbatimChar"/>
                <w:sz w:val="18"/>
              </w:rPr>
              <w:t xml:space="preserve">Contact preferences</w:t>
            </w:r>
            <w:r>
              <w:rPr>
                <w:sz w:val="18"/>
              </w:rPr>
              <w:t xml:space="preserve">,</w:t>
            </w:r>
            <w:r>
              <w:rPr>
                <w:sz w:val="18"/>
              </w:rPr>
              <w:t xml:space="preserve"> </w:t>
            </w:r>
            <w:r>
              <w:rPr>
                <w:rStyle w:val="VerbatimChar"/>
                <w:sz w:val="18"/>
              </w:rPr>
              <w:t xml:space="preserve">Language</w:t>
            </w:r>
            <w:r>
              <w:rPr>
                <w:sz w:val="18"/>
              </w:rPr>
              <w:t xml:space="preserve">,</w:t>
            </w:r>
            <w:r>
              <w:rPr>
                <w:sz w:val="18"/>
              </w:rPr>
              <w:t xml:space="preserve"> </w:t>
            </w:r>
            <w:r>
              <w:rPr>
                <w:rStyle w:val="VerbatimChar"/>
                <w:sz w:val="18"/>
              </w:rPr>
              <w:t xml:space="preserve">Security</w:t>
            </w:r>
            <w:r>
              <w:rPr>
                <w:sz w:val="18"/>
              </w:rPr>
              <w:t xml:space="preserve"> </w:t>
            </w:r>
            <w:r>
              <w:rPr>
                <w:sz w:val="18"/>
              </w:rPr>
              <w:t xml:space="preserve">(devices); privacy dashboard is</w:t>
            </w:r>
            <w:r>
              <w:rPr>
                <w:sz w:val="18"/>
              </w:rPr>
              <w:t xml:space="preserve"> </w:t>
            </w:r>
            <w:r>
              <w:rPr>
                <w:rStyle w:val="VerbatimChar"/>
                <w:sz w:val="18"/>
              </w:rPr>
              <w:t xml:space="preserve">Account › Documents and data › My data › Consents and privacy</w:t>
            </w:r>
            <w:r>
              <w:rPr>
                <w:sz w:val="18"/>
              </w:rPr>
              <w:t xml:space="preserve">; plan-related export is in</w:t>
            </w:r>
            <w:r>
              <w:rPr>
                <w:sz w:val="18"/>
              </w:rPr>
              <w:t xml:space="preserve"> </w:t>
            </w:r>
            <w:r>
              <w:rPr>
                <w:rStyle w:val="VerbatimChar"/>
                <w:sz w:val="18"/>
              </w:rPr>
              <w:t xml:space="preserve">My data</w:t>
            </w:r>
          </w:p>
        </w:tc>
        <w:tc>
          <w:tcPr>
            <w:tcW w:w="1580" w:type="dxa"/>
          </w:tcPr>
          <w:p>
            <w:pPr>
              <w:pStyle w:val="Compact"/>
              <w:spacing w:after="40"/>
              <w:jc w:val="left"/>
            </w:pPr>
            <w:r>
              <w:rPr>
                <w:sz w:val="18"/>
              </w:rPr>
              <w:t xml:space="preserve">Binding Settings list; one home for data rights</w:t>
            </w:r>
          </w:p>
        </w:tc>
      </w:tr>
      <w:tr>
        <w:tc>
          <w:tcPr>
            <w:tcW w:w="782" w:type="dxa"/>
          </w:tcPr>
          <w:p>
            <w:pPr>
              <w:pStyle w:val="Compact"/>
              <w:spacing w:after="40"/>
              <w:jc w:val="left"/>
            </w:pPr>
            <w:r>
              <w:rPr>
                <w:sz w:val="18"/>
              </w:rPr>
              <w:t xml:space="preserve">4</w:t>
            </w:r>
          </w:p>
        </w:tc>
        <w:tc>
          <w:tcPr>
            <w:tcW w:w="1217" w:type="dxa"/>
          </w:tcPr>
          <w:p>
            <w:pPr>
              <w:pStyle w:val="Compact"/>
              <w:spacing w:after="40"/>
              <w:jc w:val="left"/>
            </w:pPr>
            <w:r>
              <w:rPr>
                <w:sz w:val="18"/>
              </w:rPr>
              <w:t xml:space="preserve">U4, U25, Part 10.7</w:t>
            </w:r>
          </w:p>
        </w:tc>
        <w:tc>
          <w:tcPr>
            <w:tcW w:w="2562" w:type="dxa"/>
          </w:tcPr>
          <w:p>
            <w:pPr>
              <w:pStyle w:val="Compact"/>
              <w:spacing w:after="40"/>
              <w:jc w:val="left"/>
            </w:pPr>
            <w:r>
              <w:rPr>
                <w:sz w:val="18"/>
              </w:rPr>
              <w:t xml:space="preserve">Privacy dashboard and</w:t>
            </w:r>
            <w:r>
              <w:rPr>
                <w:sz w:val="18"/>
              </w:rPr>
              <w:t xml:space="preserve"> </w:t>
            </w:r>
            <w:r>
              <w:rPr>
                <w:sz w:val="18"/>
              </w:rPr>
              <w:t xml:space="preserve">“</w:t>
            </w:r>
            <w:r>
              <w:rPr>
                <w:sz w:val="18"/>
              </w:rPr>
              <w:t xml:space="preserve">what Udofin can access</w:t>
            </w:r>
            <w:r>
              <w:rPr>
                <w:sz w:val="18"/>
              </w:rPr>
              <w:t xml:space="preserve">”</w:t>
            </w:r>
            <w:r>
              <w:rPr>
                <w:sz w:val="18"/>
              </w:rPr>
              <w:t xml:space="preserve"> </w:t>
            </w:r>
            <w:r>
              <w:rPr>
                <w:sz w:val="18"/>
              </w:rPr>
              <w:t xml:space="preserve">with no path</w:t>
            </w:r>
          </w:p>
        </w:tc>
        <w:tc>
          <w:tcPr>
            <w:tcW w:w="3497" w:type="dxa"/>
          </w:tcPr>
          <w:p>
            <w:pPr>
              <w:pStyle w:val="Compact"/>
              <w:spacing w:after="40"/>
              <w:jc w:val="left"/>
            </w:pPr>
            <w:r>
              <w:rPr>
                <w:rStyle w:val="VerbatimChar"/>
                <w:sz w:val="18"/>
              </w:rPr>
              <w:t xml:space="preserve">My data › Consents and privacy</w:t>
            </w:r>
            <w:r>
              <w:rPr>
                <w:sz w:val="18"/>
              </w:rPr>
              <w:t xml:space="preserve">; permission summary also in the disclosure footer</w:t>
            </w:r>
          </w:p>
        </w:tc>
        <w:tc>
          <w:tcPr>
            <w:tcW w:w="1580" w:type="dxa"/>
          </w:tcPr>
          <w:p>
            <w:pPr>
              <w:pStyle w:val="Compact"/>
              <w:spacing w:after="40"/>
              <w:jc w:val="left"/>
            </w:pPr>
            <w:r>
              <w:rPr>
                <w:sz w:val="18"/>
              </w:rPr>
              <w:t xml:space="preserve">Single location</w:t>
            </w:r>
          </w:p>
        </w:tc>
      </w:tr>
      <w:tr>
        <w:tc>
          <w:tcPr>
            <w:tcW w:w="782" w:type="dxa"/>
          </w:tcPr>
          <w:p>
            <w:pPr>
              <w:pStyle w:val="Compact"/>
              <w:spacing w:after="40"/>
              <w:jc w:val="left"/>
            </w:pPr>
            <w:r>
              <w:rPr>
                <w:sz w:val="18"/>
              </w:rPr>
              <w:t xml:space="preserve">5</w:t>
            </w:r>
          </w:p>
        </w:tc>
        <w:tc>
          <w:tcPr>
            <w:tcW w:w="1217" w:type="dxa"/>
          </w:tcPr>
          <w:p>
            <w:pPr>
              <w:pStyle w:val="Compact"/>
              <w:spacing w:after="40"/>
              <w:jc w:val="left"/>
            </w:pPr>
            <w:r>
              <w:rPr>
                <w:sz w:val="18"/>
              </w:rPr>
              <w:t xml:space="preserve">UB1 (C) and UB1 (D)</w:t>
            </w:r>
          </w:p>
        </w:tc>
        <w:tc>
          <w:tcPr>
            <w:tcW w:w="2562" w:type="dxa"/>
          </w:tcPr>
          <w:p>
            <w:pPr>
              <w:pStyle w:val="Compact"/>
              <w:spacing w:after="40"/>
              <w:jc w:val="left"/>
            </w:pPr>
            <w:r>
              <w:rPr>
                <w:rStyle w:val="VerbatimChar"/>
                <w:sz w:val="18"/>
              </w:rPr>
              <w:t xml:space="preserve">Operations portal › Service › Document requests</w:t>
            </w:r>
            <w:r>
              <w:rPr>
                <w:sz w:val="18"/>
              </w:rPr>
              <w:t xml:space="preserve"> </w:t>
            </w:r>
            <w:r>
              <w:rPr>
                <w:sz w:val="18"/>
              </w:rPr>
              <w:t xml:space="preserve">and</w:t>
            </w:r>
            <w:r>
              <w:rPr>
                <w:sz w:val="18"/>
              </w:rPr>
              <w:t xml:space="preserve"> </w:t>
            </w:r>
            <w:r>
              <w:rPr>
                <w:rStyle w:val="VerbatimChar"/>
                <w:sz w:val="18"/>
              </w:rPr>
              <w:t xml:space="preserve">Lender portal › Servicing › Document requests</w:t>
            </w:r>
          </w:p>
        </w:tc>
        <w:tc>
          <w:tcPr>
            <w:tcW w:w="3497" w:type="dxa"/>
          </w:tcPr>
          <w:p>
            <w:pPr>
              <w:pStyle w:val="Compact"/>
              <w:spacing w:after="40"/>
              <w:jc w:val="left"/>
            </w:pPr>
            <w:r>
              <w:rPr>
                <w:rStyle w:val="VerbatimChar"/>
                <w:sz w:val="18"/>
              </w:rPr>
              <w:t xml:space="preserve">Servicing › Document requests</w:t>
            </w:r>
            <w:r>
              <w:rPr>
                <w:sz w:val="18"/>
              </w:rPr>
              <w:t xml:space="preserve"> </w:t>
            </w:r>
            <w:r>
              <w:rPr>
                <w:sz w:val="18"/>
              </w:rPr>
              <w:t xml:space="preserve">in both portals</w:t>
            </w:r>
          </w:p>
        </w:tc>
        <w:tc>
          <w:tcPr>
            <w:tcW w:w="1580" w:type="dxa"/>
          </w:tcPr>
          <w:p>
            <w:pPr>
              <w:pStyle w:val="Compact"/>
              <w:spacing w:after="40"/>
              <w:jc w:val="left"/>
            </w:pPr>
            <w:r>
              <w:rPr>
                <w:sz w:val="18"/>
              </w:rPr>
              <w:t xml:space="preserve">One label for one queue</w:t>
            </w:r>
          </w:p>
        </w:tc>
      </w:tr>
      <w:tr>
        <w:tc>
          <w:tcPr>
            <w:tcW w:w="782" w:type="dxa"/>
          </w:tcPr>
          <w:p>
            <w:pPr>
              <w:pStyle w:val="Compact"/>
              <w:spacing w:after="40"/>
              <w:jc w:val="left"/>
            </w:pPr>
            <w:r>
              <w:rPr>
                <w:sz w:val="18"/>
              </w:rPr>
              <w:t xml:space="preserve">6</w:t>
            </w:r>
          </w:p>
        </w:tc>
        <w:tc>
          <w:tcPr>
            <w:tcW w:w="1217" w:type="dxa"/>
          </w:tcPr>
          <w:p>
            <w:pPr>
              <w:pStyle w:val="Compact"/>
              <w:spacing w:after="40"/>
              <w:jc w:val="left"/>
            </w:pPr>
            <w:r>
              <w:rPr>
                <w:sz w:val="18"/>
              </w:rPr>
              <w:t xml:space="preserve">FW1, FW4</w:t>
            </w:r>
          </w:p>
        </w:tc>
        <w:tc>
          <w:tcPr>
            <w:tcW w:w="2562" w:type="dxa"/>
          </w:tcPr>
          <w:p>
            <w:pPr>
              <w:pStyle w:val="Compact"/>
              <w:spacing w:after="40"/>
              <w:jc w:val="left"/>
            </w:pPr>
            <w:r>
              <w:rPr>
                <w:rStyle w:val="VerbatimChar"/>
                <w:sz w:val="18"/>
              </w:rPr>
              <w:t xml:space="preserve">Operations portal › Money tools</w:t>
            </w:r>
            <w:r>
              <w:rPr>
                <w:sz w:val="18"/>
              </w:rPr>
              <w:t xml:space="preserve"> </w:t>
            </w:r>
            <w:r>
              <w:rPr>
                <w:sz w:val="18"/>
              </w:rPr>
              <w:t xml:space="preserve">and</w:t>
            </w:r>
            <w:r>
              <w:rPr>
                <w:sz w:val="18"/>
              </w:rPr>
              <w:t xml:space="preserve"> </w:t>
            </w:r>
            <w:r>
              <w:rPr>
                <w:rStyle w:val="VerbatimChar"/>
                <w:sz w:val="18"/>
              </w:rPr>
              <w:t xml:space="preserve">Operations portal › Money tools governance</w:t>
            </w:r>
          </w:p>
        </w:tc>
        <w:tc>
          <w:tcPr>
            <w:tcW w:w="3497" w:type="dxa"/>
          </w:tcPr>
          <w:p>
            <w:pPr>
              <w:pStyle w:val="Compact"/>
              <w:spacing w:after="40"/>
              <w:jc w:val="left"/>
            </w:pPr>
            <w:r>
              <w:rPr>
                <w:rStyle w:val="VerbatimChar"/>
                <w:sz w:val="18"/>
              </w:rPr>
              <w:t xml:space="preserve">Money tools › Operations</w:t>
            </w:r>
            <w:r>
              <w:rPr>
                <w:sz w:val="18"/>
              </w:rPr>
              <w:t xml:space="preserve"> </w:t>
            </w:r>
            <w:r>
              <w:rPr>
                <w:sz w:val="18"/>
              </w:rPr>
              <w:t xml:space="preserve">and</w:t>
            </w:r>
            <w:r>
              <w:rPr>
                <w:sz w:val="18"/>
              </w:rPr>
              <w:t xml:space="preserve"> </w:t>
            </w:r>
            <w:r>
              <w:rPr>
                <w:rStyle w:val="VerbatimChar"/>
                <w:sz w:val="18"/>
              </w:rPr>
              <w:t xml:space="preserve">Money tools › Governance</w:t>
            </w:r>
          </w:p>
        </w:tc>
        <w:tc>
          <w:tcPr>
            <w:tcW w:w="1580" w:type="dxa"/>
          </w:tcPr>
          <w:p>
            <w:pPr>
              <w:pStyle w:val="Compact"/>
              <w:spacing w:after="40"/>
              <w:jc w:val="left"/>
            </w:pPr>
            <w:r>
              <w:rPr>
                <w:sz w:val="18"/>
              </w:rPr>
              <w:t xml:space="preserve">One top-level menu</w:t>
            </w:r>
          </w:p>
        </w:tc>
      </w:tr>
      <w:tr>
        <w:tc>
          <w:tcPr>
            <w:tcW w:w="782" w:type="dxa"/>
          </w:tcPr>
          <w:p>
            <w:pPr>
              <w:pStyle w:val="Compact"/>
              <w:spacing w:after="40"/>
              <w:jc w:val="left"/>
            </w:pPr>
            <w:r>
              <w:rPr>
                <w:sz w:val="18"/>
              </w:rPr>
              <w:t xml:space="preserve">7</w:t>
            </w:r>
          </w:p>
        </w:tc>
        <w:tc>
          <w:tcPr>
            <w:tcW w:w="1217" w:type="dxa"/>
          </w:tcPr>
          <w:p>
            <w:pPr>
              <w:pStyle w:val="Compact"/>
              <w:spacing w:after="40"/>
              <w:jc w:val="left"/>
            </w:pPr>
            <w:r>
              <w:rPr>
                <w:sz w:val="18"/>
              </w:rPr>
              <w:t xml:space="preserve">XP1</w:t>
            </w:r>
          </w:p>
        </w:tc>
        <w:tc>
          <w:tcPr>
            <w:tcW w:w="2562" w:type="dxa"/>
          </w:tcPr>
          <w:p>
            <w:pPr>
              <w:pStyle w:val="Compact"/>
              <w:spacing w:after="40"/>
              <w:jc w:val="left"/>
            </w:pPr>
            <w:r>
              <w:rPr>
                <w:rStyle w:val="VerbatimChar"/>
                <w:sz w:val="18"/>
              </w:rPr>
              <w:t xml:space="preserve">Products › Partners</w:t>
            </w:r>
          </w:p>
        </w:tc>
        <w:tc>
          <w:tcPr>
            <w:tcW w:w="3497" w:type="dxa"/>
          </w:tcPr>
          <w:p>
            <w:pPr>
              <w:pStyle w:val="Compact"/>
              <w:spacing w:after="40"/>
              <w:jc w:val="left"/>
            </w:pPr>
            <w:r>
              <w:rPr>
                <w:rStyle w:val="VerbatimChar"/>
                <w:sz w:val="18"/>
              </w:rPr>
              <w:t xml:space="preserve">Products › Product partners</w:t>
            </w:r>
          </w:p>
        </w:tc>
        <w:tc>
          <w:tcPr>
            <w:tcW w:w="1580" w:type="dxa"/>
          </w:tcPr>
          <w:p>
            <w:pPr>
              <w:pStyle w:val="Compact"/>
              <w:spacing w:after="40"/>
              <w:jc w:val="left"/>
            </w:pPr>
            <w:r>
              <w:rPr>
                <w:sz w:val="18"/>
              </w:rPr>
              <w:t xml:space="preserve">Collides with the</w:t>
            </w:r>
            <w:r>
              <w:rPr>
                <w:sz w:val="18"/>
              </w:rPr>
              <w:t xml:space="preserve"> </w:t>
            </w:r>
            <w:r>
              <w:rPr>
                <w:rStyle w:val="VerbatimChar"/>
                <w:sz w:val="18"/>
              </w:rPr>
              <w:t xml:space="preserve">Partners</w:t>
            </w:r>
            <w:r>
              <w:rPr>
                <w:sz w:val="18"/>
              </w:rPr>
              <w:t xml:space="preserve"> </w:t>
            </w:r>
            <w:r>
              <w:rPr>
                <w:sz w:val="18"/>
              </w:rPr>
              <w:t xml:space="preserve">workspace</w:t>
            </w:r>
          </w:p>
        </w:tc>
      </w:tr>
      <w:tr>
        <w:tc>
          <w:tcPr>
            <w:tcW w:w="782" w:type="dxa"/>
          </w:tcPr>
          <w:p>
            <w:pPr>
              <w:pStyle w:val="Compact"/>
              <w:spacing w:after="40"/>
              <w:jc w:val="left"/>
            </w:pPr>
            <w:r>
              <w:rPr>
                <w:sz w:val="18"/>
              </w:rPr>
              <w:t xml:space="preserve">8</w:t>
            </w:r>
          </w:p>
        </w:tc>
        <w:tc>
          <w:tcPr>
            <w:tcW w:w="1217" w:type="dxa"/>
          </w:tcPr>
          <w:p>
            <w:pPr>
              <w:pStyle w:val="Compact"/>
              <w:spacing w:after="40"/>
              <w:jc w:val="left"/>
            </w:pPr>
            <w:r>
              <w:rPr>
                <w:sz w:val="18"/>
              </w:rPr>
              <w:t xml:space="preserve">UP3, RA3, Phase 16c</w:t>
            </w:r>
          </w:p>
        </w:tc>
        <w:tc>
          <w:tcPr>
            <w:tcW w:w="2562" w:type="dxa"/>
          </w:tcPr>
          <w:p>
            <w:pPr>
              <w:pStyle w:val="Compact"/>
              <w:spacing w:after="40"/>
              <w:jc w:val="left"/>
            </w:pPr>
            <w:r>
              <w:rPr>
                <w:rStyle w:val="VerbatimChar"/>
                <w:sz w:val="18"/>
              </w:rPr>
              <w:t xml:space="preserve">Partners › Exports</w:t>
            </w:r>
            <w:r>
              <w:rPr>
                <w:sz w:val="18"/>
              </w:rPr>
              <w:t xml:space="preserve"> </w:t>
            </w:r>
            <w:r>
              <w:rPr>
                <w:sz w:val="18"/>
              </w:rPr>
              <w:t xml:space="preserve">(packs) and lender-portal</w:t>
            </w:r>
            <w:r>
              <w:rPr>
                <w:sz w:val="18"/>
              </w:rPr>
              <w:t xml:space="preserve"> </w:t>
            </w:r>
            <w:r>
              <w:rPr>
                <w:rStyle w:val="VerbatimChar"/>
                <w:sz w:val="18"/>
              </w:rPr>
              <w:t xml:space="preserve">Exports › …</w:t>
            </w:r>
            <w:r>
              <w:rPr>
                <w:sz w:val="18"/>
              </w:rPr>
              <w:t xml:space="preserve"> </w:t>
            </w:r>
            <w:r>
              <w:rPr>
                <w:sz w:val="18"/>
              </w:rPr>
              <w:t xml:space="preserve">(data exports)</w:t>
            </w:r>
          </w:p>
        </w:tc>
        <w:tc>
          <w:tcPr>
            <w:tcW w:w="3497" w:type="dxa"/>
          </w:tcPr>
          <w:p>
            <w:pPr>
              <w:pStyle w:val="Compact"/>
              <w:spacing w:after="40"/>
              <w:jc w:val="left"/>
            </w:pPr>
            <w:r>
              <w:rPr>
                <w:sz w:val="18"/>
              </w:rPr>
              <w:t xml:space="preserve">Lender-portal</w:t>
            </w:r>
            <w:r>
              <w:rPr>
                <w:sz w:val="18"/>
              </w:rPr>
              <w:t xml:space="preserve"> </w:t>
            </w:r>
            <w:r>
              <w:rPr>
                <w:rStyle w:val="VerbatimChar"/>
                <w:sz w:val="18"/>
              </w:rPr>
              <w:t xml:space="preserve">Exports</w:t>
            </w:r>
            <w:r>
              <w:rPr>
                <w:sz w:val="18"/>
              </w:rPr>
              <w:t xml:space="preserve"> </w:t>
            </w:r>
            <w:r>
              <w:rPr>
                <w:sz w:val="18"/>
              </w:rPr>
              <w:t xml:space="preserve">with</w:t>
            </w:r>
            <w:r>
              <w:rPr>
                <w:sz w:val="18"/>
              </w:rPr>
              <w:t xml:space="preserve"> </w:t>
            </w:r>
            <w:r>
              <w:rPr>
                <w:rStyle w:val="VerbatimChar"/>
                <w:sz w:val="18"/>
              </w:rPr>
              <w:t xml:space="preserve">› Packs</w:t>
            </w:r>
            <w:r>
              <w:rPr>
                <w:sz w:val="18"/>
              </w:rPr>
              <w:t xml:space="preserve"> </w:t>
            </w:r>
            <w:r>
              <w:rPr>
                <w:sz w:val="18"/>
              </w:rPr>
              <w:t xml:space="preserve">(same screen as</w:t>
            </w:r>
            <w:r>
              <w:rPr>
                <w:sz w:val="18"/>
              </w:rPr>
              <w:t xml:space="preserve"> </w:t>
            </w:r>
            <w:r>
              <w:rPr>
                <w:rStyle w:val="VerbatimChar"/>
                <w:sz w:val="18"/>
              </w:rPr>
              <w:t xml:space="preserve">Partners › Exports</w:t>
            </w:r>
            <w:r>
              <w:rPr>
                <w:sz w:val="18"/>
              </w:rPr>
              <w:t xml:space="preserve">) plus the RA3 items</w:t>
            </w:r>
          </w:p>
        </w:tc>
        <w:tc>
          <w:tcPr>
            <w:tcW w:w="1580" w:type="dxa"/>
          </w:tcPr>
          <w:p>
            <w:pPr>
              <w:pStyle w:val="Compact"/>
              <w:spacing w:after="40"/>
              <w:jc w:val="left"/>
            </w:pPr>
            <w:r>
              <w:rPr>
                <w:sz w:val="18"/>
              </w:rPr>
              <w:t xml:space="preserve">Two export menus with overlapping names</w:t>
            </w:r>
          </w:p>
        </w:tc>
      </w:tr>
      <w:tr>
        <w:tc>
          <w:tcPr>
            <w:tcW w:w="782" w:type="dxa"/>
          </w:tcPr>
          <w:p>
            <w:pPr>
              <w:pStyle w:val="Compact"/>
              <w:spacing w:after="40"/>
              <w:jc w:val="left"/>
            </w:pPr>
            <w:r>
              <w:rPr>
                <w:sz w:val="18"/>
              </w:rPr>
              <w:t xml:space="preserve">9</w:t>
            </w:r>
          </w:p>
        </w:tc>
        <w:tc>
          <w:tcPr>
            <w:tcW w:w="1217" w:type="dxa"/>
          </w:tcPr>
          <w:p>
            <w:pPr>
              <w:pStyle w:val="Compact"/>
              <w:spacing w:after="40"/>
              <w:jc w:val="left"/>
            </w:pPr>
            <w:r>
              <w:rPr>
                <w:sz w:val="18"/>
              </w:rPr>
              <w:t xml:space="preserve">MG2, MG4</w:t>
            </w:r>
          </w:p>
        </w:tc>
        <w:tc>
          <w:tcPr>
            <w:tcW w:w="2562" w:type="dxa"/>
          </w:tcPr>
          <w:p>
            <w:pPr>
              <w:pStyle w:val="Compact"/>
              <w:spacing w:after="40"/>
              <w:jc w:val="left"/>
            </w:pPr>
            <w:r>
              <w:rPr>
                <w:rStyle w:val="VerbatimChar"/>
                <w:sz w:val="18"/>
              </w:rPr>
              <w:t xml:space="preserve">Field app › Meeting</w:t>
            </w:r>
            <w:r>
              <w:rPr>
                <w:sz w:val="18"/>
              </w:rPr>
              <w:t xml:space="preserve"> </w:t>
            </w:r>
            <w:r>
              <w:rPr>
                <w:sz w:val="18"/>
              </w:rPr>
              <w:t xml:space="preserve">with tabs Today, Groups, Members, Collections, Me</w:t>
            </w:r>
          </w:p>
        </w:tc>
        <w:tc>
          <w:tcPr>
            <w:tcW w:w="3497" w:type="dxa"/>
          </w:tcPr>
          <w:p>
            <w:pPr>
              <w:pStyle w:val="Compact"/>
              <w:spacing w:after="40"/>
              <w:jc w:val="left"/>
            </w:pPr>
            <w:r>
              <w:rPr>
                <w:rStyle w:val="VerbatimChar"/>
                <w:sz w:val="18"/>
              </w:rPr>
              <w:t xml:space="preserve">Today › Meeting</w:t>
            </w:r>
          </w:p>
        </w:tc>
        <w:tc>
          <w:tcPr>
            <w:tcW w:w="1580" w:type="dxa"/>
          </w:tcPr>
          <w:p>
            <w:pPr>
              <w:pStyle w:val="Compact"/>
              <w:spacing w:after="40"/>
              <w:jc w:val="left"/>
            </w:pPr>
            <w:r>
              <w:rPr>
                <w:sz w:val="18"/>
              </w:rPr>
              <w:t xml:space="preserve">No Meeting tab exists</w:t>
            </w:r>
          </w:p>
        </w:tc>
      </w:tr>
      <w:tr>
        <w:tc>
          <w:tcPr>
            <w:tcW w:w="782" w:type="dxa"/>
          </w:tcPr>
          <w:p>
            <w:pPr>
              <w:pStyle w:val="Compact"/>
              <w:spacing w:after="40"/>
              <w:jc w:val="left"/>
            </w:pPr>
            <w:r>
              <w:rPr>
                <w:sz w:val="18"/>
              </w:rPr>
              <w:t xml:space="preserve">10</w:t>
            </w:r>
          </w:p>
        </w:tc>
        <w:tc>
          <w:tcPr>
            <w:tcW w:w="1217" w:type="dxa"/>
          </w:tcPr>
          <w:p>
            <w:pPr>
              <w:pStyle w:val="Compact"/>
              <w:spacing w:after="40"/>
              <w:jc w:val="left"/>
            </w:pPr>
            <w:r>
              <w:rPr>
                <w:sz w:val="18"/>
              </w:rPr>
              <w:t xml:space="preserve">UR4, U22</w:t>
            </w:r>
          </w:p>
        </w:tc>
        <w:tc>
          <w:tcPr>
            <w:tcW w:w="2562" w:type="dxa"/>
          </w:tcPr>
          <w:p>
            <w:pPr>
              <w:pStyle w:val="Compact"/>
              <w:spacing w:after="40"/>
              <w:jc w:val="left"/>
            </w:pPr>
            <w:r>
              <w:rPr>
                <w:sz w:val="18"/>
              </w:rPr>
              <w:t xml:space="preserve">Field recovery cases with no path</w:t>
            </w:r>
          </w:p>
        </w:tc>
        <w:tc>
          <w:tcPr>
            <w:tcW w:w="3497" w:type="dxa"/>
          </w:tcPr>
          <w:p>
            <w:pPr>
              <w:pStyle w:val="Compact"/>
              <w:spacing w:after="40"/>
              <w:jc w:val="left"/>
            </w:pPr>
            <w:r>
              <w:rPr>
                <w:rStyle w:val="VerbatimChar"/>
                <w:sz w:val="18"/>
              </w:rPr>
              <w:t xml:space="preserve">Collections › Recovery cases</w:t>
            </w:r>
            <w:r>
              <w:rPr>
                <w:sz w:val="18"/>
              </w:rPr>
              <w:t xml:space="preserve"> </w:t>
            </w:r>
            <w:r>
              <w:rPr>
                <w:sz w:val="18"/>
              </w:rPr>
              <w:t xml:space="preserve">(only where appointed)</w:t>
            </w:r>
          </w:p>
        </w:tc>
        <w:tc>
          <w:tcPr>
            <w:tcW w:w="1580" w:type="dxa"/>
          </w:tcPr>
          <w:p>
            <w:pPr>
              <w:pStyle w:val="Compact"/>
              <w:spacing w:after="40"/>
              <w:jc w:val="left"/>
            </w:pPr>
            <w:r>
              <w:rPr>
                <w:sz w:val="18"/>
              </w:rPr>
              <w:t xml:space="preserve">Recovery work separated from group collections</w:t>
            </w:r>
          </w:p>
        </w:tc>
      </w:tr>
      <w:tr>
        <w:tc>
          <w:tcPr>
            <w:tcW w:w="782" w:type="dxa"/>
          </w:tcPr>
          <w:p>
            <w:pPr>
              <w:pStyle w:val="Compact"/>
              <w:spacing w:after="40"/>
              <w:jc w:val="left"/>
            </w:pPr>
            <w:r>
              <w:rPr>
                <w:sz w:val="18"/>
              </w:rPr>
              <w:t xml:space="preserve">11</w:t>
            </w:r>
          </w:p>
        </w:tc>
        <w:tc>
          <w:tcPr>
            <w:tcW w:w="1217" w:type="dxa"/>
          </w:tcPr>
          <w:p>
            <w:pPr>
              <w:pStyle w:val="Compact"/>
              <w:spacing w:after="40"/>
              <w:jc w:val="left"/>
            </w:pPr>
            <w:r>
              <w:rPr>
                <w:sz w:val="18"/>
              </w:rPr>
              <w:t xml:space="preserve">UP4, MG1</w:t>
            </w:r>
          </w:p>
        </w:tc>
        <w:tc>
          <w:tcPr>
            <w:tcW w:w="2562" w:type="dxa"/>
          </w:tcPr>
          <w:p>
            <w:pPr>
              <w:pStyle w:val="Compact"/>
              <w:spacing w:after="40"/>
              <w:jc w:val="left"/>
            </w:pPr>
            <w:r>
              <w:rPr>
                <w:sz w:val="18"/>
              </w:rPr>
              <w:t xml:space="preserve">Borrower web</w:t>
            </w:r>
            <w:r>
              <w:rPr>
                <w:sz w:val="18"/>
              </w:rPr>
              <w:t xml:space="preserve"> </w:t>
            </w:r>
            <w:r>
              <w:rPr>
                <w:sz w:val="18"/>
              </w:rPr>
              <w:t xml:space="preserve">“</w:t>
            </w:r>
            <w:r>
              <w:rPr>
                <w:sz w:val="18"/>
              </w:rPr>
              <w:t xml:space="preserve">Your society</w:t>
            </w:r>
            <w:r>
              <w:rPr>
                <w:sz w:val="18"/>
              </w:rPr>
              <w:t xml:space="preserve">”</w:t>
            </w:r>
            <w:r>
              <w:rPr>
                <w:sz w:val="18"/>
              </w:rPr>
              <w:t xml:space="preserve"> </w:t>
            </w:r>
            <w:r>
              <w:rPr>
                <w:sz w:val="18"/>
              </w:rPr>
              <w:t xml:space="preserve">and</w:t>
            </w:r>
            <w:r>
              <w:rPr>
                <w:sz w:val="18"/>
              </w:rPr>
              <w:t xml:space="preserve"> </w:t>
            </w:r>
            <w:r>
              <w:rPr>
                <w:rStyle w:val="VerbatimChar"/>
                <w:sz w:val="18"/>
              </w:rPr>
              <w:t xml:space="preserve">Loans › Your society</w:t>
            </w:r>
          </w:p>
        </w:tc>
        <w:tc>
          <w:tcPr>
            <w:tcW w:w="3497" w:type="dxa"/>
          </w:tcPr>
          <w:p>
            <w:pPr>
              <w:pStyle w:val="Compact"/>
              <w:spacing w:after="40"/>
              <w:jc w:val="left"/>
            </w:pPr>
            <w:r>
              <w:rPr>
                <w:rStyle w:val="VerbatimChar"/>
                <w:sz w:val="18"/>
              </w:rPr>
              <w:t xml:space="preserve">Loans › Your society</w:t>
            </w:r>
            <w:r>
              <w:rPr>
                <w:sz w:val="18"/>
              </w:rPr>
              <w:t xml:space="preserve"> </w:t>
            </w:r>
            <w:r>
              <w:rPr>
                <w:sz w:val="18"/>
              </w:rPr>
              <w:t xml:space="preserve">on B and assisted E; hidden on A by</w:t>
            </w:r>
            <w:r>
              <w:rPr>
                <w:sz w:val="18"/>
              </w:rPr>
              <w:t xml:space="preserve"> </w:t>
            </w:r>
            <w:r>
              <w:rPr>
                <w:rStyle w:val="VerbatimChar"/>
                <w:sz w:val="18"/>
              </w:rPr>
              <w:t xml:space="preserve">coop_channel_gate</w:t>
            </w:r>
          </w:p>
        </w:tc>
        <w:tc>
          <w:tcPr>
            <w:tcW w:w="1580" w:type="dxa"/>
          </w:tcPr>
          <w:p>
            <w:pPr>
              <w:pStyle w:val="Compact"/>
              <w:spacing w:after="40"/>
              <w:jc w:val="left"/>
            </w:pPr>
            <w:r>
              <w:rPr>
                <w:sz w:val="18"/>
              </w:rPr>
              <w:t xml:space="preserve">Part 3.2 channel limit for societies</w:t>
            </w:r>
          </w:p>
        </w:tc>
      </w:tr>
      <w:tr>
        <w:tc>
          <w:tcPr>
            <w:tcW w:w="782" w:type="dxa"/>
          </w:tcPr>
          <w:p>
            <w:pPr>
              <w:pStyle w:val="Compact"/>
              <w:spacing w:after="40"/>
              <w:jc w:val="left"/>
            </w:pPr>
            <w:r>
              <w:rPr>
                <w:sz w:val="18"/>
              </w:rPr>
              <w:t xml:space="preserve">12</w:t>
            </w:r>
          </w:p>
        </w:tc>
        <w:tc>
          <w:tcPr>
            <w:tcW w:w="1217" w:type="dxa"/>
          </w:tcPr>
          <w:p>
            <w:pPr>
              <w:pStyle w:val="Compact"/>
              <w:spacing w:after="40"/>
              <w:jc w:val="left"/>
            </w:pPr>
            <w:r>
              <w:rPr>
                <w:sz w:val="18"/>
              </w:rPr>
              <w:t xml:space="preserve">XP2, UB4</w:t>
            </w:r>
          </w:p>
        </w:tc>
        <w:tc>
          <w:tcPr>
            <w:tcW w:w="2562" w:type="dxa"/>
          </w:tcPr>
          <w:p>
            <w:pPr>
              <w:pStyle w:val="Compact"/>
              <w:spacing w:after="40"/>
              <w:jc w:val="left"/>
            </w:pPr>
            <w:r>
              <w:rPr>
                <w:rStyle w:val="VerbatimChar"/>
                <w:sz w:val="18"/>
              </w:rPr>
              <w:t xml:space="preserve">Account › Protect › Complaints</w:t>
            </w:r>
            <w:r>
              <w:rPr>
                <w:sz w:val="18"/>
              </w:rPr>
              <w:t xml:space="preserve"> </w:t>
            </w:r>
            <w:r>
              <w:rPr>
                <w:sz w:val="18"/>
              </w:rPr>
              <w:t xml:space="preserve">alongside</w:t>
            </w:r>
            <w:r>
              <w:rPr>
                <w:sz w:val="18"/>
              </w:rPr>
              <w:t xml:space="preserve"> </w:t>
            </w:r>
            <w:r>
              <w:rPr>
                <w:rStyle w:val="VerbatimChar"/>
                <w:sz w:val="18"/>
              </w:rPr>
              <w:t xml:space="preserve">Help › Raise a complaint</w:t>
            </w:r>
          </w:p>
        </w:tc>
        <w:tc>
          <w:tcPr>
            <w:tcW w:w="3497" w:type="dxa"/>
          </w:tcPr>
          <w:p>
            <w:pPr>
              <w:pStyle w:val="Compact"/>
              <w:spacing w:after="40"/>
              <w:jc w:val="left"/>
            </w:pPr>
            <w:r>
              <w:rPr>
                <w:rStyle w:val="VerbatimChar"/>
                <w:sz w:val="18"/>
              </w:rPr>
              <w:t xml:space="preserve">Protect › Complaints</w:t>
            </w:r>
            <w:r>
              <w:rPr>
                <w:sz w:val="18"/>
              </w:rPr>
              <w:t xml:space="preserve"> </w:t>
            </w:r>
            <w:r>
              <w:rPr>
                <w:sz w:val="18"/>
              </w:rPr>
              <w:t xml:space="preserve">opens the UB4 wizard preset to the insurance category; cases also list in</w:t>
            </w:r>
            <w:r>
              <w:rPr>
                <w:sz w:val="18"/>
              </w:rPr>
              <w:t xml:space="preserve"> </w:t>
            </w:r>
            <w:r>
              <w:rPr>
                <w:rStyle w:val="VerbatimChar"/>
                <w:sz w:val="18"/>
              </w:rPr>
              <w:t xml:space="preserve">Help › My complaints</w:t>
            </w:r>
          </w:p>
        </w:tc>
        <w:tc>
          <w:tcPr>
            <w:tcW w:w="1580" w:type="dxa"/>
          </w:tcPr>
          <w:p>
            <w:pPr>
              <w:pStyle w:val="Compact"/>
              <w:spacing w:after="40"/>
              <w:jc w:val="left"/>
            </w:pPr>
            <w:r>
              <w:rPr>
                <w:sz w:val="18"/>
              </w:rPr>
              <w:t xml:space="preserve">One complaint store, UB3 parallel route</w:t>
            </w:r>
          </w:p>
        </w:tc>
      </w:tr>
      <w:tr>
        <w:tc>
          <w:tcPr>
            <w:tcW w:w="782" w:type="dxa"/>
          </w:tcPr>
          <w:p>
            <w:pPr>
              <w:pStyle w:val="Compact"/>
              <w:spacing w:after="40"/>
              <w:jc w:val="left"/>
            </w:pPr>
            <w:r>
              <w:rPr>
                <w:sz w:val="18"/>
              </w:rPr>
              <w:t xml:space="preserve">13</w:t>
            </w:r>
          </w:p>
        </w:tc>
        <w:tc>
          <w:tcPr>
            <w:tcW w:w="1217" w:type="dxa"/>
          </w:tcPr>
          <w:p>
            <w:pPr>
              <w:pStyle w:val="Compact"/>
              <w:spacing w:after="40"/>
              <w:jc w:val="left"/>
            </w:pPr>
            <w:r>
              <w:rPr>
                <w:sz w:val="18"/>
              </w:rPr>
              <w:t xml:space="preserve">UB4, UR4</w:t>
            </w:r>
          </w:p>
        </w:tc>
        <w:tc>
          <w:tcPr>
            <w:tcW w:w="2562" w:type="dxa"/>
          </w:tcPr>
          <w:p>
            <w:pPr>
              <w:pStyle w:val="Compact"/>
              <w:spacing w:after="40"/>
              <w:jc w:val="left"/>
            </w:pPr>
            <w:r>
              <w:rPr>
                <w:sz w:val="18"/>
              </w:rPr>
              <w:t xml:space="preserve">“</w:t>
            </w:r>
            <w:r>
              <w:rPr>
                <w:sz w:val="18"/>
              </w:rPr>
              <w:t xml:space="preserve">verify this agent</w:t>
            </w:r>
            <w:r>
              <w:rPr>
                <w:sz w:val="18"/>
              </w:rPr>
              <w:t xml:space="preserve">”</w:t>
            </w:r>
            <w:r>
              <w:rPr>
                <w:sz w:val="18"/>
              </w:rPr>
              <w:t xml:space="preserve"> </w:t>
            </w:r>
            <w:r>
              <w:rPr>
                <w:sz w:val="18"/>
              </w:rPr>
              <w:t xml:space="preserve">on the Help tab and in the borrower app with no path</w:t>
            </w:r>
          </w:p>
        </w:tc>
        <w:tc>
          <w:tcPr>
            <w:tcW w:w="3497" w:type="dxa"/>
          </w:tcPr>
          <w:p>
            <w:pPr>
              <w:pStyle w:val="Compact"/>
              <w:spacing w:after="40"/>
              <w:jc w:val="left"/>
            </w:pPr>
            <w:r>
              <w:rPr>
                <w:rStyle w:val="VerbatimChar"/>
                <w:sz w:val="18"/>
              </w:rPr>
              <w:t xml:space="preserve">Help › Verify an agent</w:t>
            </w:r>
            <w:r>
              <w:rPr>
                <w:sz w:val="18"/>
              </w:rPr>
              <w:t xml:space="preserve"> </w:t>
            </w:r>
            <w:r>
              <w:rPr>
                <w:sz w:val="18"/>
              </w:rPr>
              <w:t xml:space="preserve">and</w:t>
            </w:r>
            <w:r>
              <w:rPr>
                <w:sz w:val="18"/>
              </w:rPr>
              <w:t xml:space="preserve"> </w:t>
            </w:r>
            <w:r>
              <w:rPr>
                <w:rStyle w:val="VerbatimChar"/>
                <w:sz w:val="18"/>
              </w:rPr>
              <w:t xml:space="preserve">Loans › [loan] › Recovery contact</w:t>
            </w:r>
          </w:p>
        </w:tc>
        <w:tc>
          <w:tcPr>
            <w:tcW w:w="1580" w:type="dxa"/>
          </w:tcPr>
          <w:p>
            <w:pPr>
              <w:pStyle w:val="Compact"/>
              <w:spacing w:after="40"/>
              <w:jc w:val="left"/>
            </w:pPr>
            <w:r>
              <w:rPr>
                <w:sz w:val="18"/>
              </w:rPr>
              <w:t xml:space="preserve">Reachable from help and from the loan</w:t>
            </w:r>
          </w:p>
        </w:tc>
      </w:tr>
      <w:tr>
        <w:tc>
          <w:tcPr>
            <w:tcW w:w="782" w:type="dxa"/>
          </w:tcPr>
          <w:p>
            <w:pPr>
              <w:pStyle w:val="Compact"/>
              <w:spacing w:after="40"/>
              <w:jc w:val="left"/>
            </w:pPr>
            <w:r>
              <w:rPr>
                <w:sz w:val="18"/>
              </w:rPr>
              <w:t xml:space="preserve">14</w:t>
            </w:r>
          </w:p>
        </w:tc>
        <w:tc>
          <w:tcPr>
            <w:tcW w:w="1217" w:type="dxa"/>
          </w:tcPr>
          <w:p>
            <w:pPr>
              <w:pStyle w:val="Compact"/>
              <w:spacing w:after="40"/>
              <w:jc w:val="left"/>
            </w:pPr>
            <w:r>
              <w:rPr>
                <w:sz w:val="18"/>
              </w:rPr>
              <w:t xml:space="preserve">UR1, UR2, UR3</w:t>
            </w:r>
          </w:p>
        </w:tc>
        <w:tc>
          <w:tcPr>
            <w:tcW w:w="2562" w:type="dxa"/>
          </w:tcPr>
          <w:p>
            <w:pPr>
              <w:pStyle w:val="Compact"/>
              <w:spacing w:after="40"/>
              <w:jc w:val="left"/>
            </w:pPr>
            <w:r>
              <w:rPr>
                <w:sz w:val="18"/>
              </w:rPr>
              <w:t xml:space="preserve">No borrower paths</w:t>
            </w:r>
          </w:p>
        </w:tc>
        <w:tc>
          <w:tcPr>
            <w:tcW w:w="3497" w:type="dxa"/>
          </w:tcPr>
          <w:p>
            <w:pPr>
              <w:pStyle w:val="Compact"/>
              <w:spacing w:after="40"/>
              <w:jc w:val="left"/>
            </w:pPr>
            <w:r>
              <w:rPr>
                <w:rStyle w:val="VerbatimChar"/>
                <w:sz w:val="18"/>
              </w:rPr>
              <w:t xml:space="preserve">Pay › Overdue and settlement</w:t>
            </w:r>
            <w:r>
              <w:rPr>
                <w:sz w:val="18"/>
              </w:rPr>
              <w:t xml:space="preserve">;</w:t>
            </w:r>
            <w:r>
              <w:rPr>
                <w:sz w:val="18"/>
              </w:rPr>
              <w:t xml:space="preserve"> </w:t>
            </w:r>
            <w:r>
              <w:rPr>
                <w:rStyle w:val="VerbatimChar"/>
                <w:sz w:val="18"/>
              </w:rPr>
              <w:t xml:space="preserve">Help › Disputes and ADR</w:t>
            </w:r>
            <w:r>
              <w:rPr>
                <w:sz w:val="18"/>
              </w:rPr>
              <w:t xml:space="preserve">;</w:t>
            </w:r>
            <w:r>
              <w:rPr>
                <w:sz w:val="18"/>
              </w:rPr>
              <w:t xml:space="preserve"> </w:t>
            </w:r>
            <w:r>
              <w:rPr>
                <w:rStyle w:val="VerbatimChar"/>
                <w:sz w:val="18"/>
              </w:rPr>
              <w:t xml:space="preserve">Loans › [loan] › Notices</w:t>
            </w:r>
            <w:r>
              <w:rPr>
                <w:sz w:val="18"/>
              </w:rPr>
              <w:t xml:space="preserve"> </w:t>
            </w:r>
            <w:r>
              <w:rPr>
                <w:sz w:val="18"/>
              </w:rPr>
              <w:t xml:space="preserve">with a contentless Home inbox pointer</w:t>
            </w:r>
          </w:p>
        </w:tc>
        <w:tc>
          <w:tcPr>
            <w:tcW w:w="1580" w:type="dxa"/>
          </w:tcPr>
          <w:p>
            <w:pPr>
              <w:pStyle w:val="Compact"/>
              <w:spacing w:after="40"/>
              <w:jc w:val="left"/>
            </w:pPr>
            <w:r>
              <w:rPr>
                <w:sz w:val="18"/>
              </w:rPr>
              <w:t xml:space="preserve">Designed in this Appendix</w:t>
            </w:r>
          </w:p>
        </w:tc>
      </w:tr>
      <w:tr>
        <w:tc>
          <w:tcPr>
            <w:tcW w:w="782" w:type="dxa"/>
          </w:tcPr>
          <w:p>
            <w:pPr>
              <w:pStyle w:val="Compact"/>
              <w:spacing w:after="40"/>
              <w:jc w:val="left"/>
            </w:pPr>
            <w:r>
              <w:rPr>
                <w:sz w:val="18"/>
              </w:rPr>
              <w:t xml:space="preserve">15</w:t>
            </w:r>
          </w:p>
        </w:tc>
        <w:tc>
          <w:tcPr>
            <w:tcW w:w="1217" w:type="dxa"/>
          </w:tcPr>
          <w:p>
            <w:pPr>
              <w:pStyle w:val="Compact"/>
              <w:spacing w:after="40"/>
              <w:jc w:val="left"/>
            </w:pPr>
            <w:r>
              <w:rPr>
                <w:sz w:val="18"/>
              </w:rPr>
              <w:t xml:space="preserve">XP2</w:t>
            </w:r>
          </w:p>
        </w:tc>
        <w:tc>
          <w:tcPr>
            <w:tcW w:w="2562" w:type="dxa"/>
          </w:tcPr>
          <w:p>
            <w:pPr>
              <w:pStyle w:val="Compact"/>
              <w:spacing w:after="40"/>
              <w:jc w:val="left"/>
            </w:pPr>
            <w:r>
              <w:rPr>
                <w:sz w:val="18"/>
              </w:rPr>
              <w:t xml:space="preserve">Borrower web</w:t>
            </w:r>
            <w:r>
              <w:rPr>
                <w:sz w:val="18"/>
              </w:rPr>
              <w:t xml:space="preserve"> </w:t>
            </w:r>
            <w:r>
              <w:rPr>
                <w:sz w:val="18"/>
              </w:rPr>
              <w:t xml:space="preserve">“</w:t>
            </w:r>
            <w:r>
              <w:rPr>
                <w:sz w:val="18"/>
              </w:rPr>
              <w:t xml:space="preserve">may</w:t>
            </w:r>
            <w:r>
              <w:rPr>
                <w:sz w:val="18"/>
              </w:rPr>
              <w:t xml:space="preserve">”</w:t>
            </w:r>
            <w:r>
              <w:rPr>
                <w:sz w:val="18"/>
              </w:rPr>
              <w:t xml:space="preserve"> </w:t>
            </w:r>
            <w:r>
              <w:rPr>
                <w:sz w:val="18"/>
              </w:rPr>
              <w:t xml:space="preserve">use a left navigation under Account</w:t>
            </w:r>
          </w:p>
        </w:tc>
        <w:tc>
          <w:tcPr>
            <w:tcW w:w="3497" w:type="dxa"/>
          </w:tcPr>
          <w:p>
            <w:pPr>
              <w:pStyle w:val="Compact"/>
              <w:spacing w:after="40"/>
              <w:jc w:val="left"/>
            </w:pPr>
            <w:r>
              <w:rPr>
                <w:sz w:val="18"/>
              </w:rPr>
              <w:t xml:space="preserve">Borrower web always mirrors the five tabs and Account areas in a left navigation at 768 px and above</w:t>
            </w:r>
          </w:p>
        </w:tc>
        <w:tc>
          <w:tcPr>
            <w:tcW w:w="1580" w:type="dxa"/>
          </w:tcPr>
          <w:p>
            <w:pPr>
              <w:pStyle w:val="Compact"/>
              <w:spacing w:after="40"/>
              <w:jc w:val="left"/>
            </w:pPr>
            <w:r>
              <w:rPr>
                <w:sz w:val="18"/>
              </w:rPr>
              <w:t xml:space="preserve">Binding web layout</w:t>
            </w:r>
          </w:p>
        </w:tc>
      </w:tr>
      <w:tr>
        <w:tc>
          <w:tcPr>
            <w:tcW w:w="782" w:type="dxa"/>
          </w:tcPr>
          <w:p>
            <w:pPr>
              <w:pStyle w:val="Compact"/>
              <w:spacing w:after="40"/>
              <w:jc w:val="left"/>
            </w:pPr>
            <w:r>
              <w:rPr>
                <w:sz w:val="18"/>
              </w:rPr>
              <w:t xml:space="preserve">16</w:t>
            </w:r>
          </w:p>
        </w:tc>
        <w:tc>
          <w:tcPr>
            <w:tcW w:w="1217" w:type="dxa"/>
          </w:tcPr>
          <w:p>
            <w:pPr>
              <w:pStyle w:val="Compact"/>
              <w:spacing w:after="40"/>
              <w:jc w:val="left"/>
            </w:pPr>
            <w:r>
              <w:rPr>
                <w:sz w:val="18"/>
              </w:rPr>
              <w:t xml:space="preserve">Part 3.2, U22, MG4</w:t>
            </w:r>
          </w:p>
        </w:tc>
        <w:tc>
          <w:tcPr>
            <w:tcW w:w="2562" w:type="dxa"/>
          </w:tcPr>
          <w:p>
            <w:pPr>
              <w:pStyle w:val="Compact"/>
              <w:spacing w:after="40"/>
              <w:jc w:val="left"/>
            </w:pPr>
            <w:r>
              <w:rPr>
                <w:sz w:val="18"/>
              </w:rPr>
              <w:t xml:space="preserve">“</w:t>
            </w:r>
            <w:r>
              <w:rPr>
                <w:sz w:val="18"/>
              </w:rPr>
              <w:t xml:space="preserve">Collection and field-agent app</w:t>
            </w:r>
            <w:r>
              <w:rPr>
                <w:sz w:val="18"/>
              </w:rPr>
              <w:t xml:space="preserve">”</w:t>
            </w:r>
            <w:r>
              <w:rPr>
                <w:sz w:val="18"/>
              </w:rPr>
              <w:t xml:space="preserve">,</w:t>
            </w:r>
            <w:r>
              <w:rPr>
                <w:sz w:val="18"/>
              </w:rPr>
              <w:t xml:space="preserve"> </w:t>
            </w:r>
            <w:r>
              <w:rPr>
                <w:sz w:val="18"/>
              </w:rPr>
              <w:t xml:space="preserve">“</w:t>
            </w:r>
            <w:r>
              <w:rPr>
                <w:sz w:val="18"/>
              </w:rPr>
              <w:t xml:space="preserve">Field and assisted-onboarding app</w:t>
            </w:r>
            <w:r>
              <w:rPr>
                <w:sz w:val="18"/>
              </w:rPr>
              <w:t xml:space="preserve">”</w:t>
            </w:r>
            <w:r>
              <w:rPr>
                <w:sz w:val="18"/>
              </w:rPr>
              <w:t xml:space="preserve">,</w:t>
            </w:r>
            <w:r>
              <w:rPr>
                <w:sz w:val="18"/>
              </w:rPr>
              <w:t xml:space="preserve"> </w:t>
            </w:r>
            <w:r>
              <w:rPr>
                <w:sz w:val="18"/>
              </w:rPr>
              <w:t xml:space="preserve">“</w:t>
            </w:r>
            <w:r>
              <w:rPr>
                <w:sz w:val="18"/>
              </w:rPr>
              <w:t xml:space="preserve">Field app</w:t>
            </w:r>
            <w:r>
              <w:rPr>
                <w:sz w:val="18"/>
              </w:rPr>
              <w:t xml:space="preserve">”</w:t>
            </w:r>
          </w:p>
        </w:tc>
        <w:tc>
          <w:tcPr>
            <w:tcW w:w="3497" w:type="dxa"/>
          </w:tcPr>
          <w:p>
            <w:pPr>
              <w:pStyle w:val="Compact"/>
              <w:spacing w:after="40"/>
              <w:jc w:val="left"/>
            </w:pPr>
            <w:r>
              <w:rPr>
                <w:sz w:val="18"/>
              </w:rPr>
              <w:t xml:space="preserve">“</w:t>
            </w:r>
            <w:r>
              <w:rPr>
                <w:sz w:val="18"/>
              </w:rPr>
              <w:t xml:space="preserve">Field and assisted app (channel E)</w:t>
            </w:r>
            <w:r>
              <w:rPr>
                <w:sz w:val="18"/>
              </w:rPr>
              <w:t xml:space="preserve">”</w:t>
            </w:r>
          </w:p>
        </w:tc>
        <w:tc>
          <w:tcPr>
            <w:tcW w:w="1580" w:type="dxa"/>
          </w:tcPr>
          <w:p>
            <w:pPr>
              <w:pStyle w:val="Compact"/>
              <w:spacing w:after="40"/>
              <w:jc w:val="left"/>
            </w:pPr>
            <w:r>
              <w:rPr>
                <w:sz w:val="18"/>
              </w:rPr>
              <w:t xml:space="preserve">One name</w:t>
            </w:r>
          </w:p>
        </w:tc>
      </w:tr>
      <w:tr>
        <w:tc>
          <w:tcPr>
            <w:tcW w:w="782" w:type="dxa"/>
          </w:tcPr>
          <w:p>
            <w:pPr>
              <w:pStyle w:val="Compact"/>
              <w:spacing w:after="40"/>
              <w:jc w:val="left"/>
            </w:pPr>
            <w:r>
              <w:rPr>
                <w:sz w:val="18"/>
              </w:rPr>
              <w:t xml:space="preserve">17</w:t>
            </w:r>
          </w:p>
        </w:tc>
        <w:tc>
          <w:tcPr>
            <w:tcW w:w="1217" w:type="dxa"/>
          </w:tcPr>
          <w:p>
            <w:pPr>
              <w:pStyle w:val="Compact"/>
              <w:spacing w:after="40"/>
              <w:jc w:val="left"/>
            </w:pPr>
            <w:r>
              <w:rPr>
                <w:sz w:val="18"/>
              </w:rPr>
              <w:t xml:space="preserve">XP4, RV3, RV4, U16, RA5, U23</w:t>
            </w:r>
          </w:p>
        </w:tc>
        <w:tc>
          <w:tcPr>
            <w:tcW w:w="2562" w:type="dxa"/>
          </w:tcPr>
          <w:p>
            <w:pPr>
              <w:pStyle w:val="Compact"/>
              <w:spacing w:after="40"/>
              <w:jc w:val="left"/>
            </w:pPr>
            <w:r>
              <w:rPr>
                <w:sz w:val="18"/>
              </w:rPr>
              <w:t xml:space="preserve">Abbreviated</w:t>
            </w:r>
            <w:r>
              <w:rPr>
                <w:sz w:val="18"/>
              </w:rPr>
              <w:t xml:space="preserve"> </w:t>
            </w:r>
            <w:r>
              <w:rPr>
                <w:rStyle w:val="VerbatimChar"/>
                <w:sz w:val="18"/>
              </w:rPr>
              <w:t xml:space="preserve">… ›</w:t>
            </w:r>
            <w:r>
              <w:rPr>
                <w:sz w:val="18"/>
              </w:rPr>
              <w:t xml:space="preserve"> </w:t>
            </w:r>
            <w:r>
              <w:rPr>
                <w:sz w:val="18"/>
              </w:rPr>
              <w:t xml:space="preserve">paths; campaigns, advertising, provider screens and channel F functions without a parent menu</w:t>
            </w:r>
          </w:p>
        </w:tc>
        <w:tc>
          <w:tcPr>
            <w:tcW w:w="3497" w:type="dxa"/>
          </w:tcPr>
          <w:p>
            <w:pPr>
              <w:pStyle w:val="Compact"/>
              <w:spacing w:after="40"/>
              <w:jc w:val="left"/>
            </w:pPr>
            <w:r>
              <w:rPr>
                <w:sz w:val="18"/>
              </w:rPr>
              <w:t xml:space="preserve">Expanded in G.6 (</w:t>
            </w:r>
            <w:r>
              <w:rPr>
                <w:rStyle w:val="VerbatimChar"/>
                <w:sz w:val="18"/>
              </w:rPr>
              <w:t xml:space="preserve">Compliance › Sales practice › …</w:t>
            </w:r>
            <w:r>
              <w:rPr>
                <w:sz w:val="18"/>
              </w:rPr>
              <w:t xml:space="preserve">,</w:t>
            </w:r>
            <w:r>
              <w:rPr>
                <w:sz w:val="18"/>
              </w:rPr>
              <w:t xml:space="preserve"> </w:t>
            </w:r>
            <w:r>
              <w:rPr>
                <w:rStyle w:val="VerbatimChar"/>
                <w:sz w:val="18"/>
              </w:rPr>
              <w:t xml:space="preserve">Finance › Billing operations › …</w:t>
            </w:r>
            <w:r>
              <w:rPr>
                <w:sz w:val="18"/>
              </w:rPr>
              <w:t xml:space="preserve">,</w:t>
            </w:r>
            <w:r>
              <w:rPr>
                <w:sz w:val="18"/>
              </w:rPr>
              <w:t xml:space="preserve"> </w:t>
            </w:r>
            <w:r>
              <w:rPr>
                <w:rStyle w:val="VerbatimChar"/>
                <w:sz w:val="18"/>
              </w:rPr>
              <w:t xml:space="preserve">Marketing › Campaigns</w:t>
            </w:r>
            <w:r>
              <w:rPr>
                <w:sz w:val="18"/>
              </w:rPr>
              <w:t xml:space="preserve">,</w:t>
            </w:r>
            <w:r>
              <w:rPr>
                <w:sz w:val="18"/>
              </w:rPr>
              <w:t xml:space="preserve"> </w:t>
            </w:r>
            <w:r>
              <w:rPr>
                <w:rStyle w:val="VerbatimChar"/>
                <w:sz w:val="18"/>
              </w:rPr>
              <w:t xml:space="preserve">Marketing › Advertising › …</w:t>
            </w:r>
            <w:r>
              <w:rPr>
                <w:sz w:val="18"/>
              </w:rPr>
              <w:t xml:space="preserve">,</w:t>
            </w:r>
            <w:r>
              <w:rPr>
                <w:sz w:val="18"/>
              </w:rPr>
              <w:t xml:space="preserve"> </w:t>
            </w:r>
            <w:r>
              <w:rPr>
                <w:rStyle w:val="VerbatimChar"/>
                <w:sz w:val="18"/>
              </w:rPr>
              <w:t xml:space="preserve">Communications › …</w:t>
            </w:r>
            <w:r>
              <w:rPr>
                <w:sz w:val="18"/>
              </w:rPr>
              <w:t xml:space="preserve">, channel F menus)</w:t>
            </w:r>
          </w:p>
        </w:tc>
        <w:tc>
          <w:tcPr>
            <w:tcW w:w="1580" w:type="dxa"/>
          </w:tcPr>
          <w:p>
            <w:pPr>
              <w:pStyle w:val="Compact"/>
              <w:spacing w:after="40"/>
              <w:jc w:val="left"/>
            </w:pPr>
            <w:r>
              <w:rPr>
                <w:sz w:val="18"/>
              </w:rPr>
              <w:t xml:space="preserve">Unambiguous route constants</w:t>
            </w:r>
          </w:p>
        </w:tc>
      </w:tr>
    </w:tbl>
    <w:p>
      <w:r>
        <w:pict>
          <v:rect style="width:0;height:1.5pt" o:hralign="center" o:hrstd="t" o:hr="t"/>
        </w:pict>
      </w:r>
    </w:p>
    <w:bookmarkEnd w:id="565"/>
    <w:bookmarkStart w:id="566" w:name="X5a03429701267c6ea7d73940c4f777b20d8b783"/>
    <w:p>
      <w:pPr>
        <w:pStyle w:val="Heading2"/>
      </w:pPr>
      <w:r>
        <w:t xml:space="preserve">SOURCES CONSULTED FOR THIS PROMPT (for Claude Code to re-verify)</w:t>
      </w:r>
    </w:p>
    <w:p>
      <w:pPr>
        <w:numPr>
          <w:ilvl w:val="0"/>
          <w:numId w:val="1546"/>
        </w:numPr>
        <w:pStyle w:val="Compact"/>
      </w:pPr>
      <w:r>
        <w:rPr>
          <w:bCs/>
          <w:b/>
        </w:rPr>
        <w:t xml:space="preserve">RBI:</w:t>
      </w:r>
    </w:p>
    <w:p>
      <w:pPr>
        <w:numPr>
          <w:ilvl w:val="1"/>
          <w:numId w:val="1547"/>
        </w:numPr>
        <w:pStyle w:val="Compact"/>
      </w:pPr>
      <w:r>
        <w:t xml:space="preserve">Official texts of the 33 Directions and 1 guidance note in Part 8A, supplied by the project owner: docs/regulations/rbi/</w:t>
      </w:r>
    </w:p>
    <w:p>
      <w:pPr>
        <w:numPr>
          <w:ilvl w:val="1"/>
          <w:numId w:val="1547"/>
        </w:numPr>
        <w:pStyle w:val="Compact"/>
      </w:pPr>
      <w:r>
        <w:t xml:space="preserve">Press release on the 244 consolidated Master Directions (28 Nov 2025): https://www.rbi.org.in/Scripts/BS_PressReleaseDisplay.aspx?prid=61705</w:t>
      </w:r>
    </w:p>
    <w:p>
      <w:pPr>
        <w:numPr>
          <w:ilvl w:val="1"/>
          <w:numId w:val="1547"/>
        </w:numPr>
        <w:pStyle w:val="Compact"/>
      </w:pPr>
      <w:r>
        <w:t xml:space="preserve">Master Directions index: https://rbi.org.in/Scripts/BS_ViewMasDirections.aspx</w:t>
      </w:r>
    </w:p>
    <w:p>
      <w:pPr>
        <w:numPr>
          <w:ilvl w:val="1"/>
          <w:numId w:val="1547"/>
        </w:numPr>
        <w:pStyle w:val="Compact"/>
      </w:pPr>
      <w:r>
        <w:t xml:space="preserve">NBFC Credit Facilities Directions, 2025: https://rbi.org.in/Scripts/BS_ViewMasDirections.aspx?id=12957</w:t>
      </w:r>
    </w:p>
    <w:p>
      <w:pPr>
        <w:numPr>
          <w:ilvl w:val="1"/>
          <w:numId w:val="1547"/>
        </w:numPr>
        <w:pStyle w:val="Compact"/>
      </w:pPr>
      <w:r>
        <w:t xml:space="preserve">NBFC Responsible Business Conduct Directions, 2025: https://rbi.org.in/Scripts/BS_ViewMasDirections.aspx?id=12942</w:t>
      </w:r>
    </w:p>
    <w:p>
      <w:pPr>
        <w:numPr>
          <w:ilvl w:val="1"/>
          <w:numId w:val="1547"/>
        </w:numPr>
        <w:pStyle w:val="Compact"/>
      </w:pPr>
      <w:r>
        <w:t xml:space="preserve">NBFC Credit Information Reporting Amendment Directions (RBI/DOR/2025-26/117, 4 Dec 2025): https://www.rbi.org.in/Scripts/BS_CircularIndexDisplay.aspx?Id=13187</w:t>
      </w:r>
    </w:p>
    <w:p>
      <w:pPr>
        <w:numPr>
          <w:ilvl w:val="1"/>
          <w:numId w:val="1547"/>
        </w:numPr>
        <w:pStyle w:val="Compact"/>
      </w:pPr>
      <w:r>
        <w:t xml:space="preserve">KYC amendment (29 Dec 2025): https://www.rbi.org.in/Scripts/BS_CircularIndexDisplay.aspx?Id=13236</w:t>
      </w:r>
    </w:p>
    <w:p>
      <w:pPr>
        <w:numPr>
          <w:ilvl w:val="1"/>
          <w:numId w:val="1547"/>
        </w:numPr>
        <w:pStyle w:val="Compact"/>
      </w:pPr>
      <w:r>
        <w:t xml:space="preserve">NBFC Cybersecurity, Technology: Risk, Resilience and Assurance Framework Directions, 2026: https://rbi.org.in/scripts/NotificationUser.aspx?Mode=0&amp;Id=13592</w:t>
      </w:r>
    </w:p>
    <w:p>
      <w:pPr>
        <w:numPr>
          <w:ilvl w:val="1"/>
          <w:numId w:val="1547"/>
        </w:numPr>
        <w:pStyle w:val="Compact"/>
      </w:pPr>
      <w:r>
        <w:t xml:space="preserve">NBFC Fraud Risk Management Directions, 2026: https://www.rbi.org.in/Scripts/BS_ViewMasDirections.aspx?id=13590</w:t>
      </w:r>
    </w:p>
    <w:p>
      <w:pPr>
        <w:numPr>
          <w:ilvl w:val="1"/>
          <w:numId w:val="1547"/>
        </w:numPr>
        <w:pStyle w:val="Compact"/>
      </w:pPr>
      <w:r>
        <w:t xml:space="preserve">NBFC Supervisory Returns Directions, 2026: https://www.rbi.org.in/Scripts/BS_ViewMasDirections.aspx?id=13587</w:t>
      </w:r>
    </w:p>
    <w:p>
      <w:pPr>
        <w:numPr>
          <w:ilvl w:val="1"/>
          <w:numId w:val="1547"/>
        </w:numPr>
        <w:pStyle w:val="Compact"/>
      </w:pPr>
      <w:r>
        <w:t xml:space="preserve">NBFC Miscellaneous Supervisory Directions, 2026: https://www.rbi.org.in/Scripts/BS_ViewMasDirections.aspx?id=13586</w:t>
      </w:r>
    </w:p>
    <w:p>
      <w:pPr>
        <w:numPr>
          <w:ilvl w:val="1"/>
          <w:numId w:val="1547"/>
        </w:numPr>
        <w:pStyle w:val="Compact"/>
      </w:pPr>
      <w:r>
        <w:t xml:space="preserve">31 Jul 2026 Supervision Directions press release: https://rbi.org.in/Scripts/BS_PressReleaseDisplay.aspx?prid=63265</w:t>
      </w:r>
    </w:p>
    <w:p>
      <w:pPr>
        <w:numPr>
          <w:ilvl w:val="1"/>
          <w:numId w:val="1547"/>
        </w:numPr>
        <w:pStyle w:val="Compact"/>
      </w:pPr>
      <w:r>
        <w:t xml:space="preserve">RBC Second Amendment Directions, 2026: https://www.rbi.org.in/Scripts/BS_CircularIndexDisplay.aspx?Id=13493</w:t>
      </w:r>
    </w:p>
    <w:p>
      <w:pPr>
        <w:numPr>
          <w:ilvl w:val="1"/>
          <w:numId w:val="1547"/>
        </w:numPr>
        <w:pStyle w:val="Compact"/>
      </w:pPr>
      <w:r>
        <w:t xml:space="preserve">Digital Lending Directions, 2025 (8 May 2025; legacy, now in CF Chapter III) and CIMS DLA reporting press release (CIMS open by 13 May 2025; data by 15 Jun 2025; public list</w:t>
      </w:r>
      <w:r>
        <w:t xml:space="preserve"> </w:t>
      </w:r>
      <w:r>
        <w:t xml:space="preserve">“</w:t>
      </w:r>
      <w:r>
        <w:t xml:space="preserve">DLAs deployed by Regulated Entities</w:t>
      </w:r>
      <w:r>
        <w:t xml:space="preserve">”</w:t>
      </w:r>
      <w:r>
        <w:t xml:space="preserve"> </w:t>
      </w:r>
      <w:r>
        <w:t xml:space="preserve">under Citizen’s Corner by 1 Jul 2025): https://rbi.org.in/Scripts/BS_PressReleaseDisplay.aspx?prid=60403 and https://rbi.org.in/Scripts/NotificationUser.aspx?Id=12848&amp;Mode=0 (exact URL of the public DLA list [VERIFY])</w:t>
      </w:r>
    </w:p>
    <w:p>
      <w:pPr>
        <w:numPr>
          <w:ilvl w:val="1"/>
          <w:numId w:val="1547"/>
        </w:numPr>
        <w:pStyle w:val="Compact"/>
      </w:pPr>
      <w:r>
        <w:t xml:space="preserve">Regulation of Payment Aggregators Directions, 2025 (15 Sep 2025): https://rbi.org.in/scripts/BS_ViewMasDirections.aspx?id=12896</w:t>
      </w:r>
    </w:p>
    <w:p>
      <w:pPr>
        <w:numPr>
          <w:ilvl w:val="1"/>
          <w:numId w:val="1547"/>
        </w:numPr>
        <w:pStyle w:val="Compact"/>
      </w:pPr>
      <w:r>
        <w:t xml:space="preserve">RBI Complaint Management System: https://cms.rbi.org.in</w:t>
      </w:r>
    </w:p>
    <w:p>
      <w:pPr>
        <w:numPr>
          <w:ilvl w:val="1"/>
          <w:numId w:val="1547"/>
        </w:numPr>
        <w:pStyle w:val="Compact"/>
      </w:pPr>
      <w:r>
        <w:t xml:space="preserve">FREE-AI report: https://www.rbi.org.in/scripts/PublicationReportDetails.aspx?ID=1306</w:t>
      </w:r>
    </w:p>
    <w:p>
      <w:pPr>
        <w:numPr>
          <w:ilvl w:val="0"/>
          <w:numId w:val="1546"/>
        </w:numPr>
        <w:pStyle w:val="Compact"/>
      </w:pPr>
      <w:r>
        <w:rPr>
          <w:bCs/>
          <w:b/>
        </w:rPr>
        <w:t xml:space="preserve">Data protection, IT and telecom:</w:t>
      </w:r>
    </w:p>
    <w:p>
      <w:pPr>
        <w:numPr>
          <w:ilvl w:val="1"/>
          <w:numId w:val="1548"/>
        </w:numPr>
        <w:pStyle w:val="Compact"/>
      </w:pPr>
      <w:r>
        <w:t xml:space="preserve">DPDP Rules, 2025 (G.S.R. 846(E), 13 Nov 2025) summary and commencement dates: https://ssrana.in/articles/meity-notifies-final-digital-personal-data-protection-rules-2025/</w:t>
      </w:r>
    </w:p>
    <w:p>
      <w:pPr>
        <w:numPr>
          <w:ilvl w:val="1"/>
          <w:numId w:val="1548"/>
        </w:numPr>
        <w:pStyle w:val="Compact"/>
      </w:pPr>
      <w:r>
        <w:t xml:space="preserve">DPDP notification status and proposed SDF compression (not gazetted as of Sep 2026): https://consentos.in/learn/dpdp-rules-notification-status/ (verify against the Gazette and meity.gov.in)</w:t>
      </w:r>
    </w:p>
    <w:p>
      <w:pPr>
        <w:numPr>
          <w:ilvl w:val="1"/>
          <w:numId w:val="1548"/>
        </w:numPr>
        <w:pStyle w:val="Compact"/>
      </w:pPr>
      <w:r>
        <w:t xml:space="preserve">CERT-In Directions under s.70B(6) (28 Apr 2022): https://www.cert-in.org.in/PDF/CERT-In_Directions_70B_28.04.2022.pdf</w:t>
      </w:r>
    </w:p>
    <w:p>
      <w:pPr>
        <w:numPr>
          <w:ilvl w:val="1"/>
          <w:numId w:val="1548"/>
        </w:numPr>
        <w:pStyle w:val="Compact"/>
      </w:pPr>
      <w:r>
        <w:t xml:space="preserve">TRAI TCCCPR amendments (12 Feb 2025): https://cms.trai.gov.in/sites/default/files/2025-02/PR_No.11of2025.pdf</w:t>
      </w:r>
    </w:p>
    <w:p>
      <w:pPr>
        <w:numPr>
          <w:ilvl w:val="1"/>
          <w:numId w:val="1548"/>
        </w:numPr>
        <w:pStyle w:val="Compact"/>
      </w:pPr>
      <w:r>
        <w:t xml:space="preserve">TRAI 1600-series directions (IRDAI entities, 16 Dec 2025, referring to the earlier direction for RBI-regulated entities): https://www.trai.gov.in/sites/default/files/2025-12/PR_No.151of2025.pdf</w:t>
      </w:r>
    </w:p>
    <w:p>
      <w:pPr>
        <w:numPr>
          <w:ilvl w:val="1"/>
          <w:numId w:val="1548"/>
        </w:numPr>
        <w:pStyle w:val="Compact"/>
      </w:pPr>
      <w:r>
        <w:t xml:space="preserve">Secondary summary of the 19 Nov 2025 TRAI direction for RBI-regulated entities (phased dates 1 Jan, 1 Feb, 1 Mar 2026): https://www.elisiontec.com/trai-1600-series-mandate-bfsi-phased-deadlines.md [VERIFY against TRAI]</w:t>
      </w:r>
    </w:p>
    <w:p>
      <w:pPr>
        <w:numPr>
          <w:ilvl w:val="0"/>
          <w:numId w:val="1546"/>
        </w:numPr>
        <w:pStyle w:val="Compact"/>
      </w:pPr>
      <w:r>
        <w:rPr>
          <w:bCs/>
          <w:b/>
        </w:rPr>
        <w:t xml:space="preserve">Aadhaar, DigiLocker and CKYC:</w:t>
      </w:r>
    </w:p>
    <w:p>
      <w:pPr>
        <w:numPr>
          <w:ilvl w:val="1"/>
          <w:numId w:val="1549"/>
        </w:numPr>
        <w:pStyle w:val="Compact"/>
      </w:pPr>
      <w:r>
        <w:t xml:space="preserve">UIDAI Circular No. 14 of 2025 (Aadhaar Data Vault): https://www.uidai.gov.in/images/Circular-No.14_of-2025.pdf</w:t>
      </w:r>
    </w:p>
    <w:p>
      <w:pPr>
        <w:numPr>
          <w:ilvl w:val="1"/>
          <w:numId w:val="1549"/>
        </w:numPr>
        <w:pStyle w:val="Compact"/>
      </w:pPr>
      <w:r>
        <w:t xml:space="preserve">UIDAI Aadhaar Data Vault FAQs (3 Nov 2025): https://www.uidai.gov.in/images/FAQs_Aadhaar_Data_Vault_03112025_v10.pdf</w:t>
      </w:r>
    </w:p>
    <w:p>
      <w:pPr>
        <w:numPr>
          <w:ilvl w:val="1"/>
          <w:numId w:val="1549"/>
        </w:numPr>
        <w:pStyle w:val="Compact"/>
      </w:pPr>
      <w:r>
        <w:t xml:space="preserve">Khaitan &amp; Co note on the revised ADV framework (Dec 2025): https://www.khaitanco.com/sites/default/files/2025-12/ERGO%20-%20Aadhaar%20Data%20Vault%20-%2010%20December%202025.pdf</w:t>
      </w:r>
    </w:p>
    <w:p>
      <w:pPr>
        <w:numPr>
          <w:ilvl w:val="1"/>
          <w:numId w:val="1549"/>
        </w:numPr>
        <w:pStyle w:val="Compact"/>
      </w:pPr>
      <w:r>
        <w:t xml:space="preserve">Aadhaar Good Governance Amendment Rules, 2025 (private-entity authentication): https://ssrana.in/articles/aadhaar-authentication-by-private-entities-from-data-privacy-perspective/</w:t>
      </w:r>
    </w:p>
    <w:p>
      <w:pPr>
        <w:numPr>
          <w:ilvl w:val="1"/>
          <w:numId w:val="1549"/>
        </w:numPr>
        <w:pStyle w:val="Compact"/>
      </w:pPr>
      <w:r>
        <w:t xml:space="preserve">DigiLocker requester onboarding FAQ: https://www.digilocker.gov.in/assets/FAQ%20DL%20EL_onboarding.pdf; API Setu partners SOP: https://cf-media.api-setu.in/resources/Partners-SOP.pdf</w:t>
      </w:r>
    </w:p>
    <w:p>
      <w:pPr>
        <w:numPr>
          <w:ilvl w:val="0"/>
          <w:numId w:val="1546"/>
        </w:numPr>
        <w:pStyle w:val="Compact"/>
      </w:pPr>
      <w:r>
        <w:rPr>
          <w:bCs/>
          <w:b/>
        </w:rPr>
        <w:t xml:space="preserve">App stores:</w:t>
      </w:r>
    </w:p>
    <w:p>
      <w:pPr>
        <w:numPr>
          <w:ilvl w:val="1"/>
          <w:numId w:val="1550"/>
        </w:numPr>
        <w:pStyle w:val="Compact"/>
      </w:pPr>
      <w:r>
        <w:t xml:space="preserve">Google Play Financial Services policy (personal loans, prohibited permissions, 60-day rule, India requirements): https://support.google.com/googleplay/android-developer/answer/9876821</w:t>
      </w:r>
    </w:p>
    <w:p>
      <w:pPr>
        <w:numPr>
          <w:ilvl w:val="1"/>
          <w:numId w:val="1550"/>
        </w:numPr>
        <w:pStyle w:val="Compact"/>
      </w:pPr>
      <w:r>
        <w:t xml:space="preserve">Google Play India personal-loan apps and the RBI DLA list (new apps from 30 Oct 2025; existing apps by 28 Jan 2026): https://support.google.com/googleplay/android-developer/answer/16604194</w:t>
      </w:r>
    </w:p>
    <w:p>
      <w:pPr>
        <w:numPr>
          <w:ilvl w:val="1"/>
          <w:numId w:val="1550"/>
        </w:numPr>
        <w:pStyle w:val="Compact"/>
      </w:pPr>
      <w:r>
        <w:t xml:space="preserve">Apple App Store Review Guidelines (3.2.2(ix), 5.1.1, 2.5.2): https://developer.apple.com/app-store/review/guidelines/</w:t>
      </w:r>
    </w:p>
    <w:p>
      <w:pPr>
        <w:numPr>
          <w:ilvl w:val="1"/>
          <w:numId w:val="1550"/>
        </w:numPr>
        <w:pStyle w:val="Compact"/>
      </w:pPr>
      <w:r>
        <w:t xml:space="preserve">OTA update policy summary (Apple DPLA 3.3; Google Device and Network Abuse): https://bitrise.io/blog/post/what-app-stores-allow-with-ota-updates-apple-and-google-policy-explained</w:t>
      </w:r>
    </w:p>
    <w:p>
      <w:pPr>
        <w:numPr>
          <w:ilvl w:val="1"/>
          <w:numId w:val="1550"/>
        </w:numPr>
        <w:pStyle w:val="Compact"/>
      </w:pPr>
      <w:r>
        <w:t xml:space="preserve">WhatsApp Business Messaging Policy (payday loans and debt collection prohibited): https://whatsappbusiness.com/policy/</w:t>
      </w:r>
    </w:p>
    <w:p>
      <w:pPr>
        <w:numPr>
          <w:ilvl w:val="0"/>
          <w:numId w:val="1546"/>
        </w:numPr>
        <w:pStyle w:val="Compact"/>
      </w:pPr>
      <w:r>
        <w:rPr>
          <w:bCs/>
          <w:b/>
        </w:rPr>
        <w:t xml:space="preserve">Payments:</w:t>
      </w:r>
    </w:p>
    <w:p>
      <w:pPr>
        <w:numPr>
          <w:ilvl w:val="1"/>
          <w:numId w:val="1551"/>
        </w:numPr>
        <w:pStyle w:val="Compact"/>
      </w:pPr>
      <w:r>
        <w:t xml:space="preserve">Razorpay UPI AutoPay limits (₹15,000 general; ₹1 lakh for lending and investment categories without additional factor): https://razorpay.com/docs/payments/payment-gateway/s2s-integration/recurring-payments/upi</w:t>
      </w:r>
    </w:p>
    <w:p>
      <w:pPr>
        <w:numPr>
          <w:ilvl w:val="1"/>
          <w:numId w:val="1551"/>
        </w:numPr>
        <w:pStyle w:val="Compact"/>
      </w:pPr>
      <w:r>
        <w:t xml:space="preserve">Payment Aggregator Directions, 2025 analysis: https://indiacorplaw.in/2025/10/09/decoding-rbis-overhaul-of-the-payment-aggregator-directions/</w:t>
      </w:r>
    </w:p>
    <w:p>
      <w:pPr>
        <w:numPr>
          <w:ilvl w:val="1"/>
          <w:numId w:val="1551"/>
        </w:numPr>
        <w:pStyle w:val="Compact"/>
      </w:pPr>
      <w:r>
        <w:t xml:space="preserve">Repayments through PAs with the RE as merchant (industry reading of RBI FAQs): https://www.cashfree.com/blog/rbi-faqs-on-digital-lending-guidelines/</w:t>
      </w:r>
    </w:p>
    <w:p>
      <w:pPr>
        <w:numPr>
          <w:ilvl w:val="1"/>
          <w:numId w:val="1551"/>
        </w:numPr>
        <w:pStyle w:val="Compact"/>
      </w:pPr>
      <w:r>
        <w:t xml:space="preserve">Stripe invite-only in India (May 2024): https://www.axios.com/pro/fintech-deals/2024/05/31/stripe-goes-invite-only-in-india; Stripe cross-border services in India: https://support.stripe.com/questions/cross-border-payment-services-in-india</w:t>
      </w:r>
    </w:p>
    <w:p>
      <w:pPr>
        <w:numPr>
          <w:ilvl w:val="1"/>
          <w:numId w:val="1551"/>
        </w:numPr>
        <w:pStyle w:val="Compact"/>
      </w:pPr>
      <w:r>
        <w:t xml:space="preserve">PayPal exit from domestic Indian payments (2021): https://www.finextra.com/newsarticle/37425/paypal-quits-competitive-indian-payments-market</w:t>
      </w:r>
    </w:p>
    <w:p>
      <w:pPr>
        <w:numPr>
          <w:ilvl w:val="0"/>
          <w:numId w:val="1546"/>
        </w:numPr>
        <w:pStyle w:val="Compact"/>
      </w:pPr>
      <w:r>
        <w:rPr>
          <w:bCs/>
          <w:b/>
        </w:rPr>
        <w:t xml:space="preserve">Technology:</w:t>
      </w:r>
    </w:p>
    <w:p>
      <w:pPr>
        <w:numPr>
          <w:ilvl w:val="1"/>
          <w:numId w:val="1552"/>
        </w:numPr>
        <w:pStyle w:val="Compact"/>
      </w:pPr>
      <w:r>
        <w:t xml:space="preserve">Expo SDK 56 (React Native 0.85, 21 May 2026): https://expo.dev/sdk/56</w:t>
      </w:r>
    </w:p>
    <w:p>
      <w:pPr>
        <w:numPr>
          <w:ilvl w:val="1"/>
          <w:numId w:val="1552"/>
        </w:numPr>
        <w:pStyle w:val="Compact"/>
      </w:pPr>
      <w:r>
        <w:t xml:space="preserve">Expo SDK 57 (React Native 0.86, 30 Jun 2026): https://expo.dev/changelog/sdk-57</w:t>
      </w:r>
    </w:p>
    <w:p>
      <w:pPr>
        <w:numPr>
          <w:ilvl w:val="1"/>
          <w:numId w:val="1552"/>
        </w:numPr>
        <w:pStyle w:val="Compact"/>
      </w:pPr>
      <w:r>
        <w:t xml:space="preserve">Expo SDK 58 beta (React Native 0.88 RC, 15 Sep 2026; Node 22.13+/24.3+/26+): https://expo.dev/changelog/sdk-58-beta</w:t>
      </w:r>
    </w:p>
    <w:p>
      <w:pPr>
        <w:numPr>
          <w:ilvl w:val="1"/>
          <w:numId w:val="1552"/>
        </w:numPr>
        <w:pStyle w:val="Compact"/>
      </w:pPr>
      <w:r>
        <w:t xml:space="preserve">Expo New Architecture guide (mandatory from SDK 55): https://docs.expo.dev/guides/new-architecture.md</w:t>
      </w:r>
    </w:p>
    <w:p>
      <w:pPr>
        <w:numPr>
          <w:ilvl w:val="1"/>
          <w:numId w:val="1552"/>
        </w:numPr>
        <w:pStyle w:val="Compact"/>
      </w:pPr>
      <w:r>
        <w:t xml:space="preserve">Expo app integrity (Play Integrity and App Attest): https://docs.expo.dev/versions/v57.0.0/sdk/app-integrity.md</w:t>
      </w:r>
    </w:p>
    <w:p>
      <w:pPr>
        <w:numPr>
          <w:ilvl w:val="1"/>
          <w:numId w:val="1552"/>
        </w:numPr>
        <w:pStyle w:val="Compact"/>
      </w:pPr>
      <w:r>
        <w:t xml:space="preserve">Play Integrity API: https://developer.android.com/google/play/integrity/overview</w:t>
      </w:r>
    </w:p>
    <w:p>
      <w:pPr>
        <w:numPr>
          <w:ilvl w:val="1"/>
          <w:numId w:val="1552"/>
        </w:numPr>
        <w:pStyle w:val="Compact"/>
      </w:pPr>
      <w:r>
        <w:t xml:space="preserve">Next.js blog (16.2 Mar, 16.3 Aug, 16.4 6 Oct 2026): https://nextjs.org/blog</w:t>
      </w:r>
    </w:p>
    <w:p>
      <w:pPr>
        <w:numPr>
          <w:ilvl w:val="1"/>
          <w:numId w:val="1552"/>
        </w:numPr>
        <w:pStyle w:val="Compact"/>
      </w:pPr>
      <w:r>
        <w:t xml:space="preserve">NestJS v12.0.0 release (Node 20.19+ or 22.12+): https://newreleases.io/project/github/nestjs/nest/release/v12.0.0</w:t>
      </w:r>
    </w:p>
    <w:p>
      <w:pPr>
        <w:numPr>
          <w:ilvl w:val="1"/>
          <w:numId w:val="1552"/>
        </w:numPr>
        <w:pStyle w:val="Compact"/>
      </w:pPr>
      <w:r>
        <w:t xml:space="preserve">Node.js release status (Node 20 EOL 30 Apr 2026; Node 24 Maintenance LTS from 20 Oct 2026, EOL 30 Apr 2028; Node 26 Active LTS from 28 Oct 2026): https://github.com/nodejs/release#release-schedule and https://nodejs.org/en/about/previous-releases</w:t>
      </w:r>
    </w:p>
    <w:p>
      <w:pPr>
        <w:numPr>
          <w:ilvl w:val="1"/>
          <w:numId w:val="1552"/>
        </w:numPr>
        <w:pStyle w:val="Compact"/>
      </w:pPr>
      <w:r>
        <w:t xml:space="preserve">OWASP MASTG releases (v2.0.0, 30 Jun 2026; MASVS v2.1.0): https://github.com/OWASP/mastg/releases</w:t>
      </w:r>
    </w:p>
    <w:p>
      <w:pPr>
        <w:numPr>
          <w:ilvl w:val="1"/>
          <w:numId w:val="1552"/>
        </w:numPr>
        <w:pStyle w:val="Compact"/>
      </w:pPr>
      <w:r>
        <w:t xml:space="preserve">OWASP MASWE v1.0.0 (Aug 2026): https://mas.owasp.org/news/2026/08/17/maswe-v100-release/</w:t>
      </w:r>
    </w:p>
    <w:p>
      <w:pPr>
        <w:numPr>
          <w:ilvl w:val="1"/>
          <w:numId w:val="1552"/>
        </w:numPr>
        <w:pStyle w:val="Compact"/>
      </w:pPr>
      <w:r>
        <w:t xml:space="preserve">Temporal regions: https://docs.temporal.io/cloud/regions</w:t>
      </w:r>
    </w:p>
    <w:p>
      <w:pPr>
        <w:numPr>
          <w:ilvl w:val="1"/>
          <w:numId w:val="1552"/>
        </w:numPr>
        <w:pStyle w:val="Compact"/>
      </w:pPr>
      <w:r>
        <w:t xml:space="preserve">GoRules ZEN: https://docs.gorules.io/reference/nodejs</w:t>
      </w:r>
    </w:p>
    <w:p>
      <w:pPr>
        <w:numPr>
          <w:ilvl w:val="1"/>
          <w:numId w:val="1552"/>
        </w:numPr>
        <w:pStyle w:val="Compact"/>
      </w:pPr>
      <w:r>
        <w:t xml:space="preserve">Railway deployment regions: https://docs.railway.com/reference/deployment-regions</w:t>
      </w:r>
    </w:p>
    <w:p>
      <w:pPr>
        <w:numPr>
          <w:ilvl w:val="1"/>
          <w:numId w:val="1552"/>
        </w:numPr>
        <w:pStyle w:val="Compact"/>
      </w:pPr>
      <w:r>
        <w:t xml:space="preserve">Surepass API catalogue: https://surepass.io/surepass-id-verification-apis/</w:t>
      </w:r>
    </w:p>
    <w:p>
      <w:pPr>
        <w:numPr>
          <w:ilvl w:val="1"/>
          <w:numId w:val="1552"/>
        </w:numPr>
        <w:pStyle w:val="Compact"/>
      </w:pPr>
      <w:r>
        <w:t xml:space="preserve">NSDL APIs: https://nsdl.co.in/API-BP/api_brief.html; CDSL APIs: https://www.cdslindia.com/DP/APIs.html</w:t>
      </w:r>
    </w:p>
    <w:p>
      <w:pPr>
        <w:numPr>
          <w:ilvl w:val="1"/>
          <w:numId w:val="1552"/>
        </w:numPr>
        <w:pStyle w:val="Compact"/>
      </w:pPr>
      <w:r>
        <w:t xml:space="preserve">TallyPrime JSON integration: https://help.tallysolutions.com/tally-prime-integration-using-json-1/</w:t>
      </w:r>
    </w:p>
    <w:p>
      <w:pPr>
        <w:numPr>
          <w:ilvl w:val="1"/>
          <w:numId w:val="1552"/>
        </w:numPr>
        <w:pStyle w:val="Compact"/>
      </w:pPr>
      <w:r>
        <w:t xml:space="preserve">ReBIT AA specifications: https://api.rebit.org.in/spec/aa</w:t>
      </w:r>
    </w:p>
    <w:p>
      <w:pPr>
        <w:numPr>
          <w:ilvl w:val="1"/>
          <w:numId w:val="1552"/>
        </w:numPr>
        <w:pStyle w:val="Compact"/>
      </w:pPr>
      <w:r>
        <w:t xml:space="preserve">Expo SDK support table (Android 7+, iOS 16.4+, targetSdk 36): https://docs.expo.dev/versions/v58.0.0; EAS Update code signing: https://docs.expo.dev/eas-update/code-signing/;</w:t>
      </w:r>
      <w:r>
        <w:t xml:space="preserve"> </w:t>
      </w:r>
      <w:r>
        <w:t xml:space="preserve">@expo/app-integrity</w:t>
      </w:r>
      <w:r>
        <w:t xml:space="preserve"> </w:t>
      </w:r>
      <w:r>
        <w:t xml:space="preserve">(alpha): https://docs.expo.dev/versions/v57.0.0/sdk/app-integrity.md</w:t>
      </w:r>
    </w:p>
    <w:p>
      <w:pPr>
        <w:numPr>
          <w:ilvl w:val="1"/>
          <w:numId w:val="1552"/>
        </w:numPr>
        <w:pStyle w:val="Compact"/>
      </w:pPr>
      <w:r>
        <w:t xml:space="preserve">Google Play target API level (API 36 from 31 Aug 2026): https://developer.android.com/google/play/requirements/target-sdk</w:t>
      </w:r>
    </w:p>
    <w:p>
      <w:pPr>
        <w:numPr>
          <w:ilvl w:val="1"/>
          <w:numId w:val="1552"/>
        </w:numPr>
        <w:pStyle w:val="Compact"/>
      </w:pPr>
      <w:r>
        <w:t xml:space="preserve">Supabase regions (ap-south-1 is the only India region): https://supabase.com/docs/guides/platform/regions; Data API hardening: https://supabase.com/docs/guides/database/hardening-data-api</w:t>
      </w:r>
    </w:p>
    <w:p>
      <w:pPr>
        <w:numPr>
          <w:ilvl w:val="1"/>
          <w:numId w:val="1552"/>
        </w:numPr>
        <w:pStyle w:val="Compact"/>
      </w:pPr>
      <w:r>
        <w:t xml:space="preserve">SMS Retriever app hash: https://developers.google.com/identity/sms-retriever/verify; WebOTP: https://developer.chrome.com/docs/identity/web-apis/web-otp; iOS web push: https://webkit.org/blog/13878/web-push-for-web-apps-on-ios-and-ipados/</w:t>
      </w:r>
    </w:p>
    <w:p>
      <w:pPr>
        <w:numPr>
          <w:ilvl w:val="0"/>
          <w:numId w:val="1546"/>
        </w:numPr>
        <w:pStyle w:val="Compact"/>
      </w:pPr>
      <w:r>
        <w:rPr>
          <w:bCs/>
          <w:b/>
        </w:rPr>
        <w:t xml:space="preserve">Recovery, ADR, collateral and integration (added in v1.1):</w:t>
      </w:r>
    </w:p>
    <w:p>
      <w:pPr>
        <w:numPr>
          <w:ilvl w:val="1"/>
          <w:numId w:val="1553"/>
        </w:numPr>
        <w:pStyle w:val="Compact"/>
      </w:pPr>
      <w:r>
        <w:t xml:space="preserve">RBC Third Amendment Directions, 2026 (RBI/2026-27/230, 6 Aug 2026; in force 1 Jan 2027): https://rbi.org.in/Scripts/NotificationUser.aspx?Id=13672 ; summary of the parallel bank directions: https://taxguru.in/rbi/rbi-issues-comprehensive-commercial-bank-recovery-agent-loan-recovery-conduct-directions-january-2027.html</w:t>
      </w:r>
    </w:p>
    <w:p>
      <w:pPr>
        <w:numPr>
          <w:ilvl w:val="1"/>
          <w:numId w:val="1553"/>
        </w:numPr>
        <w:pStyle w:val="Compact"/>
      </w:pPr>
      <w:r>
        <w:rPr>
          <w:iCs/>
          <w:i/>
        </w:rPr>
        <w:t xml:space="preserve">Shikha Ghosh v Axis Bank</w:t>
      </w:r>
      <w:r>
        <w:t xml:space="preserve"> </w:t>
      </w:r>
      <w:r>
        <w:t xml:space="preserve">(Del HC DB, 30 Sep 2026): https://www.scconline.com/blog/post/2026/10/16/repeated-appointment-same-arbitrator-4155-cases-delhi-hc-axis-rbi/</w:t>
      </w:r>
    </w:p>
    <w:p>
      <w:pPr>
        <w:numPr>
          <w:ilvl w:val="1"/>
          <w:numId w:val="1553"/>
        </w:numPr>
        <w:pStyle w:val="Compact"/>
      </w:pPr>
      <w:r>
        <w:rPr>
          <w:iCs/>
          <w:i/>
        </w:rPr>
        <w:t xml:space="preserve">L&amp;T Finance v Jai Paras Material Store</w:t>
      </w:r>
      <w:r>
        <w:t xml:space="preserve"> </w:t>
      </w:r>
      <w:r>
        <w:t xml:space="preserve">(Cal HC, 14 May 2026): https://knallp.com/unilateral-odr-appointment-of-sole-arbitrator-invalid-lt-finance-v-jai-paras-material-store-calcutta-high-court/</w:t>
      </w:r>
    </w:p>
    <w:p>
      <w:pPr>
        <w:numPr>
          <w:ilvl w:val="1"/>
          <w:numId w:val="1553"/>
        </w:numPr>
        <w:pStyle w:val="Compact"/>
      </w:pPr>
      <w:r>
        <w:rPr>
          <w:iCs/>
          <w:i/>
        </w:rPr>
        <w:t xml:space="preserve">Sundaram Finance v Hanuman Prasad</w:t>
      </w:r>
      <w:r>
        <w:t xml:space="preserve"> </w:t>
      </w:r>
      <w:r>
        <w:t xml:space="preserve">(Raj HC, 2026): https://www.livelawbiz.com/amp/arbitration/high-court/rajasthan-high-court-arbitrator-appointment-agreed-independent-arbitral-institution-not-unilateral-536329</w:t>
      </w:r>
    </w:p>
    <w:p>
      <w:pPr>
        <w:numPr>
          <w:ilvl w:val="1"/>
          <w:numId w:val="1553"/>
        </w:numPr>
        <w:pStyle w:val="Compact"/>
      </w:pPr>
      <w:r>
        <w:rPr>
          <w:iCs/>
          <w:i/>
        </w:rPr>
        <w:t xml:space="preserve">CORE v ECI-SPIC-SMO-MCML (JV)</w:t>
      </w:r>
      <w:r>
        <w:t xml:space="preserve"> </w:t>
      </w:r>
      <w:r>
        <w:t xml:space="preserve">(SC, 8 Nov 2024): https://www.jsalaw.com/newsletters-and-updates/jsa-prism-dispute-resolution-november-2024/</w:t>
      </w:r>
    </w:p>
    <w:p>
      <w:pPr>
        <w:numPr>
          <w:ilvl w:val="1"/>
          <w:numId w:val="1553"/>
        </w:numPr>
        <w:pStyle w:val="Compact"/>
      </w:pPr>
      <w:r>
        <w:rPr>
          <w:iCs/>
          <w:i/>
        </w:rPr>
        <w:t xml:space="preserve">Sedhram Nilkanth Muglikar v M.R. Makhare</w:t>
      </w:r>
      <w:r>
        <w:t xml:space="preserve"> </w:t>
      </w:r>
      <w:r>
        <w:t xml:space="preserve">(Bom HC, 2026) on service of arbitration notices: https://www.livelawbiz.com/arbitration/high-court/deemed-service-cannot-cure-defect-in-service-of-arbitration-notices-bombay-high-court-540651</w:t>
      </w:r>
    </w:p>
    <w:p>
      <w:pPr>
        <w:numPr>
          <w:ilvl w:val="1"/>
          <w:numId w:val="1553"/>
        </w:numPr>
        <w:pStyle w:val="Compact"/>
      </w:pPr>
      <w:r>
        <w:t xml:space="preserve">Mediation Act, 2023 (Gazette): https://egazette.gov.in/WriteReadData/2023/248775.pdf ; Mediation Council of India established (27 Aug 2026): https://www.scconline.com/blog/post/2026/08/31/new-mediation-council-of-india-established/</w:t>
      </w:r>
    </w:p>
    <w:p>
      <w:pPr>
        <w:numPr>
          <w:ilvl w:val="1"/>
          <w:numId w:val="1553"/>
        </w:numPr>
        <w:pStyle w:val="Compact"/>
      </w:pPr>
      <w:r>
        <w:t xml:space="preserve">National Lok Adalat dates 2026 (secondary; verify at nalsa.gov.in): https://oga-prod.angelone.in/news/economy/national-lok-adalat-schedule-march-may-september-and-december-dates-2026-released</w:t>
      </w:r>
    </w:p>
    <w:p>
      <w:pPr>
        <w:numPr>
          <w:ilvl w:val="1"/>
          <w:numId w:val="1553"/>
        </w:numPr>
        <w:pStyle w:val="Compact"/>
      </w:pPr>
      <w:r>
        <w:t xml:space="preserve">ODR providers: https://presolv360.com/fees ; https://www.sama.live/rules_and_procedures-2024 ; https://jupiticeodr.com/odr-procedural-rules ; https://www.webnyay.in</w:t>
      </w:r>
    </w:p>
    <w:p>
      <w:pPr>
        <w:numPr>
          <w:ilvl w:val="1"/>
          <w:numId w:val="1553"/>
        </w:numPr>
        <w:pStyle w:val="Compact"/>
      </w:pPr>
      <w:r>
        <w:t xml:space="preserve">India Post bulk-customer API SOP (CEPT, v6.1): https://utilities.cept.gov.in/dop/pdfbind.ashx?id=5778 ; IIBF DRA rules: https://www.iibf.org.in/documents/RulesSyllabus/2024/DRA_Rev_030424.pdf</w:t>
      </w:r>
    </w:p>
    <w:p>
      <w:pPr>
        <w:numPr>
          <w:ilvl w:val="1"/>
          <w:numId w:val="1553"/>
        </w:numPr>
        <w:pStyle w:val="Compact"/>
      </w:pPr>
      <w:r>
        <w:t xml:space="preserve">CDSL LAS: https://www.cdslindia.com/LAS/LAS.html ; CDSL LAS module communiqué summary (15 Jul 2026): https://teamleaseregtech.com/updates/article/57870/cdsl-introduced-loan-against-securities-las-module-in-easiest/ ; NSDL pledge: https://nsdl.com/services/pledge ; SEBI margin-pledge circular (25 Feb 2020, not an LAS rail): https://www.sebi.gov.in/legal/circulars/feb-2020/margin-obligations-to-be-given-by-way-of-pledge-re-pledge-in-the-depository-system_46082.html</w:t>
      </w:r>
    </w:p>
    <w:p>
      <w:pPr>
        <w:numPr>
          <w:ilvl w:val="1"/>
          <w:numId w:val="1553"/>
        </w:numPr>
        <w:pStyle w:val="Compact"/>
      </w:pPr>
      <w:r>
        <w:t xml:space="preserve">MF lien marking (industry descriptions): https://voltmoney.in/blog/lien-marking-mutual-funds ; https://docs.finsire.com/docs/loan-against-mutualfunds-1</w:t>
      </w:r>
    </w:p>
    <w:p>
      <w:pPr>
        <w:numPr>
          <w:ilvl w:val="1"/>
          <w:numId w:val="1553"/>
        </w:numPr>
        <w:pStyle w:val="Compact"/>
      </w:pPr>
      <w:r>
        <w:t xml:space="preserve">RBI TReDS Directions, 2026 (RBI/DPSS/2026-27/406, 23 Jun 2026): https://www.rbi.org.in/scripts/NotificationUser.aspx?Id=13526</w:t>
      </w:r>
    </w:p>
    <w:p>
      <w:pPr>
        <w:numPr>
          <w:ilvl w:val="1"/>
          <w:numId w:val="1553"/>
        </w:numPr>
        <w:pStyle w:val="Compact"/>
      </w:pPr>
      <w:r>
        <w:t xml:space="preserve">Standards: OpenAPI release notes: https://www.speakeasy.com/openapi/release-notes ; OSCAL 1.2.3 reference: https://pages.nist.gov/OSCAL-Reference/models/v1.2.3/plan-of-action-and-milestones/json-reference/ ; FAPI 2.0: https://openid.net/fapi2-0-final-conformance-tests-available/ ; Idempotency-Key draft: https://datatracker.ietf.org/doc/html/draft-ietf-httpapi-idempotency-key-header</w:t>
      </w:r>
    </w:p>
    <w:p>
      <w:pPr>
        <w:numPr>
          <w:ilvl w:val="1"/>
          <w:numId w:val="1553"/>
        </w:numPr>
        <w:pStyle w:val="Compact"/>
      </w:pPr>
      <w:r>
        <w:t xml:space="preserve">GRC tools: https://www.metricstream.com/platform/apis.htm ; https://ibm.com/products/openpages/integrations ; https://pypi.org/project/rsa-archer/</w:t>
      </w:r>
    </w:p>
    <w:p>
      <w:pPr>
        <w:numPr>
          <w:ilvl w:val="0"/>
          <w:numId w:val="1546"/>
        </w:numPr>
        <w:pStyle w:val="Compact"/>
      </w:pPr>
      <w:r>
        <w:rPr>
          <w:bCs/>
          <w:b/>
        </w:rPr>
        <w:t xml:space="preserve">Infrabyx ecosystem:</w:t>
      </w:r>
    </w:p>
    <w:p>
      <w:pPr>
        <w:numPr>
          <w:ilvl w:val="1"/>
          <w:numId w:val="1554"/>
        </w:numPr>
        <w:pStyle w:val="Compact"/>
      </w:pPr>
      <w:r>
        <w:t xml:space="preserve">Finbyx Master Build Prompt v1.5 (Part 5 summary; Part 7A Recovery, Litigation and ADR Suite R1–R16; Part 8A requirements and REQ-IDs): docs/ecosystem/finbyx-master-prompt.md</w:t>
      </w:r>
    </w:p>
    <w:p>
      <w:pPr>
        <w:numPr>
          <w:ilvl w:val="1"/>
          <w:numId w:val="1554"/>
        </w:numPr>
        <w:pStyle w:val="Compact"/>
      </w:pPr>
      <w:r>
        <w:t xml:space="preserve">Infrabyx Ecosystem Integration Specification v1.1 (canonical events, APIs, data ownership and connectors): docs/ecosystem/infrabyx-integration-spec.md</w:t>
      </w:r>
    </w:p>
    <w:p>
      <w:pPr>
        <w:numPr>
          <w:ilvl w:val="0"/>
          <w:numId w:val="1546"/>
        </w:numPr>
        <w:pStyle w:val="Compact"/>
      </w:pPr>
      <w:r>
        <w:rPr>
          <w:bCs/>
          <w:b/>
        </w:rPr>
        <w:t xml:space="preserve">Grievance, ombudsman and conduct (added in v1.2):</w:t>
      </w:r>
    </w:p>
    <w:p>
      <w:pPr>
        <w:numPr>
          <w:ilvl w:val="1"/>
          <w:numId w:val="1555"/>
        </w:numPr>
        <w:pStyle w:val="Compact"/>
      </w:pPr>
      <w:r>
        <w:t xml:space="preserve">Reserve Bank – Integrated Ombudsman Scheme, 2026 (notified 16 Jan 2026; effective 1 Jul 2026), RBI press release: https://www.rbi.org.in/scripts/BS_PressReleaseDisplay.aspx?prid=62052</w:t>
      </w:r>
    </w:p>
    <w:p>
      <w:pPr>
        <w:numPr>
          <w:ilvl w:val="1"/>
          <w:numId w:val="1555"/>
        </w:numPr>
        <w:pStyle w:val="Compact"/>
      </w:pPr>
      <w:r>
        <w:t xml:space="preserve">RB-IOS 2026 text as published by a regulated bank (secondary copy; verify against RBI): https://www.ujjivansfb.bank.in/assets/1_RESERVE_BANK_INTEGRATED_OMBUDSMAN_SCHEME_2026_9f0db1d061.pdf</w:t>
      </w:r>
    </w:p>
    <w:p>
      <w:pPr>
        <w:numPr>
          <w:ilvl w:val="1"/>
          <w:numId w:val="1555"/>
        </w:numPr>
        <w:pStyle w:val="Compact"/>
      </w:pPr>
      <w:r>
        <w:t xml:space="preserve">RB-IOS 2026 summary (90-day window; coverage): https://taxguru.in/?p=1019941</w:t>
      </w:r>
    </w:p>
    <w:p>
      <w:pPr>
        <w:numPr>
          <w:ilvl w:val="1"/>
          <w:numId w:val="1555"/>
        </w:numPr>
        <w:pStyle w:val="Compact"/>
      </w:pPr>
      <w:r>
        <w:t xml:space="preserve">RBI (NBFCs – Internal Ombudsman) Directions, 2026 (14 Jan 2026) summary: https://taxguru.in/?p=1018315</w:t>
      </w:r>
    </w:p>
    <w:p>
      <w:pPr>
        <w:numPr>
          <w:ilvl w:val="1"/>
          <w:numId w:val="1555"/>
        </w:numPr>
        <w:pStyle w:val="Compact"/>
      </w:pPr>
      <w:r>
        <w:t xml:space="preserve">RBC Second Amendment Directions 2026 (sales practices; 15 Jun 2026; effective 1 Jan 2027), press report: https://www.deccanchronicle.com/amp/business/rbi-tightens-norms-to-curb-mis-selling-of-financial-products-1963800</w:t>
      </w:r>
    </w:p>
    <w:p>
      <w:pPr>
        <w:numPr>
          <w:ilvl w:val="1"/>
          <w:numId w:val="1555"/>
        </w:numPr>
        <w:pStyle w:val="Compact"/>
      </w:pPr>
      <w:r>
        <w:t xml:space="preserve">Vinod Kothari analysis of the sales-practice Directions (paragraphs 101G–101Z): https://vinodkothari.com/wp-content/uploads/2026/06/From-Consent-to-Compensation_-RBIs-Draft-Directions-for-REs-on-Sales-Practices.pdf</w:t>
      </w:r>
    </w:p>
    <w:p>
      <w:pPr>
        <w:numPr>
          <w:ilvl w:val="1"/>
          <w:numId w:val="1555"/>
        </w:numPr>
        <w:pStyle w:val="Compact"/>
      </w:pPr>
      <w:r>
        <w:t xml:space="preserve">RBC Second Amendment summary (insurance distribution by NBFCs): https://c4scourses.in/banking-finance/rbis-responsible-business-conduct-second-amendment-directions-2026/</w:t>
      </w:r>
    </w:p>
    <w:p>
      <w:pPr>
        <w:numPr>
          <w:ilvl w:val="1"/>
          <w:numId w:val="1555"/>
        </w:numPr>
        <w:pStyle w:val="Compact"/>
      </w:pPr>
      <w:r>
        <w:t xml:space="preserve">Insurance Ombudsman route and limits (secondary): https://joinditto.in/articles/health-insurance/insurance-ombudsman</w:t>
      </w:r>
    </w:p>
    <w:p>
      <w:pPr>
        <w:numPr>
          <w:ilvl w:val="0"/>
          <w:numId w:val="1546"/>
        </w:numPr>
        <w:pStyle w:val="Compact"/>
      </w:pPr>
      <w:r>
        <w:rPr>
          <w:bCs/>
          <w:b/>
        </w:rPr>
        <w:t xml:space="preserve">Credit information and the consumer’s own report (added in v1.2):</w:t>
      </w:r>
    </w:p>
    <w:p>
      <w:pPr>
        <w:numPr>
          <w:ilvl w:val="1"/>
          <w:numId w:val="1556"/>
        </w:numPr>
        <w:pStyle w:val="Compact"/>
      </w:pPr>
      <w:r>
        <w:t xml:space="preserve">RBI (Credit Information Companies) Amendment Directions, 2025 (RBI/DOR/2025-26/119, 4 Dec 2025): https://www.rbi.org.in/Scripts/NotificationUser.aspx?Id=13189</w:t>
      </w:r>
    </w:p>
    <w:p>
      <w:pPr>
        <w:numPr>
          <w:ilvl w:val="1"/>
          <w:numId w:val="1556"/>
        </w:numPr>
        <w:pStyle w:val="Compact"/>
      </w:pPr>
      <w:r>
        <w:t xml:space="preserve">RBI (Credit Information Companies) Directions, 2025 (updated 1 Jul 2026): https://www.rbi.org.in/scripts/BS_ViewMasDirections.aspx?id=12926</w:t>
      </w:r>
    </w:p>
    <w:p>
      <w:pPr>
        <w:numPr>
          <w:ilvl w:val="1"/>
          <w:numId w:val="1556"/>
        </w:numPr>
        <w:pStyle w:val="Compact"/>
      </w:pPr>
      <w:r>
        <w:t xml:space="preserve">RBI circular on the free annual full credit report (1 Sep 2016): https://www.rbi.org.in/scripts/NotificationUser.aspx?Id=10590</w:t>
      </w:r>
    </w:p>
    <w:p>
      <w:pPr>
        <w:numPr>
          <w:ilvl w:val="1"/>
          <w:numId w:val="1556"/>
        </w:numPr>
        <w:pStyle w:val="Compact"/>
      </w:pPr>
      <w:r>
        <w:t xml:space="preserve">RBI criteria for specified users (press release of 5 Jan 2022), commentary: https://corporate.cyrilamarchandblogs.com/2022/01/fig-paper-no-9-rbi-press-release-on-specified-users-new-year-relief-for-fintech-companies/ ; https://vinodkothari.com/?p=38143</w:t>
      </w:r>
    </w:p>
    <w:p>
      <w:pPr>
        <w:numPr>
          <w:ilvl w:val="1"/>
          <w:numId w:val="1556"/>
        </w:numPr>
        <w:pStyle w:val="Compact"/>
      </w:pPr>
      <w:r>
        <w:t xml:space="preserve">CICRA and the consumer’s right to know their own credit information (Equifax): https://www.equifax.co.in/en/credit-information-companies-act/</w:t>
      </w:r>
    </w:p>
    <w:p>
      <w:pPr>
        <w:numPr>
          <w:ilvl w:val="1"/>
          <w:numId w:val="1556"/>
        </w:numPr>
        <w:pStyle w:val="Compact"/>
      </w:pPr>
      <w:r>
        <w:t xml:space="preserve">2019 restriction on credit-information access by unregulated entities (press): https://www.mondaq.com/india/fin-tech/1192900/access-to-credit-bureau-information-for-fintechs</w:t>
      </w:r>
    </w:p>
    <w:p>
      <w:pPr>
        <w:numPr>
          <w:ilvl w:val="1"/>
          <w:numId w:val="1556"/>
        </w:numPr>
        <w:pStyle w:val="Compact"/>
      </w:pPr>
      <w:r>
        <w:t xml:space="preserve">Consumer alerts on credit-report access (2023 measures, press): https://mas360.moneylife.in/article/rbi-mandates-enhanced-consumer-notifications-for-credit-information-access/4474.html</w:t>
      </w:r>
    </w:p>
    <w:p>
      <w:pPr>
        <w:numPr>
          <w:ilvl w:val="1"/>
          <w:numId w:val="1556"/>
        </w:numPr>
        <w:pStyle w:val="Compact"/>
      </w:pPr>
      <w:r>
        <w:t xml:space="preserve">TransUnion CIBIL DTC Consumer Connect Services (partner model): https://apimarketplace.transunioncibil.com/products/credit-data/dtc-consumer-connect-services</w:t>
      </w:r>
    </w:p>
    <w:p>
      <w:pPr>
        <w:numPr>
          <w:ilvl w:val="1"/>
          <w:numId w:val="1556"/>
        </w:numPr>
        <w:pStyle w:val="Compact"/>
      </w:pPr>
      <w:r>
        <w:t xml:space="preserve">Example consumer-agent consent for credit reports (market practice): https://www.paisabazaar.com/frontview/terms_of_use_cibil.php/</w:t>
      </w:r>
    </w:p>
    <w:p>
      <w:pPr>
        <w:numPr>
          <w:ilvl w:val="1"/>
          <w:numId w:val="1556"/>
        </w:numPr>
        <w:pStyle w:val="Compact"/>
      </w:pPr>
      <w:r>
        <w:t xml:space="preserve">Sahamati technology service providers (AA): https://sahamati.org.in/tsp</w:t>
      </w:r>
    </w:p>
    <w:p>
      <w:pPr>
        <w:numPr>
          <w:ilvl w:val="0"/>
          <w:numId w:val="1546"/>
        </w:numPr>
        <w:pStyle w:val="Compact"/>
      </w:pPr>
      <w:r>
        <w:rPr>
          <w:bCs/>
          <w:b/>
        </w:rPr>
        <w:t xml:space="preserve">Income-tax and GST for borrower documents (added in v1.2):</w:t>
      </w:r>
    </w:p>
    <w:p>
      <w:pPr>
        <w:numPr>
          <w:ilvl w:val="1"/>
          <w:numId w:val="1557"/>
        </w:numPr>
        <w:pStyle w:val="Compact"/>
      </w:pPr>
      <w:r>
        <w:t xml:space="preserve">Income-tax Act, 2025, section 22 (house-property interest; lender certificate): https://www.incometaxindia.gov.in/w/section-22-218</w:t>
      </w:r>
    </w:p>
    <w:p>
      <w:pPr>
        <w:numPr>
          <w:ilvl w:val="1"/>
          <w:numId w:val="1557"/>
        </w:numPr>
        <w:pStyle w:val="Compact"/>
      </w:pPr>
      <w:r>
        <w:t xml:space="preserve">Income-tax Act, 2025, section 202 (default regime): https://www.incometaxindia.gov.in/w/section-202-78</w:t>
      </w:r>
    </w:p>
    <w:p>
      <w:pPr>
        <w:numPr>
          <w:ilvl w:val="1"/>
          <w:numId w:val="1557"/>
        </w:numPr>
        <w:pStyle w:val="Compact"/>
      </w:pPr>
      <w:r>
        <w:t xml:space="preserve">Which Act applies by year (transition, secondary): https://calcguru.in/income-tax-act-1961-or-2025-which-applies/</w:t>
      </w:r>
    </w:p>
    <w:p>
      <w:pPr>
        <w:numPr>
          <w:ilvl w:val="1"/>
          <w:numId w:val="1557"/>
        </w:numPr>
        <w:pStyle w:val="Compact"/>
      </w:pPr>
      <w:r>
        <w:t xml:space="preserve">Section 123 (old 80C): https://cleartax.in/s/section-123-income-tax-act-2025</w:t>
      </w:r>
    </w:p>
    <w:p>
      <w:pPr>
        <w:numPr>
          <w:ilvl w:val="1"/>
          <w:numId w:val="1557"/>
        </w:numPr>
        <w:pStyle w:val="Compact"/>
      </w:pPr>
      <w:r>
        <w:t xml:space="preserve">Section 129 (old 80E): https://www.credila.com/article/section-129-tax-benefits-on-education-loan</w:t>
      </w:r>
    </w:p>
    <w:p>
      <w:pPr>
        <w:numPr>
          <w:ilvl w:val="1"/>
          <w:numId w:val="1557"/>
        </w:numPr>
        <w:pStyle w:val="Compact"/>
      </w:pPr>
      <w:r>
        <w:t xml:space="preserve">Form 130 (salary TDS certificate) FAQs, for the new form series: https://www.incometaxindia.gov.in/documents/d/guest/form-130-faqs</w:t>
      </w:r>
    </w:p>
    <w:p>
      <w:pPr>
        <w:numPr>
          <w:ilvl w:val="0"/>
          <w:numId w:val="1546"/>
        </w:numPr>
        <w:pStyle w:val="Compact"/>
      </w:pPr>
      <w:r>
        <w:rPr>
          <w:bCs/>
          <w:b/>
        </w:rPr>
        <w:t xml:space="preserve">Data protection (added in v1.2):</w:t>
      </w:r>
    </w:p>
    <w:p>
      <w:pPr>
        <w:numPr>
          <w:ilvl w:val="1"/>
          <w:numId w:val="1558"/>
        </w:numPr>
        <w:pStyle w:val="Compact"/>
      </w:pPr>
      <w:r>
        <w:t xml:space="preserve">KPMG guidance on the DPDP Rules, 2025: https://assets.kpmg.com/content/dam/kpmgsites/in/pdf/2025/11/dpdp-rules-2025-guidance-to-dpdp-act-implementation.pdf</w:t>
      </w:r>
    </w:p>
    <w:p>
      <w:pPr>
        <w:numPr>
          <w:ilvl w:val="1"/>
          <w:numId w:val="1558"/>
        </w:numPr>
        <w:pStyle w:val="Compact"/>
      </w:pPr>
      <w:r>
        <w:t xml:space="preserve">Khaitan &amp; Co ERGO on the DPDP Rules (15 Nov 2025): https://www.khaitanco.com/sites/default/files/2025-11/ERGO%20-%20Digital%20Personal%20%20Data%20Protection%20Rules%20-%2015%20November%202025.pdf</w:t>
      </w:r>
    </w:p>
    <w:p>
      <w:pPr>
        <w:numPr>
          <w:ilvl w:val="1"/>
          <w:numId w:val="1558"/>
        </w:numPr>
        <w:pStyle w:val="Compact"/>
      </w:pPr>
      <w:r>
        <w:t xml:space="preserve">Proposed shortening of the DPDP compliance timeline (not notified): https://ssrana.in/articles/meity-plans-to-cut-short-dpdp-compliance-timeline-and-notify-cross-border-restrictions-for-sdfs/</w:t>
      </w:r>
    </w:p>
    <w:p>
      <w:pPr>
        <w:numPr>
          <w:ilvl w:val="0"/>
          <w:numId w:val="1546"/>
        </w:numPr>
        <w:pStyle w:val="Compact"/>
      </w:pPr>
      <w:r>
        <w:rPr>
          <w:bCs/>
          <w:b/>
        </w:rPr>
        <w:t xml:space="preserve">Co-operative societies and microfinance (added in v1.2):</w:t>
      </w:r>
    </w:p>
    <w:p>
      <w:pPr>
        <w:numPr>
          <w:ilvl w:val="1"/>
          <w:numId w:val="1559"/>
        </w:numPr>
        <w:pStyle w:val="Compact"/>
      </w:pPr>
      <w:r>
        <w:t xml:space="preserve">MSCS Act, 2002 as amended in 2023 (CRCS consolidated text): https://crcs.gov.in/public/landing/MSCS_Act_2002_Amendment_2023.pdf</w:t>
      </w:r>
    </w:p>
    <w:p>
      <w:pPr>
        <w:numPr>
          <w:ilvl w:val="1"/>
          <w:numId w:val="1559"/>
        </w:numPr>
        <w:pStyle w:val="Compact"/>
      </w:pPr>
      <w:r>
        <w:t xml:space="preserve">MSCS (Amendment) Bill tracker (PRS): https://prsindia.org/billtrack/the-multi-state-co-operative-societies-amendment-bill-2022</w:t>
      </w:r>
    </w:p>
    <w:p>
      <w:pPr>
        <w:numPr>
          <w:ilvl w:val="1"/>
          <w:numId w:val="1559"/>
        </w:numPr>
        <w:pStyle w:val="Compact"/>
      </w:pPr>
      <w:r>
        <w:t xml:space="preserve">Lok Sabha USQ 1606 (12 Dec 2023) on the amended MSCS Act and Rules: https://eparlib.nic.in/bitstream/123456789/2970851/1/AU1606.pdf</w:t>
      </w:r>
    </w:p>
    <w:p>
      <w:pPr>
        <w:numPr>
          <w:ilvl w:val="1"/>
          <w:numId w:val="1559"/>
        </w:numPr>
        <w:pStyle w:val="Compact"/>
      </w:pPr>
      <w:r>
        <w:t xml:space="preserve">CRCS model bye-laws for thrift and credit MSCS: https://crcs.gov.in/public/tempalebyelaw/CREDIT_BYELAWS.pdf</w:t>
      </w:r>
    </w:p>
    <w:p>
      <w:pPr>
        <w:numPr>
          <w:ilvl w:val="1"/>
          <w:numId w:val="1559"/>
        </w:numPr>
        <w:pStyle w:val="Compact"/>
      </w:pPr>
      <w:r>
        <w:t xml:space="preserve">CRCS prudential norms for credit MSCS (22 Jan 2024), secondary: https://www.indiancooperative.com/featured/fortifying-multistate-credit-co-ops-ministry-notifies-dos-donts/ ; https://www.indiancooperative.com/from-states/ministry-unveils-new-prudential-norms-for-multi-state-co-op-societies/</w:t>
      </w:r>
    </w:p>
    <w:p>
      <w:pPr>
        <w:numPr>
          <w:ilvl w:val="1"/>
          <w:numId w:val="1559"/>
        </w:numPr>
        <w:pStyle w:val="Compact"/>
      </w:pPr>
      <w:r>
        <w:t xml:space="preserve">CRCS branch-expansion order (Jul 2025), secondary: https://www.indiancooperative.com/from-states/centre-tightens-norms-for-mscs-expansion-caps-it-at-10-per-year/</w:t>
      </w:r>
    </w:p>
    <w:p>
      <w:pPr>
        <w:numPr>
          <w:ilvl w:val="1"/>
          <w:numId w:val="1559"/>
        </w:numPr>
        <w:pStyle w:val="Compact"/>
      </w:pPr>
      <w:r>
        <w:t xml:space="preserve">RBI caution on co-operative societies using</w:t>
      </w:r>
      <w:r>
        <w:t xml:space="preserve"> </w:t>
      </w:r>
      <w:r>
        <w:t xml:space="preserve">“</w:t>
      </w:r>
      <w:r>
        <w:t xml:space="preserve">bank</w:t>
      </w:r>
      <w:r>
        <w:t xml:space="preserve">”</w:t>
      </w:r>
      <w:r>
        <w:t xml:space="preserve"> </w:t>
      </w:r>
      <w:r>
        <w:t xml:space="preserve">and taking deposits (22 Nov 2021): https://www.rbi.org.in/Scripts/BS_PressReleaseDisplay.aspx?prid=52595</w:t>
      </w:r>
    </w:p>
    <w:p>
      <w:pPr>
        <w:numPr>
          <w:ilvl w:val="1"/>
          <w:numId w:val="1559"/>
        </w:numPr>
        <w:pStyle w:val="Compact"/>
      </w:pPr>
      <w:r>
        <w:t xml:space="preserve">Banning of Unregulated Deposit Schemes Act, 2019: https://lddashboard.legislative.gov.in/sites/default/files/A2019-21.pdf</w:t>
      </w:r>
    </w:p>
    <w:p>
      <w:pPr>
        <w:numPr>
          <w:ilvl w:val="1"/>
          <w:numId w:val="1559"/>
        </w:numPr>
        <w:pStyle w:val="Compact"/>
      </w:pPr>
      <w:r>
        <w:t xml:space="preserve">Maharashtra Co-operative Societies Act, 1960 and Rules: https://mahapanan.maharashtra.gov.in/Site/Upload/GR/MCS%20Bare%20Act%20and%20Rules.pdf</w:t>
      </w:r>
    </w:p>
    <w:p>
      <w:pPr>
        <w:numPr>
          <w:ilvl w:val="1"/>
          <w:numId w:val="1559"/>
        </w:numPr>
        <w:pStyle w:val="Compact"/>
      </w:pPr>
      <w:r>
        <w:t xml:space="preserve">Maharashtra Money-Lending (Regulation) Act, 2014: https://prsindia.org/files/bills_acts/acts_states/maharashtra/2014/2014MH8.pdf</w:t>
      </w:r>
    </w:p>
    <w:p>
      <w:pPr>
        <w:numPr>
          <w:ilvl w:val="1"/>
          <w:numId w:val="1559"/>
        </w:numPr>
        <w:pStyle w:val="Compact"/>
      </w:pPr>
      <w:r>
        <w:t xml:space="preserve">Maharashtra co-operative disputes (ss.91–101), ICAI WIRC note: https://old.wirc-icai.org/images/material/Disputes-Sec-91-101-ManojP.pdf</w:t>
      </w:r>
    </w:p>
    <w:p>
      <w:pPr>
        <w:numPr>
          <w:ilvl w:val="1"/>
          <w:numId w:val="1559"/>
        </w:numPr>
        <w:pStyle w:val="Compact"/>
      </w:pPr>
      <w:r>
        <w:t xml:space="preserve">Ministry of Cooperation note (data to 20 Jan 2026): https://static.pib.gov.in/WriteReadData/specificdocs/documents/2026/feb/doc202624779801.pdf</w:t>
      </w:r>
    </w:p>
    <w:p>
      <w:pPr>
        <w:numPr>
          <w:ilvl w:val="1"/>
          <w:numId w:val="1559"/>
        </w:numPr>
        <w:pStyle w:val="Compact"/>
      </w:pPr>
      <w:r>
        <w:t xml:space="preserve">Karnataka Act 15 of 2025: https://prsindia.org/files/bills_acts/acts_states/karnataka/2025/Act15of2025KA.pdf</w:t>
      </w:r>
    </w:p>
    <w:p>
      <w:pPr>
        <w:numPr>
          <w:ilvl w:val="1"/>
          <w:numId w:val="1559"/>
        </w:numPr>
        <w:pStyle w:val="Compact"/>
      </w:pPr>
      <w:r>
        <w:t xml:space="preserve">Tamil Nadu Act 40 of 2025: https://prsindia.org/files/bills_acts/acts_states/tamil-nadu/2025/Act40of2025TN.pdf ; commentary: https://vinodkothari.com/2026/03/not-registration-but-caution-what-tamil-nadu-coercive-actions-law-means-for-nbfcs/</w:t>
      </w:r>
    </w:p>
    <w:p>
      <w:pPr>
        <w:numPr>
          <w:ilvl w:val="1"/>
          <w:numId w:val="1559"/>
        </w:numPr>
        <w:pStyle w:val="Compact"/>
      </w:pPr>
      <w:r>
        <w:t xml:space="preserve">MFIN compendium of directives and advisories (Jan 2025): https://mfinindia.org/assets/upload_image/publications/IndustryStandards/Compendium%20of%20MFIN%20Directives%20and%20Advisories%20-%20January%202025%20Web.pdf</w:t>
      </w:r>
    </w:p>
    <w:p>
      <w:pPr>
        <w:numPr>
          <w:ilvl w:val="1"/>
          <w:numId w:val="1559"/>
        </w:numPr>
        <w:pStyle w:val="Compact"/>
      </w:pPr>
      <w:r>
        <w:t xml:space="preserve">CARE Ratings,</w:t>
      </w:r>
      <w:r>
        <w:t xml:space="preserve"> </w:t>
      </w:r>
      <w:r>
        <w:t xml:space="preserve">“</w:t>
      </w:r>
      <w:r>
        <w:t xml:space="preserve">Microfinance: Out of the Woods</w:t>
      </w:r>
      <w:r>
        <w:t xml:space="preserve">”</w:t>
      </w:r>
      <w:r>
        <w:t xml:space="preserve"> </w:t>
      </w:r>
      <w:r>
        <w:t xml:space="preserve">(20 Aug 2026; Guardrails 2.0 status; 60% qualifying assets): https://www.careratings.com/uploads/newsfiles/1787226398_Microfinance%20Out%20of%20the%20Woods.pdf</w:t>
      </w:r>
    </w:p>
    <w:p>
      <w:pPr>
        <w:numPr>
          <w:ilvl w:val="0"/>
          <w:numId w:val="1546"/>
        </w:numPr>
        <w:pStyle w:val="Compact"/>
      </w:pPr>
      <w:r>
        <w:rPr>
          <w:bCs/>
          <w:b/>
        </w:rPr>
        <w:t xml:space="preserve">Insurance and other regulated products (added in v1.2):</w:t>
      </w:r>
    </w:p>
    <w:p>
      <w:pPr>
        <w:numPr>
          <w:ilvl w:val="1"/>
          <w:numId w:val="1560"/>
        </w:numPr>
        <w:pStyle w:val="Compact"/>
      </w:pPr>
      <w:r>
        <w:t xml:space="preserve">IRDAI intermediary reforms of 30 Jul 2026 (PwC): https://www.pwc.in/research-insights/news_alert/regulatory-insights/irdai-streamlines-regulatory-framework-for-insurers-and-insurance-intermediaries.html</w:t>
      </w:r>
    </w:p>
    <w:p>
      <w:pPr>
        <w:numPr>
          <w:ilvl w:val="1"/>
          <w:numId w:val="1560"/>
        </w:numPr>
        <w:pStyle w:val="Compact"/>
      </w:pPr>
      <w:r>
        <w:t xml:space="preserve">IRDAI intermediary reforms (Trilegal): https://trilegal.com/knowledge-repository/update/irdai-intermediary-reforms-from-periodic-renewals-to-continuous-supervision/</w:t>
      </w:r>
    </w:p>
    <w:p>
      <w:pPr>
        <w:numPr>
          <w:ilvl w:val="1"/>
          <w:numId w:val="1560"/>
        </w:numPr>
        <w:pStyle w:val="Compact"/>
      </w:pPr>
      <w:r>
        <w:t xml:space="preserve">Seller tagging on policies from January 2027: https://www.outlookmoney.com/personal-finance/irdai-tightens-insurance-sales-rules-policies-to-name-authorised-seller-from-january-2027</w:t>
      </w:r>
    </w:p>
    <w:p>
      <w:pPr>
        <w:numPr>
          <w:ilvl w:val="1"/>
          <w:numId w:val="1560"/>
        </w:numPr>
        <w:pStyle w:val="Compact"/>
      </w:pPr>
      <w:r>
        <w:t xml:space="preserve">Insurance distribution channels and compliance (Cyril Amarchand Mangaldas, 9 Jan 2026): https://corporate.cyrilamarchandblogs.com/2026/01/insurance-distribution-in-india-emerging-channels-compliance-and-data-governance/</w:t>
      </w:r>
    </w:p>
    <w:p>
      <w:pPr>
        <w:numPr>
          <w:ilvl w:val="1"/>
          <w:numId w:val="1560"/>
        </w:numPr>
        <w:pStyle w:val="Compact"/>
      </w:pPr>
      <w:r>
        <w:t xml:space="preserve">Corporate Agent and IMF tie-up limits (Dec 2022): https://cafemutual.com/news/insurance/28042-imfs-can-have-6-tie-ups-banks-with-9-insurers-irdai ; https://www.outlookmoney.com/news/here-are-6-insurance-regulations-of-irdai-notified-by-government-news-247021</w:t>
      </w:r>
    </w:p>
    <w:p>
      <w:pPr>
        <w:numPr>
          <w:ilvl w:val="1"/>
          <w:numId w:val="1560"/>
        </w:numPr>
        <w:pStyle w:val="Compact"/>
      </w:pPr>
      <w:r>
        <w:t xml:space="preserve">Bima Sugam status (secondary): https://c4scourses.in/national-affairs/bima-sugam/</w:t>
      </w:r>
    </w:p>
    <w:p>
      <w:pPr>
        <w:numPr>
          <w:ilvl w:val="1"/>
          <w:numId w:val="1560"/>
        </w:numPr>
        <w:pStyle w:val="Compact"/>
      </w:pPr>
      <w:r>
        <w:t xml:space="preserve">SEBI restrictions on association with unregistered advisers (PR 12/2024), commentary: https://corporate.cyrilamarchandblogs.com/2024/08/from-likes-to-licenses-regulating-finfluencers-amidst-stricter-norms/</w:t>
      </w:r>
    </w:p>
    <w:p>
      <w:pPr>
        <w:numPr>
          <w:ilvl w:val="1"/>
          <w:numId w:val="1560"/>
        </w:numPr>
        <w:pStyle w:val="Compact"/>
      </w:pPr>
      <w:r>
        <w:t xml:space="preserve">BBPS Master Direction 2024 (JSA analysis): https://www.jsalaw.com/wp-content/uploads/2024/03/JSA-Prism-Fintech-March-2024-BBPS.Final_.pdf</w:t>
      </w:r>
    </w:p>
    <w:p>
      <w:pPr>
        <w:numPr>
          <w:ilvl w:val="1"/>
          <w:numId w:val="1560"/>
        </w:numPr>
        <w:pStyle w:val="Compact"/>
      </w:pPr>
      <w:r>
        <w:t xml:space="preserve">Credit lines on UPI: FIDC request (23 Sep 2025): https://www.fidcindia.org.in/wp-content/uploads/2025/09/FIDC-DG-RBI_23Sept2025_Allowing-NBFCs-to-Offer-Credit-Lines-on-UPI.pdf ; RBI position (Jun 2026, press): https://inc42.com/?p=562475</w:t>
      </w:r>
    </w:p>
    <w:p>
      <w:pPr>
        <w:numPr>
          <w:ilvl w:val="0"/>
          <w:numId w:val="1546"/>
        </w:numPr>
        <w:pStyle w:val="Compact"/>
      </w:pPr>
      <w:r>
        <w:rPr>
          <w:bCs/>
          <w:b/>
        </w:rPr>
        <w:t xml:space="preserve">Billing, payments and advertising (added in v1.2):</w:t>
      </w:r>
    </w:p>
    <w:p>
      <w:pPr>
        <w:numPr>
          <w:ilvl w:val="1"/>
          <w:numId w:val="1561"/>
        </w:numPr>
        <w:pStyle w:val="Compact"/>
      </w:pPr>
      <w:r>
        <w:t xml:space="preserve">RBI (Digital Payments – E-mandate Framework) Directions, 2026 (21 Apr 2026): https://www.rbi.org.in/Scripts/BS_ViewMasDirections.aspx?id=13374</w:t>
      </w:r>
    </w:p>
    <w:p>
      <w:pPr>
        <w:numPr>
          <w:ilvl w:val="1"/>
          <w:numId w:val="1561"/>
        </w:numPr>
        <w:pStyle w:val="Compact"/>
      </w:pPr>
      <w:r>
        <w:t xml:space="preserve">RBI card-on-file tokenisation circular (card data storage): https://rbi.org.in/Scripts/NotificationUser.aspx?Id=12159&amp;Mode=0</w:t>
      </w:r>
    </w:p>
    <w:p>
      <w:pPr>
        <w:numPr>
          <w:ilvl w:val="1"/>
          <w:numId w:val="1561"/>
        </w:numPr>
        <w:pStyle w:val="Compact"/>
      </w:pPr>
      <w:r>
        <w:t xml:space="preserve">Razorpay webhook validation: https://razorpay.com/docs/webhooks/validate-test/</w:t>
      </w:r>
    </w:p>
    <w:p>
      <w:pPr>
        <w:numPr>
          <w:ilvl w:val="1"/>
          <w:numId w:val="1561"/>
        </w:numPr>
        <w:pStyle w:val="Compact"/>
      </w:pPr>
      <w:r>
        <w:t xml:space="preserve">Razorpay compliance statement (PCI DSS Level 1; PA licence; self-reported): https://razorpay.com/blog/payment-gateway-compliance/</w:t>
      </w:r>
    </w:p>
    <w:p>
      <w:pPr>
        <w:numPr>
          <w:ilvl w:val="1"/>
          <w:numId w:val="1561"/>
        </w:numPr>
        <w:pStyle w:val="Compact"/>
      </w:pPr>
      <w:r>
        <w:t xml:space="preserve">PCI DSS v4.0.1 SAQ A revision and script-attack criterion: https://blog.report-uri.com/pci-dss-4-0-1-saq-a-and-client-side-security-a-plain-english-faq/</w:t>
      </w:r>
    </w:p>
    <w:p>
      <w:pPr>
        <w:numPr>
          <w:ilvl w:val="1"/>
          <w:numId w:val="1561"/>
        </w:numPr>
        <w:pStyle w:val="Compact"/>
      </w:pPr>
      <w:r>
        <w:t xml:space="preserve">Advertising of banking and financial offerings (ASCI Code and CCPA guidelines): https://www.barandbench.com/law-firms/view-point/the-viewpoint-advertising-of-banking-and-financial-offerings-limitations-and-requirements-under-indian-law</w:t>
      </w:r>
    </w:p>
    <w:p>
      <w:pPr>
        <w:numPr>
          <w:ilvl w:val="1"/>
          <w:numId w:val="1561"/>
        </w:numPr>
        <w:pStyle w:val="Compact"/>
      </w:pPr>
      <w:r>
        <w:t xml:space="preserve">Owner-referenced</w:t>
      </w:r>
      <w:r>
        <w:t xml:space="preserve"> </w:t>
      </w:r>
      <w:r>
        <w:t xml:space="preserve">“</w:t>
      </w:r>
      <w:r>
        <w:t xml:space="preserve">autopilot</w:t>
      </w:r>
      <w:r>
        <w:t xml:space="preserve">”</w:t>
      </w:r>
      <w:r>
        <w:t xml:space="preserve"> </w:t>
      </w:r>
      <w:r>
        <w:t xml:space="preserve">page reviewed on 23 Oct 2026 (a coaching workshop funnel, not a software model): https://www.ptstdm.co.in</w:t>
      </w:r>
    </w:p>
    <w:p>
      <w:pPr>
        <w:numPr>
          <w:ilvl w:val="0"/>
          <w:numId w:val="1546"/>
        </w:numPr>
        <w:pStyle w:val="Compact"/>
      </w:pPr>
      <w:r>
        <w:rPr>
          <w:bCs/>
          <w:b/>
        </w:rPr>
        <w:t xml:space="preserve">Telecom, voice and AI (added in v1.2):</w:t>
      </w:r>
    </w:p>
    <w:p>
      <w:pPr>
        <w:numPr>
          <w:ilvl w:val="1"/>
          <w:numId w:val="1562"/>
        </w:numPr>
        <w:pStyle w:val="Compact"/>
      </w:pPr>
      <w:r>
        <w:t xml:space="preserve">TRAI Direction on 1600-series numbers for RBI-regulated entities (19 Nov 2025): https://www.trai.gov.in/sites/default/files/2025-11/Direction_19112025_0.pdf</w:t>
      </w:r>
    </w:p>
    <w:p>
      <w:pPr>
        <w:numPr>
          <w:ilvl w:val="1"/>
          <w:numId w:val="1562"/>
        </w:numPr>
        <w:pStyle w:val="Compact"/>
      </w:pPr>
      <w:r>
        <w:t xml:space="preserve">TRAI clarification on 1600 and 140 series (10 Jul 2026), SCC Online: https://www.scconline.com/blog/post/2026/07/18/trai-clarifies-1600-and-140-series-number-framework/</w:t>
      </w:r>
    </w:p>
    <w:p>
      <w:pPr>
        <w:numPr>
          <w:ilvl w:val="1"/>
          <w:numId w:val="1562"/>
        </w:numPr>
        <w:pStyle w:val="Compact"/>
      </w:pPr>
      <w:r>
        <w:t xml:space="preserve">1600-series deadlines by entity type: https://www.outlookbusiness.com/news/trai-sets-firm-deadlines-for-bfsi-entities-to-adopt-1600-series-for-service-transactional-calls ; https://exotel.com/blog/1600-phone-number/</w:t>
      </w:r>
    </w:p>
    <w:p>
      <w:pPr>
        <w:numPr>
          <w:ilvl w:val="1"/>
          <w:numId w:val="1562"/>
        </w:numPr>
        <w:pStyle w:val="Compact"/>
      </w:pPr>
      <w:r>
        <w:t xml:space="preserve">TCCCPR Second Amendment analysis: https://khaitanco.com/thought-leadership/Efforts-to-Curb-Spam-Continue-TRAI-Releases-Second-Amendment-to-the-TCCCPR-2018 ; https://www.jsalaw.com/wp-content/uploads/2025/02/JSA-Prism-Telecommunications_February-2025_TCCCPR-amendments.Final_.pdf</w:t>
      </w:r>
    </w:p>
    <w:p>
      <w:pPr>
        <w:numPr>
          <w:ilvl w:val="1"/>
          <w:numId w:val="1562"/>
        </w:numPr>
        <w:pStyle w:val="Compact"/>
      </w:pPr>
      <w:r>
        <w:t xml:space="preserve">TRAI and AI-driven telemarketing (no AI-specific rule yet): https://www.barandbench.com/amp/story/view-point/trais-crackdown-on-spam-calls-and-ai-driven-telemarketing</w:t>
      </w:r>
    </w:p>
    <w:p>
      <w:pPr>
        <w:numPr>
          <w:ilvl w:val="1"/>
          <w:numId w:val="1562"/>
        </w:numPr>
        <w:pStyle w:val="Compact"/>
      </w:pPr>
      <w:r>
        <w:t xml:space="preserve">Jio Business services: https://www.jio.com/business/ ; JioCX: https://www.jio.com/business/services/jiocx/ ; https://jiocx.com/solutions/communications-service-providers</w:t>
      </w:r>
    </w:p>
    <w:p>
      <w:pPr>
        <w:numPr>
          <w:ilvl w:val="1"/>
          <w:numId w:val="1562"/>
        </w:numPr>
        <w:pStyle w:val="Compact"/>
      </w:pPr>
      <w:r>
        <w:t xml:space="preserve">Reliance Intelligence and the Reliance–Meta enterprise AI joint venture (29 Aug 2025): https://www.outlookbusiness.com/deeptech/artificial-intelligence/reliance-goes-the-ai-way-unveils-meta-jv-google-cloud-pact-launch-of-reliance-intelligence</w:t>
      </w:r>
    </w:p>
    <w:p>
      <w:pPr>
        <w:numPr>
          <w:ilvl w:val="1"/>
          <w:numId w:val="1562"/>
        </w:numPr>
        <w:pStyle w:val="Compact"/>
      </w:pPr>
      <w:r>
        <w:t xml:space="preserve">Jio Platforms DRHP AI disclosures (19 Jun 2026): https://www.medianama.com/2026/06/223-jio-drhp-ai-disclosures-ahead-ipo/</w:t>
      </w:r>
    </w:p>
    <w:p>
      <w:pPr>
        <w:numPr>
          <w:ilvl w:val="1"/>
          <w:numId w:val="1562"/>
        </w:numPr>
        <w:pStyle w:val="Compact"/>
      </w:pPr>
      <w:r>
        <w:t xml:space="preserve">RBI FREE-AI framework analysis (Khaitan &amp; Co): https://www.khaitanco.com/sites/default/files/2025-08/Ergo%20-%20FREE%20AI%20Framework%20-%2028%20Augusut%202025.pdf</w:t>
      </w:r>
    </w:p>
    <w:p>
      <w:pPr>
        <w:numPr>
          <w:ilvl w:val="0"/>
          <w:numId w:val="1546"/>
        </w:numPr>
        <w:pStyle w:val="Compact"/>
      </w:pPr>
      <w:r>
        <w:rPr>
          <w:bCs/>
          <w:b/>
        </w:rPr>
        <w:t xml:space="preserve">Storage, engineering operations and certification (added in v1.2):</w:t>
      </w:r>
    </w:p>
    <w:p>
      <w:pPr>
        <w:numPr>
          <w:ilvl w:val="1"/>
          <w:numId w:val="1563"/>
        </w:numPr>
        <w:pStyle w:val="Compact"/>
      </w:pPr>
      <w:r>
        <w:t xml:space="preserve">Microsoft 365 data residency product terms and Advanced Data Residency (SharePoint and OneDrive storage targets): https://learn.microsoft.com/en-us/microsoft-365/enterprise/m365-dr-product-terms ; https://learn.microsoft.com/en-us/microsoft-365/enterprise/advanced-data-residency</w:t>
      </w:r>
    </w:p>
    <w:p>
      <w:pPr>
        <w:numPr>
          <w:ilvl w:val="1"/>
          <w:numId w:val="1563"/>
        </w:numPr>
        <w:pStyle w:val="Compact"/>
      </w:pPr>
      <w:r>
        <w:t xml:space="preserve">Google Workspace data regions (no India region): https://knowledge.workspace.google.com/admin/compliance/data-covered-by-data-regions</w:t>
      </w:r>
    </w:p>
    <w:p>
      <w:pPr>
        <w:numPr>
          <w:ilvl w:val="1"/>
          <w:numId w:val="1563"/>
        </w:numPr>
        <w:pStyle w:val="Compact"/>
      </w:pPr>
      <w:r>
        <w:t xml:space="preserve">GitHub rulesets: https://docs.github.com/en/repositories/configuring-branches-and-merges-in-your-repository/managing-rulesets/available-rules-for-rulesets</w:t>
      </w:r>
    </w:p>
    <w:p>
      <w:pPr>
        <w:numPr>
          <w:ilvl w:val="1"/>
          <w:numId w:val="1563"/>
        </w:numPr>
        <w:pStyle w:val="Compact"/>
      </w:pPr>
      <w:r>
        <w:t xml:space="preserve">GitHub artifact attestations (build provenance): https://docs.github.com/en/actions/security-for-github-actions/using-artifact-attestations/using-artifact-attestations-to-establish-provenance-for-builds</w:t>
      </w:r>
    </w:p>
    <w:p>
      <w:pPr>
        <w:numPr>
          <w:ilvl w:val="1"/>
          <w:numId w:val="1563"/>
        </w:numPr>
        <w:pStyle w:val="Compact"/>
      </w:pPr>
      <w:r>
        <w:t xml:space="preserve">AICPA Trust Services Criteria (2017, revised points of focus 2022): https://www.aicpa-cima.com/resources/download/2017-trust-services-criteria-with-revised-points-of-focus-2022</w:t>
      </w:r>
    </w:p>
    <w:p>
      <w:pPr>
        <w:numPr>
          <w:ilvl w:val="1"/>
          <w:numId w:val="1563"/>
        </w:numPr>
        <w:pStyle w:val="Compact"/>
      </w:pPr>
      <w:r>
        <w:t xml:space="preserve">ISO/IEC 27701:2025 release (stand-alone privacy management system): https://www.dnv.com/news/2025/iso-iec-27701-standard-update-release/</w:t>
      </w:r>
    </w:p>
    <w:p>
      <w:pPr>
        <w:numPr>
          <w:ilvl w:val="1"/>
          <w:numId w:val="1563"/>
        </w:numPr>
        <w:pStyle w:val="Compact"/>
      </w:pPr>
      <w:r>
        <w:t xml:space="preserve">Companies (Accounts) Rules: daily India backup of electronic books (Grant Thornton): https://www.grantthornton.in/insights/blogs/recent-amendments-by-mca-in-keeping-of-books-of-accounts</w:t>
      </w:r>
    </w:p>
    <w:p>
      <w:pPr>
        <w:pStyle w:val="FirstParagraph"/>
      </w:pPr>
      <w:r>
        <w:rPr>
          <w:iCs/>
          <w:i/>
        </w:rPr>
        <w:t xml:space="preserve">End of master prompt.</w:t>
      </w:r>
    </w:p>
    <w:bookmarkEnd w:id="566"/>
    <w:bookmarkEnd w:id="567"/>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Udofin — Master Build Prompt for Claude Code · v1.2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1"/>
  </w:num>
  <w:num w:numId="1460">
    <w:abstractNumId w:val="991"/>
  </w:num>
  <w:num w:numId="14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1"/>
  </w:num>
  <w:num w:numId="1472">
    <w:abstractNumId w:val="991"/>
  </w:num>
  <w:num w:numId="1473">
    <w:abstractNumId w:val="991"/>
  </w:num>
  <w:num w:numId="1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1"/>
  </w:num>
  <w:num w:numId="1524">
    <w:abstractNumId w:val="991"/>
  </w:num>
  <w:num w:numId="1525">
    <w:abstractNumId w:val="991"/>
  </w:num>
  <w:num w:numId="1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2026-10-24T06:42:36Z</dcterms:created>
  <dcterms:modified xsi:type="dcterms:W3CDTF">2026-10-24T06:42:36Z</dcterms:modified>
</cp:coreProperties>
</file>

<file path=docProps/custom.xml><?xml version="1.0" encoding="utf-8"?>
<Properties xmlns="http://schemas.openxmlformats.org/officeDocument/2006/custom-properties" xmlns:vt="http://schemas.openxmlformats.org/officeDocument/2006/docPropsVTypes"/>
</file>