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lawdocscomply--website-content-deck-v10"/>
      <w:r>
        <w:t xml:space="preserve">LawDocsComply — Website Content Deck v1.0</w:t>
      </w:r>
      <w:bookmarkEnd w:id="20"/>
    </w:p>
    <w:p>
      <w:pPr>
        <w:pStyle w:val="BlockText"/>
      </w:pPr>
      <w:r>
        <w:t xml:space="preserve">LawDocsComply Build Prompt Pack v1.3 · 26 October 2026 · Owner: Company Secretary, Infrabyx Group · Status: copy ready for Studio entry and legal review · Binding on: P23 §4B, §4V, §4W (page structure and placement), Appendix P (copy system, health-check bank, tutorials, SEO/GEO — this deck supplies the full page copy the appendix lacked),</w:t>
      </w:r>
      <w:r>
        <w:t xml:space="preserve"> </w:t>
      </w:r>
      <w:r>
        <w:rPr>
          <w:rStyle w:val="VerbatimChar"/>
        </w:rPr>
        <w:t xml:space="preserve">design/UI_UX_Design_Brief_v1.3.md</w:t>
      </w:r>
      <w:r>
        <w:t xml:space="preserve"> </w:t>
      </w:r>
      <w:r>
        <w:t xml:space="preserve">(tone and imagery), Appendix AD (legal pages — not repeated here), the Claims Register (P23 §4D; NN-19).</w:t>
      </w:r>
    </w:p>
    <w:p>
      <w:pPr>
        <w:pStyle w:val="BlockText"/>
      </w:pPr>
      <w:r>
        <w:rPr>
          <w:b/>
        </w:rPr>
        <w:t xml:space="preserve">How to use.</w:t>
      </w:r>
      <w:r>
        <w:t xml:space="preserve"> </w:t>
      </w:r>
      <w:r>
        <w:t xml:space="preserve">Each page section gives: route, purpose, SEO title and description, the h1, the copy per block in the order the IPB-04 template requires, calls to action, image placeholders (ids from the design brief §7), the Claims Register entries the page needs (every number, badge or comparative must have one before publish), and notes for legal review. Text in</w:t>
      </w:r>
      <w:r>
        <w:t xml:space="preserve"> </w:t>
      </w:r>
      <w:r>
        <w:rPr>
          <w:rStyle w:val="VerbatimChar"/>
        </w:rPr>
        <w:t xml:space="preserve">[square brackets]</w:t>
      </w:r>
      <w:r>
        <w:t xml:space="preserve"> </w:t>
      </w:r>
      <w:r>
        <w:t xml:space="preserve">is a placeholder the owner fills from Brand Studio or the catalogue; nothing in brackets publishes. Copy is plain English, sentence case, British/Indian spelling, no exclamation marks, no emoji, no superlatives without an evidence class. Hindi versions are produced after legal review (</w:t>
      </w:r>
      <w:r>
        <w:rPr>
          <w:rStyle w:val="VerbatimChar"/>
        </w:rPr>
        <w:t xml:space="preserve">web.locale.hi.enabled</w:t>
      </w:r>
      <w:r>
        <w:t xml:space="preserve">).</w:t>
      </w:r>
    </w:p>
    <w:p>
      <w:pPr>
        <w:pStyle w:val="Heading2"/>
      </w:pPr>
      <w:bookmarkStart w:id="21" w:name="Xb339e62b91867c9e7fe7051c85b32b6d4c489fd"/>
      <w:r>
        <w:t xml:space="preserve">0. Rules this deck obeys</w:t>
      </w:r>
      <w:bookmarkEnd w:id="21"/>
    </w:p>
    <w:p>
      <w:pPr>
        <w:pStyle w:val="FirstParagraph"/>
      </w:pPr>
      <w:r>
        <w:rPr>
          <w:b/>
        </w:rPr>
        <w:t xml:space="preserve">Claims Register (NN-19; P23 §4D; IPB-04-07).</w:t>
      </w:r>
      <w:r>
        <w:t xml:space="preserve"> </w:t>
      </w:r>
      <w:r>
        <w:t xml:space="preserve">A claim is any number, percentage, time saving, count of customers or regulations, badge, award, comparison or statement about a third party. Each claim carries an evidence class:</w:t>
      </w:r>
      <w:r>
        <w:t xml:space="preserve"> </w:t>
      </w:r>
      <w:r>
        <w:rPr>
          <w:b/>
        </w:rPr>
        <w:t xml:space="preserve">E1</w:t>
      </w:r>
      <w:r>
        <w:t xml:space="preserve"> </w:t>
      </w:r>
      <w:r>
        <w:t xml:space="preserve">internal measurement with method and date;</w:t>
      </w:r>
      <w:r>
        <w:t xml:space="preserve"> </w:t>
      </w:r>
      <w:r>
        <w:rPr>
          <w:b/>
        </w:rPr>
        <w:t xml:space="preserve">E2</w:t>
      </w:r>
      <w:r>
        <w:t xml:space="preserve"> </w:t>
      </w:r>
      <w:r>
        <w:t xml:space="preserve">a public source (statute, regulator notification, published report) with URL and as-of date;</w:t>
      </w:r>
      <w:r>
        <w:t xml:space="preserve"> </w:t>
      </w:r>
      <w:r>
        <w:rPr>
          <w:b/>
        </w:rPr>
        <w:t xml:space="preserve">E3</w:t>
      </w:r>
      <w:r>
        <w:t xml:space="preserve"> </w:t>
      </w:r>
      <w:r>
        <w:t xml:space="preserve">a certificate or signed document we hold. A claim without a class cannot publish (</w:t>
      </w:r>
      <w:r>
        <w:rPr>
          <w:rStyle w:val="VerbatimChar"/>
        </w:rPr>
        <w:t xml:space="preserve">LDC-WEB-056</w:t>
      </w:r>
      <w:r>
        <w:t xml:space="preserve"> </w:t>
      </w:r>
      <w:r>
        <w:t xml:space="preserve">for the Investors page; the general claims lint for every page). The register entries this deck requires are listed in §30 with proposed classes; the content team attaches evidence before entry.</w:t>
      </w:r>
    </w:p>
    <w:p>
      <w:pPr>
        <w:pStyle w:val="BodyText"/>
      </w:pPr>
      <w:r>
        <w:rPr>
          <w:b/>
        </w:rPr>
        <w:t xml:space="preserve">Words we never use on the public site.</w:t>
      </w:r>
      <w:r>
        <w:t xml:space="preserve"> </w:t>
      </w:r>
      <w:r>
        <w:t xml:space="preserve">"RBI-approved", "RBI-compliant product", "regulator-endorsed", "ISO certified" (until a certificate exists — then with issuer, scope and validity), "SOC 2 certified" (SOC 2 is a report, not a certificate), "guaranteed", "guarantee", "100% secure", "fully compliant", "zero risk", "never miss a deadline" (as a promise), "AI that files for you", "legal advice", "the only", "the first", "the largest", "trusted by thousands" (without E1), "bank-grade" (undefined), "military-grade" (undefined). The Studio lint (</w:t>
      </w:r>
      <w:r>
        <w:rPr>
          <w:rStyle w:val="VerbatimChar"/>
        </w:rPr>
        <w:t xml:space="preserve">IPB-CMS-012</w:t>
      </w:r>
      <w:r>
        <w:t xml:space="preserve">,</w:t>
      </w:r>
      <w:r>
        <w:t xml:space="preserve"> </w:t>
      </w:r>
      <w:r>
        <w:rPr>
          <w:rStyle w:val="VerbatimChar"/>
        </w:rPr>
        <w:t xml:space="preserve">IPB-POL-003</w:t>
      </w:r>
      <w:r>
        <w:t xml:space="preserve">) blocks the list; this deck was written against it.</w:t>
      </w:r>
    </w:p>
    <w:p>
      <w:pPr>
        <w:pStyle w:val="BodyText"/>
      </w:pPr>
      <w:r>
        <w:rPr>
          <w:b/>
        </w:rPr>
        <w:t xml:space="preserve">Boundary statement (appears on About, footer, Pricing FAQ, Health Check result).</w:t>
      </w:r>
      <w:r>
        <w:t xml:space="preserve"> </w:t>
      </w:r>
      <w:r>
        <w:t xml:space="preserve">"LawDocsComply provides compliance-management software and curated regulatory information. It does not provide legal, secretarial, tax or audit opinions. You remain responsible for your organisation's compliance and for every filing you make."</w:t>
      </w:r>
    </w:p>
    <w:p>
      <w:pPr>
        <w:pStyle w:val="BodyText"/>
      </w:pPr>
      <w:r>
        <w:rPr>
          <w:b/>
        </w:rPr>
        <w:t xml:space="preserve">DPDP and ASCI.</w:t>
      </w:r>
      <w:r>
        <w:t xml:space="preserve"> </w:t>
      </w:r>
      <w:r>
        <w:t xml:space="preserve">Every form states the purpose, links the relevant Privacy Notice clause and separates marketing consent (unticked). No pre-ticked boxes, no dark patterns, no countdown timers, no "only 3 seats left". Comparative statements about competitors appear only on Compare pages after legal review and are factual, dated and sourced (Appendix R). No copy in this deck is taken from any competitor's site.</w:t>
      </w:r>
    </w:p>
    <w:p>
      <w:pPr>
        <w:pStyle w:val="BodyText"/>
      </w:pPr>
      <w:r>
        <w:rPr>
          <w:b/>
        </w:rPr>
        <w:t xml:space="preserve">Voice.</w:t>
      </w:r>
      <w:r>
        <w:t xml:space="preserve"> </w:t>
      </w:r>
      <w:r>
        <w:t xml:space="preserve">Calm, exact, useful. We write like a good compliance officer speaks: short sentences, the regulation named, the date given, the action clear. We say "you" and "we". We prefer "shows", "tracks", "records", "cites" over "revolutionises", "empowers", "unlocks". We explain why something applies before we ask for anything.</w:t>
      </w:r>
    </w:p>
    <w:p>
      <w:r>
        <w:pict>
          <v:rect style="width:0;height:1.5pt" o:hralign="center" o:hrstd="t" o:hr="t"/>
        </w:pict>
      </w:r>
    </w:p>
    <w:p>
      <w:pPr>
        <w:pStyle w:val="Heading2"/>
      </w:pPr>
      <w:bookmarkStart w:id="22" w:name="X6a6357f4544a00f887bc6f7f97d302c1c3533c6"/>
      <w:r>
        <w:t xml:space="preserve">1. Positioning, taglines and one-liners</w:t>
      </w:r>
      <w:bookmarkEnd w:id="22"/>
    </w:p>
    <w:p>
      <w:pPr>
        <w:pStyle w:val="FirstParagraph"/>
      </w:pPr>
      <w:r>
        <w:rPr>
          <w:b/>
        </w:rPr>
        <w:t xml:space="preserve">Positioning statement (internal; not published verbatim).</w:t>
      </w:r>
      <w:r>
        <w:t xml:space="preserve"> </w:t>
      </w:r>
      <w:r>
        <w:t xml:space="preserve">LawDocsComply is the governance, risk and compliance platform for India's regulated entities — NBFCs, banks and co-operative banks, listed companies, AIFs and intermediaries, insurers, IFSC units — and for every company, LLP and co-operative society that must prove what it did. It turns an entity's profile into the obligations that apply, drawn from a reviewed and cited regulatory library; runs the maker–checker–auditor workflow with evidence and calendars; shows what changed when a regulator changes something; and keeps the board, the risk function, the auditors and the returns team on one record. Vidhi, the AI assistant, drafts and summarises; people decide.</w:t>
      </w:r>
    </w:p>
    <w:p>
      <w:pPr>
        <w:pStyle w:val="BodyText"/>
      </w:pPr>
      <w:r>
        <w:rPr>
          <w:b/>
        </w:rPr>
        <w:t xml:space="preserve">Primary tagline.</w:t>
      </w:r>
      <w:r>
        <w:t xml:space="preserve"> </w:t>
      </w:r>
      <w:r>
        <w:t xml:space="preserve">Know what applies. Prove what you did.</w:t>
      </w:r>
    </w:p>
    <w:p>
      <w:pPr>
        <w:pStyle w:val="BodyText"/>
      </w:pPr>
      <w:r>
        <w:rPr>
          <w:b/>
        </w:rPr>
        <w:t xml:space="preserve">Secondary taglines (A/B through the Studio, each a registered variant).</w:t>
      </w:r>
    </w:p>
    <w:p>
      <w:pPr>
        <w:numPr>
          <w:ilvl w:val="0"/>
          <w:numId w:val="1001"/>
        </w:numPr>
        <w:pStyle w:val="Compact"/>
      </w:pPr>
      <w:r>
        <w:t xml:space="preserve">Compliance you can show, not just claim.</w:t>
      </w:r>
    </w:p>
    <w:p>
      <w:pPr>
        <w:numPr>
          <w:ilvl w:val="0"/>
          <w:numId w:val="1001"/>
        </w:numPr>
        <w:pStyle w:val="Compact"/>
      </w:pPr>
      <w:r>
        <w:t xml:space="preserve">Every obligation, cited. Every action, recorded.</w:t>
      </w:r>
    </w:p>
    <w:p>
      <w:pPr>
        <w:numPr>
          <w:ilvl w:val="0"/>
          <w:numId w:val="1001"/>
        </w:numPr>
        <w:pStyle w:val="Compact"/>
      </w:pPr>
      <w:r>
        <w:t xml:space="preserve">The register your regulator would recognise.</w:t>
      </w:r>
    </w:p>
    <w:p>
      <w:pPr>
        <w:numPr>
          <w:ilvl w:val="0"/>
          <w:numId w:val="1001"/>
        </w:numPr>
        <w:pStyle w:val="Compact"/>
      </w:pPr>
      <w:r>
        <w:t xml:space="preserve">From "what applies to us?" to "here is the evidence" — on one platform.</w:t>
      </w:r>
    </w:p>
    <w:p>
      <w:pPr>
        <w:numPr>
          <w:ilvl w:val="0"/>
          <w:numId w:val="1001"/>
        </w:numPr>
        <w:pStyle w:val="Compact"/>
      </w:pPr>
      <w:r>
        <w:t xml:space="preserve">Built for Indian regulation, by people who file.</w:t>
      </w:r>
    </w:p>
    <w:p>
      <w:pPr>
        <w:pStyle w:val="FirstParagraph"/>
      </w:pPr>
      <w:r>
        <w:rPr>
          <w:b/>
        </w:rPr>
        <w:t xml:space="preserve">One-liners (≥ 30; for hero rotations, social, ads, email subject lines — each under 90 characters).</w:t>
      </w:r>
    </w:p>
    <w:p>
      <w:pPr>
        <w:numPr>
          <w:ilvl w:val="0"/>
          <w:numId w:val="1002"/>
        </w:numPr>
        <w:pStyle w:val="Compact"/>
      </w:pPr>
      <w:r>
        <w:t xml:space="preserve">One place to know what applies, do it, prove it and approve it.</w:t>
      </w:r>
    </w:p>
    <w:p>
      <w:pPr>
        <w:numPr>
          <w:ilvl w:val="0"/>
          <w:numId w:val="1002"/>
        </w:numPr>
        <w:pStyle w:val="Compact"/>
      </w:pPr>
      <w:r>
        <w:t xml:space="preserve">Obligations drawn from the regulation itself, with the clause beside each one.</w:t>
      </w:r>
    </w:p>
    <w:p>
      <w:pPr>
        <w:numPr>
          <w:ilvl w:val="0"/>
          <w:numId w:val="1002"/>
        </w:numPr>
        <w:pStyle w:val="Compact"/>
      </w:pPr>
      <w:r>
        <w:t xml:space="preserve">Maker, checker, auditor — the way regulated work already happens, now recorded.</w:t>
      </w:r>
    </w:p>
    <w:p>
      <w:pPr>
        <w:numPr>
          <w:ilvl w:val="0"/>
          <w:numId w:val="1002"/>
        </w:numPr>
        <w:pStyle w:val="Compact"/>
      </w:pPr>
      <w:r>
        <w:t xml:space="preserve">When the RBI changes a direction, see exactly which of your obligations changed.</w:t>
      </w:r>
    </w:p>
    <w:p>
      <w:pPr>
        <w:numPr>
          <w:ilvl w:val="0"/>
          <w:numId w:val="1002"/>
        </w:numPr>
        <w:pStyle w:val="Compact"/>
      </w:pPr>
      <w:r>
        <w:t xml:space="preserve">A free Health Check that tells you where you stand — no credit pulls, no sales call.</w:t>
      </w:r>
    </w:p>
    <w:p>
      <w:pPr>
        <w:numPr>
          <w:ilvl w:val="0"/>
          <w:numId w:val="1002"/>
        </w:numPr>
        <w:pStyle w:val="Compact"/>
      </w:pPr>
      <w:r>
        <w:t xml:space="preserve">Twelve questions to find out what applies to your entity.</w:t>
      </w:r>
    </w:p>
    <w:p>
      <w:pPr>
        <w:numPr>
          <w:ilvl w:val="0"/>
          <w:numId w:val="1002"/>
        </w:numPr>
        <w:pStyle w:val="Compact"/>
      </w:pPr>
      <w:r>
        <w:t xml:space="preserve">Evidence attached to the obligation, not lost in a mailbox.</w:t>
      </w:r>
    </w:p>
    <w:p>
      <w:pPr>
        <w:numPr>
          <w:ilvl w:val="0"/>
          <w:numId w:val="1002"/>
        </w:numPr>
        <w:pStyle w:val="Compact"/>
      </w:pPr>
      <w:r>
        <w:t xml:space="preserve">Red, amber, green — computed from the due date, the frequency and the risk, never by hand.</w:t>
      </w:r>
    </w:p>
    <w:p>
      <w:pPr>
        <w:numPr>
          <w:ilvl w:val="0"/>
          <w:numId w:val="1002"/>
        </w:numPr>
        <w:pStyle w:val="Compact"/>
      </w:pPr>
      <w:r>
        <w:t xml:space="preserve">Board packs built from approved figures, with every number traceable.</w:t>
      </w:r>
    </w:p>
    <w:p>
      <w:pPr>
        <w:numPr>
          <w:ilvl w:val="0"/>
          <w:numId w:val="1002"/>
        </w:numPr>
        <w:pStyle w:val="Compact"/>
      </w:pPr>
      <w:r>
        <w:t xml:space="preserve">ICAAP, stress tests and ratios that cite the direction they come from.</w:t>
      </w:r>
    </w:p>
    <w:p>
      <w:pPr>
        <w:numPr>
          <w:ilvl w:val="0"/>
          <w:numId w:val="1002"/>
        </w:numPr>
        <w:pStyle w:val="Compact"/>
      </w:pPr>
      <w:r>
        <w:t xml:space="preserve">Returns prepared from one data upload, reconciled before anyone files.</w:t>
      </w:r>
    </w:p>
    <w:p>
      <w:pPr>
        <w:numPr>
          <w:ilvl w:val="0"/>
          <w:numId w:val="1002"/>
        </w:numPr>
        <w:pStyle w:val="Compact"/>
      </w:pPr>
      <w:r>
        <w:t xml:space="preserve">Your compliance calendar, in Outlook and Google Calendar too.</w:t>
      </w:r>
    </w:p>
    <w:p>
      <w:pPr>
        <w:numPr>
          <w:ilvl w:val="0"/>
          <w:numId w:val="1002"/>
        </w:numPr>
        <w:pStyle w:val="Compact"/>
      </w:pPr>
      <w:r>
        <w:t xml:space="preserve">Vidhi drafts. People decide. Nothing is filed by an AI.</w:t>
      </w:r>
    </w:p>
    <w:p>
      <w:pPr>
        <w:numPr>
          <w:ilvl w:val="0"/>
          <w:numId w:val="1002"/>
        </w:numPr>
        <w:pStyle w:val="Compact"/>
      </w:pPr>
      <w:r>
        <w:t xml:space="preserve">Knowledge notebooks per regulator, with citations you can click.</w:t>
      </w:r>
    </w:p>
    <w:p>
      <w:pPr>
        <w:numPr>
          <w:ilvl w:val="0"/>
          <w:numId w:val="1002"/>
        </w:numPr>
        <w:pStyle w:val="Compact"/>
      </w:pPr>
      <w:r>
        <w:t xml:space="preserve">Export everything, any time, in folders a beginner can read.</w:t>
      </w:r>
    </w:p>
    <w:p>
      <w:pPr>
        <w:numPr>
          <w:ilvl w:val="0"/>
          <w:numId w:val="1002"/>
        </w:numPr>
        <w:pStyle w:val="Compact"/>
      </w:pPr>
      <w:r>
        <w:t xml:space="preserve">Your data stays in India. Mumbai primary, Hyderabad recovery.</w:t>
      </w:r>
    </w:p>
    <w:p>
      <w:pPr>
        <w:numPr>
          <w:ilvl w:val="0"/>
          <w:numId w:val="1002"/>
        </w:numPr>
        <w:pStyle w:val="Compact"/>
      </w:pPr>
      <w:r>
        <w:t xml:space="preserve">Every change to a setting, a status or a document is in the audit trail.</w:t>
      </w:r>
    </w:p>
    <w:p>
      <w:pPr>
        <w:numPr>
          <w:ilvl w:val="0"/>
          <w:numId w:val="1002"/>
        </w:numPr>
        <w:pStyle w:val="Compact"/>
      </w:pPr>
      <w:r>
        <w:t xml:space="preserve">One login per person, MFA for administrators, passkeys for everyone.</w:t>
      </w:r>
    </w:p>
    <w:p>
      <w:pPr>
        <w:numPr>
          <w:ilvl w:val="0"/>
          <w:numId w:val="1002"/>
        </w:numPr>
        <w:pStyle w:val="Compact"/>
      </w:pPr>
      <w:r>
        <w:t xml:space="preserve">Policies with tracked changes against the template or the last version.</w:t>
      </w:r>
    </w:p>
    <w:p>
      <w:pPr>
        <w:numPr>
          <w:ilvl w:val="0"/>
          <w:numId w:val="1002"/>
        </w:numPr>
        <w:pStyle w:val="Compact"/>
      </w:pPr>
      <w:r>
        <w:t xml:space="preserve">Audits — internal, RBIA, IS, secretarial — on the same register as compliance.</w:t>
      </w:r>
    </w:p>
    <w:p>
      <w:pPr>
        <w:numPr>
          <w:ilvl w:val="0"/>
          <w:numId w:val="1002"/>
        </w:numPr>
        <w:pStyle w:val="Compact"/>
      </w:pPr>
      <w:r>
        <w:t xml:space="preserve">Grievance redressal with the timelines the law sets, built in.</w:t>
      </w:r>
    </w:p>
    <w:p>
      <w:pPr>
        <w:numPr>
          <w:ilvl w:val="0"/>
          <w:numId w:val="1002"/>
        </w:numPr>
        <w:pStyle w:val="Compact"/>
      </w:pPr>
      <w:r>
        <w:t xml:space="preserve">HR and labour compliance beside the registers the Labour Codes require.</w:t>
      </w:r>
    </w:p>
    <w:p>
      <w:pPr>
        <w:numPr>
          <w:ilvl w:val="0"/>
          <w:numId w:val="1002"/>
        </w:numPr>
        <w:pStyle w:val="Compact"/>
      </w:pPr>
      <w:r>
        <w:t xml:space="preserve">Co-operative societies: members, meetings, registers and returns in one place.</w:t>
      </w:r>
    </w:p>
    <w:p>
      <w:pPr>
        <w:numPr>
          <w:ilvl w:val="0"/>
          <w:numId w:val="1002"/>
        </w:numPr>
        <w:pStyle w:val="Compact"/>
      </w:pPr>
      <w:r>
        <w:t xml:space="preserve">Templates your team already knows — Excel in, structured register out.</w:t>
      </w:r>
    </w:p>
    <w:p>
      <w:pPr>
        <w:numPr>
          <w:ilvl w:val="0"/>
          <w:numId w:val="1002"/>
        </w:numPr>
        <w:pStyle w:val="Compact"/>
      </w:pPr>
      <w:r>
        <w:t xml:space="preserve">Each CompID is permanent. Quote it in a board note, an audit or a reply to the regulator.</w:t>
      </w:r>
    </w:p>
    <w:p>
      <w:pPr>
        <w:numPr>
          <w:ilvl w:val="0"/>
          <w:numId w:val="1002"/>
        </w:numPr>
        <w:pStyle w:val="Compact"/>
      </w:pPr>
      <w:r>
        <w:t xml:space="preserve">Conversations on every obligation: ask for an explanation, request guidance, record the decision.</w:t>
      </w:r>
    </w:p>
    <w:p>
      <w:pPr>
        <w:numPr>
          <w:ilvl w:val="0"/>
          <w:numId w:val="1002"/>
        </w:numPr>
        <w:pStyle w:val="Compact"/>
      </w:pPr>
      <w:r>
        <w:t xml:space="preserve">Accountability from the ledger — who held the item, for how long, waiting on what.</w:t>
      </w:r>
    </w:p>
    <w:p>
      <w:pPr>
        <w:numPr>
          <w:ilvl w:val="0"/>
          <w:numId w:val="1002"/>
        </w:numPr>
        <w:pStyle w:val="Compact"/>
      </w:pPr>
      <w:r>
        <w:t xml:space="preserve">Health Check Score today; a working register in a week.</w:t>
      </w:r>
    </w:p>
    <w:p>
      <w:pPr>
        <w:numPr>
          <w:ilvl w:val="0"/>
          <w:numId w:val="1002"/>
        </w:numPr>
        <w:pStyle w:val="Compact"/>
      </w:pPr>
      <w:r>
        <w:t xml:space="preserve">Written by company secretaries, chartered accountants and advocates who review every source.</w:t>
      </w:r>
    </w:p>
    <w:p>
      <w:pPr>
        <w:numPr>
          <w:ilvl w:val="0"/>
          <w:numId w:val="1002"/>
        </w:numPr>
        <w:pStyle w:val="Compact"/>
      </w:pPr>
      <w:r>
        <w:t xml:space="preserve">Pricing by seats and entities, shown with GST, with no hidden add-ons.</w:t>
      </w:r>
    </w:p>
    <w:p>
      <w:pPr>
        <w:numPr>
          <w:ilvl w:val="0"/>
          <w:numId w:val="1002"/>
        </w:numPr>
        <w:pStyle w:val="Compact"/>
      </w:pPr>
      <w:r>
        <w:t xml:space="preserve">Vendor assurance documents for your regulator, downloadable from Settings.</w:t>
      </w:r>
    </w:p>
    <w:p>
      <w:pPr>
        <w:numPr>
          <w:ilvl w:val="0"/>
          <w:numId w:val="1002"/>
        </w:numPr>
        <w:pStyle w:val="Compact"/>
      </w:pPr>
      <w:r>
        <w:t xml:space="preserve">Accessible by design: keyboard, screen readers, captions and a dyslexia-friendly font.</w:t>
      </w:r>
    </w:p>
    <w:p>
      <w:pPr>
        <w:numPr>
          <w:ilvl w:val="0"/>
          <w:numId w:val="1002"/>
        </w:numPr>
        <w:pStyle w:val="Compact"/>
      </w:pPr>
      <w:r>
        <w:t xml:space="preserve">Hindi where it matters: glossary, health check and the top screens.</w:t>
      </w:r>
    </w:p>
    <w:p>
      <w:pPr>
        <w:numPr>
          <w:ilvl w:val="0"/>
          <w:numId w:val="1002"/>
        </w:numPr>
        <w:pStyle w:val="Compact"/>
      </w:pPr>
      <w:r>
        <w:t xml:space="preserve">See what changed, who approved it and when — on every record.</w:t>
      </w:r>
    </w:p>
    <w:p>
      <w:r>
        <w:pict>
          <v:rect style="width:0;height:1.5pt" o:hralign="center" o:hrstd="t" o:hr="t"/>
        </w:pict>
      </w:r>
    </w:p>
    <w:p>
      <w:pPr>
        <w:pStyle w:val="Heading2"/>
      </w:pPr>
      <w:bookmarkStart w:id="23" w:name="Xdb758b3c3649ded1af67105caf1d52c15b7a017"/>
      <w:r>
        <w:t xml:space="preserve">2. Home page</w:t>
      </w:r>
      <w:bookmarkEnd w:id="23"/>
    </w:p>
    <w:p>
      <w:pPr>
        <w:pStyle w:val="FirstParagraph"/>
      </w:pPr>
      <w:r>
        <w:rPr>
          <w:b/>
        </w:rPr>
        <w:t xml:space="preserve">Route:</w:t>
      </w:r>
      <w:r>
        <w:t xml:space="preserve"> </w:t>
      </w:r>
      <w:r>
        <w:rPr>
          <w:rStyle w:val="VerbatimChar"/>
        </w:rPr>
        <w:t xml:space="preserve">/</w:t>
      </w:r>
      <w:r>
        <w:t xml:space="preserve"> </w:t>
      </w:r>
      <w:r>
        <w:t xml:space="preserve">·</w:t>
      </w:r>
      <w:r>
        <w:t xml:space="preserve"> </w:t>
      </w:r>
      <w:r>
        <w:rPr>
          <w:b/>
        </w:rPr>
        <w:t xml:space="preserve">Template:</w:t>
      </w:r>
      <w:r>
        <w:t xml:space="preserve"> </w:t>
      </w:r>
      <w:r>
        <w:t xml:space="preserve">Home (IPB-04 §04.3.7) ·</w:t>
      </w:r>
      <w:r>
        <w:t xml:space="preserve"> </w:t>
      </w:r>
      <w:r>
        <w:rPr>
          <w:b/>
        </w:rPr>
        <w:t xml:space="preserve">SEO title:</w:t>
      </w:r>
      <w:r>
        <w:t xml:space="preserve"> </w:t>
      </w:r>
      <w:r>
        <w:t xml:space="preserve">LawDocsComply — Governance, risk and compliance software for regulated entities in India ·</w:t>
      </w:r>
      <w:r>
        <w:t xml:space="preserve"> </w:t>
      </w:r>
      <w:r>
        <w:rPr>
          <w:b/>
        </w:rPr>
        <w:t xml:space="preserve">Meta description:</w:t>
      </w:r>
      <w:r>
        <w:t xml:space="preserve"> </w:t>
      </w:r>
      <w:r>
        <w:t xml:space="preserve">Know what applies to your NBFC, bank, listed company, AIF, insurer, company or co-operative; run maker–checker workflows with evidence; see regulatory changes mapped to your obligations. Take the free Compliance Health Check.</w:t>
      </w:r>
    </w:p>
    <w:p>
      <w:pPr>
        <w:pStyle w:val="BodyText"/>
      </w:pPr>
      <w:r>
        <w:rPr>
          <w:b/>
        </w:rPr>
        <w:t xml:space="preserve">Hero (one h1).</w:t>
      </w:r>
    </w:p>
    <w:p>
      <w:pPr>
        <w:numPr>
          <w:ilvl w:val="0"/>
          <w:numId w:val="1003"/>
        </w:numPr>
        <w:pStyle w:val="Compact"/>
      </w:pPr>
      <w:r>
        <w:t xml:space="preserve">h1:</w:t>
      </w:r>
      <w:r>
        <w:t xml:space="preserve"> </w:t>
      </w:r>
      <w:r>
        <w:rPr>
          <w:b/>
        </w:rPr>
        <w:t xml:space="preserve">Know what applies. Prove what you did.</w:t>
      </w:r>
    </w:p>
    <w:p>
      <w:pPr>
        <w:numPr>
          <w:ilvl w:val="0"/>
          <w:numId w:val="1003"/>
        </w:numPr>
        <w:pStyle w:val="Compact"/>
      </w:pPr>
      <w:r>
        <w:t xml:space="preserve">Sub: LawDocsComply turns your entity's profile into the obligations that apply — cited to the regulation — and runs the maker, checker and auditor workflow with evidence, calendars and board reporting. Vidhi, the AI assistant, drafts; your people decide.</w:t>
      </w:r>
    </w:p>
    <w:p>
      <w:pPr>
        <w:numPr>
          <w:ilvl w:val="0"/>
          <w:numId w:val="1003"/>
        </w:numPr>
        <w:pStyle w:val="Compact"/>
      </w:pPr>
      <w:r>
        <w:t xml:space="preserve">Primary CTA:</w:t>
      </w:r>
      <w:r>
        <w:t xml:space="preserve"> </w:t>
      </w:r>
      <w:r>
        <w:rPr>
          <w:b/>
        </w:rPr>
        <w:t xml:space="preserve">Take the free Health Check</w:t>
      </w:r>
      <w:r>
        <w:t xml:space="preserve"> </w:t>
      </w:r>
      <w:r>
        <w:t xml:space="preserve">(→</w:t>
      </w:r>
      <w:r>
        <w:t xml:space="preserve"> </w:t>
      </w:r>
      <w:r>
        <w:rPr>
          <w:rStyle w:val="VerbatimChar"/>
        </w:rPr>
        <w:t xml:space="preserve">/health-check</w:t>
      </w:r>
      <w:r>
        <w:t xml:space="preserve">)</w:t>
      </w:r>
    </w:p>
    <w:p>
      <w:pPr>
        <w:numPr>
          <w:ilvl w:val="0"/>
          <w:numId w:val="1003"/>
        </w:numPr>
        <w:pStyle w:val="Compact"/>
      </w:pPr>
      <w:r>
        <w:t xml:space="preserve">Secondary CTA: See how it works (→</w:t>
      </w:r>
      <w:r>
        <w:t xml:space="preserve"> </w:t>
      </w:r>
      <w:r>
        <w:rPr>
          <w:rStyle w:val="VerbatimChar"/>
        </w:rPr>
        <w:t xml:space="preserve">#how-it-works</w:t>
      </w:r>
      <w:r>
        <w:t xml:space="preserve">)</w:t>
      </w:r>
    </w:p>
    <w:p>
      <w:pPr>
        <w:numPr>
          <w:ilvl w:val="0"/>
          <w:numId w:val="1003"/>
        </w:numPr>
        <w:pStyle w:val="Compact"/>
      </w:pPr>
      <w:r>
        <w:t xml:space="preserve">Image:</w:t>
      </w:r>
      <w:r>
        <w:t xml:space="preserve"> </w:t>
      </w:r>
      <w:r>
        <w:rPr>
          <w:rStyle w:val="VerbatimChar"/>
        </w:rPr>
        <w:t xml:space="preserve">img.home.hero</w:t>
      </w:r>
      <w:r>
        <w:t xml:space="preserve"> </w:t>
      </w:r>
      <w:r>
        <w:t xml:space="preserve">(compliance list with RAG chips, synthetic data). Alt: "A compliance register on screen showing obligations, due dates and status for an NBFC".</w:t>
      </w:r>
    </w:p>
    <w:p>
      <w:pPr>
        <w:numPr>
          <w:ilvl w:val="0"/>
          <w:numId w:val="1003"/>
        </w:numPr>
        <w:pStyle w:val="Compact"/>
      </w:pPr>
      <w:r>
        <w:t xml:space="preserve">Trust line under the hero (no badges): "Data stored in India · Every obligation cited · Maker–checker on every record · Export everything, any time". (Each phrase links to the Trust Centre or the relevant module page; none is a certification claim.)</w:t>
      </w:r>
    </w:p>
    <w:p>
      <w:pPr>
        <w:pStyle w:val="FirstParagraph"/>
      </w:pPr>
      <w:r>
        <w:rPr>
          <w:b/>
        </w:rPr>
        <w:t xml:space="preserve">What it does (feature grid; six tiles).</w:t>
      </w:r>
    </w:p>
    <w:p>
      <w:pPr>
        <w:numPr>
          <w:ilvl w:val="0"/>
          <w:numId w:val="1004"/>
        </w:numPr>
        <w:pStyle w:val="Compact"/>
      </w:pPr>
      <w:r>
        <w:rPr>
          <w:b/>
        </w:rPr>
        <w:t xml:space="preserve">Applicability engine</w:t>
      </w:r>
      <w:r>
        <w:t xml:space="preserve"> </w:t>
      </w:r>
      <w:r>
        <w:t xml:space="preserve">— Answer up to twelve questions about your entity (regulator, type, layer or tier, size, listing, State, activities). LawDocsComply lists the instruments and obligations that apply and tells you why each one applies. →</w:t>
      </w:r>
      <w:r>
        <w:t xml:space="preserve"> </w:t>
      </w:r>
      <w:r>
        <w:rPr>
          <w:rStyle w:val="VerbatimChar"/>
        </w:rPr>
        <w:t xml:space="preserve">/modules/applicability</w:t>
      </w:r>
    </w:p>
    <w:p>
      <w:pPr>
        <w:numPr>
          <w:ilvl w:val="0"/>
          <w:numId w:val="1004"/>
        </w:numPr>
        <w:pStyle w:val="Compact"/>
      </w:pPr>
      <w:r>
        <w:rPr>
          <w:b/>
        </w:rPr>
        <w:t xml:space="preserve">Compliance workspace</w:t>
      </w:r>
      <w:r>
        <w:t xml:space="preserve"> </w:t>
      </w:r>
      <w:r>
        <w:t xml:space="preserve">— Each obligation becomes a dated compliance item with a permanent CompID, a maker, a checker and an auditor view, evidence, a conversation thread and a history. Red, amber and green are computed, not typed. →</w:t>
      </w:r>
      <w:r>
        <w:t xml:space="preserve"> </w:t>
      </w:r>
      <w:r>
        <w:rPr>
          <w:rStyle w:val="VerbatimChar"/>
        </w:rPr>
        <w:t xml:space="preserve">/modules/compliance</w:t>
      </w:r>
    </w:p>
    <w:p>
      <w:pPr>
        <w:numPr>
          <w:ilvl w:val="0"/>
          <w:numId w:val="1004"/>
        </w:numPr>
        <w:pStyle w:val="Compact"/>
      </w:pPr>
      <w:r>
        <w:rPr>
          <w:b/>
        </w:rPr>
        <w:t xml:space="preserve">Regulatory change</w:t>
      </w:r>
      <w:r>
        <w:t xml:space="preserve"> </w:t>
      </w:r>
      <w:r>
        <w:t xml:space="preserve">— We scan regulators daily and show what changed against the previous text. Affected obligations are re-mapped for your review; nothing changes in your register without a person approving it. →</w:t>
      </w:r>
      <w:r>
        <w:t xml:space="preserve"> </w:t>
      </w:r>
      <w:r>
        <w:rPr>
          <w:rStyle w:val="VerbatimChar"/>
        </w:rPr>
        <w:t xml:space="preserve">/modules/regulatory-change</w:t>
      </w:r>
    </w:p>
    <w:p>
      <w:pPr>
        <w:numPr>
          <w:ilvl w:val="0"/>
          <w:numId w:val="1004"/>
        </w:numPr>
        <w:pStyle w:val="Compact"/>
      </w:pPr>
      <w:r>
        <w:rPr>
          <w:b/>
        </w:rPr>
        <w:t xml:space="preserve">Governance and secretarial</w:t>
      </w:r>
      <w:r>
        <w:t xml:space="preserve"> </w:t>
      </w:r>
      <w:r>
        <w:t xml:space="preserve">— Board and committee calendars, agendas and minutes with tracked changes, registers, resolutions and filings, with GovIDs that stay stable across years. →</w:t>
      </w:r>
      <w:r>
        <w:t xml:space="preserve"> </w:t>
      </w:r>
      <w:r>
        <w:rPr>
          <w:rStyle w:val="VerbatimChar"/>
        </w:rPr>
        <w:t xml:space="preserve">/modules/governance</w:t>
      </w:r>
    </w:p>
    <w:p>
      <w:pPr>
        <w:numPr>
          <w:ilvl w:val="0"/>
          <w:numId w:val="1004"/>
        </w:numPr>
        <w:pStyle w:val="Compact"/>
      </w:pPr>
      <w:r>
        <w:rPr>
          <w:b/>
        </w:rPr>
        <w:t xml:space="preserve">Risk, ICAAP and returns</w:t>
      </w:r>
      <w:r>
        <w:t xml:space="preserve"> </w:t>
      </w:r>
      <w:r>
        <w:t xml:space="preserve">— Risk registers with RiskIDs, KRIs, ICAAP and stress-test workbooks, ratio libraries and return preparation from one data upload. →</w:t>
      </w:r>
      <w:r>
        <w:t xml:space="preserve"> </w:t>
      </w:r>
      <w:r>
        <w:rPr>
          <w:rStyle w:val="VerbatimChar"/>
        </w:rPr>
        <w:t xml:space="preserve">/modules/risk</w:t>
      </w:r>
    </w:p>
    <w:p>
      <w:pPr>
        <w:numPr>
          <w:ilvl w:val="0"/>
          <w:numId w:val="1004"/>
        </w:numPr>
        <w:pStyle w:val="Compact"/>
      </w:pPr>
      <w:r>
        <w:rPr>
          <w:b/>
        </w:rPr>
        <w:t xml:space="preserve">Audits, policies, people, grievances</w:t>
      </w:r>
      <w:r>
        <w:t xml:space="preserve"> </w:t>
      </w:r>
      <w:r>
        <w:t xml:space="preserve">— Internal, RBIA, IS and secretarial audits; policy lifecycle with redlines; HR and labour registers; grievance redressal with statutory timelines — on the same record. →</w:t>
      </w:r>
      <w:r>
        <w:t xml:space="preserve"> </w:t>
      </w:r>
      <w:r>
        <w:rPr>
          <w:rStyle w:val="VerbatimChar"/>
        </w:rPr>
        <w:t xml:space="preserve">/modules</w:t>
      </w:r>
    </w:p>
    <w:p>
      <w:pPr>
        <w:pStyle w:val="FirstParagraph"/>
      </w:pPr>
      <w:r>
        <w:rPr>
          <w:b/>
        </w:rPr>
        <w:t xml:space="preserve">Who it is for (family cards; eight).</w:t>
      </w:r>
      <w:r>
        <w:t xml:space="preserve"> </w:t>
      </w:r>
      <w:r>
        <w:t xml:space="preserve">NBFCs (all layers) · Banks, small finance banks, payments banks, RRBs · Urban and rural co-operative banks · Listed companies · AIFs, mutual funds, REITs/InvITs and SEBI intermediaries · Insurers and insurance intermediaries · IFSC units and fund managers · Companies, LLPs and co-operative societies. Each card: one sentence on what the pack covers and the CTA "See what applies →" (to the Solution page).</w:t>
      </w:r>
    </w:p>
    <w:p>
      <w:pPr>
        <w:pStyle w:val="BodyText"/>
      </w:pPr>
      <w:r>
        <w:rPr>
          <w:b/>
        </w:rPr>
        <w:t xml:space="preserve">Proof strip (Claims Register required; show only entries with evidence).</w:t>
      </w:r>
      <w:r>
        <w:t xml:space="preserve"> </w:t>
      </w:r>
      <w:r>
        <w:t xml:space="preserve">Proposed entries: "[N] RBI directions in the content base, drawn from the 28 November 2025 consolidated set and later amendments (E2: RBI press release and the LDC catalogue, as of [date])"; "[N] question families across RBI, SEBI, IFSCA, IRDAI, MCA, co-operative law, DPDP, cyber, labour, tax, ESG and AI governance (E1: template registry count, as of [date])"; "Every obligation cites its instrument and clause (E1: content-library rule, 100% of published rows carry a citation — method: publish-time validator)". Numbers are rendered from the registry, not typed. No customer counts until E1 evidence exists.</w:t>
      </w:r>
    </w:p>
    <w:p>
      <w:pPr>
        <w:pStyle w:val="BodyText"/>
      </w:pPr>
      <w:r>
        <w:rPr>
          <w:b/>
        </w:rPr>
        <w:t xml:space="preserve">How it works (four steps).</w:t>
      </w:r>
    </w:p>
    <w:p>
      <w:pPr>
        <w:numPr>
          <w:ilvl w:val="0"/>
          <w:numId w:val="1005"/>
        </w:numPr>
        <w:pStyle w:val="Compact"/>
      </w:pPr>
      <w:r>
        <w:rPr>
          <w:b/>
        </w:rPr>
        <w:t xml:space="preserve">Tell us about your entity.</w:t>
      </w:r>
      <w:r>
        <w:t xml:space="preserve"> </w:t>
      </w:r>
      <w:r>
        <w:t xml:space="preserve">Twelve questions or an API-assisted lookup by CIN, LLPIN, GSTIN or LEI with your confirmation. We never pull a credit report.</w:t>
      </w:r>
    </w:p>
    <w:p>
      <w:pPr>
        <w:numPr>
          <w:ilvl w:val="0"/>
          <w:numId w:val="1005"/>
        </w:numPr>
        <w:pStyle w:val="Compact"/>
      </w:pPr>
      <w:r>
        <w:rPr>
          <w:b/>
        </w:rPr>
        <w:t xml:space="preserve">See what applies — and why.</w:t>
      </w:r>
      <w:r>
        <w:t xml:space="preserve"> </w:t>
      </w:r>
      <w:r>
        <w:t xml:space="preserve">Instruments, clauses and obligations, grouped by department, with the reason each applies and the frequency of each.</w:t>
      </w:r>
    </w:p>
    <w:p>
      <w:pPr>
        <w:numPr>
          <w:ilvl w:val="0"/>
          <w:numId w:val="1005"/>
        </w:numPr>
        <w:pStyle w:val="Compact"/>
      </w:pPr>
      <w:r>
        <w:rPr>
          <w:b/>
        </w:rPr>
        <w:t xml:space="preserve">Work the register.</w:t>
      </w:r>
      <w:r>
        <w:t xml:space="preserve"> </w:t>
      </w:r>
      <w:r>
        <w:t xml:space="preserve">Makers complete, checkers approve, auditors test; evidence attaches to the item; the calendar syncs to your mailbox; Vidhi drafts the paperwork.</w:t>
      </w:r>
    </w:p>
    <w:p>
      <w:pPr>
        <w:numPr>
          <w:ilvl w:val="0"/>
          <w:numId w:val="1005"/>
        </w:numPr>
        <w:pStyle w:val="Compact"/>
      </w:pPr>
      <w:r>
        <w:rPr>
          <w:b/>
        </w:rPr>
        <w:t xml:space="preserve">Prove it.</w:t>
      </w:r>
      <w:r>
        <w:t xml:space="preserve"> </w:t>
      </w:r>
      <w:r>
        <w:t xml:space="preserve">Board packs, audit trails, exports and regulator-ready reports from the same record — exportable in folders a beginner can read.</w:t>
      </w:r>
      <w:r>
        <w:t xml:space="preserve"> </w:t>
      </w:r>
      <w:r>
        <w:t xml:space="preserve">Images:</w:t>
      </w:r>
      <w:r>
        <w:t xml:space="preserve"> </w:t>
      </w:r>
      <w:r>
        <w:rPr>
          <w:rStyle w:val="VerbatimChar"/>
        </w:rPr>
        <w:t xml:space="preserve">img.home.how-it-works.1–4</w:t>
      </w:r>
      <w:r>
        <w:t xml:space="preserve">.</w:t>
      </w:r>
    </w:p>
    <w:p>
      <w:pPr>
        <w:pStyle w:val="FirstParagraph"/>
      </w:pPr>
      <w:r>
        <w:rPr>
          <w:b/>
        </w:rPr>
        <w:t xml:space="preserve">Security and trust teaser.</w:t>
      </w:r>
      <w:r>
        <w:t xml:space="preserve"> </w:t>
      </w:r>
      <w:r>
        <w:t xml:space="preserve">"Your data stays in India. Every tenant is isolated at the database level. Administrators use MFA; everyone can use passkeys. We publish what we hold — and only what we hold — in the Trust Centre, and your regulator's due-diligence documents are downloadable from Settings." CTA: Visit the Trust Centre (→</w:t>
      </w:r>
      <w:r>
        <w:t xml:space="preserve"> </w:t>
      </w:r>
      <w:r>
        <w:rPr>
          <w:rStyle w:val="VerbatimChar"/>
        </w:rPr>
        <w:t xml:space="preserve">/trust</w:t>
      </w:r>
      <w:r>
        <w:t xml:space="preserve">). No badges unless E3 entries exist.</w:t>
      </w:r>
    </w:p>
    <w:p>
      <w:pPr>
        <w:pStyle w:val="BodyText"/>
      </w:pPr>
      <w:r>
        <w:rPr>
          <w:b/>
        </w:rPr>
        <w:t xml:space="preserve">Vidhi teaser.</w:t>
      </w:r>
      <w:r>
        <w:t xml:space="preserve"> </w:t>
      </w:r>
      <w:r>
        <w:t xml:space="preserve">"Meet Vidhi. Vidhi reads directions, drafts minutes and policies with tracked changes, summarises what changed and answers questions from notebooks that cite their sources. Vidhi does not decide, does not certify compliance and does not file anything. Every output is labelled and reviewed by a person." CTA: How Vidhi works (→</w:t>
      </w:r>
      <w:r>
        <w:t xml:space="preserve"> </w:t>
      </w:r>
      <w:r>
        <w:rPr>
          <w:rStyle w:val="VerbatimChar"/>
        </w:rPr>
        <w:t xml:space="preserve">/vidhi</w:t>
      </w:r>
      <w:r>
        <w:t xml:space="preserve">).</w:t>
      </w:r>
    </w:p>
    <w:p>
      <w:pPr>
        <w:pStyle w:val="BodyText"/>
      </w:pPr>
      <w:r>
        <w:rPr>
          <w:b/>
        </w:rPr>
        <w:t xml:space="preserve">Pricing teaser.</w:t>
      </w:r>
      <w:r>
        <w:t xml:space="preserve"> </w:t>
      </w:r>
      <w:r>
        <w:t xml:space="preserve">"Plans by seats and entities. Prices shown with GST. Trials never convert automatically. Enterprise and regulated-entity plans on an order form." CTA: See pricing (→</w:t>
      </w:r>
      <w:r>
        <w:t xml:space="preserve"> </w:t>
      </w:r>
      <w:r>
        <w:rPr>
          <w:rStyle w:val="VerbatimChar"/>
        </w:rPr>
        <w:t xml:space="preserve">/pricing</w:t>
      </w:r>
      <w:r>
        <w:t xml:space="preserve">).</w:t>
      </w:r>
    </w:p>
    <w:p>
      <w:pPr>
        <w:pStyle w:val="BodyText"/>
      </w:pPr>
      <w:r>
        <w:rPr>
          <w:b/>
        </w:rPr>
        <w:t xml:space="preserve">Resources teaser.</w:t>
      </w:r>
      <w:r>
        <w:t xml:space="preserve"> </w:t>
      </w:r>
      <w:r>
        <w:t xml:space="preserve">Three latest items from the Resources library (rendered), and the Regulatory Updates hub link.</w:t>
      </w:r>
    </w:p>
    <w:p>
      <w:pPr>
        <w:pStyle w:val="BodyText"/>
      </w:pPr>
      <w:r>
        <w:rPr>
          <w:b/>
        </w:rPr>
        <w:t xml:space="preserve">Final CTA band.</w:t>
      </w:r>
      <w:r>
        <w:t xml:space="preserve"> </w:t>
      </w:r>
      <w:r>
        <w:t xml:space="preserve">h2: Start with the free Health Check. Body: Forty questions, ten minutes, a score and a prioritised action list — kept private to you, deleted on request. CTA: Take the Health Check.</w:t>
      </w:r>
    </w:p>
    <w:p>
      <w:pPr>
        <w:pStyle w:val="BodyText"/>
      </w:pPr>
      <w:r>
        <w:rPr>
          <w:b/>
        </w:rPr>
        <w:t xml:space="preserve">Home FAQ (six; the rest in §27).</w:t>
      </w:r>
      <w:r>
        <w:t xml:space="preserve"> </w:t>
      </w:r>
      <w:r>
        <w:t xml:space="preserve">Is LawDocsComply a law firm or a compliance consultant? · Does it file returns for us? · Where is our data stored? · Can we export everything if we leave? · Does the AI see our documents? · How is pricing calculated?</w:t>
      </w:r>
    </w:p>
    <w:p>
      <w:r>
        <w:pict>
          <v:rect style="width:0;height:1.5pt" o:hralign="center" o:hrstd="t" o:hr="t"/>
        </w:pict>
      </w:r>
    </w:p>
    <w:p>
      <w:pPr>
        <w:pStyle w:val="Heading2"/>
      </w:pPr>
      <w:bookmarkStart w:id="24" w:name="X1aed335ea14ab209f5f6683fb951074037d0372"/>
      <w:r>
        <w:t xml:space="preserve">3. Free Compliance Health Check (the funnel; P23 §4E, §4F, §4U — the ecosystem pattern)</w:t>
      </w:r>
      <w:bookmarkEnd w:id="24"/>
    </w:p>
    <w:p>
      <w:pPr>
        <w:pStyle w:val="FirstParagraph"/>
      </w:pPr>
      <w:r>
        <w:rPr>
          <w:b/>
        </w:rPr>
        <w:t xml:space="preserve">Route:</w:t>
      </w:r>
      <w:r>
        <w:t xml:space="preserve"> </w:t>
      </w:r>
      <w:r>
        <w:rPr>
          <w:rStyle w:val="VerbatimChar"/>
        </w:rPr>
        <w:t xml:space="preserve">/health-check</w:t>
      </w:r>
      <w:r>
        <w:t xml:space="preserve"> </w:t>
      </w:r>
      <w:r>
        <w:t xml:space="preserve">·</w:t>
      </w:r>
      <w:r>
        <w:t xml:space="preserve"> </w:t>
      </w:r>
      <w:r>
        <w:rPr>
          <w:b/>
        </w:rPr>
        <w:t xml:space="preserve">SEO title:</w:t>
      </w:r>
      <w:r>
        <w:t xml:space="preserve"> </w:t>
      </w:r>
      <w:r>
        <w:t xml:space="preserve">Free Compliance Health Check for NBFCs, banks, listed companies and co-operatives — LawDocsComply ·</w:t>
      </w:r>
      <w:r>
        <w:t xml:space="preserve"> </w:t>
      </w:r>
      <w:r>
        <w:rPr>
          <w:b/>
        </w:rPr>
        <w:t xml:space="preserve">Meta description:</w:t>
      </w:r>
      <w:r>
        <w:t xml:space="preserve"> </w:t>
      </w:r>
      <w:r>
        <w:t xml:space="preserve">Answer up to forty questions about your entity and get a Health Check Score with a prioritised action list. Free, private, no credit pulls, no sales call unless you ask.</w:t>
      </w:r>
    </w:p>
    <w:p>
      <w:pPr>
        <w:pStyle w:val="BodyText"/>
      </w:pPr>
      <w:r>
        <w:rPr>
          <w:b/>
        </w:rPr>
        <w:t xml:space="preserve">Hero.</w:t>
      </w:r>
      <w:r>
        <w:t xml:space="preserve"> </w:t>
      </w:r>
      <w:r>
        <w:t xml:space="preserve">h1:</w:t>
      </w:r>
      <w:r>
        <w:t xml:space="preserve"> </w:t>
      </w:r>
      <w:r>
        <w:rPr>
          <w:b/>
        </w:rPr>
        <w:t xml:space="preserve">How ready is your compliance function?</w:t>
      </w:r>
      <w:r>
        <w:t xml:space="preserve"> </w:t>
      </w:r>
      <w:r>
        <w:t xml:space="preserve">Sub: Choose your entity type, answer up to forty questions about what you have in place, and receive a Health Check Score with the obligations you should look at first — cited to the regulation. Free. Private. Deleted on request. Primary CTA: Start the Health Check. Secondary: See a sample report (→ synthetic sample PDF). Image:</w:t>
      </w:r>
      <w:r>
        <w:t xml:space="preserve"> </w:t>
      </w:r>
      <w:r>
        <w:rPr>
          <w:rStyle w:val="VerbatimChar"/>
        </w:rPr>
        <w:t xml:space="preserve">img.health-check.hero</w:t>
      </w:r>
      <w:r>
        <w:t xml:space="preserve">.</w:t>
      </w:r>
    </w:p>
    <w:p>
      <w:pPr>
        <w:pStyle w:val="BodyText"/>
      </w:pPr>
      <w:r>
        <w:rPr>
          <w:b/>
        </w:rPr>
        <w:t xml:space="preserve">How it works (three steps).</w:t>
      </w:r>
      <w:r>
        <w:t xml:space="preserve"> </w:t>
      </w:r>
      <w:r>
        <w:t xml:space="preserve">1. Pick your family (NBFC, bank, UCB, listed company, AIF, insurer, IFSC unit, company, LLP, co-operative) and answer up to twelve applicability questions. 2. Answer the health questions for your family — present, partly present, absent, not applicable. 3. Get your score, your strengths, your gaps and the next steps, with each item cited to the instrument and clause.</w:t>
      </w:r>
    </w:p>
    <w:p>
      <w:pPr>
        <w:pStyle w:val="BodyText"/>
      </w:pPr>
      <w:r>
        <w:rPr>
          <w:b/>
        </w:rPr>
        <w:t xml:space="preserve">What you will and will not get (plain promises).</w:t>
      </w:r>
      <w:r>
        <w:t xml:space="preserve"> </w:t>
      </w:r>
      <w:r>
        <w:t xml:space="preserve">You will get a score out of 100, a band (Strong / Developing / Needs attention / At risk) with the band thresholds shown, a prioritised list of gaps with the instrument and clause, and the option to carry your answers into a trial register as a self-declared baseline (never marked "Compliant"). You will not get legal advice, a certificate, a filing or any statement you can show a regulator as proof of compliance. The score is a</w:t>
      </w:r>
      <w:r>
        <w:t xml:space="preserve"> </w:t>
      </w:r>
      <w:r>
        <w:rPr>
          <w:b/>
        </w:rPr>
        <w:t xml:space="preserve">Health Check Score</w:t>
      </w:r>
      <w:r>
        <w:t xml:space="preserve">; it is not a regulatory rating.</w:t>
      </w:r>
    </w:p>
    <w:p>
      <w:pPr>
        <w:pStyle w:val="BodyText"/>
      </w:pPr>
      <w:r>
        <w:rPr>
          <w:b/>
        </w:rPr>
        <w:t xml:space="preserve">Privacy promise (binding; from</w:t>
      </w:r>
      <w:r>
        <w:rPr>
          <w:b/>
        </w:rPr>
        <w:t xml:space="preserve"> </w:t>
      </w:r>
      <w:r>
        <w:rPr>
          <w:rStyle w:val="VerbatimChar"/>
          <w:b/>
        </w:rPr>
        <w:t xml:space="preserve">consent.hc.start</w:t>
      </w:r>
      <w:r>
        <w:rPr>
          <w:b/>
        </w:rPr>
        <w:t xml:space="preserve">).</w:t>
      </w:r>
      <w:r>
        <w:t xml:space="preserve"> </w:t>
      </w:r>
      <w:r>
        <w:t xml:space="preserve">"Your answers are used to compute your Health Check Score and are kept for 365 days unless you delete them sooner. We do not pull credit reports or contact your regulator. We will not contact you unless you ask us to. See the Privacy Notice (Health Check)." The optional company lookup (CIN, LLPIN, GSTIN) pre-fills your profile from public registers through licensed providers, only with your consent and only for the fields you confirm.</w:t>
      </w:r>
    </w:p>
    <w:p>
      <w:pPr>
        <w:pStyle w:val="BodyText"/>
      </w:pPr>
      <w:r>
        <w:rPr>
          <w:b/>
        </w:rPr>
        <w:t xml:space="preserve">Result page copy.</w:t>
      </w:r>
      <w:r>
        <w:t xml:space="preserve"> </w:t>
      </w:r>
      <w:r>
        <w:t xml:space="preserve">h1: Your Health Check Score: [NN] — [Band]. Intro: "Here is where your [family] stands against [N] checks drawn from [instruments]. Scores are deterministic: the same answers always give the same score. Below, items are ordered by regulatory risk and due-date proximity." Blocks: Strengths (top five), Gaps to address first (each with instrument, clause, why it matters, suggested next step), Items not assessed, Peer context (shown only when at least 30 comparable sessions exist —</w:t>
      </w:r>
      <w:r>
        <w:t xml:space="preserve"> </w:t>
      </w:r>
      <w:r>
        <w:rPr>
          <w:rStyle w:val="VerbatimChar"/>
        </w:rPr>
        <w:t xml:space="preserve">web.hc.peer_benchmark.enabled</w:t>
      </w:r>
      <w:r>
        <w:t xml:space="preserve">), What next: "Carry these answers into a 14-day trial register" (primary), "Email me this report" (</w:t>
      </w:r>
      <w:r>
        <w:rPr>
          <w:rStyle w:val="VerbatimChar"/>
        </w:rPr>
        <w:t xml:space="preserve">consent.hc.report_email</w:t>
      </w:r>
      <w:r>
        <w:t xml:space="preserve">), "Talk to a compliance specialist" (unticked, separate consent; routed to the Operations Hub). Footer: the boundary statement and "Health Check Score is not a regulatory rating or a certificate."</w:t>
      </w:r>
    </w:p>
    <w:p>
      <w:pPr>
        <w:pStyle w:val="BodyText"/>
      </w:pPr>
      <w:r>
        <w:rPr>
          <w:b/>
        </w:rPr>
        <w:t xml:space="preserve">Funnel emails (through the Operations Hub, consent-gated; subject lines ≤ 60 characters).</w:t>
      </w:r>
    </w:p>
    <w:p>
      <w:pPr>
        <w:numPr>
          <w:ilvl w:val="0"/>
          <w:numId w:val="1006"/>
        </w:numPr>
        <w:pStyle w:val="Compact"/>
      </w:pPr>
      <w:r>
        <w:t xml:space="preserve">Report delivery: "Your LawDocsComply Health Check report" — Body: the score, the band, the top three gaps with citations, the link (expires in 90 days), how to delete the session, what a trial includes.</w:t>
      </w:r>
    </w:p>
    <w:p>
      <w:pPr>
        <w:numPr>
          <w:ilvl w:val="0"/>
          <w:numId w:val="1006"/>
        </w:numPr>
        <w:pStyle w:val="Compact"/>
      </w:pPr>
      <w:r>
        <w:t xml:space="preserve">Day 3 (only with</w:t>
      </w:r>
      <w:r>
        <w:t xml:space="preserve"> </w:t>
      </w:r>
      <w:r>
        <w:rPr>
          <w:rStyle w:val="VerbatimChar"/>
        </w:rPr>
        <w:t xml:space="preserve">consent.marketing.email</w:t>
      </w:r>
      <w:r>
        <w:t xml:space="preserve">): "Three gaps, three directions — what they say" — a plain explanation of the three highest-priority gaps with the clause text and a link to the relevant Resources item.</w:t>
      </w:r>
    </w:p>
    <w:p>
      <w:pPr>
        <w:numPr>
          <w:ilvl w:val="0"/>
          <w:numId w:val="1006"/>
        </w:numPr>
        <w:pStyle w:val="Compact"/>
      </w:pPr>
      <w:r>
        <w:t xml:space="preserve">Day 10: "From score to register: what a trial looks like" — the four steps, the trial terms (14 days, no card, never auto-converts, read-only with export afterwards).</w:t>
      </w:r>
    </w:p>
    <w:p>
      <w:pPr>
        <w:numPr>
          <w:ilvl w:val="0"/>
          <w:numId w:val="1006"/>
        </w:numPr>
        <w:pStyle w:val="Compact"/>
      </w:pPr>
      <w:r>
        <w:t xml:space="preserve">Day 21: "A question, not a pitch" — one question about what would make a register useful for them; reply routes to a person.</w:t>
      </w:r>
    </w:p>
    <w:p>
      <w:pPr>
        <w:numPr>
          <w:ilvl w:val="0"/>
          <w:numId w:val="1006"/>
        </w:numPr>
        <w:pStyle w:val="Compact"/>
      </w:pPr>
      <w:r>
        <w:t xml:space="preserve">Every email: unsubscribe in one click, the sender identity from the brand pack, the Grievance Officer in the footer.</w:t>
      </w:r>
    </w:p>
    <w:p>
      <w:pPr>
        <w:pStyle w:val="FirstParagraph"/>
      </w:pPr>
      <w:r>
        <w:rPr>
          <w:b/>
        </w:rPr>
        <w:t xml:space="preserve">Health Check Studio note (internal copy).</w:t>
      </w:r>
      <w:r>
        <w:t xml:space="preserve"> </w:t>
      </w:r>
      <w:r>
        <w:t xml:space="preserve">Sets are built by CompID in the Studio (D-55; HC-SET-0001 India, HC-SET-0002 global); this deck's copy is the wrapper, not the questions (Appendix P §P.3, §P.8, §P.11).</w:t>
      </w:r>
    </w:p>
    <w:p>
      <w:r>
        <w:pict>
          <v:rect style="width:0;height:1.5pt" o:hralign="center" o:hrstd="t" o:hr="t"/>
        </w:pict>
      </w:r>
    </w:p>
    <w:p>
      <w:pPr>
        <w:pStyle w:val="Heading2"/>
      </w:pPr>
      <w:bookmarkStart w:id="25" w:name="Xc7cd773014a7952824eb811ff109da6829922aa"/>
      <w:r>
        <w:t xml:space="preserve">4. Solutions pages (one per family; shared structure)</w:t>
      </w:r>
      <w:bookmarkEnd w:id="25"/>
    </w:p>
    <w:p>
      <w:pPr>
        <w:pStyle w:val="FirstParagraph"/>
      </w:pPr>
      <w:r>
        <w:rPr>
          <w:b/>
        </w:rPr>
        <w:t xml:space="preserve">Route:</w:t>
      </w:r>
      <w:r>
        <w:t xml:space="preserve"> </w:t>
      </w:r>
      <w:r>
        <w:rPr>
          <w:rStyle w:val="VerbatimChar"/>
        </w:rPr>
        <w:t xml:space="preserve">/solutions/{family-slug}</w:t>
      </w:r>
      <w:r>
        <w:t xml:space="preserve"> </w:t>
      </w:r>
      <w:r>
        <w:t xml:space="preserve">·</w:t>
      </w:r>
      <w:r>
        <w:t xml:space="preserve"> </w:t>
      </w:r>
      <w:r>
        <w:rPr>
          <w:b/>
        </w:rPr>
        <w:t xml:space="preserve">Template:</w:t>
      </w:r>
      <w:r>
        <w:t xml:space="preserve"> </w:t>
      </w:r>
      <w:r>
        <w:t xml:space="preserve">Solution · Shared blocks: hero (h1 "{Family} compliance software that cites the regulation"), "What applies to you" (generated from the content library — instruments with authority, date, last amended, count of obligations; E2 by construction), "How teams use it" (three personas), "Modules you will use most", the family Health Check CTA, two Resources items, FAQ (three), the boundary statement.</w:t>
      </w:r>
    </w:p>
    <w:p>
      <w:pPr>
        <w:pStyle w:val="BodyText"/>
      </w:pPr>
      <w:r>
        <w:rPr>
          <w:b/>
        </w:rPr>
        <w:t xml:space="preserve">NBFC (all layers).</w:t>
      </w:r>
      <w:r>
        <w:t xml:space="preserve"> </w:t>
      </w:r>
      <w:r>
        <w:t xml:space="preserve">SEO title: NBFC compliance software for Scale Based Regulation — LawDocsComply. Description: Obligations for base, middle and upper layer NBFCs from the RBI consolidated directions of 28 November 2025 and later amendments, with maker–checker workflow, ICAAP and returns preparation. Hero sub: "From the Scale Based Regulation framework to the 31 July 2026 supervisory returns directions — see what applies to your layer, work it with your team, and prepare returns from one data upload." Personas: the Chief Compliance Officer (the register and the board report), the CFO (returns and ratios), the Company Secretary (board, committees and filings). Modules: Compliance workspace, Regulatory change, Risk and ICAAP, Return Studio, Governance. FAQ: Does it cover the consolidated directions? (E2 cite the catalogue) · Does it prepare CIC submission files? (Yes — your own files; we never pull reports.) · Can our auditor get read access? (Yes — the assurance shell.)</w:t>
      </w:r>
    </w:p>
    <w:p>
      <w:pPr>
        <w:pStyle w:val="BodyText"/>
      </w:pPr>
      <w:r>
        <w:rPr>
          <w:b/>
        </w:rPr>
        <w:t xml:space="preserve">Banks, SFBs, payments banks, LABs, RRBs.</w:t>
      </w:r>
      <w:r>
        <w:t xml:space="preserve"> </w:t>
      </w:r>
      <w:r>
        <w:t xml:space="preserve">Title: Bank compliance management with cited obligations — LawDocsComply. Sub: "Master directions, DoS circulars and the IT governance direction in one register, with concurrent and IS audit tracks and board reporting." Note: large banks typically run LawDocsComply alongside their existing GRC tooling; OSCAL export and the API make the hand-off clean (no superlatives).</w:t>
      </w:r>
    </w:p>
    <w:p>
      <w:pPr>
        <w:pStyle w:val="BodyText"/>
      </w:pPr>
      <w:r>
        <w:rPr>
          <w:b/>
        </w:rPr>
        <w:t xml:space="preserve">Urban and rural co-operative banks.</w:t>
      </w:r>
      <w:r>
        <w:t xml:space="preserve"> </w:t>
      </w:r>
      <w:r>
        <w:t xml:space="preserve">Title: UCB and RCB compliance software — LawDocsComply. Sub: "RBI directions for co-operative banks, the State co-operative law that also applies, and the registers your Registrar expects — with terminology your board uses (Managing Committee, Members, Annual General Body Meeting)."</w:t>
      </w:r>
    </w:p>
    <w:p>
      <w:pPr>
        <w:pStyle w:val="BodyText"/>
      </w:pPr>
      <w:r>
        <w:rPr>
          <w:b/>
        </w:rPr>
        <w:t xml:space="preserve">Listed companies.</w:t>
      </w:r>
      <w:r>
        <w:t xml:space="preserve"> </w:t>
      </w:r>
      <w:r>
        <w:t xml:space="preserve">Title: LODR, SEBI and Companies Act compliance for listed entities — LawDocsComply. Sub: "LODR disclosures, board and committee compliance, secretarial standards and BRSR, with GovIDs for every governance item and a board-pack studio." [COUNSEL check: no statement that LDC performs secretarial audit.]</w:t>
      </w:r>
    </w:p>
    <w:p>
      <w:pPr>
        <w:pStyle w:val="BodyText"/>
      </w:pPr>
      <w:r>
        <w:rPr>
          <w:b/>
        </w:rPr>
        <w:t xml:space="preserve">AIFs, mutual funds, REITs/InvITs, SEBI intermediaries.</w:t>
      </w:r>
      <w:r>
        <w:t xml:space="preserve"> </w:t>
      </w:r>
      <w:r>
        <w:t xml:space="preserve">Title: SEBI compliance software for funds and intermediaries — LawDocsComply. Sub: "Regulation-by-regulation obligations for fund managers, trustees and intermediaries, with investor-grievance tracking and periodic filings on one calendar."</w:t>
      </w:r>
    </w:p>
    <w:p>
      <w:pPr>
        <w:pStyle w:val="BodyText"/>
      </w:pPr>
      <w:r>
        <w:rPr>
          <w:b/>
        </w:rPr>
        <w:t xml:space="preserve">Insurers and insurance intermediaries.</w:t>
      </w:r>
      <w:r>
        <w:t xml:space="preserve"> </w:t>
      </w:r>
      <w:r>
        <w:t xml:space="preserve">Title: IRDAI compliance management — LawDocsComply. Sub: "IRDAI regulations, circulars and master guidelines mapped to departments, with the returns calendar and the board and committee framework insurers must evidence."</w:t>
      </w:r>
    </w:p>
    <w:p>
      <w:pPr>
        <w:pStyle w:val="BodyText"/>
      </w:pPr>
      <w:r>
        <w:rPr>
          <w:b/>
        </w:rPr>
        <w:t xml:space="preserve">IFSC units and fund management entities.</w:t>
      </w:r>
      <w:r>
        <w:t xml:space="preserve"> </w:t>
      </w:r>
      <w:r>
        <w:t xml:space="preserve">Title: IFSCA compliance for IFSC units and FMEs — LawDocsComply. Sub: "IFSCA regulations and circulars for finance companies, units and fund management entities, with the reporting calendar and the cross-regulator view for groups that operate onshore and in GIFT City."</w:t>
      </w:r>
    </w:p>
    <w:p>
      <w:pPr>
        <w:pStyle w:val="BodyText"/>
      </w:pPr>
      <w:r>
        <w:rPr>
          <w:b/>
        </w:rPr>
        <w:t xml:space="preserve">Companies, LLPs and co-operative societies.</w:t>
      </w:r>
      <w:r>
        <w:t xml:space="preserve"> </w:t>
      </w:r>
      <w:r>
        <w:t xml:space="preserve">Title: Companies Act, LLP and co-operative society compliance — LawDocsComply. Sub: "Annual and event-based filings, registers, meetings and resolutions for private and public companies, LLPs and co-operative societies — with the overlays every entity faces: data protection, cyber, labour, GST and ESG."</w:t>
      </w:r>
    </w:p>
    <w:p>
      <w:pPr>
        <w:pStyle w:val="BodyText"/>
      </w:pPr>
      <w:r>
        <w:rPr>
          <w:b/>
        </w:rPr>
        <w:t xml:space="preserve">Overlays (as a strip on every Solution page).</w:t>
      </w:r>
      <w:r>
        <w:t xml:space="preserve"> </w:t>
      </w:r>
      <w:r>
        <w:t xml:space="preserve">Data protection (DPDP Act and Rules), cyber security (CERT-In, sector CSCRF), labour codes and POSH, GST and direct tax, ESG and BRSR, AI governance. One sentence each; link to the module page.</w:t>
      </w:r>
    </w:p>
    <w:p>
      <w:r>
        <w:pict>
          <v:rect style="width:0;height:1.5pt" o:hralign="center" o:hrstd="t" o:hr="t"/>
        </w:pict>
      </w:r>
    </w:p>
    <w:p>
      <w:pPr>
        <w:pStyle w:val="Heading2"/>
      </w:pPr>
      <w:bookmarkStart w:id="26" w:name="X2dd610b922e4f2c7995d4acc697e9ca4bc1f3f4"/>
      <w:r>
        <w:t xml:space="preserve">5. Modules overview and module pages</w:t>
      </w:r>
      <w:bookmarkEnd w:id="26"/>
    </w:p>
    <w:p>
      <w:pPr>
        <w:pStyle w:val="FirstParagraph"/>
      </w:pPr>
      <w:r>
        <w:rPr>
          <w:b/>
        </w:rPr>
        <w:t xml:space="preserve">Route:</w:t>
      </w:r>
      <w:r>
        <w:t xml:space="preserve"> </w:t>
      </w:r>
      <w:r>
        <w:rPr>
          <w:rStyle w:val="VerbatimChar"/>
        </w:rPr>
        <w:t xml:space="preserve">/modules</w:t>
      </w:r>
      <w:r>
        <w:t xml:space="preserve"> </w:t>
      </w:r>
      <w:r>
        <w:t xml:space="preserve">and</w:t>
      </w:r>
      <w:r>
        <w:t xml:space="preserve"> </w:t>
      </w:r>
      <w:r>
        <w:rPr>
          <w:rStyle w:val="VerbatimChar"/>
        </w:rPr>
        <w:t xml:space="preserve">/modules/{slug}</w:t>
      </w:r>
      <w:r>
        <w:t xml:space="preserve"> </w:t>
      </w:r>
      <w:r>
        <w:t xml:space="preserve">· Shared blocks per module page: h1 (noun phrase), one-paragraph purpose, "What you can do" (bulleted verbs), "What it will not do" (one line; the boundary), screenshots (synthetic), three FAQs, related tutorials, CTA to Health Check or trial.</w:t>
      </w:r>
    </w:p>
    <w:p>
      <w:pPr>
        <w:pStyle w:val="BodyText"/>
      </w:pPr>
      <w:r>
        <w:rPr>
          <w:b/>
        </w:rPr>
        <w:t xml:space="preserve">Applicability engine.</w:t>
      </w:r>
      <w:r>
        <w:t xml:space="preserve"> </w:t>
      </w:r>
      <w:r>
        <w:t xml:space="preserve">Purpose: "Turn your entity's profile into the obligations that apply, with the reason each applies." Can do: answer up to twelve questions; use API-assisted lookup with consent; see instruments and clauses; see 'why it applies'; refine by activity; re-run when your profile changes. Will not: decide your regulatory classification for you — it shows the rule and asks you to confirm.</w:t>
      </w:r>
    </w:p>
    <w:p>
      <w:pPr>
        <w:pStyle w:val="BodyText"/>
      </w:pPr>
      <w:r>
        <w:rPr>
          <w:b/>
        </w:rPr>
        <w:t xml:space="preserve">Compliance workspace.</w:t>
      </w:r>
      <w:r>
        <w:t xml:space="preserve"> </w:t>
      </w:r>
      <w:r>
        <w:t xml:space="preserve">Purpose: "Run maker, checker and auditor work on dated compliance items with evidence, conversations and a permanent CompID." Can do: list view of nine columns with Next due, Days to due and RAG; filters, saved views, group-by, exports; the CompID drawer with Overview, Do, Maker, Checker, Auditor, Conversation, History, Links and Accountability; stars and collections; typed conversations with SLAs; delegation; bulk edits with undo; calendar sync to Outlook, Google and ICS. Will not: mark anything complied without a checker; let an AI change a status.</w:t>
      </w:r>
    </w:p>
    <w:p>
      <w:pPr>
        <w:pStyle w:val="BodyText"/>
      </w:pPr>
      <w:r>
        <w:rPr>
          <w:b/>
        </w:rPr>
        <w:t xml:space="preserve">Regulatory change.</w:t>
      </w:r>
      <w:r>
        <w:t xml:space="preserve"> </w:t>
      </w:r>
      <w:r>
        <w:t xml:space="preserve">Purpose: "See what changed, where, and which of your obligations it touches." Can do: daily scan at 20:00 IST; side-by-side change view; impact list; re-mapping for your approval; change log by instrument; subscribe by family. Will not: alter your register without approval.</w:t>
      </w:r>
    </w:p>
    <w:p>
      <w:pPr>
        <w:pStyle w:val="BodyText"/>
      </w:pPr>
      <w:r>
        <w:rPr>
          <w:b/>
        </w:rPr>
        <w:t xml:space="preserve">Governance and company secretarial.</w:t>
      </w:r>
      <w:r>
        <w:t xml:space="preserve"> </w:t>
      </w:r>
      <w:r>
        <w:t xml:space="preserve">Purpose: "Board, committees, meetings, registers and filings with GovIDs that stay stable." Can do: calendars and notices; agendas and minutes with tracked changes; resolutions; statutory registers; filings tracker; secretarial standards checklists; board shell for directors. Will not: sign, file or certify on your behalf.</w:t>
      </w:r>
    </w:p>
    <w:p>
      <w:pPr>
        <w:pStyle w:val="BodyText"/>
      </w:pPr>
      <w:r>
        <w:rPr>
          <w:b/>
        </w:rPr>
        <w:t xml:space="preserve">Policy lifecycle and documents.</w:t>
      </w:r>
      <w:r>
        <w:t xml:space="preserve"> </w:t>
      </w:r>
      <w:r>
        <w:t xml:space="preserve">Purpose: "Draft, review, approve and renew policies with redlines against the template or the last version." Can do: templates; redline engine; approval chains; renewal reminders; attestation campaigns; document library with versions and retention. Will not: adopt a policy — your board does.</w:t>
      </w:r>
    </w:p>
    <w:p>
      <w:pPr>
        <w:pStyle w:val="BodyText"/>
      </w:pPr>
      <w:r>
        <w:rPr>
          <w:b/>
        </w:rPr>
        <w:t xml:space="preserve">Risk and CRO workspace.</w:t>
      </w:r>
      <w:r>
        <w:t xml:space="preserve"> </w:t>
      </w:r>
      <w:r>
        <w:t xml:space="preserve">Purpose: "Risk registers with RiskIDs, KRIs, appetite and the board's risk view." ·</w:t>
      </w:r>
      <w:r>
        <w:t xml:space="preserve"> </w:t>
      </w:r>
      <w:r>
        <w:rPr>
          <w:b/>
        </w:rPr>
        <w:t xml:space="preserve">Risk Assessment Lab (ICAAP, stress tests, ratios).</w:t>
      </w:r>
      <w:r>
        <w:t xml:space="preserve"> </w:t>
      </w:r>
      <w:r>
        <w:t xml:space="preserve">Purpose: "ICAAP sections, scenario libraries and ratio calculations that cite the direction they implement; no AI-typed figures." ·</w:t>
      </w:r>
      <w:r>
        <w:t xml:space="preserve"> </w:t>
      </w:r>
      <w:r>
        <w:rPr>
          <w:b/>
        </w:rPr>
        <w:t xml:space="preserve">Audit management.</w:t>
      </w:r>
      <w:r>
        <w:t xml:space="preserve"> </w:t>
      </w:r>
      <w:r>
        <w:t xml:space="preserve">Purpose: "Internal, RBIA, concurrent, IS and secretarial audits with findings, evidence requests and closure on the same record." ·</w:t>
      </w:r>
      <w:r>
        <w:t xml:space="preserve"> </w:t>
      </w:r>
      <w:r>
        <w:rPr>
          <w:b/>
        </w:rPr>
        <w:t xml:space="preserve">Return Studio.</w:t>
      </w:r>
      <w:r>
        <w:t xml:space="preserve"> </w:t>
      </w:r>
      <w:r>
        <w:t xml:space="preserve">Purpose: "Prepare regulatory returns from one data upload, reconciled before anyone files; LawDocsComply never files for you." ·</w:t>
      </w:r>
      <w:r>
        <w:t xml:space="preserve"> </w:t>
      </w:r>
      <w:r>
        <w:rPr>
          <w:b/>
        </w:rPr>
        <w:t xml:space="preserve">Data protection, cyber and third-party risk.</w:t>
      </w:r>
      <w:r>
        <w:t xml:space="preserve"> </w:t>
      </w:r>
      <w:r>
        <w:t xml:space="preserve">Purpose: "DPDP registers and consent tooling, cyber controls and vendor risk, with an AI system register." ·</w:t>
      </w:r>
      <w:r>
        <w:t xml:space="preserve"> </w:t>
      </w:r>
      <w:r>
        <w:rPr>
          <w:b/>
        </w:rPr>
        <w:t xml:space="preserve">HR and labour compliance.</w:t>
      </w:r>
      <w:r>
        <w:t xml:space="preserve"> </w:t>
      </w:r>
      <w:r>
        <w:t xml:space="preserve">Purpose: "Registers and returns the Labour Codes require, beside your people records." ·</w:t>
      </w:r>
      <w:r>
        <w:t xml:space="preserve"> </w:t>
      </w:r>
      <w:r>
        <w:rPr>
          <w:b/>
        </w:rPr>
        <w:t xml:space="preserve">Grievance redressal.</w:t>
      </w:r>
      <w:r>
        <w:t xml:space="preserve"> </w:t>
      </w:r>
      <w:r>
        <w:t xml:space="preserve">Purpose: "Statutory timelines built in, with a register and a transparency report." ·</w:t>
      </w:r>
      <w:r>
        <w:t xml:space="preserve"> </w:t>
      </w:r>
      <w:r>
        <w:rPr>
          <w:b/>
        </w:rPr>
        <w:t xml:space="preserve">Co-operative operations.</w:t>
      </w:r>
      <w:r>
        <w:t xml:space="preserve"> </w:t>
      </w:r>
      <w:r>
        <w:t xml:space="preserve">Purpose: "Members, meetings, registers and returns for societies and co-operative banks." ·</w:t>
      </w:r>
      <w:r>
        <w:t xml:space="preserve"> </w:t>
      </w:r>
      <w:r>
        <w:rPr>
          <w:b/>
        </w:rPr>
        <w:t xml:space="preserve">Reports and board-pack studio.</w:t>
      </w:r>
      <w:r>
        <w:t xml:space="preserve"> </w:t>
      </w:r>
      <w:r>
        <w:t xml:space="preserve">Purpose: "Board packs from approved figures, every number traceable; exportable to PDF and PowerPoint." ·</w:t>
      </w:r>
      <w:r>
        <w:t xml:space="preserve"> </w:t>
      </w:r>
      <w:r>
        <w:rPr>
          <w:b/>
        </w:rPr>
        <w:t xml:space="preserve">Legal matters, contracts and licences.</w:t>
      </w:r>
      <w:r>
        <w:t xml:space="preserve"> </w:t>
      </w:r>
      <w:r>
        <w:t xml:space="preserve">Purpose: "Litigation, contracts and licence registers with reminders." ·</w:t>
      </w:r>
      <w:r>
        <w:t xml:space="preserve"> </w:t>
      </w:r>
      <w:r>
        <w:rPr>
          <w:b/>
        </w:rPr>
        <w:t xml:space="preserve">ESG and BRSR.</w:t>
      </w:r>
      <w:r>
        <w:t xml:space="preserve"> </w:t>
      </w:r>
      <w:r>
        <w:t xml:space="preserve">Purpose: "BRSR data points, CSR tracking and sustainability reporting." ·</w:t>
      </w:r>
      <w:r>
        <w:t xml:space="preserve"> </w:t>
      </w:r>
      <w:r>
        <w:rPr>
          <w:b/>
        </w:rPr>
        <w:t xml:space="preserve">Global jurisdictions.</w:t>
      </w:r>
      <w:r>
        <w:t xml:space="preserve"> </w:t>
      </w:r>
      <w:r>
        <w:t xml:space="preserve">Purpose: "Jurisdiction packs with reviewers of record; only published packs are advertised, pilot packs are labelled."</w:t>
      </w:r>
    </w:p>
    <w:p>
      <w:r>
        <w:pict>
          <v:rect style="width:0;height:1.5pt" o:hralign="center" o:hrstd="t" o:hr="t"/>
        </w:pict>
      </w:r>
    </w:p>
    <w:p>
      <w:pPr>
        <w:pStyle w:val="Heading2"/>
      </w:pPr>
      <w:bookmarkStart w:id="27" w:name="X4dc9744556b3b04ae236bb1b44716310dbfe42e"/>
      <w:r>
        <w:t xml:space="preserve">6. Pricing page copy (prices are placeholders from the OH8 catalogue; P20)</w:t>
      </w:r>
      <w:bookmarkEnd w:id="27"/>
    </w:p>
    <w:p>
      <w:pPr>
        <w:pStyle w:val="FirstParagraph"/>
      </w:pPr>
      <w:r>
        <w:rPr>
          <w:b/>
        </w:rPr>
        <w:t xml:space="preserve">Route:</w:t>
      </w:r>
      <w:r>
        <w:t xml:space="preserve"> </w:t>
      </w:r>
      <w:r>
        <w:rPr>
          <w:rStyle w:val="VerbatimChar"/>
        </w:rPr>
        <w:t xml:space="preserve">/pricing</w:t>
      </w:r>
      <w:r>
        <w:t xml:space="preserve"> </w:t>
      </w:r>
      <w:r>
        <w:t xml:space="preserve">·</w:t>
      </w:r>
      <w:r>
        <w:t xml:space="preserve"> </w:t>
      </w:r>
      <w:r>
        <w:rPr>
          <w:b/>
        </w:rPr>
        <w:t xml:space="preserve">SEO title:</w:t>
      </w:r>
      <w:r>
        <w:t xml:space="preserve"> </w:t>
      </w:r>
      <w:r>
        <w:t xml:space="preserve">LawDocsComply pricing — plans by seats and entities, shown with GST ·</w:t>
      </w:r>
      <w:r>
        <w:t xml:space="preserve"> </w:t>
      </w:r>
      <w:r>
        <w:rPr>
          <w:b/>
        </w:rPr>
        <w:t xml:space="preserve">Meta description:</w:t>
      </w:r>
      <w:r>
        <w:t xml:space="preserve"> </w:t>
      </w:r>
      <w:r>
        <w:t xml:space="preserve">Essentials, Professional, Enterprise and Regulated Enterprise plans. Transparent per-seat and per-entity pricing with GST shown, no hidden add-ons, trials that never convert automatically.</w:t>
      </w:r>
    </w:p>
    <w:p>
      <w:pPr>
        <w:pStyle w:val="BodyText"/>
      </w:pPr>
      <w:r>
        <w:rPr>
          <w:b/>
        </w:rPr>
        <w:t xml:space="preserve">Hero.</w:t>
      </w:r>
      <w:r>
        <w:t xml:space="preserve"> </w:t>
      </w:r>
      <w:r>
        <w:t xml:space="preserve">h1:</w:t>
      </w:r>
      <w:r>
        <w:t xml:space="preserve"> </w:t>
      </w:r>
      <w:r>
        <w:rPr>
          <w:b/>
        </w:rPr>
        <w:t xml:space="preserve">Pricing that reads like an invoice should.</w:t>
      </w:r>
      <w:r>
        <w:t xml:space="preserve"> </w:t>
      </w:r>
      <w:r>
        <w:t xml:space="preserve">Sub: Plans are priced by seats and by legal entities covered. Prices are shown exclusive of GST with the rate beside each price, and the total including GST before you pay. Optional add-ons are never pre-selected. Enterprise and regulated-entity plans are quoted on an order form.</w:t>
      </w:r>
    </w:p>
    <w:p>
      <w:pPr>
        <w:pStyle w:val="BodyText"/>
      </w:pPr>
      <w:r>
        <w:rPr>
          <w:b/>
        </w:rPr>
        <w:t xml:space="preserve">Plan cards (names per owner decision #6; prices [OWNER TO SET] via catalogue).</w:t>
      </w:r>
    </w:p>
    <w:p>
      <w:pPr>
        <w:numPr>
          <w:ilvl w:val="0"/>
          <w:numId w:val="1007"/>
        </w:numPr>
        <w:pStyle w:val="Compact"/>
      </w:pPr>
      <w:r>
        <w:rPr>
          <w:b/>
        </w:rPr>
        <w:t xml:space="preserve">Essentials</w:t>
      </w:r>
      <w:r>
        <w:t xml:space="preserve"> </w:t>
      </w:r>
      <w:r>
        <w:t xml:space="preserve">— For one entity and a small compliance team. Includes: applicability engine, compliance workspace for [N] users and 1 legal entity, regulatory change for your family, calendar sync, basic reports, Vidhi with [N] monthly AI credits, email support. Price: ₹[OWNER TO SET] per seat per month, billed annually (₹[…] monthly). GST [rate]% extra.</w:t>
      </w:r>
    </w:p>
    <w:p>
      <w:pPr>
        <w:numPr>
          <w:ilvl w:val="0"/>
          <w:numId w:val="1007"/>
        </w:numPr>
        <w:pStyle w:val="Compact"/>
      </w:pPr>
      <w:r>
        <w:rPr>
          <w:b/>
        </w:rPr>
        <w:t xml:space="preserve">Professional</w:t>
      </w:r>
      <w:r>
        <w:t xml:space="preserve"> </w:t>
      </w:r>
      <w:r>
        <w:t xml:space="preserve">— For a compliance function with governance and risk. Adds: governance and secretarial, policy lifecycle, risk register and KRIs, audit management, board shell, saved views and export builder, API access, priority support, SLA 99.5%. Price: ₹[OWNER TO SET] per seat per month; up to [N] entities.</w:t>
      </w:r>
    </w:p>
    <w:p>
      <w:pPr>
        <w:numPr>
          <w:ilvl w:val="0"/>
          <w:numId w:val="1007"/>
        </w:numPr>
        <w:pStyle w:val="Compact"/>
      </w:pPr>
      <w:r>
        <w:rPr>
          <w:b/>
        </w:rPr>
        <w:t xml:space="preserve">Enterprise</w:t>
      </w:r>
      <w:r>
        <w:t xml:space="preserve"> </w:t>
      </w:r>
      <w:r>
        <w:t xml:space="preserve">— For groups and larger teams. Adds: ICAAP and stress-test lab, Return Studio, HR and labour suite, grievance desk, reports and board-pack studio, SSO and SCIM, BYO storage, custom domain, white-label add-on eligible, SLA 99.9%, named account manager. Price: on an order form.</w:t>
      </w:r>
    </w:p>
    <w:p>
      <w:pPr>
        <w:numPr>
          <w:ilvl w:val="0"/>
          <w:numId w:val="1007"/>
        </w:numPr>
        <w:pStyle w:val="Compact"/>
      </w:pPr>
      <w:r>
        <w:rPr>
          <w:b/>
        </w:rPr>
        <w:t xml:space="preserve">Regulated Enterprise</w:t>
      </w:r>
      <w:r>
        <w:t xml:space="preserve"> </w:t>
      </w:r>
      <w:r>
        <w:t xml:space="preserve">— For RBI, SEBI, IRDAI and IFSCA regulated entities and co-operative banks. Adds: India zero-retention AI routing on every skill, Vendor Assurance Room with evidence packs and auditor grants, regulatory-deadline protection in the SLA, 99.9% availability with stated RPO and RTO, DPA with the outsourcing annex, exit assistance of 90 days. Price: on an order form.</w:t>
      </w:r>
    </w:p>
    <w:p>
      <w:pPr>
        <w:pStyle w:val="FirstParagraph"/>
      </w:pPr>
      <w:r>
        <w:rPr>
          <w:b/>
        </w:rPr>
        <w:t xml:space="preserve">Add-ons (never pre-selected).</w:t>
      </w:r>
      <w:r>
        <w:t xml:space="preserve"> </w:t>
      </w:r>
      <w:r>
        <w:t xml:space="preserve">Additional legal entities · Additional seats · AI credits · Regulatory feeds for additional families · White-label (application display name, your domain, your logo) · Premium support · FinLegal Academy seats · Marketplace retainers (invoiced by the practitioner, not by us).</w:t>
      </w:r>
    </w:p>
    <w:p>
      <w:pPr>
        <w:pStyle w:val="BodyText"/>
      </w:pPr>
      <w:r>
        <w:rPr>
          <w:b/>
        </w:rPr>
        <w:t xml:space="preserve">Comparison table.</w:t>
      </w:r>
      <w:r>
        <w:t xml:space="preserve"> </w:t>
      </w:r>
      <w:r>
        <w:t xml:space="preserve">Rows: entities included; seats; modules; Vidhi credits; AI routing; SSO/SCIM; BYO storage; exports; API; SLA; support; Vendor Assurance Room; DPA annex; trial. Values rendered from the catalogue.</w:t>
      </w:r>
    </w:p>
    <w:p>
      <w:pPr>
        <w:pStyle w:val="BodyText"/>
      </w:pPr>
      <w:r>
        <w:rPr>
          <w:b/>
        </w:rPr>
        <w:t xml:space="preserve">Trial box.</w:t>
      </w:r>
      <w:r>
        <w:t xml:space="preserve"> </w:t>
      </w:r>
      <w:r>
        <w:t xml:space="preserve">"Try Professional for 14 days. No card. Your trial never converts automatically: at the end you choose a plan or your account becomes read-only with export for 30 days."</w:t>
      </w:r>
    </w:p>
    <w:p>
      <w:pPr>
        <w:pStyle w:val="BodyText"/>
      </w:pPr>
      <w:r>
        <w:rPr>
          <w:b/>
        </w:rPr>
        <w:t xml:space="preserve">Pricing FAQ (eight).</w:t>
      </w:r>
      <w:r>
        <w:t xml:space="preserve"> </w:t>
      </w:r>
      <w:r>
        <w:t xml:space="preserve">How is GST applied? · What counts as a seat? · What counts as a legal entity? · Can we change plans mid-term? (Upgrades pro-rated; downgrades at renewal.) · What happens to our data if we cancel? (Export for 30 days — 90 for enterprise and regulated plans — then deletion per the Retention Schedule.) · Do you charge for AI? (Credits per plan; usage shown before it is charged.) · Is there a discount for co-operatives or small NBFCs? ([OWNER TO SET]; no claim until decided.) · Who issues the invoice? (The selling entity named in the Payment &amp; Subscription Terms.)</w:t>
      </w:r>
    </w:p>
    <w:p>
      <w:pPr>
        <w:pStyle w:val="BodyText"/>
      </w:pPr>
      <w:r>
        <w:rPr>
          <w:b/>
        </w:rPr>
        <w:t xml:space="preserve">Legal links above the CTA (IPB-05-02):</w:t>
      </w:r>
      <w:r>
        <w:t xml:space="preserve"> </w:t>
      </w:r>
      <w:r>
        <w:t xml:space="preserve">Payment &amp; Subscription Terms · Refund &amp; Cancellation Policy · Service Level Agreement.</w:t>
      </w:r>
    </w:p>
    <w:p>
      <w:r>
        <w:pict>
          <v:rect style="width:0;height:1.5pt" o:hralign="center" o:hrstd="t" o:hr="t"/>
        </w:pict>
      </w:r>
    </w:p>
    <w:p>
      <w:pPr>
        <w:pStyle w:val="Heading2"/>
      </w:pPr>
      <w:bookmarkStart w:id="28" w:name="X6d3fa87800b95d793b3b40926a01f7f9c429c23"/>
      <w:r>
        <w:t xml:space="preserve">7. About</w:t>
      </w:r>
      <w:bookmarkEnd w:id="28"/>
    </w:p>
    <w:p>
      <w:pPr>
        <w:pStyle w:val="FirstParagraph"/>
      </w:pPr>
      <w:r>
        <w:rPr>
          <w:b/>
        </w:rPr>
        <w:t xml:space="preserve">Route:</w:t>
      </w:r>
      <w:r>
        <w:t xml:space="preserve"> </w:t>
      </w:r>
      <w:r>
        <w:rPr>
          <w:rStyle w:val="VerbatimChar"/>
        </w:rPr>
        <w:t xml:space="preserve">/about</w:t>
      </w:r>
      <w:r>
        <w:t xml:space="preserve"> </w:t>
      </w:r>
      <w:r>
        <w:t xml:space="preserve">·</w:t>
      </w:r>
      <w:r>
        <w:t xml:space="preserve"> </w:t>
      </w:r>
      <w:r>
        <w:rPr>
          <w:b/>
        </w:rPr>
        <w:t xml:space="preserve">SEO title:</w:t>
      </w:r>
      <w:r>
        <w:t xml:space="preserve"> </w:t>
      </w:r>
      <w:r>
        <w:t xml:space="preserve">About LawDocsComply — part of the Infrabyx Group ·</w:t>
      </w:r>
      <w:r>
        <w:t xml:space="preserve"> </w:t>
      </w:r>
      <w:r>
        <w:rPr>
          <w:b/>
        </w:rPr>
        <w:t xml:space="preserve">Meta description:</w:t>
      </w:r>
      <w:r>
        <w:t xml:space="preserve"> </w:t>
      </w:r>
      <w:r>
        <w:t xml:space="preserve">Why we built a compliance platform that cites the regulation, who we are, what we do not do, and how we work with regulated entities across India.</w:t>
      </w:r>
    </w:p>
    <w:p>
      <w:pPr>
        <w:pStyle w:val="BodyText"/>
      </w:pPr>
      <w:r>
        <w:rPr>
          <w:b/>
        </w:rPr>
        <w:t xml:space="preserve">h1: We built the register we wished our clients had.</w:t>
      </w:r>
    </w:p>
    <w:p>
      <w:pPr>
        <w:pStyle w:val="BodyText"/>
      </w:pPr>
      <w:r>
        <w:rPr>
          <w:b/>
        </w:rPr>
        <w:t xml:space="preserve">Story (timeline; dated milestones — every date E1 from company records).</w:t>
      </w:r>
    </w:p>
    <w:p>
      <w:pPr>
        <w:numPr>
          <w:ilvl w:val="0"/>
          <w:numId w:val="1008"/>
        </w:numPr>
        <w:pStyle w:val="Compact"/>
      </w:pPr>
      <w:r>
        <w:t xml:space="preserve">[YYYY] — LawDocs begins as a legal-documents practice serving companies and regulated entities from Delhi. [E1: incorporation record]</w:t>
      </w:r>
    </w:p>
    <w:p>
      <w:pPr>
        <w:numPr>
          <w:ilvl w:val="0"/>
          <w:numId w:val="1008"/>
        </w:numPr>
        <w:pStyle w:val="Compact"/>
      </w:pPr>
      <w:r>
        <w:t xml:space="preserve">[YYYY] — The compliance work for NBFC clients turns into spreadsheets, then into the first LawDocsComply registers. [E1]</w:t>
      </w:r>
    </w:p>
    <w:p>
      <w:pPr>
        <w:numPr>
          <w:ilvl w:val="0"/>
          <w:numId w:val="1008"/>
        </w:numPr>
        <w:pStyle w:val="Compact"/>
      </w:pPr>
      <w:r>
        <w:t xml:space="preserve">2025 — The RBI consolidates its directions on 28 November 2025; we commit to rebuilding our content base on the consolidated set. [E2: RBI press release]</w:t>
      </w:r>
    </w:p>
    <w:p>
      <w:pPr>
        <w:numPr>
          <w:ilvl w:val="0"/>
          <w:numId w:val="1008"/>
        </w:numPr>
        <w:pStyle w:val="Compact"/>
      </w:pPr>
      <w:r>
        <w:t xml:space="preserve">2026 — LawDocsComply v2 template contract, the CompID registry and the Health Check Studio; Vidhi joins as the AI assistant across Infrabyx products. [E1]</w:t>
      </w:r>
    </w:p>
    <w:p>
      <w:pPr>
        <w:numPr>
          <w:ilvl w:val="0"/>
          <w:numId w:val="1008"/>
        </w:numPr>
        <w:pStyle w:val="Compact"/>
      </w:pPr>
      <w:r>
        <w:t xml:space="preserve">[YYYY] — [Owner adds milestones from Brand Studio › About.]</w:t>
      </w:r>
    </w:p>
    <w:p>
      <w:pPr>
        <w:pStyle w:val="FirstParagraph"/>
      </w:pPr>
      <w:r>
        <w:rPr>
          <w:b/>
        </w:rPr>
        <w:t xml:space="preserve">Mission.</w:t>
      </w:r>
      <w:r>
        <w:t xml:space="preserve"> </w:t>
      </w:r>
      <w:r>
        <w:t xml:space="preserve">"Every regulated entity in India should be able to show — not just say — what applies to it and what it did about it. We make that possible for compliance teams of three and compliance functions of three hundred."</w:t>
      </w:r>
    </w:p>
    <w:p>
      <w:pPr>
        <w:pStyle w:val="BodyText"/>
      </w:pPr>
      <w:r>
        <w:rPr>
          <w:b/>
        </w:rPr>
        <w:t xml:space="preserve">What we do not do (boundary; locked copy).</w:t>
      </w:r>
      <w:r>
        <w:t xml:space="preserve"> </w:t>
      </w:r>
      <w:r>
        <w:t xml:space="preserve">"LawDocsComply provides compliance-management software and curated regulatory information. It does not provide legal, secretarial, tax or audit opinions. It does not file with any regulator. It does not certify compliance. You remain responsible for your organisation's compliance and for every filing you make. Where you engage an independent professional through our Marketplace, your engagement is with that professional."</w:t>
      </w:r>
    </w:p>
    <w:p>
      <w:pPr>
        <w:pStyle w:val="BodyText"/>
      </w:pPr>
      <w:r>
        <w:rPr>
          <w:b/>
        </w:rPr>
        <w:t xml:space="preserve">How we work (three principles).</w:t>
      </w:r>
      <w:r>
        <w:t xml:space="preserve"> </w:t>
      </w:r>
      <w:r>
        <w:t xml:space="preserve">1.</w:t>
      </w:r>
      <w:r>
        <w:t xml:space="preserve"> </w:t>
      </w:r>
      <w:r>
        <w:rPr>
          <w:b/>
        </w:rPr>
        <w:t xml:space="preserve">Sources first.</w:t>
      </w:r>
      <w:r>
        <w:t xml:space="preserve"> </w:t>
      </w:r>
      <w:r>
        <w:t xml:space="preserve">Every obligation in our library cites its instrument and clause, names a reviewer of record and shows the date we last checked it. 2.</w:t>
      </w:r>
      <w:r>
        <w:t xml:space="preserve"> </w:t>
      </w:r>
      <w:r>
        <w:rPr>
          <w:b/>
        </w:rPr>
        <w:t xml:space="preserve">People decide.</w:t>
      </w:r>
      <w:r>
        <w:t xml:space="preserve"> </w:t>
      </w:r>
      <w:r>
        <w:t xml:space="preserve">Maker, checker and auditor are roles people hold; Vidhi drafts and summarises and is labelled every time. 3.</w:t>
      </w:r>
      <w:r>
        <w:t xml:space="preserve"> </w:t>
      </w:r>
      <w:r>
        <w:rPr>
          <w:b/>
        </w:rPr>
        <w:t xml:space="preserve">Nothing hidden.</w:t>
      </w:r>
      <w:r>
        <w:t xml:space="preserve"> </w:t>
      </w:r>
      <w:r>
        <w:t xml:space="preserve">Pricing with GST, data in India, exports in plain folders, an audit trail on every record, and a Trust Centre that lists only what we hold.</w:t>
      </w:r>
    </w:p>
    <w:p>
      <w:pPr>
        <w:pStyle w:val="BodyText"/>
      </w:pPr>
      <w:r>
        <w:rPr>
          <w:b/>
        </w:rPr>
        <w:t xml:space="preserve">Group context.</w:t>
      </w:r>
      <w:r>
        <w:t xml:space="preserve"> </w:t>
      </w:r>
      <w:r>
        <w:t xml:space="preserve">"LawDocsComply is a product of the Infrabyx Group, which also builds LawDocs (legal documents and eSign), Finbyx (lending software for NBFCs), Udofin (digital lending), Equator Resolution (online dispute resolution) and LawDocs Trainings (the FinLegal Academy). Group companies share a design system, a security baseline and the Vidhi AI kernel; each product has its own legal entity, Trust Centre and policies. Where another group company appears in our terms — for example Equator Resolution as an optional mediation provider — we say so." [COUNSEL check on group description.]</w:t>
      </w:r>
    </w:p>
    <w:p>
      <w:pPr>
        <w:pStyle w:val="BodyText"/>
      </w:pPr>
      <w:r>
        <w:rPr>
          <w:b/>
        </w:rPr>
        <w:t xml:space="preserve">Leadership teaser.</w:t>
      </w:r>
      <w:r>
        <w:t xml:space="preserve"> </w:t>
      </w:r>
      <w:r>
        <w:t xml:space="preserve">Three</w:t>
      </w:r>
      <w:r>
        <w:t xml:space="preserve"> </w:t>
      </w:r>
      <w:r>
        <w:rPr>
          <w:rStyle w:val="VerbatimChar"/>
        </w:rPr>
        <w:t xml:space="preserve">team_member</w:t>
      </w:r>
      <w:r>
        <w:t xml:space="preserve"> </w:t>
      </w:r>
      <w:r>
        <w:t xml:space="preserve">cards (</w:t>
      </w:r>
      <w:r>
        <w:rPr>
          <w:rStyle w:val="VerbatimChar"/>
        </w:rPr>
        <w:t xml:space="preserve">group=leadership</w:t>
      </w:r>
      <w:r>
        <w:t xml:space="preserve">) →</w:t>
      </w:r>
      <w:r>
        <w:t xml:space="preserve"> </w:t>
      </w:r>
      <w:r>
        <w:rPr>
          <w:rStyle w:val="VerbatimChar"/>
        </w:rPr>
        <w:t xml:space="preserve">/leadership</w:t>
      </w:r>
      <w:r>
        <w:t xml:space="preserve">.</w:t>
      </w:r>
    </w:p>
    <w:p>
      <w:pPr>
        <w:pStyle w:val="BodyText"/>
      </w:pPr>
      <w:r>
        <w:rPr>
          <w:b/>
        </w:rPr>
        <w:t xml:space="preserve">Offices.</w:t>
      </w:r>
      <w:r>
        <w:t xml:space="preserve"> </w:t>
      </w:r>
      <w:r>
        <w:t xml:space="preserve">Delhi · Noida · Jaipur (addresses from the CMS offices block; static map images, click-to-load). CTA: Contact us.</w:t>
      </w:r>
    </w:p>
    <w:p>
      <w:pPr>
        <w:pStyle w:val="BodyText"/>
      </w:pPr>
      <w:r>
        <w:rPr>
          <w:b/>
        </w:rPr>
        <w:t xml:space="preserve">Image placeholders:</w:t>
      </w:r>
      <w:r>
        <w:t xml:space="preserve"> </w:t>
      </w:r>
      <w:r>
        <w:rPr>
          <w:rStyle w:val="VerbatimChar"/>
        </w:rPr>
        <w:t xml:space="preserve">img.about.story</w:t>
      </w:r>
      <w:r>
        <w:t xml:space="preserve">,</w:t>
      </w:r>
      <w:r>
        <w:t xml:space="preserve"> </w:t>
      </w:r>
      <w:r>
        <w:rPr>
          <w:rStyle w:val="VerbatimChar"/>
        </w:rPr>
        <w:t xml:space="preserve">img.about.offices.*</w:t>
      </w:r>
      <w:r>
        <w:t xml:space="preserve">.</w:t>
      </w:r>
    </w:p>
    <w:p>
      <w:r>
        <w:pict>
          <v:rect style="width:0;height:1.5pt" o:hralign="center" o:hrstd="t" o:hr="t"/>
        </w:pict>
      </w:r>
    </w:p>
    <w:p>
      <w:pPr>
        <w:pStyle w:val="Heading2"/>
      </w:pPr>
      <w:bookmarkStart w:id="29" w:name="X46415d4a14e6682b0e46e79edb4daad5643c586"/>
      <w:r>
        <w:t xml:space="preserve">8. Team</w:t>
      </w:r>
      <w:bookmarkEnd w:id="29"/>
    </w:p>
    <w:p>
      <w:pPr>
        <w:pStyle w:val="FirstParagraph"/>
      </w:pPr>
      <w:r>
        <w:rPr>
          <w:b/>
        </w:rPr>
        <w:t xml:space="preserve">Route:</w:t>
      </w:r>
      <w:r>
        <w:t xml:space="preserve"> </w:t>
      </w:r>
      <w:r>
        <w:rPr>
          <w:rStyle w:val="VerbatimChar"/>
        </w:rPr>
        <w:t xml:space="preserve">/team</w:t>
      </w:r>
      <w:r>
        <w:t xml:space="preserve"> </w:t>
      </w:r>
      <w:r>
        <w:t xml:space="preserve">·</w:t>
      </w:r>
      <w:r>
        <w:t xml:space="preserve"> </w:t>
      </w:r>
      <w:r>
        <w:rPr>
          <w:b/>
        </w:rPr>
        <w:t xml:space="preserve">SEO title:</w:t>
      </w:r>
      <w:r>
        <w:t xml:space="preserve"> </w:t>
      </w:r>
      <w:r>
        <w:t xml:space="preserve">The LawDocsComply team ·</w:t>
      </w:r>
      <w:r>
        <w:t xml:space="preserve"> </w:t>
      </w:r>
      <w:r>
        <w:rPr>
          <w:b/>
        </w:rPr>
        <w:t xml:space="preserve">Meta description:</w:t>
      </w:r>
      <w:r>
        <w:t xml:space="preserve"> </w:t>
      </w:r>
      <w:r>
        <w:t xml:space="preserve">The people who review the regulations, build the platform and support compliance teams across India.</w:t>
      </w:r>
    </w:p>
    <w:p>
      <w:pPr>
        <w:pStyle w:val="BodyText"/>
      </w:pPr>
      <w:r>
        <w:rPr>
          <w:b/>
        </w:rPr>
        <w:t xml:space="preserve">h1: People who read the directions so you can act on them.</w:t>
      </w:r>
      <w:r>
        <w:t xml:space="preserve"> </w:t>
      </w:r>
      <w:r>
        <w:t xml:space="preserve">Intro: "Our content team is made up of company secretaries, chartered accountants and advocates; our engineering team builds for regulated workloads; our support team speaks compliance. Names and roles below are text, so screen readers and search engines read them as we do."</w:t>
      </w:r>
    </w:p>
    <w:p>
      <w:pPr>
        <w:pStyle w:val="BodyText"/>
      </w:pPr>
      <w:r>
        <w:rPr>
          <w:b/>
        </w:rPr>
        <w:t xml:space="preserve">Team grid (</w:t>
      </w:r>
      <w:r>
        <w:rPr>
          <w:rStyle w:val="VerbatimChar"/>
          <w:b/>
        </w:rPr>
        <w:t xml:space="preserve">team_member</w:t>
      </w:r>
      <w:r>
        <w:rPr>
          <w:b/>
        </w:rPr>
        <w:t xml:space="preserve">,</w:t>
      </w:r>
      <w:r>
        <w:rPr>
          <w:b/>
        </w:rPr>
        <w:t xml:space="preserve"> </w:t>
      </w:r>
      <w:r>
        <w:rPr>
          <w:rStyle w:val="VerbatimChar"/>
          <w:b/>
        </w:rPr>
        <w:t xml:space="preserve">group=team</w:t>
      </w:r>
      <w:r>
        <w:rPr>
          <w:b/>
        </w:rPr>
        <w:t xml:space="preserve">; placeholders until the owner fills Brand Studio › Team; photos only with recorded consent).</w:t>
      </w:r>
    </w:p>
    <w:p>
      <w:pPr>
        <w:numPr>
          <w:ilvl w:val="0"/>
          <w:numId w:val="1009"/>
        </w:numPr>
        <w:pStyle w:val="Compact"/>
      </w:pPr>
      <w:r>
        <w:t xml:space="preserve">[Name] — Head of Regulatory Content (Company Secretary) — reviews RBI and MCA packs. [Placeholder]</w:t>
      </w:r>
    </w:p>
    <w:p>
      <w:pPr>
        <w:numPr>
          <w:ilvl w:val="0"/>
          <w:numId w:val="1009"/>
        </w:numPr>
        <w:pStyle w:val="Compact"/>
      </w:pPr>
      <w:r>
        <w:t xml:space="preserve">[Name] — Regulatory Analyst, SEBI and IFSCA (Chartered Accountant). [Placeholder]</w:t>
      </w:r>
    </w:p>
    <w:p>
      <w:pPr>
        <w:numPr>
          <w:ilvl w:val="0"/>
          <w:numId w:val="1009"/>
        </w:numPr>
        <w:pStyle w:val="Compact"/>
      </w:pPr>
      <w:r>
        <w:t xml:space="preserve">[Name] — Regulatory Analyst, Co-operative law (Advocate). [Placeholder]</w:t>
      </w:r>
    </w:p>
    <w:p>
      <w:pPr>
        <w:numPr>
          <w:ilvl w:val="0"/>
          <w:numId w:val="1009"/>
        </w:numPr>
        <w:pStyle w:val="Compact"/>
      </w:pPr>
      <w:r>
        <w:t xml:space="preserve">[Name] — Engineering Lead, Platform. [Placeholder]</w:t>
      </w:r>
    </w:p>
    <w:p>
      <w:pPr>
        <w:numPr>
          <w:ilvl w:val="0"/>
          <w:numId w:val="1009"/>
        </w:numPr>
        <w:pStyle w:val="Compact"/>
      </w:pPr>
      <w:r>
        <w:t xml:space="preserve">[Name] — Engineering Lead, Vidhi and AI Gateway. [Placeholder]</w:t>
      </w:r>
    </w:p>
    <w:p>
      <w:pPr>
        <w:numPr>
          <w:ilvl w:val="0"/>
          <w:numId w:val="1009"/>
        </w:numPr>
        <w:pStyle w:val="Compact"/>
      </w:pPr>
      <w:r>
        <w:t xml:space="preserve">[Name] — Product Designer and Accessibility Lead (IAAP CPACC). [Placeholder]</w:t>
      </w:r>
    </w:p>
    <w:p>
      <w:pPr>
        <w:numPr>
          <w:ilvl w:val="0"/>
          <w:numId w:val="1009"/>
        </w:numPr>
        <w:pStyle w:val="Compact"/>
      </w:pPr>
      <w:r>
        <w:t xml:space="preserve">[Name] — Customer Success, Regulated Entities. [Placeholder]</w:t>
      </w:r>
    </w:p>
    <w:p>
      <w:pPr>
        <w:numPr>
          <w:ilvl w:val="0"/>
          <w:numId w:val="1009"/>
        </w:numPr>
        <w:pStyle w:val="Compact"/>
      </w:pPr>
      <w:r>
        <w:t xml:space="preserve">[Name] — Security and Trust. [Placeholder]</w:t>
      </w:r>
      <w:r>
        <w:t xml:space="preserve"> </w:t>
      </w:r>
      <w:r>
        <w:t xml:space="preserve">Each card: name, role, one line, LinkedIn (optional), photo placeholder</w:t>
      </w:r>
      <w:r>
        <w:t xml:space="preserve"> </w:t>
      </w:r>
      <w:r>
        <w:rPr>
          <w:rStyle w:val="VerbatimChar"/>
        </w:rPr>
        <w:t xml:space="preserve">img.team.&lt;slug&gt;</w:t>
      </w:r>
      <w:r>
        <w:t xml:space="preserve"> </w:t>
      </w:r>
      <w:r>
        <w:t xml:space="preserve">(alt: "Portrait of {name}, {role}").</w:t>
      </w:r>
    </w:p>
    <w:p>
      <w:pPr>
        <w:pStyle w:val="FirstParagraph"/>
      </w:pPr>
      <w:r>
        <w:rPr>
          <w:b/>
        </w:rPr>
        <w:t xml:space="preserve">Join us band.</w:t>
      </w:r>
      <w:r>
        <w:t xml:space="preserve"> </w:t>
      </w:r>
      <w:r>
        <w:t xml:space="preserve">"We hire people who have filed a return, minuted a board meeting or closed an audit finding — and engineers who want to build for them." CTA: See open roles (→</w:t>
      </w:r>
      <w:r>
        <w:t xml:space="preserve"> </w:t>
      </w:r>
      <w:r>
        <w:rPr>
          <w:rStyle w:val="VerbatimChar"/>
        </w:rPr>
        <w:t xml:space="preserve">/careers</w:t>
      </w:r>
      <w:r>
        <w:t xml:space="preserve">).</w:t>
      </w:r>
    </w:p>
    <w:p>
      <w:r>
        <w:pict>
          <v:rect style="width:0;height:1.5pt" o:hralign="center" o:hrstd="t" o:hr="t"/>
        </w:pict>
      </w:r>
    </w:p>
    <w:p>
      <w:pPr>
        <w:pStyle w:val="Heading2"/>
      </w:pPr>
      <w:bookmarkStart w:id="30" w:name="X5892b5754be7168995f21ed2eabe4d3ee44af22"/>
      <w:r>
        <w:t xml:space="preserve">9. Leadership</w:t>
      </w:r>
      <w:bookmarkEnd w:id="30"/>
    </w:p>
    <w:p>
      <w:pPr>
        <w:pStyle w:val="FirstParagraph"/>
      </w:pPr>
      <w:r>
        <w:rPr>
          <w:b/>
        </w:rPr>
        <w:t xml:space="preserve">Route:</w:t>
      </w:r>
      <w:r>
        <w:t xml:space="preserve"> </w:t>
      </w:r>
      <w:r>
        <w:rPr>
          <w:rStyle w:val="VerbatimChar"/>
        </w:rPr>
        <w:t xml:space="preserve">/leadership</w:t>
      </w:r>
      <w:r>
        <w:t xml:space="preserve"> </w:t>
      </w:r>
      <w:r>
        <w:t xml:space="preserve">·</w:t>
      </w:r>
      <w:r>
        <w:t xml:space="preserve"> </w:t>
      </w:r>
      <w:r>
        <w:rPr>
          <w:b/>
        </w:rPr>
        <w:t xml:space="preserve">SEO title:</w:t>
      </w:r>
      <w:r>
        <w:t xml:space="preserve"> </w:t>
      </w:r>
      <w:r>
        <w:t xml:space="preserve">LawDocsComply leadership ·</w:t>
      </w:r>
      <w:r>
        <w:t xml:space="preserve"> </w:t>
      </w:r>
      <w:r>
        <w:rPr>
          <w:b/>
        </w:rPr>
        <w:t xml:space="preserve">Meta description:</w:t>
      </w:r>
      <w:r>
        <w:t xml:space="preserve"> </w:t>
      </w:r>
      <w:r>
        <w:t xml:space="preserve">The leadership team of LawDocsComply and the Infrabyx Group, with verifiable backgrounds.</w:t>
      </w:r>
    </w:p>
    <w:p>
      <w:pPr>
        <w:pStyle w:val="BodyText"/>
      </w:pPr>
      <w:r>
        <w:rPr>
          <w:b/>
        </w:rPr>
        <w:t xml:space="preserve">h1: Leadership.</w:t>
      </w:r>
      <w:r>
        <w:t xml:space="preserve"> </w:t>
      </w:r>
      <w:r>
        <w:t xml:space="preserve">Intro: "Short, verifiable bios. Directors list their DIN where they choose to."</w:t>
      </w:r>
    </w:p>
    <w:p>
      <w:pPr>
        <w:pStyle w:val="BodyText"/>
      </w:pPr>
      <w:r>
        <w:rPr>
          <w:rStyle w:val="VerbatimChar"/>
          <w:b/>
        </w:rPr>
        <w:t xml:space="preserve">group=leadership</w:t>
      </w:r>
      <w:r>
        <w:rPr>
          <w:b/>
        </w:rPr>
        <w:t xml:space="preserve"> </w:t>
      </w:r>
      <w:r>
        <w:rPr>
          <w:b/>
        </w:rPr>
        <w:t xml:space="preserve">(placeholders).</w:t>
      </w:r>
    </w:p>
    <w:p>
      <w:pPr>
        <w:numPr>
          <w:ilvl w:val="0"/>
          <w:numId w:val="1010"/>
        </w:numPr>
        <w:pStyle w:val="Compact"/>
      </w:pPr>
      <w:r>
        <w:t xml:space="preserve">[Name], Founder and Company Secretary, Infrabyx Group — [two-sentence bio: qualification, years in practice, areas]. DIN [optional]. [Placeholder — owner]</w:t>
      </w:r>
    </w:p>
    <w:p>
      <w:pPr>
        <w:numPr>
          <w:ilvl w:val="0"/>
          <w:numId w:val="1010"/>
        </w:numPr>
        <w:pStyle w:val="Compact"/>
      </w:pPr>
      <w:r>
        <w:t xml:space="preserve">[Name], Chief Technology Officer — [bio]. [Placeholder]</w:t>
      </w:r>
    </w:p>
    <w:p>
      <w:pPr>
        <w:numPr>
          <w:ilvl w:val="0"/>
          <w:numId w:val="1010"/>
        </w:numPr>
        <w:pStyle w:val="Compact"/>
      </w:pPr>
      <w:r>
        <w:t xml:space="preserve">[Name], Head of LawDocsComply — [bio]. [Placeholder]</w:t>
      </w:r>
    </w:p>
    <w:p>
      <w:pPr>
        <w:numPr>
          <w:ilvl w:val="0"/>
          <w:numId w:val="1010"/>
        </w:numPr>
        <w:pStyle w:val="Compact"/>
      </w:pPr>
      <w:r>
        <w:t xml:space="preserve">[Name], Chief Information Security Officer — [bio]. [Placeholder]</w:t>
      </w:r>
    </w:p>
    <w:p>
      <w:pPr>
        <w:pStyle w:val="FirstParagraph"/>
      </w:pPr>
      <w:r>
        <w:rPr>
          <w:rStyle w:val="VerbatimChar"/>
          <w:b/>
        </w:rPr>
        <w:t xml:space="preserve">group=advisory</w:t>
      </w:r>
      <w:r>
        <w:rPr>
          <w:b/>
        </w:rPr>
        <w:t xml:space="preserve"> </w:t>
      </w:r>
      <w:r>
        <w:rPr>
          <w:b/>
        </w:rPr>
        <w:t xml:space="preserve">and</w:t>
      </w:r>
      <w:r>
        <w:rPr>
          <w:b/>
        </w:rPr>
        <w:t xml:space="preserve"> </w:t>
      </w:r>
      <w:r>
        <w:rPr>
          <w:rStyle w:val="VerbatimChar"/>
          <w:b/>
        </w:rPr>
        <w:t xml:space="preserve">group=board</w:t>
      </w:r>
      <w:r>
        <w:rPr>
          <w:b/>
        </w:rPr>
        <w:t xml:space="preserve">.</w:t>
      </w:r>
      <w:r>
        <w:t xml:space="preserve"> </w:t>
      </w:r>
      <w:r>
        <w:t xml:space="preserve">Rendered only when entries exist; no empty "advisory board" block (IPB-04 §04.3.7).</w:t>
      </w:r>
    </w:p>
    <w:p>
      <w:pPr>
        <w:pStyle w:val="BodyText"/>
      </w:pPr>
      <w:r>
        <w:rPr>
          <w:b/>
        </w:rPr>
        <w:t xml:space="preserve">Governance link.</w:t>
      </w:r>
      <w:r>
        <w:t xml:space="preserve"> </w:t>
      </w:r>
      <w:r>
        <w:t xml:space="preserve">"How we govern ourselves — board, policies, officers →" (→</w:t>
      </w:r>
      <w:r>
        <w:t xml:space="preserve"> </w:t>
      </w:r>
      <w:r>
        <w:rPr>
          <w:rStyle w:val="VerbatimChar"/>
        </w:rPr>
        <w:t xml:space="preserve">/governance</w:t>
      </w:r>
      <w:r>
        <w:t xml:space="preserve">).</w:t>
      </w:r>
    </w:p>
    <w:p>
      <w:r>
        <w:pict>
          <v:rect style="width:0;height:1.5pt" o:hralign="center" o:hrstd="t" o:hr="t"/>
        </w:pict>
      </w:r>
    </w:p>
    <w:p>
      <w:pPr>
        <w:pStyle w:val="Heading2"/>
      </w:pPr>
      <w:bookmarkStart w:id="31" w:name="X2cd41805a31daf4c5d872b24655260e428c0a10"/>
      <w:r>
        <w:t xml:space="preserve">10. Governance</w:t>
      </w:r>
      <w:bookmarkEnd w:id="31"/>
    </w:p>
    <w:p>
      <w:pPr>
        <w:pStyle w:val="FirstParagraph"/>
      </w:pPr>
      <w:r>
        <w:rPr>
          <w:b/>
        </w:rPr>
        <w:t xml:space="preserve">Route:</w:t>
      </w:r>
      <w:r>
        <w:t xml:space="preserve"> </w:t>
      </w:r>
      <w:r>
        <w:rPr>
          <w:rStyle w:val="VerbatimChar"/>
        </w:rPr>
        <w:t xml:space="preserve">/governance</w:t>
      </w:r>
      <w:r>
        <w:t xml:space="preserve"> </w:t>
      </w:r>
      <w:r>
        <w:t xml:space="preserve">·</w:t>
      </w:r>
      <w:r>
        <w:t xml:space="preserve"> </w:t>
      </w:r>
      <w:r>
        <w:rPr>
          <w:b/>
        </w:rPr>
        <w:t xml:space="preserve">SEO title:</w:t>
      </w:r>
      <w:r>
        <w:t xml:space="preserve"> </w:t>
      </w:r>
      <w:r>
        <w:t xml:space="preserve">Governance at LawDocsComply — policies, officers and oversight ·</w:t>
      </w:r>
      <w:r>
        <w:t xml:space="preserve"> </w:t>
      </w:r>
      <w:r>
        <w:rPr>
          <w:b/>
        </w:rPr>
        <w:t xml:space="preserve">Meta description:</w:t>
      </w:r>
      <w:r>
        <w:t xml:space="preserve"> </w:t>
      </w:r>
      <w:r>
        <w:t xml:space="preserve">Our board and committees, the policies we have adopted, our auditor, and the officers you can contact.</w:t>
      </w:r>
    </w:p>
    <w:p>
      <w:pPr>
        <w:pStyle w:val="BodyText"/>
      </w:pPr>
      <w:r>
        <w:rPr>
          <w:b/>
        </w:rPr>
        <w:t xml:space="preserve">h1: How we govern ourselves.</w:t>
      </w:r>
      <w:r>
        <w:t xml:space="preserve"> </w:t>
      </w:r>
      <w:r>
        <w:t xml:space="preserve">Intro: "A compliance platform should be able to answer the questions it asks its customers. Here is where we stand, including where a policy is adopted but available on request rather than published."</w:t>
      </w:r>
    </w:p>
    <w:p>
      <w:pPr>
        <w:pStyle w:val="BodyText"/>
      </w:pPr>
      <w:r>
        <w:rPr>
          <w:b/>
        </w:rPr>
        <w:t xml:space="preserve">Board and committees.</w:t>
      </w:r>
      <w:r>
        <w:t xml:space="preserve"> </w:t>
      </w:r>
      <w:r>
        <w:t xml:space="preserve">[Rendered from</w:t>
      </w:r>
      <w:r>
        <w:t xml:space="preserve"> </w:t>
      </w:r>
      <w:r>
        <w:rPr>
          <w:rStyle w:val="VerbatimChar"/>
        </w:rPr>
        <w:t xml:space="preserve">team_member group=board</w:t>
      </w:r>
      <w:r>
        <w:t xml:space="preserve">; where the operating entity is a private company, the text "Committees are not required of a private company of our size under the Companies Act 2013; we operate an audit and risk review with our statutory auditor and an information security steering group" — COUNSEL check.]</w:t>
      </w:r>
    </w:p>
    <w:p>
      <w:pPr>
        <w:pStyle w:val="BodyText"/>
      </w:pPr>
      <w:r>
        <w:rPr>
          <w:b/>
        </w:rPr>
        <w:t xml:space="preserve">Policies (each links to the published policy or states "adopted — available on request").</w:t>
      </w:r>
      <w:r>
        <w:t xml:space="preserve"> </w:t>
      </w:r>
      <w:r>
        <w:t xml:space="preserve">Code of conduct · Whistle-blower policy · Related-party transactions policy · Information security policy (summary public) · Acceptable use policy · AI use policy (published) · Prevention of sexual harassment (POSH) policy and Internal Committee · Privacy notice (published) · Data retention schedule (published) · Business continuity policy (summary) · Vendor and outsourcing policy (summary) · Accessibility policy (published as the Accessibility Statement). Each with the adoption date and the next review date (E1 from the board minutes).</w:t>
      </w:r>
    </w:p>
    <w:p>
      <w:pPr>
        <w:pStyle w:val="BodyText"/>
      </w:pPr>
      <w:r>
        <w:rPr>
          <w:b/>
        </w:rPr>
        <w:t xml:space="preserve">Auditor.</w:t>
      </w:r>
      <w:r>
        <w:t xml:space="preserve"> </w:t>
      </w:r>
      <w:r>
        <w:t xml:space="preserve">[Name of statutory auditor, optional; E1.]</w:t>
      </w:r>
    </w:p>
    <w:p>
      <w:pPr>
        <w:pStyle w:val="BodyText"/>
      </w:pPr>
      <w:r>
        <w:rPr>
          <w:b/>
        </w:rPr>
        <w:t xml:space="preserve">Officers.</w:t>
      </w:r>
      <w:r>
        <w:t xml:space="preserve"> </w:t>
      </w:r>
      <w:r>
        <w:t xml:space="preserve">Grievance Officer: [name], [email], [address], [hours]. Data Protection contact: [name], [email]. Security contact:</w:t>
      </w:r>
      <w:r>
        <w:t xml:space="preserve"> </w:t>
      </w:r>
      <w:hyperlink r:id="rId32">
        <w:r>
          <w:rPr>
            <w:rStyle w:val="Hyperlink"/>
          </w:rPr>
          <w:t xml:space="preserve">security@lawdocscomply.com</w:t>
        </w:r>
      </w:hyperlink>
      <w:r>
        <w:t xml:space="preserve">. Accessibility contact:</w:t>
      </w:r>
      <w:r>
        <w:t xml:space="preserve"> </w:t>
      </w:r>
      <w:hyperlink r:id="rId33">
        <w:r>
          <w:rPr>
            <w:rStyle w:val="Hyperlink"/>
          </w:rPr>
          <w:t xml:space="preserve">accessibility@lawdocscomply.com</w:t>
        </w:r>
      </w:hyperlink>
      <w:r>
        <w:t xml:space="preserve">.</w:t>
      </w:r>
    </w:p>
    <w:p>
      <w:pPr>
        <w:pStyle w:val="BodyText"/>
      </w:pPr>
      <w:r>
        <w:rPr>
          <w:b/>
        </w:rPr>
        <w:t xml:space="preserve">Transparency report.</w:t>
      </w:r>
      <w:r>
        <w:t xml:space="preserve"> </w:t>
      </w:r>
      <w:r>
        <w:t xml:space="preserve">"Twice a year we publish counts of grievances received and resolved, content takedowns, law-enforcement requests and AI incidents." Link to the latest report in the Trust Centre.</w:t>
      </w:r>
    </w:p>
    <w:p>
      <w:r>
        <w:pict>
          <v:rect style="width:0;height:1.5pt" o:hralign="center" o:hrstd="t" o:hr="t"/>
        </w:pict>
      </w:r>
    </w:p>
    <w:p>
      <w:pPr>
        <w:pStyle w:val="Heading2"/>
      </w:pPr>
      <w:bookmarkStart w:id="34" w:name="X6f4faaa2aa872017c5abcc3c84c4f3c727e3b3a"/>
      <w:r>
        <w:t xml:space="preserve">11. Investors (toggle</w:t>
      </w:r>
      <w:r>
        <w:t xml:space="preserve"> </w:t>
      </w:r>
      <w:r>
        <w:rPr>
          <w:rStyle w:val="VerbatimChar"/>
        </w:rPr>
        <w:t xml:space="preserve">web.investors.enabled</w:t>
      </w:r>
      <w:r>
        <w:t xml:space="preserve">; default OFF; owner decision #29; legal review gate on every publish)</w:t>
      </w:r>
      <w:bookmarkEnd w:id="34"/>
    </w:p>
    <w:p>
      <w:pPr>
        <w:pStyle w:val="FirstParagraph"/>
      </w:pPr>
      <w:r>
        <w:rPr>
          <w:b/>
        </w:rPr>
        <w:t xml:space="preserve">Route:</w:t>
      </w:r>
      <w:r>
        <w:t xml:space="preserve"> </w:t>
      </w:r>
      <w:r>
        <w:rPr>
          <w:rStyle w:val="VerbatimChar"/>
        </w:rPr>
        <w:t xml:space="preserve">/investors</w:t>
      </w:r>
      <w:r>
        <w:t xml:space="preserve"> </w:t>
      </w:r>
      <w:r>
        <w:t xml:space="preserve">·</w:t>
      </w:r>
      <w:r>
        <w:t xml:space="preserve"> </w:t>
      </w:r>
      <w:r>
        <w:rPr>
          <w:b/>
        </w:rPr>
        <w:t xml:space="preserve">SEO title:</w:t>
      </w:r>
      <w:r>
        <w:t xml:space="preserve"> </w:t>
      </w:r>
      <w:r>
        <w:t xml:space="preserve">LawDocsComply — information for investors ·</w:t>
      </w:r>
      <w:r>
        <w:t xml:space="preserve"> </w:t>
      </w:r>
      <w:r>
        <w:rPr>
          <w:b/>
        </w:rPr>
        <w:t xml:space="preserve">Meta description:</w:t>
      </w:r>
      <w:r>
        <w:t xml:space="preserve"> </w:t>
      </w:r>
      <w:r>
        <w:t xml:space="preserve">Information about LawDocsComply and the Infrabyx Group for existing and prospective investors. This page is information only and is not an offer of securities. ·</w:t>
      </w:r>
      <w:r>
        <w:t xml:space="preserve"> </w:t>
      </w:r>
      <w:r>
        <w:rPr>
          <w:b/>
        </w:rPr>
        <w:t xml:space="preserve">Robots:</w:t>
      </w:r>
      <w:r>
        <w:t xml:space="preserve"> </w:t>
      </w:r>
      <w:r>
        <w:rPr>
          <w:rStyle w:val="VerbatimChar"/>
        </w:rPr>
        <w:t xml:space="preserve">noindex</w:t>
      </w:r>
      <w:r>
        <w:t xml:space="preserve"> </w:t>
      </w:r>
      <w:r>
        <w:t xml:space="preserve">until the owner decides otherwise.</w:t>
      </w:r>
    </w:p>
    <w:p>
      <w:pPr>
        <w:pStyle w:val="BodyText"/>
      </w:pPr>
      <w:r>
        <w:rPr>
          <w:b/>
        </w:rPr>
        <w:t xml:space="preserve">Locked disclaimer block (top and bottom; copy from Appendix AD §AD.19; not editable in Studio) [COUNSEL].</w:t>
      </w:r>
    </w:p>
    <w:p>
      <w:pPr>
        <w:pStyle w:val="BodyText"/>
      </w:pPr>
      <w:r>
        <w:rPr>
          <w:b/>
        </w:rPr>
        <w:t xml:space="preserve">h1: Information for investors.</w:t>
      </w:r>
      <w:r>
        <w:t xml:space="preserve"> </w:t>
      </w:r>
      <w:r>
        <w:t xml:space="preserve">Intro: "This page describes what LawDocsComply does, the market it serves and how it is governed. It is written for people who already have a relationship with the company or who have asked for this information. It contains no forecast, projection or invitation."</w:t>
      </w:r>
    </w:p>
    <w:p>
      <w:pPr>
        <w:pStyle w:val="BodyText"/>
      </w:pPr>
      <w:r>
        <w:rPr>
          <w:b/>
        </w:rPr>
        <w:t xml:space="preserve">Vision.</w:t>
      </w:r>
      <w:r>
        <w:t xml:space="preserve"> </w:t>
      </w:r>
      <w:r>
        <w:t xml:space="preserve">"Regulated entities in India should be able to prove compliance from one record. We build the platform that does that, as part of a group of products that share a security baseline and an AI kernel."</w:t>
      </w:r>
    </w:p>
    <w:p>
      <w:pPr>
        <w:pStyle w:val="BodyText"/>
      </w:pPr>
      <w:r>
        <w:rPr>
          <w:b/>
        </w:rPr>
        <w:t xml:space="preserve">Market (E2 sourced; no estimates without a public source).</w:t>
      </w:r>
      <w:r>
        <w:t xml:space="preserve"> </w:t>
      </w:r>
      <w:r>
        <w:t xml:space="preserve">"The Reserve Bank of India regulates [N] non-banking financial companies [E2: RBI list, as-of date]; [N] urban co-operative banks [E2]; SEBI lists [N] registered AIFs [E2]; the Ministry of Corporate Affairs reports [N] active companies [E2: MCA monthly bulletin]. Each is subject to obligations that must be evidenced to a regulator, an auditor or a board." (Only sourced counts; no TAM/SAM language.)</w:t>
      </w:r>
    </w:p>
    <w:p>
      <w:pPr>
        <w:pStyle w:val="BodyText"/>
      </w:pPr>
      <w:r>
        <w:rPr>
          <w:b/>
        </w:rPr>
        <w:t xml:space="preserve">Products.</w:t>
      </w:r>
      <w:r>
        <w:t xml:space="preserve"> </w:t>
      </w:r>
      <w:r>
        <w:t xml:space="preserve">The six Infrabyx products in one paragraph each (facts only; no revenue figures unless E1 and counsel-cleared).</w:t>
      </w:r>
    </w:p>
    <w:p>
      <w:pPr>
        <w:pStyle w:val="BodyText"/>
      </w:pPr>
      <w:r>
        <w:rPr>
          <w:b/>
        </w:rPr>
        <w:t xml:space="preserve">Governance and leadership.</w:t>
      </w:r>
      <w:r>
        <w:t xml:space="preserve"> </w:t>
      </w:r>
      <w:r>
        <w:t xml:space="preserve">Links to</w:t>
      </w:r>
      <w:r>
        <w:t xml:space="preserve"> </w:t>
      </w:r>
      <w:r>
        <w:rPr>
          <w:rStyle w:val="VerbatimChar"/>
        </w:rPr>
        <w:t xml:space="preserve">/governance</w:t>
      </w:r>
      <w:r>
        <w:t xml:space="preserve"> </w:t>
      </w:r>
      <w:r>
        <w:t xml:space="preserve">and</w:t>
      </w:r>
      <w:r>
        <w:t xml:space="preserve"> </w:t>
      </w:r>
      <w:r>
        <w:rPr>
          <w:rStyle w:val="VerbatimChar"/>
        </w:rPr>
        <w:t xml:space="preserve">/leadership</w:t>
      </w:r>
      <w:r>
        <w:t xml:space="preserve">.</w:t>
      </w:r>
    </w:p>
    <w:p>
      <w:pPr>
        <w:pStyle w:val="BodyText"/>
      </w:pPr>
      <w:r>
        <w:rPr>
          <w:b/>
        </w:rPr>
        <w:t xml:space="preserve">Milestones.</w:t>
      </w:r>
      <w:r>
        <w:t xml:space="preserve"> </w:t>
      </w:r>
      <w:r>
        <w:t xml:space="preserve">Timeline (dated; E1).</w:t>
      </w:r>
    </w:p>
    <w:p>
      <w:pPr>
        <w:pStyle w:val="BodyText"/>
      </w:pPr>
      <w:r>
        <w:rPr>
          <w:b/>
        </w:rPr>
        <w:t xml:space="preserve">Documents (gated:</w:t>
      </w:r>
      <w:r>
        <w:rPr>
          <w:b/>
        </w:rPr>
        <w:t xml:space="preserve"> </w:t>
      </w:r>
      <w:r>
        <w:rPr>
          <w:rStyle w:val="VerbatimChar"/>
          <w:b/>
        </w:rPr>
        <w:t xml:space="preserve">login</w:t>
      </w:r>
      <w:r>
        <w:rPr>
          <w:b/>
        </w:rPr>
        <w:t xml:space="preserve"> </w:t>
      </w:r>
      <w:r>
        <w:rPr>
          <w:b/>
        </w:rPr>
        <w:t xml:space="preserve">or</w:t>
      </w:r>
      <w:r>
        <w:rPr>
          <w:b/>
        </w:rPr>
        <w:t xml:space="preserve"> </w:t>
      </w:r>
      <w:r>
        <w:rPr>
          <w:rStyle w:val="VerbatimChar"/>
          <w:b/>
        </w:rPr>
        <w:t xml:space="preserve">email_gate</w:t>
      </w:r>
      <w:r>
        <w:rPr>
          <w:b/>
        </w:rPr>
        <w:t xml:space="preserve"> </w:t>
      </w:r>
      <w:r>
        <w:rPr>
          <w:b/>
        </w:rPr>
        <w:t xml:space="preserve">with NDA flag; served from the Vendor Assurance Room</w:t>
      </w:r>
      <w:r>
        <w:rPr>
          <w:b/>
        </w:rPr>
        <w:t xml:space="preserve"> </w:t>
      </w:r>
      <w:r>
        <w:rPr>
          <w:rStyle w:val="VerbatimChar"/>
          <w:b/>
        </w:rPr>
        <w:t xml:space="preserve">financial_statements</w:t>
      </w:r>
      <w:r>
        <w:rPr>
          <w:b/>
        </w:rPr>
        <w:t xml:space="preserve"> </w:t>
      </w:r>
      <w:r>
        <w:rPr>
          <w:b/>
        </w:rPr>
        <w:t xml:space="preserve">and</w:t>
      </w:r>
      <w:r>
        <w:rPr>
          <w:b/>
        </w:rPr>
        <w:t xml:space="preserve"> </w:t>
      </w:r>
      <w:r>
        <w:rPr>
          <w:rStyle w:val="VerbatimChar"/>
          <w:b/>
        </w:rPr>
        <w:t xml:space="preserve">incorporation_docs</w:t>
      </w:r>
      <w:r>
        <w:rPr>
          <w:b/>
        </w:rPr>
        <w:t xml:space="preserve"> </w:t>
      </w:r>
      <w:r>
        <w:rPr>
          <w:b/>
        </w:rPr>
        <w:t xml:space="preserve">types; never uploaded to the CMS).</w:t>
      </w:r>
      <w:r>
        <w:t xml:space="preserve"> </w:t>
      </w:r>
      <w:r>
        <w:t xml:space="preserve">"Audited financial statements, the certificate of incorporation and the information security policy summary are available on request to identified persons under confidentiality terms."</w:t>
      </w:r>
    </w:p>
    <w:p>
      <w:pPr>
        <w:pStyle w:val="BodyText"/>
      </w:pPr>
      <w:r>
        <w:rPr>
          <w:b/>
        </w:rPr>
        <w:t xml:space="preserve">IR contact.</w:t>
      </w:r>
      <w:r>
        <w:t xml:space="preserve"> </w:t>
      </w:r>
      <w:r>
        <w:t xml:space="preserve">[Named person], [direct email]. "We reply within five working days."</w:t>
      </w:r>
    </w:p>
    <w:p>
      <w:pPr>
        <w:pStyle w:val="BodyText"/>
      </w:pPr>
      <w:r>
        <w:rPr>
          <w:b/>
        </w:rPr>
        <w:t xml:space="preserve">Lint words that block publish on this page (IPB-04-66):</w:t>
      </w:r>
      <w:r>
        <w:t xml:space="preserve"> </w:t>
      </w:r>
      <w:r>
        <w:t xml:space="preserve">guarantee, assured return, will achieve, projected, projection, forecast, returns, IRR, valuation, raise, subscribe, offer.</w:t>
      </w:r>
    </w:p>
    <w:p>
      <w:r>
        <w:pict>
          <v:rect style="width:0;height:1.5pt" o:hralign="center" o:hrstd="t" o:hr="t"/>
        </w:pict>
      </w:r>
    </w:p>
    <w:p>
      <w:pPr>
        <w:pStyle w:val="Heading2"/>
      </w:pPr>
      <w:bookmarkStart w:id="35" w:name="X1db2b95b961940f4ca7214de8e89c836f784d28"/>
      <w:r>
        <w:t xml:space="preserve">12. Careers</w:t>
      </w:r>
      <w:bookmarkEnd w:id="35"/>
    </w:p>
    <w:p>
      <w:pPr>
        <w:pStyle w:val="FirstParagraph"/>
      </w:pPr>
      <w:r>
        <w:rPr>
          <w:b/>
        </w:rPr>
        <w:t xml:space="preserve">Route:</w:t>
      </w:r>
      <w:r>
        <w:t xml:space="preserve"> </w:t>
      </w:r>
      <w:r>
        <w:rPr>
          <w:rStyle w:val="VerbatimChar"/>
        </w:rPr>
        <w:t xml:space="preserve">/careers</w:t>
      </w:r>
      <w:r>
        <w:t xml:space="preserve"> </w:t>
      </w:r>
      <w:r>
        <w:t xml:space="preserve">·</w:t>
      </w:r>
      <w:r>
        <w:t xml:space="preserve"> </w:t>
      </w:r>
      <w:r>
        <w:rPr>
          <w:b/>
        </w:rPr>
        <w:t xml:space="preserve">SEO title:</w:t>
      </w:r>
      <w:r>
        <w:t xml:space="preserve"> </w:t>
      </w:r>
      <w:r>
        <w:t xml:space="preserve">Careers at LawDocsComply — Delhi, Noida, Jaipur and remote ·</w:t>
      </w:r>
      <w:r>
        <w:t xml:space="preserve"> </w:t>
      </w:r>
      <w:r>
        <w:rPr>
          <w:b/>
        </w:rPr>
        <w:t xml:space="preserve">Meta description:</w:t>
      </w:r>
      <w:r>
        <w:t xml:space="preserve"> </w:t>
      </w:r>
      <w:r>
        <w:t xml:space="preserve">Open roles in regulatory content, engineering, design, security and customer success. Equal-opportunity employer. Apply in two steps.</w:t>
      </w:r>
    </w:p>
    <w:p>
      <w:pPr>
        <w:pStyle w:val="BodyText"/>
      </w:pPr>
      <w:r>
        <w:rPr>
          <w:b/>
        </w:rPr>
        <w:t xml:space="preserve">h1: Work on the register regulated India runs on.</w:t>
      </w:r>
    </w:p>
    <w:p>
      <w:pPr>
        <w:pStyle w:val="BodyText"/>
      </w:pPr>
      <w:r>
        <w:rPr>
          <w:b/>
        </w:rPr>
        <w:t xml:space="preserve">Culture (short; facts).</w:t>
      </w:r>
      <w:r>
        <w:t xml:space="preserve"> </w:t>
      </w:r>
      <w:r>
        <w:t xml:space="preserve">"We are a small team spread across Delhi, Noida and Jaipur, with remote colleagues. We write things down. We review each other's work the way checkers review makers. We ship behind flags and roll back without drama. We take accessibility seriously because our users do." No "fast-paced", "rockstar", "family".</w:t>
      </w:r>
    </w:p>
    <w:p>
      <w:pPr>
        <w:pStyle w:val="BodyText"/>
      </w:pPr>
      <w:r>
        <w:rPr>
          <w:b/>
        </w:rPr>
        <w:t xml:space="preserve">Open roles (</w:t>
      </w:r>
      <w:r>
        <w:rPr>
          <w:rStyle w:val="VerbatimChar"/>
          <w:b/>
        </w:rPr>
        <w:t xml:space="preserve">job</w:t>
      </w:r>
      <w:r>
        <w:rPr>
          <w:b/>
        </w:rPr>
        <w:t xml:space="preserve"> </w:t>
      </w:r>
      <w:r>
        <w:rPr>
          <w:b/>
        </w:rPr>
        <w:t xml:space="preserve">items; filters: department, location, type).</w:t>
      </w:r>
      <w:r>
        <w:t xml:space="preserve"> </w:t>
      </w:r>
      <w:r>
        <w:t xml:space="preserve">Placeholders until HR posts: Regulatory Analyst — RBI (Company Secretary or CA; Noida or remote) · Regulatory Analyst — SEBI/IFSCA (Jaipur or remote) · Senior Full-Stack Engineer, TypeScript (Noida) · Security Engineer (Delhi or remote) · Product Designer with accessibility experience (remote) · Customer Success Manager — regulated entities (Delhi) · Technical Writer (remote) · Internships: regulatory content, engineering (per the group's internship policy [OWNER]). Each role: summary, what you will do, what you bring, location, type, salary range [OWNER],</w:t>
      </w:r>
      <w:r>
        <w:t xml:space="preserve"> </w:t>
      </w:r>
      <w:r>
        <w:rPr>
          <w:rStyle w:val="VerbatimChar"/>
        </w:rPr>
        <w:t xml:space="preserve">validThrough</w:t>
      </w:r>
      <w:r>
        <w:t xml:space="preserve">; closed roles return 410 with a link to open roles.</w:t>
      </w:r>
    </w:p>
    <w:p>
      <w:pPr>
        <w:pStyle w:val="BodyText"/>
      </w:pPr>
      <w:r>
        <w:rPr>
          <w:b/>
        </w:rPr>
        <w:t xml:space="preserve">Benefits (facts only [OWNER TO CONFIRM]).</w:t>
      </w:r>
      <w:r>
        <w:t xml:space="preserve"> </w:t>
      </w:r>
      <w:r>
        <w:t xml:space="preserve">Health insurance for you and dependants · Leave as per the group policy and State law · Learning allowance and professional membership fees · Remote-first with office days by agreement · Equipment provided.</w:t>
      </w:r>
    </w:p>
    <w:p>
      <w:pPr>
        <w:pStyle w:val="BodyText"/>
      </w:pPr>
      <w:r>
        <w:rPr>
          <w:b/>
        </w:rPr>
        <w:t xml:space="preserve">How we hire.</w:t>
      </w:r>
      <w:r>
        <w:t xml:space="preserve"> </w:t>
      </w:r>
      <w:r>
        <w:t xml:space="preserve">"Two conversations and one practical exercise related to the role. We tell you the outcome within ten working days of the last step. We never ask for a fee, a deposit or your Aadhaar number during hiring."</w:t>
      </w:r>
    </w:p>
    <w:p>
      <w:pPr>
        <w:pStyle w:val="BodyText"/>
      </w:pPr>
      <w:r>
        <w:rPr>
          <w:b/>
        </w:rPr>
        <w:t xml:space="preserve">Equal opportunity.</w:t>
      </w:r>
      <w:r>
        <w:t xml:space="preserve"> </w:t>
      </w:r>
      <w:r>
        <w:t xml:space="preserve">"We hire without regard to gender, religion, caste, disability, age, marital status or sexual orientation. If you need an accommodation at any stage, tell us and we will arrange it."</w:t>
      </w:r>
    </w:p>
    <w:p>
      <w:pPr>
        <w:pStyle w:val="BodyText"/>
      </w:pPr>
      <w:r>
        <w:rPr>
          <w:b/>
        </w:rPr>
        <w:t xml:space="preserve">Apply form.</w:t>
      </w:r>
      <w:r>
        <w:t xml:space="preserve"> </w:t>
      </w:r>
      <w:r>
        <w:t xml:space="preserve">Name, email, phone (optional), role, CV upload (PDF/DOCX, ≤ 5 MB, scanned), LinkedIn (optional), message; consent text</w:t>
      </w:r>
      <w:r>
        <w:t xml:space="preserve"> </w:t>
      </w:r>
      <w:r>
        <w:rPr>
          <w:rStyle w:val="VerbatimChar"/>
        </w:rPr>
        <w:t xml:space="preserve">consent.careers</w:t>
      </w:r>
      <w:r>
        <w:t xml:space="preserve">; posts to Operations Hub HR through</w:t>
      </w:r>
      <w:r>
        <w:t xml:space="preserve"> </w:t>
      </w:r>
      <w:r>
        <w:rPr>
          <w:rStyle w:val="VerbatimChar"/>
        </w:rPr>
        <w:t xml:space="preserve">HR_PORT</w:t>
      </w:r>
      <w:r>
        <w:t xml:space="preserve">; confirmation: "We have your application. Reference [id]."</w:t>
      </w:r>
    </w:p>
    <w:p>
      <w:r>
        <w:pict>
          <v:rect style="width:0;height:1.5pt" o:hralign="center" o:hrstd="t" o:hr="t"/>
        </w:pict>
      </w:r>
    </w:p>
    <w:p>
      <w:pPr>
        <w:pStyle w:val="Heading2"/>
      </w:pPr>
      <w:bookmarkStart w:id="36" w:name="Xff6080c8608d3f5fd8e366b8a70f01f5189b2e4"/>
      <w:r>
        <w:t xml:space="preserve">13. Press and media kit</w:t>
      </w:r>
      <w:bookmarkEnd w:id="36"/>
    </w:p>
    <w:p>
      <w:pPr>
        <w:pStyle w:val="FirstParagraph"/>
      </w:pPr>
      <w:r>
        <w:rPr>
          <w:b/>
        </w:rPr>
        <w:t xml:space="preserve">Route:</w:t>
      </w:r>
      <w:r>
        <w:t xml:space="preserve"> </w:t>
      </w:r>
      <w:r>
        <w:rPr>
          <w:rStyle w:val="VerbatimChar"/>
        </w:rPr>
        <w:t xml:space="preserve">/press</w:t>
      </w:r>
      <w:r>
        <w:t xml:space="preserve"> </w:t>
      </w:r>
      <w:r>
        <w:t xml:space="preserve">·</w:t>
      </w:r>
      <w:r>
        <w:t xml:space="preserve"> </w:t>
      </w:r>
      <w:r>
        <w:rPr>
          <w:b/>
        </w:rPr>
        <w:t xml:space="preserve">SEO title:</w:t>
      </w:r>
      <w:r>
        <w:t xml:space="preserve"> </w:t>
      </w:r>
      <w:r>
        <w:t xml:space="preserve">LawDocsComply press and media kit ·</w:t>
      </w:r>
      <w:r>
        <w:t xml:space="preserve"> </w:t>
      </w:r>
      <w:r>
        <w:rPr>
          <w:b/>
        </w:rPr>
        <w:t xml:space="preserve">Meta description:</w:t>
      </w:r>
      <w:r>
        <w:t xml:space="preserve"> </w:t>
      </w:r>
      <w:r>
        <w:t xml:space="preserve">Press releases, coverage with dates and links, logos, boilerplate and a named spokesperson.</w:t>
      </w:r>
    </w:p>
    <w:p>
      <w:pPr>
        <w:pStyle w:val="BodyText"/>
      </w:pPr>
      <w:r>
        <w:rPr>
          <w:b/>
        </w:rPr>
        <w:t xml:space="preserve">h1: Press.</w:t>
      </w:r>
    </w:p>
    <w:p>
      <w:pPr>
        <w:pStyle w:val="BodyText"/>
      </w:pPr>
      <w:r>
        <w:rPr>
          <w:b/>
        </w:rPr>
        <w:t xml:space="preserve">Boilerplate (80 words).</w:t>
      </w:r>
      <w:r>
        <w:t xml:space="preserve"> </w:t>
      </w:r>
      <w:r>
        <w:t xml:space="preserve">"LawDocsComply is a governance, risk and compliance platform for regulated entities in India — NBFCs, banks and co-operative banks, listed companies, funds and intermediaries, insurers, IFSC units — and for companies, LLPs and co-operative societies. It turns an entity's profile into cited obligations, runs maker–checker workflows with evidence, maps regulatory changes to obligations and keeps boards, risk functions and auditors on one record. LawDocsComply is part of the Infrabyx Group, with offices in Delhi, Noida and Jaipur."</w:t>
      </w:r>
    </w:p>
    <w:p>
      <w:pPr>
        <w:pStyle w:val="BodyText"/>
      </w:pPr>
      <w:r>
        <w:rPr>
          <w:b/>
        </w:rPr>
        <w:t xml:space="preserve">Releases (</w:t>
      </w:r>
      <w:r>
        <w:rPr>
          <w:rStyle w:val="VerbatimChar"/>
          <w:b/>
        </w:rPr>
        <w:t xml:space="preserve">press_item kind=release</w:t>
      </w:r>
      <w:r>
        <w:rPr>
          <w:b/>
        </w:rPr>
        <w:t xml:space="preserve">, dated).</w:t>
      </w:r>
      <w:r>
        <w:t xml:space="preserve"> </w:t>
      </w:r>
      <w:r>
        <w:t xml:space="preserve">Placeholder: "[Date] — LawDocsComply publishes template contract v2.0 and the RBI directions catalogue" (facts from the pack; E1).</w:t>
      </w:r>
    </w:p>
    <w:p>
      <w:pPr>
        <w:pStyle w:val="BodyText"/>
      </w:pPr>
      <w:r>
        <w:rPr>
          <w:b/>
        </w:rPr>
        <w:t xml:space="preserve">Coverage.</w:t>
      </w:r>
      <w:r>
        <w:t xml:space="preserve"> </w:t>
      </w:r>
      <w:r>
        <w:t xml:space="preserve">Each item: date, outlet, headline, URL to the article (never an outlet homepage). No undated walls, no logos of outlets without a linked article.</w:t>
      </w:r>
    </w:p>
    <w:p>
      <w:pPr>
        <w:pStyle w:val="BodyText"/>
      </w:pPr>
      <w:r>
        <w:rPr>
          <w:b/>
        </w:rPr>
        <w:t xml:space="preserve">Media kit.</w:t>
      </w:r>
      <w:r>
        <w:t xml:space="preserve"> </w:t>
      </w:r>
      <w:r>
        <w:t xml:space="preserve">Logos (SVG, PNG, light and dark, monochrome) from the brand pack; product screenshots with synthetic data; leadership photos with recorded consent; the boilerplate; brand colours (forest green #0F4C3A, gold #C9A227) and typeface (IBM Plex Sans) for correct reproduction.</w:t>
      </w:r>
    </w:p>
    <w:p>
      <w:pPr>
        <w:pStyle w:val="BodyText"/>
      </w:pPr>
      <w:r>
        <w:rPr>
          <w:b/>
        </w:rPr>
        <w:t xml:space="preserve">Spokesperson.</w:t>
      </w:r>
      <w:r>
        <w:t xml:space="preserve"> </w:t>
      </w:r>
      <w:r>
        <w:t xml:space="preserve">[Name], [role],</w:t>
      </w:r>
      <w:r>
        <w:t xml:space="preserve"> </w:t>
      </w:r>
      <w:hyperlink r:id="rId37">
        <w:r>
          <w:rPr>
            <w:rStyle w:val="Hyperlink"/>
          </w:rPr>
          <w:t xml:space="preserve">press@lawdocscomply.com</w:t>
        </w:r>
      </w:hyperlink>
      <w:r>
        <w:t xml:space="preserve"> </w:t>
      </w:r>
      <w:r>
        <w:t xml:space="preserve">[VERIFY mailbox], [phone]. "We respond to media within one working day."</w:t>
      </w:r>
    </w:p>
    <w:p>
      <w:r>
        <w:pict>
          <v:rect style="width:0;height:1.5pt" o:hralign="center" o:hrstd="t" o:hr="t"/>
        </w:pict>
      </w:r>
    </w:p>
    <w:p>
      <w:pPr>
        <w:pStyle w:val="Heading2"/>
      </w:pPr>
      <w:bookmarkStart w:id="38" w:name="X5b6750fc1693bd9324e62762e332f140ff73f37"/>
      <w:r>
        <w:t xml:space="preserve">14. Partners</w:t>
      </w:r>
      <w:bookmarkEnd w:id="38"/>
    </w:p>
    <w:p>
      <w:pPr>
        <w:pStyle w:val="FirstParagraph"/>
      </w:pPr>
      <w:r>
        <w:rPr>
          <w:b/>
        </w:rPr>
        <w:t xml:space="preserve">Route:</w:t>
      </w:r>
      <w:r>
        <w:t xml:space="preserve"> </w:t>
      </w:r>
      <w:r>
        <w:rPr>
          <w:rStyle w:val="VerbatimChar"/>
        </w:rPr>
        <w:t xml:space="preserve">/partners</w:t>
      </w:r>
      <w:r>
        <w:t xml:space="preserve"> </w:t>
      </w:r>
      <w:r>
        <w:t xml:space="preserve">·</w:t>
      </w:r>
      <w:r>
        <w:t xml:space="preserve"> </w:t>
      </w:r>
      <w:r>
        <w:rPr>
          <w:b/>
        </w:rPr>
        <w:t xml:space="preserve">SEO title:</w:t>
      </w:r>
      <w:r>
        <w:t xml:space="preserve"> </w:t>
      </w:r>
      <w:r>
        <w:t xml:space="preserve">LawDocsComply partners — content, implementation, audit and technology ·</w:t>
      </w:r>
      <w:r>
        <w:t xml:space="preserve"> </w:t>
      </w:r>
      <w:r>
        <w:rPr>
          <w:b/>
        </w:rPr>
        <w:t xml:space="preserve">Meta description:</w:t>
      </w:r>
      <w:r>
        <w:t xml:space="preserve"> </w:t>
      </w:r>
      <w:r>
        <w:t xml:space="preserve">Partner with LawDocsComply as a regulatory content reviewer, implementation partner, auditor or practitioner, or technology partner. No regulator endorsement is implied.</w:t>
      </w:r>
    </w:p>
    <w:p>
      <w:pPr>
        <w:pStyle w:val="BodyText"/>
      </w:pPr>
      <w:r>
        <w:rPr>
          <w:b/>
        </w:rPr>
        <w:t xml:space="preserve">h1: Partners.</w:t>
      </w:r>
      <w:r>
        <w:t xml:space="preserve"> </w:t>
      </w:r>
      <w:r>
        <w:t xml:space="preserve">Intro: "LawDocsComply works with four kinds of partners. Each has a defined role, a defined boundary and its own terms."</w:t>
      </w:r>
    </w:p>
    <w:p>
      <w:pPr>
        <w:pStyle w:val="BodyText"/>
      </w:pPr>
      <w:r>
        <w:rPr>
          <w:b/>
        </w:rPr>
        <w:t xml:space="preserve">Partner types.</w:t>
      </w:r>
    </w:p>
    <w:p>
      <w:pPr>
        <w:numPr>
          <w:ilvl w:val="0"/>
          <w:numId w:val="1011"/>
        </w:numPr>
        <w:pStyle w:val="Compact"/>
      </w:pPr>
      <w:r>
        <w:rPr>
          <w:b/>
        </w:rPr>
        <w:t xml:space="preserve">Content partners and reviewers of record</w:t>
      </w:r>
      <w:r>
        <w:t xml:space="preserve"> </w:t>
      </w:r>
      <w:r>
        <w:t xml:space="preserve">— company secretaries, chartered accountants and advocates (and, for other jurisdictions, local firms) who review question sheets and are named as the reviewer of record on each instrument. "Reviewers of record sign off on content; they do not advise our customers through the platform unless engaged separately."</w:t>
      </w:r>
    </w:p>
    <w:p>
      <w:pPr>
        <w:numPr>
          <w:ilvl w:val="0"/>
          <w:numId w:val="1011"/>
        </w:numPr>
        <w:pStyle w:val="Compact"/>
      </w:pPr>
      <w:r>
        <w:rPr>
          <w:b/>
        </w:rPr>
        <w:t xml:space="preserve">Implementation partners</w:t>
      </w:r>
      <w:r>
        <w:t xml:space="preserve"> </w:t>
      </w:r>
      <w:r>
        <w:t xml:space="preserve">— firms that help customers onboard, map departments, import existing trackers and run the first compliance cycle.</w:t>
      </w:r>
    </w:p>
    <w:p>
      <w:pPr>
        <w:numPr>
          <w:ilvl w:val="0"/>
          <w:numId w:val="1011"/>
        </w:numPr>
        <w:pStyle w:val="Compact"/>
      </w:pPr>
      <w:r>
        <w:rPr>
          <w:b/>
        </w:rPr>
        <w:t xml:space="preserve">Practitioners and auditors</w:t>
      </w:r>
      <w:r>
        <w:t xml:space="preserve"> </w:t>
      </w:r>
      <w:r>
        <w:t xml:space="preserve">— professionals listed in the Marketplace for retainers and audits under their institutes' rules. "We never invoice for a practitioner's services, and we never share professional fees."</w:t>
      </w:r>
    </w:p>
    <w:p>
      <w:pPr>
        <w:numPr>
          <w:ilvl w:val="0"/>
          <w:numId w:val="1011"/>
        </w:numPr>
        <w:pStyle w:val="Compact"/>
      </w:pPr>
      <w:r>
        <w:rPr>
          <w:b/>
        </w:rPr>
        <w:t xml:space="preserve">Technology partners</w:t>
      </w:r>
      <w:r>
        <w:t xml:space="preserve"> </w:t>
      </w:r>
      <w:r>
        <w:t xml:space="preserve">— connectors (Microsoft 365, Google Workspace, Tally, ITSM tools), eSign providers, company-data providers, and lending-system vendors who integrate through our public API and connector marketplace.</w:t>
      </w:r>
    </w:p>
    <w:p>
      <w:pPr>
        <w:pStyle w:val="FirstParagraph"/>
      </w:pPr>
      <w:r>
        <w:rPr>
          <w:b/>
        </w:rPr>
        <w:t xml:space="preserve">Logo wall.</w:t>
      </w:r>
      <w:r>
        <w:t xml:space="preserve"> </w:t>
      </w:r>
      <w:r>
        <w:t xml:space="preserve">Only partners with a signed permission record (</w:t>
      </w:r>
      <w:r>
        <w:rPr>
          <w:rStyle w:val="VerbatimChar"/>
        </w:rPr>
        <w:t xml:space="preserve">claims_ref</w:t>
      </w:r>
      <w:r>
        <w:t xml:space="preserve">). No regulator, court or government logo. No "as seen in".</w:t>
      </w:r>
    </w:p>
    <w:p>
      <w:pPr>
        <w:pStyle w:val="BodyText"/>
      </w:pPr>
      <w:r>
        <w:rPr>
          <w:b/>
        </w:rPr>
        <w:t xml:space="preserve">Become a partner (form → CRM).</w:t>
      </w:r>
      <w:r>
        <w:t xml:space="preserve"> </w:t>
      </w:r>
      <w:r>
        <w:t xml:space="preserve">Name, organisation, type, email, phone (optional), message,</w:t>
      </w:r>
      <w:r>
        <w:t xml:space="preserve"> </w:t>
      </w:r>
      <w:r>
        <w:rPr>
          <w:rStyle w:val="VerbatimChar"/>
        </w:rPr>
        <w:t xml:space="preserve">consent.contact_form</w:t>
      </w:r>
      <w:r>
        <w:t xml:space="preserve">. "We reply within five working days with the partner terms for your type."</w:t>
      </w:r>
    </w:p>
    <w:p>
      <w:r>
        <w:pict>
          <v:rect style="width:0;height:1.5pt" o:hralign="center" o:hrstd="t" o:hr="t"/>
        </w:pict>
      </w:r>
    </w:p>
    <w:p>
      <w:pPr>
        <w:pStyle w:val="Heading2"/>
      </w:pPr>
      <w:bookmarkStart w:id="39" w:name="X4a49766cd0b2765170ae89a38871d333596d6c2"/>
      <w:r>
        <w:t xml:space="preserve">15. Contact</w:t>
      </w:r>
      <w:bookmarkEnd w:id="39"/>
    </w:p>
    <w:p>
      <w:pPr>
        <w:pStyle w:val="FirstParagraph"/>
      </w:pPr>
      <w:r>
        <w:rPr>
          <w:b/>
        </w:rPr>
        <w:t xml:space="preserve">Route:</w:t>
      </w:r>
      <w:r>
        <w:t xml:space="preserve"> </w:t>
      </w:r>
      <w:r>
        <w:rPr>
          <w:rStyle w:val="VerbatimChar"/>
        </w:rPr>
        <w:t xml:space="preserve">/contact</w:t>
      </w:r>
      <w:r>
        <w:t xml:space="preserve"> </w:t>
      </w:r>
      <w:r>
        <w:t xml:space="preserve">·</w:t>
      </w:r>
      <w:r>
        <w:t xml:space="preserve"> </w:t>
      </w:r>
      <w:r>
        <w:rPr>
          <w:b/>
        </w:rPr>
        <w:t xml:space="preserve">SEO title:</w:t>
      </w:r>
      <w:r>
        <w:t xml:space="preserve"> </w:t>
      </w:r>
      <w:r>
        <w:t xml:space="preserve">Contact LawDocsComply — Delhi, Noida and Jaipur ·</w:t>
      </w:r>
      <w:r>
        <w:t xml:space="preserve"> </w:t>
      </w:r>
      <w:r>
        <w:rPr>
          <w:b/>
        </w:rPr>
        <w:t xml:space="preserve">Meta description:</w:t>
      </w:r>
      <w:r>
        <w:t xml:space="preserve"> </w:t>
      </w:r>
      <w:r>
        <w:t xml:space="preserve">Talk to us about compliance software for your entity, support, partnerships or the press. Offices in Delhi, Noida and Jaipur. Grievance Officer and data protection contact listed.</w:t>
      </w:r>
    </w:p>
    <w:p>
      <w:pPr>
        <w:pStyle w:val="BodyText"/>
      </w:pPr>
      <w:r>
        <w:rPr>
          <w:b/>
        </w:rPr>
        <w:t xml:space="preserve">h1: Contact us.</w:t>
      </w:r>
    </w:p>
    <w:p>
      <w:pPr>
        <w:pStyle w:val="BodyText"/>
      </w:pPr>
      <w:r>
        <w:rPr>
          <w:b/>
        </w:rPr>
        <w:t xml:space="preserve">Form.</w:t>
      </w:r>
      <w:r>
        <w:t xml:space="preserve"> </w:t>
      </w:r>
      <w:r>
        <w:t xml:space="preserve">Name · Work email · Phone (optional) · Entity type (select) · What is this about? (Sales, Support, Partnership, Press, Grievance → redirects to</w:t>
      </w:r>
      <w:r>
        <w:t xml:space="preserve"> </w:t>
      </w:r>
      <w:r>
        <w:rPr>
          <w:rStyle w:val="VerbatimChar"/>
        </w:rPr>
        <w:t xml:space="preserve">/grievance</w:t>
      </w:r>
      <w:r>
        <w:t xml:space="preserve">, Accessibility, Other) · Message · Notice:</w:t>
      </w:r>
      <w:r>
        <w:t xml:space="preserve"> </w:t>
      </w:r>
      <w:r>
        <w:rPr>
          <w:rStyle w:val="VerbatimChar"/>
        </w:rPr>
        <w:t xml:space="preserve">consent.contact_form</w:t>
      </w:r>
      <w:r>
        <w:t xml:space="preserve"> </w:t>
      </w:r>
      <w:r>
        <w:t xml:space="preserve">· Optional unticked:</w:t>
      </w:r>
      <w:r>
        <w:t xml:space="preserve"> </w:t>
      </w:r>
      <w:r>
        <w:rPr>
          <w:rStyle w:val="VerbatimChar"/>
        </w:rPr>
        <w:t xml:space="preserve">consent.marketing.email</w:t>
      </w:r>
      <w:r>
        <w:t xml:space="preserve">. Confirmation: "Thank you. Reference [id]. We reply within two working days for sales and partnership enquiries; support requests from customers are faster through Help in the app."</w:t>
      </w:r>
    </w:p>
    <w:p>
      <w:pPr>
        <w:pStyle w:val="BodyText"/>
      </w:pPr>
      <w:r>
        <w:rPr>
          <w:b/>
        </w:rPr>
        <w:t xml:space="preserve">Offices (CMS-managed; static click-to-load map images;</w:t>
      </w:r>
      <w:r>
        <w:rPr>
          <w:b/>
        </w:rPr>
        <w:t xml:space="preserve"> </w:t>
      </w:r>
      <w:r>
        <w:rPr>
          <w:rStyle w:val="VerbatimChar"/>
          <w:b/>
        </w:rPr>
        <w:t xml:space="preserve">img.about.offices.*</w:t>
      </w:r>
      <w:r>
        <w:rPr>
          <w:b/>
        </w:rPr>
        <w:t xml:space="preserve">).</w:t>
      </w:r>
    </w:p>
    <w:p>
      <w:pPr>
        <w:numPr>
          <w:ilvl w:val="0"/>
          <w:numId w:val="1012"/>
        </w:numPr>
        <w:pStyle w:val="Compact"/>
      </w:pPr>
      <w:r>
        <w:rPr>
          <w:b/>
        </w:rPr>
        <w:t xml:space="preserve">Delhi</w:t>
      </w:r>
      <w:r>
        <w:t xml:space="preserve"> </w:t>
      </w:r>
      <w:r>
        <w:t xml:space="preserve">— [address placeholder], New Delhi [PIN]. [Hours]</w:t>
      </w:r>
    </w:p>
    <w:p>
      <w:pPr>
        <w:numPr>
          <w:ilvl w:val="0"/>
          <w:numId w:val="1012"/>
        </w:numPr>
        <w:pStyle w:val="Compact"/>
      </w:pPr>
      <w:r>
        <w:rPr>
          <w:b/>
        </w:rPr>
        <w:t xml:space="preserve">Noida</w:t>
      </w:r>
      <w:r>
        <w:t xml:space="preserve"> </w:t>
      </w:r>
      <w:r>
        <w:t xml:space="preserve">— [address placeholder], Noida, Uttar Pradesh [PIN]. [Hours]</w:t>
      </w:r>
    </w:p>
    <w:p>
      <w:pPr>
        <w:numPr>
          <w:ilvl w:val="0"/>
          <w:numId w:val="1012"/>
        </w:numPr>
        <w:pStyle w:val="Compact"/>
      </w:pPr>
      <w:r>
        <w:rPr>
          <w:b/>
        </w:rPr>
        <w:t xml:space="preserve">Jaipur</w:t>
      </w:r>
      <w:r>
        <w:t xml:space="preserve"> </w:t>
      </w:r>
      <w:r>
        <w:t xml:space="preserve">— [address placeholder], Jaipur, Rajasthan [PIN]. [Hours]</w:t>
      </w:r>
    </w:p>
    <w:p>
      <w:pPr>
        <w:pStyle w:val="FirstParagraph"/>
      </w:pPr>
      <w:r>
        <w:rPr>
          <w:b/>
        </w:rPr>
        <w:t xml:space="preserve">Other channels.</w:t>
      </w:r>
      <w:r>
        <w:t xml:space="preserve"> </w:t>
      </w:r>
      <w:r>
        <w:t xml:space="preserve">Support (customers): Help › Raise a request in the app, or</w:t>
      </w:r>
      <w:r>
        <w:t xml:space="preserve"> </w:t>
      </w:r>
      <w:hyperlink r:id="rId40">
        <w:r>
          <w:rPr>
            <w:rStyle w:val="Hyperlink"/>
          </w:rPr>
          <w:t xml:space="preserve">support@lawdocscomply.com</w:t>
        </w:r>
      </w:hyperlink>
      <w:r>
        <w:t xml:space="preserve">. WhatsApp: a labelled button "Message us on WhatsApp" that opens</w:t>
      </w:r>
      <w:r>
        <w:t xml:space="preserve"> </w:t>
      </w:r>
      <w:r>
        <w:rPr>
          <w:rStyle w:val="VerbatimChar"/>
        </w:rPr>
        <w:t xml:space="preserve">wa.me</w:t>
      </w:r>
      <w:r>
        <w:t xml:space="preserve"> </w:t>
      </w:r>
      <w:r>
        <w:t xml:space="preserve">only after an explicit click, with the notice: "Messaging us on WhatsApp means WhatsApp's own terms apply. We use it for your enquiry only. Reply STOP to opt out." (</w:t>
      </w:r>
      <w:r>
        <w:rPr>
          <w:rStyle w:val="VerbatimChar"/>
        </w:rPr>
        <w:t xml:space="preserve">consent.marketing.whatsapp</w:t>
      </w:r>
      <w:r>
        <w:t xml:space="preserve"> </w:t>
      </w:r>
      <w:r>
        <w:t xml:space="preserve">for any later marketing). Phone: [support phone], [hours].</w:t>
      </w:r>
    </w:p>
    <w:p>
      <w:pPr>
        <w:pStyle w:val="BodyText"/>
      </w:pPr>
      <w:r>
        <w:rPr>
          <w:b/>
        </w:rPr>
        <w:t xml:space="preserve">Officers (also in the footer).</w:t>
      </w:r>
      <w:r>
        <w:t xml:space="preserve"> </w:t>
      </w:r>
      <w:r>
        <w:t xml:space="preserve">Grievance Officer: [name],</w:t>
      </w:r>
      <w:r>
        <w:t xml:space="preserve"> </w:t>
      </w:r>
      <w:hyperlink r:id="rId41">
        <w:r>
          <w:rPr>
            <w:rStyle w:val="Hyperlink"/>
          </w:rPr>
          <w:t xml:space="preserve">grievance@lawdocscomply.com</w:t>
        </w:r>
      </w:hyperlink>
      <w:r>
        <w:t xml:space="preserve">, [postal address], [hours] →</w:t>
      </w:r>
      <w:r>
        <w:t xml:space="preserve"> </w:t>
      </w:r>
      <w:r>
        <w:rPr>
          <w:rStyle w:val="VerbatimChar"/>
        </w:rPr>
        <w:t xml:space="preserve">/grievance</w:t>
      </w:r>
      <w:r>
        <w:t xml:space="preserve">. Data protection contact: [name],</w:t>
      </w:r>
      <w:r>
        <w:t xml:space="preserve"> </w:t>
      </w:r>
      <w:hyperlink r:id="rId42">
        <w:r>
          <w:rPr>
            <w:rStyle w:val="Hyperlink"/>
          </w:rPr>
          <w:t xml:space="preserve">privacy@lawdocscomply.com</w:t>
        </w:r>
      </w:hyperlink>
      <w:r>
        <w:t xml:space="preserve">. Security:</w:t>
      </w:r>
      <w:r>
        <w:t xml:space="preserve"> </w:t>
      </w:r>
      <w:hyperlink r:id="rId32">
        <w:r>
          <w:rPr>
            <w:rStyle w:val="Hyperlink"/>
          </w:rPr>
          <w:t xml:space="preserve">security@lawdocscomply.com</w:t>
        </w:r>
      </w:hyperlink>
      <w:r>
        <w:t xml:space="preserve"> </w:t>
      </w:r>
      <w:r>
        <w:t xml:space="preserve">(→</w:t>
      </w:r>
      <w:r>
        <w:t xml:space="preserve"> </w:t>
      </w:r>
      <w:r>
        <w:rPr>
          <w:rStyle w:val="VerbatimChar"/>
        </w:rPr>
        <w:t xml:space="preserve">/security</w:t>
      </w:r>
      <w:r>
        <w:t xml:space="preserve">). Accessibility:</w:t>
      </w:r>
      <w:r>
        <w:t xml:space="preserve"> </w:t>
      </w:r>
      <w:hyperlink r:id="rId33">
        <w:r>
          <w:rPr>
            <w:rStyle w:val="Hyperlink"/>
          </w:rPr>
          <w:t xml:space="preserve">accessibility@lawdocscomply.com</w:t>
        </w:r>
      </w:hyperlink>
      <w:r>
        <w:t xml:space="preserve">.</w:t>
      </w:r>
    </w:p>
    <w:p>
      <w:pPr>
        <w:pStyle w:val="BodyText"/>
      </w:pPr>
      <w:r>
        <w:rPr>
          <w:b/>
        </w:rPr>
        <w:t xml:space="preserve">Entity line.</w:t>
      </w:r>
      <w:r>
        <w:t xml:space="preserve"> </w:t>
      </w:r>
      <w:r>
        <w:t xml:space="preserve">[Legal name], CIN [CIN], GSTIN [GSTIN], registered office [address].</w:t>
      </w:r>
    </w:p>
    <w:p>
      <w:r>
        <w:pict>
          <v:rect style="width:0;height:1.5pt" o:hralign="center" o:hrstd="t" o:hr="t"/>
        </w:pict>
      </w:r>
    </w:p>
    <w:p>
      <w:pPr>
        <w:pStyle w:val="Heading2"/>
      </w:pPr>
      <w:bookmarkStart w:id="43" w:name="X5d5a511a274f70530dfbde614bda80cb9e268d5"/>
      <w:r>
        <w:t xml:space="preserve">16. Documentation and developer portal landing</w:t>
      </w:r>
      <w:bookmarkEnd w:id="43"/>
    </w:p>
    <w:p>
      <w:pPr>
        <w:pStyle w:val="FirstParagraph"/>
      </w:pPr>
      <w:r>
        <w:rPr>
          <w:b/>
        </w:rPr>
        <w:t xml:space="preserve">Route:</w:t>
      </w:r>
      <w:r>
        <w:t xml:space="preserve"> </w:t>
      </w:r>
      <w:r>
        <w:rPr>
          <w:rStyle w:val="VerbatimChar"/>
        </w:rPr>
        <w:t xml:space="preserve">/docs</w:t>
      </w:r>
      <w:r>
        <w:t xml:space="preserve"> </w:t>
      </w:r>
      <w:r>
        <w:t xml:space="preserve">(link-out to</w:t>
      </w:r>
      <w:r>
        <w:t xml:space="preserve"> </w:t>
      </w:r>
      <w:r>
        <w:rPr>
          <w:rStyle w:val="VerbatimChar"/>
        </w:rPr>
        <w:t xml:space="preserve">developers.lawdocscomply.com</w:t>
      </w:r>
      <w:r>
        <w:t xml:space="preserve">) ·</w:t>
      </w:r>
      <w:r>
        <w:t xml:space="preserve"> </w:t>
      </w:r>
      <w:r>
        <w:rPr>
          <w:b/>
        </w:rPr>
        <w:t xml:space="preserve">SEO title:</w:t>
      </w:r>
      <w:r>
        <w:t xml:space="preserve"> </w:t>
      </w:r>
      <w:r>
        <w:t xml:space="preserve">LawDocsComply documentation and developer portal ·</w:t>
      </w:r>
      <w:r>
        <w:t xml:space="preserve"> </w:t>
      </w:r>
      <w:r>
        <w:rPr>
          <w:b/>
        </w:rPr>
        <w:t xml:space="preserve">Meta description:</w:t>
      </w:r>
      <w:r>
        <w:t xml:space="preserve"> </w:t>
      </w:r>
      <w:r>
        <w:t xml:space="preserve">API reference (OpenAPI 3.1), event catalogue (AsyncAPI 3.0), webhooks, connector marketplace, sandbox tenants, MCP server and SDKs for LawDocsComply.</w:t>
      </w:r>
    </w:p>
    <w:p>
      <w:pPr>
        <w:pStyle w:val="BodyText"/>
      </w:pPr>
      <w:r>
        <w:rPr>
          <w:b/>
        </w:rPr>
        <w:t xml:space="preserve">h1: Build with LawDocsComply.</w:t>
      </w:r>
      <w:r>
        <w:t xml:space="preserve"> </w:t>
      </w:r>
      <w:r>
        <w:t xml:space="preserve">Intro: "Everything in the product is available through versioned APIs and events. The developer portal shares our brand, our cookie consent and our footer; it runs on the same accessibility standard."</w:t>
      </w:r>
    </w:p>
    <w:p>
      <w:pPr>
        <w:pStyle w:val="BodyText"/>
      </w:pPr>
      <w:r>
        <w:rPr>
          <w:b/>
        </w:rPr>
        <w:t xml:space="preserve">Blocks.</w:t>
      </w:r>
      <w:r>
        <w:t xml:space="preserve"> </w:t>
      </w:r>
      <w:r>
        <w:t xml:space="preserve">Getting started (sandbox tenant in minutes, synthetic data per family, time-travel clock for deadlines) · Authentication (OAuth 2.0/OIDC for users, client credentials for services, scoped API keys</w:t>
      </w:r>
      <w:r>
        <w:t xml:space="preserve"> </w:t>
      </w:r>
      <w:r>
        <w:rPr>
          <w:rStyle w:val="VerbatimChar"/>
        </w:rPr>
        <w:t xml:space="preserve">ldck_</w:t>
      </w:r>
      <w:r>
        <w:t xml:space="preserve">) · API reference (</w:t>
      </w:r>
      <w:r>
        <w:rPr>
          <w:rStyle w:val="VerbatimChar"/>
        </w:rPr>
        <w:t xml:space="preserve">/v1</w:t>
      </w:r>
      <w:r>
        <w:t xml:space="preserve">, RFC 9457 problem details, idempotency keys, cursor pagination) · Events and webhooks (CloudEvents, Standard Webhooks signatures, retry schedule, webhook designer) · Connector marketplace (manifest, certification, permission preview) · MCP server (</w:t>
      </w:r>
      <w:r>
        <w:rPr>
          <w:rStyle w:val="VerbatimChar"/>
        </w:rPr>
        <w:t xml:space="preserve">ldc-mcp</w:t>
      </w:r>
      <w:r>
        <w:t xml:space="preserve">: let your own AI assistant query obligations, due items and evidence status as the signed-in user; off by default; enabled by your administrator) · SDKs (TypeScript, Python; generated) · Status and changelog links · Rate limits page.</w:t>
      </w:r>
    </w:p>
    <w:p>
      <w:pPr>
        <w:pStyle w:val="BodyText"/>
      </w:pPr>
      <w:r>
        <w:rPr>
          <w:b/>
        </w:rPr>
        <w:t xml:space="preserve">Boundary.</w:t>
      </w:r>
      <w:r>
        <w:t xml:space="preserve"> </w:t>
      </w:r>
      <w:r>
        <w:t xml:space="preserve">"APIs expose your data under your permissions. Sealed data classes are never returned by the API or the MCP server."</w:t>
      </w:r>
    </w:p>
    <w:p>
      <w:r>
        <w:pict>
          <v:rect style="width:0;height:1.5pt" o:hralign="center" o:hrstd="t" o:hr="t"/>
        </w:pict>
      </w:r>
    </w:p>
    <w:p>
      <w:pPr>
        <w:pStyle w:val="Heading2"/>
      </w:pPr>
      <w:bookmarkStart w:id="44" w:name="X32d5a9c6c0623c5fa77d37526b243ff114eb3d5"/>
      <w:r>
        <w:t xml:space="preserve">17. Trust Centre</w:t>
      </w:r>
      <w:bookmarkEnd w:id="44"/>
    </w:p>
    <w:p>
      <w:pPr>
        <w:pStyle w:val="FirstParagraph"/>
      </w:pPr>
      <w:r>
        <w:rPr>
          <w:b/>
        </w:rPr>
        <w:t xml:space="preserve">Route:</w:t>
      </w:r>
      <w:r>
        <w:t xml:space="preserve"> </w:t>
      </w:r>
      <w:r>
        <w:rPr>
          <w:rStyle w:val="VerbatimChar"/>
        </w:rPr>
        <w:t xml:space="preserve">/trust</w:t>
      </w:r>
      <w:r>
        <w:t xml:space="preserve"> </w:t>
      </w:r>
      <w:r>
        <w:t xml:space="preserve">·</w:t>
      </w:r>
      <w:r>
        <w:t xml:space="preserve"> </w:t>
      </w:r>
      <w:r>
        <w:rPr>
          <w:b/>
        </w:rPr>
        <w:t xml:space="preserve">SEO title:</w:t>
      </w:r>
      <w:r>
        <w:t xml:space="preserve"> </w:t>
      </w:r>
      <w:r>
        <w:t xml:space="preserve">LawDocsComply Trust Centre — security, privacy, residency and vendor assurance ·</w:t>
      </w:r>
      <w:r>
        <w:t xml:space="preserve"> </w:t>
      </w:r>
      <w:r>
        <w:rPr>
          <w:b/>
        </w:rPr>
        <w:t xml:space="preserve">Meta description:</w:t>
      </w:r>
      <w:r>
        <w:t xml:space="preserve"> </w:t>
      </w:r>
      <w:r>
        <w:t xml:space="preserve">How LawDocsComply protects your data: India residency, tenant isolation, encryption, access control, incident response, AI data use, sub-processors, VAPT summaries, and the Vendor Assurance Room for regulated customers. We list only what we hold.</w:t>
      </w:r>
    </w:p>
    <w:p>
      <w:pPr>
        <w:pStyle w:val="BodyText"/>
      </w:pPr>
      <w:r>
        <w:rPr>
          <w:b/>
        </w:rPr>
        <w:t xml:space="preserve">h1: Trust Centre.</w:t>
      </w:r>
      <w:r>
        <w:t xml:space="preserve"> </w:t>
      </w:r>
      <w:r>
        <w:t xml:space="preserve">Intro: "This page is rendered from our Vendor Assurance Room — the same registry our customers' regulators see. Certifications appear here only when a certificate exists, with issuer, scope and validity. Standards we are working towards are labelled 'in progress', never shown as badges."</w:t>
      </w:r>
    </w:p>
    <w:p>
      <w:pPr>
        <w:pStyle w:val="BodyText"/>
      </w:pPr>
      <w:r>
        <w:rPr>
          <w:b/>
        </w:rPr>
        <w:t xml:space="preserve">Security overview (plain statements; no over-claiming).</w:t>
      </w:r>
      <w:r>
        <w:t xml:space="preserve"> </w:t>
      </w:r>
      <w:r>
        <w:t xml:space="preserve">Data encrypted in transit (TLS 1.2+) and at rest · Every tenant isolated at the database level with row-level security, tested on every build · Multi-factor authentication required for administrators; passkeys available to all · Role-based access with maker–checker on regulated actions · Hash-chained audit ledger on every record · Malware scanning on every upload · Vulnerability scanning on every build; penetration testing by a CERT-In empanelled auditor at least annually · Incident response tested; CERT-In six-hour reporting; regulated customers notified within their contractual window · Backups with immutable storage; disaster recovery in Hyderabad.</w:t>
      </w:r>
    </w:p>
    <w:p>
      <w:pPr>
        <w:pStyle w:val="BodyText"/>
      </w:pPr>
      <w:r>
        <w:rPr>
          <w:b/>
        </w:rPr>
        <w:t xml:space="preserve">Data residency.</w:t>
      </w:r>
      <w:r>
        <w:t xml:space="preserve"> </w:t>
      </w:r>
      <w:r>
        <w:t xml:space="preserve">"Primary systems in Mumbai (ap-south-1), disaster recovery in Hyderabad (ap-south-2). Confidential, financial, legal and regulated data — including everything you upload — is processed only on India-resident systems and AI endpoints. For public, non-personal content we may use processors outside India under contract; the list is below." Image:</w:t>
      </w:r>
      <w:r>
        <w:t xml:space="preserve"> </w:t>
      </w:r>
      <w:r>
        <w:rPr>
          <w:rStyle w:val="VerbatimChar"/>
        </w:rPr>
        <w:t xml:space="preserve">img.trust.residency</w:t>
      </w:r>
      <w:r>
        <w:t xml:space="preserve"> </w:t>
      </w:r>
      <w:r>
        <w:t xml:space="preserve">with a text alternative.</w:t>
      </w:r>
    </w:p>
    <w:p>
      <w:pPr>
        <w:pStyle w:val="BodyText"/>
      </w:pPr>
      <w:r>
        <w:rPr>
          <w:b/>
        </w:rPr>
        <w:t xml:space="preserve">AI data use.</w:t>
      </w:r>
      <w:r>
        <w:t xml:space="preserve"> </w:t>
      </w:r>
      <w:r>
        <w:t xml:space="preserve">"Your content is not used to train any model. AI providers are bound to zero retention. The provider used for each output is shown in the output's details. Vidhi drafts; people decide. See the AI Use &amp; Transparency Policy."</w:t>
      </w:r>
    </w:p>
    <w:p>
      <w:pPr>
        <w:pStyle w:val="BodyText"/>
      </w:pPr>
      <w:r>
        <w:rPr>
          <w:b/>
        </w:rPr>
        <w:t xml:space="preserve">Certifications and reports (from the room; E3 only).</w:t>
      </w:r>
      <w:r>
        <w:t xml:space="preserve"> </w:t>
      </w:r>
      <w:r>
        <w:t xml:space="preserve">[Rendered table: name, issuer, scope, certificate id or 'available on request', valid until.] Where empty: "We are building towards ISO/IEC 27001:2022, ISO/IEC 27701, ISO/IEC 42001 and SOC 2 Type II. None is held yet; we will list each here with its issuer and scope when a certificate or report exists."</w:t>
      </w:r>
    </w:p>
    <w:p>
      <w:pPr>
        <w:pStyle w:val="BodyText"/>
      </w:pPr>
      <w:r>
        <w:rPr>
          <w:b/>
        </w:rPr>
        <w:t xml:space="preserve">Sub-processors.</w:t>
      </w:r>
      <w:r>
        <w:t xml:space="preserve"> </w:t>
      </w:r>
      <w:r>
        <w:t xml:space="preserve">[Rendered: name, purpose, region, DPA status, added date.] "Subscribe to change notices — we give 30 days' notice before adding or replacing a sub-processor."</w:t>
      </w:r>
    </w:p>
    <w:p>
      <w:pPr>
        <w:pStyle w:val="BodyText"/>
      </w:pPr>
      <w:r>
        <w:rPr>
          <w:b/>
        </w:rPr>
        <w:t xml:space="preserve">VAPT summary.</w:t>
      </w:r>
      <w:r>
        <w:t xml:space="preserve"> </w:t>
      </w:r>
      <w:r>
        <w:t xml:space="preserve">[Rendered: date, scope, severity counts, remediation status — no raw report.]</w:t>
      </w:r>
    </w:p>
    <w:p>
      <w:pPr>
        <w:pStyle w:val="BodyText"/>
      </w:pPr>
      <w:r>
        <w:rPr>
          <w:b/>
        </w:rPr>
        <w:t xml:space="preserve">Documents for regulated customers.</w:t>
      </w:r>
      <w:r>
        <w:t xml:space="preserve"> </w:t>
      </w:r>
      <w:r>
        <w:t xml:space="preserve">"If you are an RBI, SEBI, IRDAI or IFSCA regulated entity or a co-operative bank, your Settings › Security &amp; trust room holds the full document set your regulator asks of a vendor — audits, attestations, affidavits, BCP tests, insurance, financial standing — with an evidence-pack export and time-boxed auditor grants. Sign in to open it." CTA: Open the Vendor Assurance Room (login).</w:t>
      </w:r>
    </w:p>
    <w:p>
      <w:pPr>
        <w:pStyle w:val="BodyText"/>
      </w:pPr>
      <w:r>
        <w:rPr>
          <w:b/>
        </w:rPr>
        <w:t xml:space="preserve">DPA request.</w:t>
      </w:r>
      <w:r>
        <w:t xml:space="preserve"> </w:t>
      </w:r>
      <w:r>
        <w:t xml:space="preserve">Form → signed DPA; or clickwrap at organisation creation.</w:t>
      </w:r>
    </w:p>
    <w:p>
      <w:pPr>
        <w:pStyle w:val="BodyText"/>
      </w:pPr>
      <w:r>
        <w:rPr>
          <w:b/>
        </w:rPr>
        <w:t xml:space="preserve">Links.</w:t>
      </w:r>
      <w:r>
        <w:t xml:space="preserve"> </w:t>
      </w:r>
      <w:r>
        <w:t xml:space="preserve">Security &amp; Responsible Disclosure ·</w:t>
      </w:r>
      <w:r>
        <w:t xml:space="preserve"> </w:t>
      </w:r>
      <w:r>
        <w:rPr>
          <w:rStyle w:val="VerbatimChar"/>
        </w:rPr>
        <w:t xml:space="preserve">security.txt</w:t>
      </w:r>
      <w:r>
        <w:t xml:space="preserve"> </w:t>
      </w:r>
      <w:r>
        <w:t xml:space="preserve">· Status page · Accessibility statement · Transparency report · Privacy Notice · Data Retention Schedule · AI Use &amp; Transparency Policy.</w:t>
      </w:r>
    </w:p>
    <w:p>
      <w:r>
        <w:pict>
          <v:rect style="width:0;height:1.5pt" o:hralign="center" o:hrstd="t" o:hr="t"/>
        </w:pict>
      </w:r>
    </w:p>
    <w:p>
      <w:pPr>
        <w:pStyle w:val="Heading2"/>
      </w:pPr>
      <w:bookmarkStart w:id="45" w:name="X0cc6112c3cbc60a26d6b02d8cd8da7ed1ee40cf"/>
      <w:r>
        <w:t xml:space="preserve">18. Help centre landing</w:t>
      </w:r>
      <w:bookmarkEnd w:id="45"/>
    </w:p>
    <w:p>
      <w:pPr>
        <w:pStyle w:val="FirstParagraph"/>
      </w:pPr>
      <w:r>
        <w:rPr>
          <w:b/>
        </w:rPr>
        <w:t xml:space="preserve">Route:</w:t>
      </w:r>
      <w:r>
        <w:t xml:space="preserve"> </w:t>
      </w:r>
      <w:r>
        <w:rPr>
          <w:rStyle w:val="VerbatimChar"/>
        </w:rPr>
        <w:t xml:space="preserve">/help</w:t>
      </w:r>
      <w:r>
        <w:t xml:space="preserve"> </w:t>
      </w:r>
      <w:r>
        <w:t xml:space="preserve">·</w:t>
      </w:r>
      <w:r>
        <w:t xml:space="preserve"> </w:t>
      </w:r>
      <w:r>
        <w:rPr>
          <w:b/>
        </w:rPr>
        <w:t xml:space="preserve">SEO title:</w:t>
      </w:r>
      <w:r>
        <w:t xml:space="preserve"> </w:t>
      </w:r>
      <w:r>
        <w:t xml:space="preserve">LawDocsComply help centre — guides, tutorials and the glossary ·</w:t>
      </w:r>
      <w:r>
        <w:t xml:space="preserve"> </w:t>
      </w:r>
      <w:r>
        <w:rPr>
          <w:b/>
        </w:rPr>
        <w:t xml:space="preserve">Meta description:</w:t>
      </w:r>
      <w:r>
        <w:t xml:space="preserve"> </w:t>
      </w:r>
      <w:r>
        <w:t xml:space="preserve">Step-by-step guides, short videos with captions, learning paths by role, the "i" glossary with regulatory references, and ways to contact support.</w:t>
      </w:r>
    </w:p>
    <w:p>
      <w:pPr>
        <w:pStyle w:val="BodyText"/>
      </w:pPr>
      <w:r>
        <w:rPr>
          <w:b/>
        </w:rPr>
        <w:t xml:space="preserve">h1: Help.</w:t>
      </w:r>
      <w:r>
        <w:t xml:space="preserve"> </w:t>
      </w:r>
      <w:r>
        <w:t xml:space="preserve">Search box ("Search guides, tutorials and the glossary"). Blocks: Start here (by role: compliance maker, checker, Company Secretary, CRO, auditor, administrator) · Guides by module · Tutorials (60-second videos with captions and transcripts) · Glossary ("i" registry; every term with a plain-language definition and the regulatory reference) · What's new · Keyboard shortcuts · Contact support · Report an accessibility problem · Raise a grievance.</w:t>
      </w:r>
    </w:p>
    <w:p>
      <w:pPr>
        <w:pStyle w:val="BodyText"/>
      </w:pPr>
      <w:r>
        <w:rPr>
          <w:b/>
        </w:rPr>
        <w:t xml:space="preserve">Promise.</w:t>
      </w:r>
      <w:r>
        <w:t xml:space="preserve"> </w:t>
      </w:r>
      <w:r>
        <w:t xml:space="preserve">"Every video has captions and a transcript. Every term has a plain-language definition and, where it comes from a regulation, the clause. If a page does not answer your question, the feedback control at the bottom reaches a person."</w:t>
      </w:r>
    </w:p>
    <w:p>
      <w:r>
        <w:pict>
          <v:rect style="width:0;height:1.5pt" o:hralign="center" o:hrstd="t" o:hr="t"/>
        </w:pict>
      </w:r>
    </w:p>
    <w:p>
      <w:pPr>
        <w:pStyle w:val="Heading2"/>
      </w:pPr>
      <w:bookmarkStart w:id="46" w:name="Xd89d703bb9d0e706beb3ddeef7bd05dfc8f8d6e"/>
      <w:r>
        <w:t xml:space="preserve">19. Resources library</w:t>
      </w:r>
      <w:bookmarkEnd w:id="46"/>
    </w:p>
    <w:p>
      <w:pPr>
        <w:pStyle w:val="FirstParagraph"/>
      </w:pPr>
      <w:r>
        <w:rPr>
          <w:b/>
        </w:rPr>
        <w:t xml:space="preserve">Route:</w:t>
      </w:r>
      <w:r>
        <w:t xml:space="preserve"> </w:t>
      </w:r>
      <w:r>
        <w:rPr>
          <w:rStyle w:val="VerbatimChar"/>
        </w:rPr>
        <w:t xml:space="preserve">/resources</w:t>
      </w:r>
      <w:r>
        <w:t xml:space="preserve"> </w:t>
      </w:r>
      <w:r>
        <w:t xml:space="preserve">·</w:t>
      </w:r>
      <w:r>
        <w:t xml:space="preserve"> </w:t>
      </w:r>
      <w:r>
        <w:rPr>
          <w:b/>
        </w:rPr>
        <w:t xml:space="preserve">SEO title:</w:t>
      </w:r>
      <w:r>
        <w:t xml:space="preserve"> </w:t>
      </w:r>
      <w:r>
        <w:t xml:space="preserve">Compliance resources — guides, checklists, templates and reports — LawDocsComply ·</w:t>
      </w:r>
      <w:r>
        <w:t xml:space="preserve"> </w:t>
      </w:r>
      <w:r>
        <w:rPr>
          <w:b/>
        </w:rPr>
        <w:t xml:space="preserve">Meta description:</w:t>
      </w:r>
      <w:r>
        <w:t xml:space="preserve"> </w:t>
      </w:r>
      <w:r>
        <w:t xml:space="preserve">Downloadable guides, checklists, sample registers, presentations and reports on RBI, SEBI, IRDAI, IFSCA, MCA, co-operative, DPDP, cyber, labour and ESG compliance. Versioned, dated and cited.</w:t>
      </w:r>
    </w:p>
    <w:p>
      <w:pPr>
        <w:pStyle w:val="BodyText"/>
      </w:pPr>
      <w:r>
        <w:rPr>
          <w:b/>
        </w:rPr>
        <w:t xml:space="preserve">h1: Resources.</w:t>
      </w:r>
      <w:r>
        <w:t xml:space="preserve"> </w:t>
      </w:r>
      <w:r>
        <w:t xml:space="preserve">Intro: "Each item shows its version, date and review date, and cites the instruments it draws on. Templates and checklists may be adapted for your internal use. Nothing here is advice; see the Resources Download Terms."</w:t>
      </w:r>
    </w:p>
    <w:p>
      <w:pPr>
        <w:pStyle w:val="BodyText"/>
      </w:pPr>
      <w:r>
        <w:rPr>
          <w:b/>
        </w:rPr>
        <w:t xml:space="preserve">Categories and blurbs.</w:t>
      </w:r>
      <w:r>
        <w:t xml:space="preserve"> </w:t>
      </w:r>
      <w:r>
        <w:t xml:space="preserve">Guides ("Plain-English explanations of a direction or a process, with the clauses cited") · Checklists ("What to have in place, by obligation, with the source") · Templates ("Registers, calendars and the Excel question-sheet templates, under their licence") · Sample registers and board packs ("Synthetic illustrations — never real client data") · Presentations ("Slide decks from our webinars, with transcripts") · Reports ("Our analyses of regulatory changes, with sources and as-of dates") · Vendor assurance ("Public summaries from our Trust Centre").</w:t>
      </w:r>
    </w:p>
    <w:p>
      <w:pPr>
        <w:pStyle w:val="BodyText"/>
      </w:pPr>
      <w:r>
        <w:rPr>
          <w:b/>
        </w:rPr>
        <w:t xml:space="preserve">Gate copy (</w:t>
      </w:r>
      <w:r>
        <w:rPr>
          <w:rStyle w:val="VerbatimChar"/>
          <w:b/>
        </w:rPr>
        <w:t xml:space="preserve">consent.resource_gate</w:t>
      </w:r>
      <w:r>
        <w:rPr>
          <w:b/>
        </w:rPr>
        <w:t xml:space="preserve">).</w:t>
      </w:r>
      <w:r>
        <w:t xml:space="preserve"> </w:t>
      </w:r>
      <w:r>
        <w:t xml:space="preserve">"We will email you the download link. Your details are used as described in the Privacy Notice (Resources)." Optional unticked marketing consent.</w:t>
      </w:r>
    </w:p>
    <w:p>
      <w:pPr>
        <w:pStyle w:val="BodyText"/>
      </w:pPr>
      <w:r>
        <w:rPr>
          <w:b/>
        </w:rPr>
        <w:t xml:space="preserve">Launch set (placeholders; owner approves list).</w:t>
      </w:r>
      <w:r>
        <w:t xml:space="preserve"> </w:t>
      </w:r>
      <w:r>
        <w:t xml:space="preserve">"What the 28 November 2025 RBI consolidation changed for NBFCs" (report) · "Twelve questions to find what applies to your entity" (guide) · "Maker–checker–auditor: setting up a compliance workflow that auditors accept" (guide) · "Board calendar template for a listed company" (template) · "DPDP readiness checklist for a regulated entity" (checklist) · "Co-operative society annual compliance calendar" (template) · "Sample board pack (synthetic NBFC)" (sample) · "LawDocsComply vendor assurance — public summary" (vendor assurance).</w:t>
      </w:r>
    </w:p>
    <w:p>
      <w:r>
        <w:pict>
          <v:rect style="width:0;height:1.5pt" o:hralign="center" o:hrstd="t" o:hr="t"/>
        </w:pict>
      </w:r>
    </w:p>
    <w:p>
      <w:pPr>
        <w:pStyle w:val="Heading2"/>
      </w:pPr>
      <w:bookmarkStart w:id="47" w:name="Xd323ffa9cb55fddf76eb5e8fa87c966ebbb25fc"/>
      <w:r>
        <w:t xml:space="preserve">20. Blog</w:t>
      </w:r>
      <w:bookmarkEnd w:id="47"/>
    </w:p>
    <w:p>
      <w:pPr>
        <w:pStyle w:val="FirstParagraph"/>
      </w:pPr>
      <w:r>
        <w:rPr>
          <w:b/>
        </w:rPr>
        <w:t xml:space="preserve">Route:</w:t>
      </w:r>
      <w:r>
        <w:t xml:space="preserve"> </w:t>
      </w:r>
      <w:r>
        <w:rPr>
          <w:rStyle w:val="VerbatimChar"/>
        </w:rPr>
        <w:t xml:space="preserve">/blog</w:t>
      </w:r>
      <w:r>
        <w:t xml:space="preserve"> </w:t>
      </w:r>
      <w:r>
        <w:t xml:space="preserve">·</w:t>
      </w:r>
      <w:r>
        <w:t xml:space="preserve"> </w:t>
      </w:r>
      <w:r>
        <w:rPr>
          <w:b/>
        </w:rPr>
        <w:t xml:space="preserve">SEO title:</w:t>
      </w:r>
      <w:r>
        <w:t xml:space="preserve"> </w:t>
      </w:r>
      <w:r>
        <w:t xml:space="preserve">The LawDocsComply blog — regulatory changes explained, compliance practice, product notes ·</w:t>
      </w:r>
      <w:r>
        <w:t xml:space="preserve"> </w:t>
      </w:r>
      <w:r>
        <w:rPr>
          <w:b/>
        </w:rPr>
        <w:t xml:space="preserve">Meta description:</w:t>
      </w:r>
      <w:r>
        <w:t xml:space="preserve"> </w:t>
      </w:r>
      <w:r>
        <w:t xml:space="preserve">Explanations of regulatory changes with the clauses cited, practical notes on compliance operations, and product updates. Author's-view posts from practitioners, clearly labelled.</w:t>
      </w:r>
    </w:p>
    <w:p>
      <w:pPr>
        <w:pStyle w:val="BodyText"/>
      </w:pPr>
      <w:r>
        <w:rPr>
          <w:b/>
        </w:rPr>
        <w:t xml:space="preserve">h1: Blog.</w:t>
      </w:r>
      <w:r>
        <w:t xml:space="preserve"> </w:t>
      </w:r>
      <w:r>
        <w:t xml:space="preserve">Intro: "Three kinds of posts: regulatory changes explained (what changed, where, who is affected); compliance practice (how teams run registers, audits and boards); product notes (what shipped and why). Every post names its author, its date and its sources; posts by outside authors are labelled 'Author's view — not advice'."</w:t>
      </w:r>
    </w:p>
    <w:p>
      <w:pPr>
        <w:pStyle w:val="BodyText"/>
      </w:pPr>
      <w:r>
        <w:rPr>
          <w:b/>
        </w:rPr>
        <w:t xml:space="preserve">Categories.</w:t>
      </w:r>
      <w:r>
        <w:t xml:space="preserve"> </w:t>
      </w:r>
      <w:r>
        <w:t xml:space="preserve">Regulatory changes · RBI · SEBI · IRDAI · IFSCA · MCA and secretarial · Co-operatives · Data protection and cyber · Labour · Tax · ESG · AI governance · Compliance practice · Product · Infrabyx.</w:t>
      </w:r>
    </w:p>
    <w:p>
      <w:pPr>
        <w:pStyle w:val="BodyText"/>
      </w:pPr>
      <w:r>
        <w:rPr>
          <w:b/>
        </w:rPr>
        <w:t xml:space="preserve">Editorial rules (public page</w:t>
      </w:r>
      <w:r>
        <w:rPr>
          <w:b/>
        </w:rPr>
        <w:t xml:space="preserve"> </w:t>
      </w:r>
      <w:r>
        <w:rPr>
          <w:rStyle w:val="VerbatimChar"/>
          <w:b/>
        </w:rPr>
        <w:t xml:space="preserve">/blog/editorial</w:t>
      </w:r>
      <w:r>
        <w:rPr>
          <w:b/>
        </w:rPr>
        <w:t xml:space="preserve">).</w:t>
      </w:r>
      <w:r>
        <w:t xml:space="preserve"> </w:t>
      </w:r>
      <w:r>
        <w:t xml:space="preserve">Sources cited with dates; no legal advice; corrections dated and visible; AI assistance disclosed where material; numbers only with an evidence class; no sponsored content without a label; comments pre-moderated.</w:t>
      </w:r>
    </w:p>
    <w:p>
      <w:pPr>
        <w:pStyle w:val="BodyText"/>
      </w:pPr>
      <w:r>
        <w:rPr>
          <w:b/>
        </w:rPr>
        <w:t xml:space="preserve">User-post programme page (</w:t>
      </w:r>
      <w:r>
        <w:rPr>
          <w:rStyle w:val="VerbatimChar"/>
          <w:b/>
        </w:rPr>
        <w:t xml:space="preserve">/blog/write</w:t>
      </w:r>
      <w:r>
        <w:rPr>
          <w:b/>
        </w:rPr>
        <w:t xml:space="preserve">; visible only when</w:t>
      </w:r>
      <w:r>
        <w:rPr>
          <w:b/>
        </w:rPr>
        <w:t xml:space="preserve"> </w:t>
      </w:r>
      <w:r>
        <w:rPr>
          <w:rStyle w:val="VerbatimChar"/>
          <w:b/>
        </w:rPr>
        <w:t xml:space="preserve">web.blog.user_posts.enabled</w:t>
      </w:r>
      <w:r>
        <w:rPr>
          <w:b/>
        </w:rPr>
        <w:t xml:space="preserve">).</w:t>
      </w:r>
      <w:r>
        <w:t xml:space="preserve"> </w:t>
      </w:r>
      <w:r>
        <w:t xml:space="preserve">h1: Write for LawDocsComply. "If you are a compliance professional, company secretary, chartered accountant, advocate or internal auditor, you can publish an Author's-view post. We review every submission within five working days, edit for style and citations with your approval, and label it as your view. Advocates: posts must comply with Bar Council of India Rule 36 — posts that solicit work are declined. Accept the Blog &amp; UGC Terms in the editor to begin."</w:t>
      </w:r>
    </w:p>
    <w:p>
      <w:pPr>
        <w:pStyle w:val="BodyText"/>
      </w:pPr>
      <w:r>
        <w:rPr>
          <w:b/>
        </w:rPr>
        <w:t xml:space="preserve">Launch posts (placeholders).</w:t>
      </w:r>
      <w:r>
        <w:t xml:space="preserve"> </w:t>
      </w:r>
      <w:r>
        <w:t xml:space="preserve">"Reading the consolidated RBI directions: a map for NBFC compliance teams" · "Why we generate CompIDs and never let anyone type them" · "RAG without opinion: how we compute urgency" · "Captions, transcripts and a dyslexia-friendly font: accessibility in a compliance register".</w:t>
      </w:r>
    </w:p>
    <w:p>
      <w:r>
        <w:pict>
          <v:rect style="width:0;height:1.5pt" o:hralign="center" o:hrstd="t" o:hr="t"/>
        </w:pict>
      </w:r>
    </w:p>
    <w:p>
      <w:pPr>
        <w:pStyle w:val="Heading2"/>
      </w:pPr>
      <w:bookmarkStart w:id="48" w:name="Xb10d01799a847723333b4789a4895922667b3d9"/>
      <w:r>
        <w:t xml:space="preserve">21. Vlog</w:t>
      </w:r>
      <w:bookmarkEnd w:id="48"/>
    </w:p>
    <w:p>
      <w:pPr>
        <w:pStyle w:val="FirstParagraph"/>
      </w:pPr>
      <w:r>
        <w:rPr>
          <w:b/>
        </w:rPr>
        <w:t xml:space="preserve">Route:</w:t>
      </w:r>
      <w:r>
        <w:t xml:space="preserve"> </w:t>
      </w:r>
      <w:r>
        <w:rPr>
          <w:rStyle w:val="VerbatimChar"/>
        </w:rPr>
        <w:t xml:space="preserve">/vlog</w:t>
      </w:r>
      <w:r>
        <w:t xml:space="preserve"> </w:t>
      </w:r>
      <w:r>
        <w:t xml:space="preserve">(toggle</w:t>
      </w:r>
      <w:r>
        <w:t xml:space="preserve"> </w:t>
      </w:r>
      <w:r>
        <w:rPr>
          <w:rStyle w:val="VerbatimChar"/>
        </w:rPr>
        <w:t xml:space="preserve">web.vlog.enabled</w:t>
      </w:r>
      <w:r>
        <w:t xml:space="preserve">) ·</w:t>
      </w:r>
      <w:r>
        <w:t xml:space="preserve"> </w:t>
      </w:r>
      <w:r>
        <w:rPr>
          <w:b/>
        </w:rPr>
        <w:t xml:space="preserve">SEO title:</w:t>
      </w:r>
      <w:r>
        <w:t xml:space="preserve"> </w:t>
      </w:r>
      <w:r>
        <w:t xml:space="preserve">LawDocsComply video — tutorials, walkthroughs and webinar recordings with captions ·</w:t>
      </w:r>
      <w:r>
        <w:t xml:space="preserve"> </w:t>
      </w:r>
      <w:r>
        <w:rPr>
          <w:b/>
        </w:rPr>
        <w:t xml:space="preserve">Meta description:</w:t>
      </w:r>
      <w:r>
        <w:t xml:space="preserve"> </w:t>
      </w:r>
      <w:r>
        <w:t xml:space="preserve">Short product walkthroughs, regulatory explainers and webinar recordings. Every video has captions, a transcript and chapters.</w:t>
      </w:r>
    </w:p>
    <w:p>
      <w:pPr>
        <w:pStyle w:val="BodyText"/>
      </w:pPr>
      <w:r>
        <w:rPr>
          <w:b/>
        </w:rPr>
        <w:t xml:space="preserve">h1: Video.</w:t>
      </w:r>
      <w:r>
        <w:t xml:space="preserve"> </w:t>
      </w:r>
      <w:r>
        <w:t xml:space="preserve">Intro: "Short walkthroughs and explainers. Every video has English captions, a transcript and chapters; Hindi captions where available. Videos load only when you click." Blocks: Latest · Tutorials by module · Webinar recordings · Regulatory explainers. Each item: title, duration, date, captions available (en, hi), transcript link.</w:t>
      </w:r>
    </w:p>
    <w:p>
      <w:r>
        <w:pict>
          <v:rect style="width:0;height:1.5pt" o:hralign="center" o:hrstd="t" o:hr="t"/>
        </w:pict>
      </w:r>
    </w:p>
    <w:p>
      <w:pPr>
        <w:pStyle w:val="Heading2"/>
      </w:pPr>
      <w:bookmarkStart w:id="49" w:name="X91810c367872c8051f785cda60ff4b8623f3484"/>
      <w:r>
        <w:t xml:space="preserve">22. Changelog</w:t>
      </w:r>
      <w:bookmarkEnd w:id="49"/>
    </w:p>
    <w:p>
      <w:pPr>
        <w:pStyle w:val="FirstParagraph"/>
      </w:pPr>
      <w:r>
        <w:rPr>
          <w:b/>
        </w:rPr>
        <w:t xml:space="preserve">Route:</w:t>
      </w:r>
      <w:r>
        <w:t xml:space="preserve"> </w:t>
      </w:r>
      <w:r>
        <w:rPr>
          <w:rStyle w:val="VerbatimChar"/>
        </w:rPr>
        <w:t xml:space="preserve">/changelog</w:t>
      </w:r>
      <w:r>
        <w:t xml:space="preserve"> </w:t>
      </w:r>
      <w:r>
        <w:t xml:space="preserve">·</w:t>
      </w:r>
      <w:r>
        <w:t xml:space="preserve"> </w:t>
      </w:r>
      <w:r>
        <w:rPr>
          <w:b/>
        </w:rPr>
        <w:t xml:space="preserve">SEO title:</w:t>
      </w:r>
      <w:r>
        <w:t xml:space="preserve"> </w:t>
      </w:r>
      <w:r>
        <w:t xml:space="preserve">LawDocsComply changelog ·</w:t>
      </w:r>
      <w:r>
        <w:t xml:space="preserve"> </w:t>
      </w:r>
      <w:r>
        <w:rPr>
          <w:b/>
        </w:rPr>
        <w:t xml:space="preserve">Meta description:</w:t>
      </w:r>
      <w:r>
        <w:t xml:space="preserve"> </w:t>
      </w:r>
      <w:r>
        <w:t xml:space="preserve">What changed in LawDocsComply, by release and product area, with regulatory-content releases marked. RSS available.</w:t>
      </w:r>
    </w:p>
    <w:p>
      <w:pPr>
        <w:pStyle w:val="BodyText"/>
      </w:pPr>
      <w:r>
        <w:rPr>
          <w:b/>
        </w:rPr>
        <w:t xml:space="preserve">h1: Changelog.</w:t>
      </w:r>
      <w:r>
        <w:t xml:space="preserve"> </w:t>
      </w:r>
      <w:r>
        <w:t xml:space="preserve">Intro: "Public release notes by date and area. Entries tagged 'regulatory content' describe changes to the content library and are approved by our legal reviewer before publication. Tenant-specific notes appear inside the app under What's new." Filters: area, type (feature, fix, regulatory content, security). RSS link.</w:t>
      </w:r>
    </w:p>
    <w:p>
      <w:r>
        <w:pict>
          <v:rect style="width:0;height:1.5pt" o:hralign="center" o:hrstd="t" o:hr="t"/>
        </w:pict>
      </w:r>
    </w:p>
    <w:p>
      <w:pPr>
        <w:pStyle w:val="Heading2"/>
      </w:pPr>
      <w:bookmarkStart w:id="50" w:name="X4cd7145a5248e1c81bb225aeb4dac8bfd2bda9d"/>
      <w:r>
        <w:t xml:space="preserve">23. Regulatory Updates hub</w:t>
      </w:r>
      <w:bookmarkEnd w:id="50"/>
    </w:p>
    <w:p>
      <w:pPr>
        <w:pStyle w:val="FirstParagraph"/>
      </w:pPr>
      <w:r>
        <w:rPr>
          <w:b/>
        </w:rPr>
        <w:t xml:space="preserve">Route:</w:t>
      </w:r>
      <w:r>
        <w:t xml:space="preserve"> </w:t>
      </w:r>
      <w:r>
        <w:rPr>
          <w:rStyle w:val="VerbatimChar"/>
        </w:rPr>
        <w:t xml:space="preserve">/updates</w:t>
      </w:r>
      <w:r>
        <w:t xml:space="preserve"> </w:t>
      </w:r>
      <w:r>
        <w:t xml:space="preserve">·</w:t>
      </w:r>
      <w:r>
        <w:t xml:space="preserve"> </w:t>
      </w:r>
      <w:r>
        <w:rPr>
          <w:b/>
        </w:rPr>
        <w:t xml:space="preserve">SEO title:</w:t>
      </w:r>
      <w:r>
        <w:t xml:space="preserve"> </w:t>
      </w:r>
      <w:r>
        <w:t xml:space="preserve">Regulatory updates — RBI, SEBI, IRDAI, IFSCA, MCA and more, summarised with sources — LawDocsComply ·</w:t>
      </w:r>
      <w:r>
        <w:t xml:space="preserve"> </w:t>
      </w:r>
      <w:r>
        <w:rPr>
          <w:b/>
        </w:rPr>
        <w:t xml:space="preserve">Meta description:</w:t>
      </w:r>
      <w:r>
        <w:t xml:space="preserve"> </w:t>
      </w:r>
      <w:r>
        <w:t xml:space="preserve">Human-reviewed summaries of regulatory changes with the instrument, date and what changed, drawn from the LawDocsComply content library.</w:t>
      </w:r>
    </w:p>
    <w:p>
      <w:pPr>
        <w:pStyle w:val="BodyText"/>
      </w:pPr>
      <w:r>
        <w:rPr>
          <w:b/>
        </w:rPr>
        <w:t xml:space="preserve">h1: Regulatory updates.</w:t>
      </w:r>
      <w:r>
        <w:t xml:space="preserve"> </w:t>
      </w:r>
      <w:r>
        <w:t xml:space="preserve">Intro: "A published, human-summarised subset of the changes our content team tracks. Each item names the instrument, the date, what changed and who it affects, and links to the source. Customers see the full impact on their own obligations inside the product." Filters: regulator, family, month. Subscribe (email,</w:t>
      </w:r>
      <w:r>
        <w:t xml:space="preserve"> </w:t>
      </w:r>
      <w:r>
        <w:rPr>
          <w:rStyle w:val="VerbatimChar"/>
        </w:rPr>
        <w:t xml:space="preserve">consent.marketing.email</w:t>
      </w:r>
      <w:r>
        <w:t xml:space="preserve"> </w:t>
      </w:r>
      <w:r>
        <w:t xml:space="preserve">as a specified purpose "regulatory updates digest").</w:t>
      </w:r>
    </w:p>
    <w:p>
      <w:r>
        <w:pict>
          <v:rect style="width:0;height:1.5pt" o:hralign="center" o:hrstd="t" o:hr="t"/>
        </w:pict>
      </w:r>
    </w:p>
    <w:p>
      <w:pPr>
        <w:pStyle w:val="Heading2"/>
      </w:pPr>
      <w:bookmarkStart w:id="51" w:name="X7d855181e340f61c56aa89ac92708317f42f39c"/>
      <w:r>
        <w:t xml:space="preserve">24. Vidhi AI page</w:t>
      </w:r>
      <w:bookmarkEnd w:id="51"/>
    </w:p>
    <w:p>
      <w:pPr>
        <w:pStyle w:val="FirstParagraph"/>
      </w:pPr>
      <w:r>
        <w:rPr>
          <w:b/>
        </w:rPr>
        <w:t xml:space="preserve">Route:</w:t>
      </w:r>
      <w:r>
        <w:t xml:space="preserve"> </w:t>
      </w:r>
      <w:r>
        <w:rPr>
          <w:rStyle w:val="VerbatimChar"/>
        </w:rPr>
        <w:t xml:space="preserve">/vidhi</w:t>
      </w:r>
      <w:r>
        <w:t xml:space="preserve"> </w:t>
      </w:r>
      <w:r>
        <w:t xml:space="preserve">·</w:t>
      </w:r>
      <w:r>
        <w:t xml:space="preserve"> </w:t>
      </w:r>
      <w:r>
        <w:rPr>
          <w:b/>
        </w:rPr>
        <w:t xml:space="preserve">SEO title:</w:t>
      </w:r>
      <w:r>
        <w:t xml:space="preserve"> </w:t>
      </w:r>
      <w:r>
        <w:t xml:space="preserve">Vidhi — the AI assistant in LawDocsComply that drafts and cites, and never decides ·</w:t>
      </w:r>
      <w:r>
        <w:t xml:space="preserve"> </w:t>
      </w:r>
      <w:r>
        <w:rPr>
          <w:b/>
        </w:rPr>
        <w:t xml:space="preserve">Meta description:</w:t>
      </w:r>
      <w:r>
        <w:t xml:space="preserve"> </w:t>
      </w:r>
      <w:r>
        <w:t xml:space="preserve">Vidhi drafts minutes, policies and reports with tracked changes, summarises regulatory changes, reads documents and answers from cited notebooks. People decide; nothing is filed by an AI. India-resident processing for your data.</w:t>
      </w:r>
    </w:p>
    <w:p>
      <w:pPr>
        <w:pStyle w:val="BodyText"/>
      </w:pPr>
      <w:r>
        <w:rPr>
          <w:b/>
        </w:rPr>
        <w:t xml:space="preserve">h1: Vidhi drafts. People decide.</w:t>
      </w:r>
    </w:p>
    <w:p>
      <w:pPr>
        <w:pStyle w:val="BodyText"/>
      </w:pPr>
      <w:r>
        <w:rPr>
          <w:b/>
        </w:rPr>
        <w:t xml:space="preserve">What Vidhi does.</w:t>
      </w:r>
      <w:r>
        <w:t xml:space="preserve"> </w:t>
      </w:r>
      <w:r>
        <w:t xml:space="preserve">Drafts agendas, minutes, policies, letters and board-pack narratives with tracked changes against your template or last version · Summarises what changed in a regulation and lists the obligations it may affect · Reads PDFs, images, handwriting, letters and spreadsheets; produces type copies and translations · Answers questions from notebooks per regulator and from your own documents, with citations you can click · Prepares evidence requests and control-gap summaries for a person to send · Runs scheduled internal tasks (weekly digests, monthly evidence checks) within limits your administrator sets.</w:t>
      </w:r>
    </w:p>
    <w:p>
      <w:pPr>
        <w:pStyle w:val="BodyText"/>
      </w:pPr>
      <w:r>
        <w:rPr>
          <w:b/>
        </w:rPr>
        <w:t xml:space="preserve">What Vidhi never does (locked list; plain words).</w:t>
      </w:r>
      <w:r>
        <w:t xml:space="preserve"> </w:t>
      </w:r>
      <w:r>
        <w:t xml:space="preserve">Marks an obligation as complied · Submits any return or filing to a regulator · Changes who owns a control, obligation or risk · Closes an audit finding · Publishes a policy or content · Sends anything to a regulator, auditor or counter-party · Types a figure into a return or a calculation.</w:t>
      </w:r>
    </w:p>
    <w:p>
      <w:pPr>
        <w:pStyle w:val="BodyText"/>
      </w:pPr>
      <w:r>
        <w:rPr>
          <w:b/>
        </w:rPr>
        <w:t xml:space="preserve">How it is governed.</w:t>
      </w:r>
      <w:r>
        <w:t xml:space="preserve"> </w:t>
      </w:r>
      <w:r>
        <w:t xml:space="preserve">Autonomy levels your administrator can tighten per skill; a locked list no one can loosen; every step logged and visible; evaluation gates before any skill or notebook is enabled; kill switches; AI credits per plan with usage shown before it is charged.</w:t>
      </w:r>
    </w:p>
    <w:p>
      <w:pPr>
        <w:pStyle w:val="BodyText"/>
      </w:pPr>
      <w:r>
        <w:rPr>
          <w:b/>
        </w:rPr>
        <w:t xml:space="preserve">Where your data goes.</w:t>
      </w:r>
      <w:r>
        <w:t xml:space="preserve"> </w:t>
      </w:r>
      <w:r>
        <w:t xml:space="preserve">"Confidential, financial, legal, HR and regulated data is processed only on India-resident AI endpoints under zero-retention contracts; if none is available the feature waits rather than sending data abroad. Your content is never used to train models. The provider used is shown on every output."</w:t>
      </w:r>
    </w:p>
    <w:p>
      <w:pPr>
        <w:pStyle w:val="BodyText"/>
      </w:pPr>
      <w:r>
        <w:rPr>
          <w:b/>
        </w:rPr>
        <w:t xml:space="preserve">Labelling.</w:t>
      </w:r>
      <w:r>
        <w:t xml:space="preserve"> </w:t>
      </w:r>
      <w:r>
        <w:t xml:space="preserve">"Every output is marked 'AI-generated — review before use' with the date and model family."</w:t>
      </w:r>
    </w:p>
    <w:p>
      <w:pPr>
        <w:pStyle w:val="BodyText"/>
      </w:pPr>
      <w:r>
        <w:rPr>
          <w:b/>
        </w:rPr>
        <w:t xml:space="preserve">Your own assistant.</w:t>
      </w:r>
      <w:r>
        <w:t xml:space="preserve"> </w:t>
      </w:r>
      <w:r>
        <w:t xml:space="preserve">"If your organisation uses its own AI assistant, our MCP server lets it query obligations, due items and evidence status as you — read-only by default, enabled by your administrator, never returning sealed data."</w:t>
      </w:r>
    </w:p>
    <w:p>
      <w:pPr>
        <w:pStyle w:val="BodyText"/>
      </w:pPr>
      <w:r>
        <w:t xml:space="preserve">Image:</w:t>
      </w:r>
      <w:r>
        <w:t xml:space="preserve"> </w:t>
      </w:r>
      <w:r>
        <w:rPr>
          <w:rStyle w:val="VerbatimChar"/>
        </w:rPr>
        <w:t xml:space="preserve">img.vidhi.panel</w:t>
      </w:r>
      <w:r>
        <w:t xml:space="preserve">.</w:t>
      </w:r>
    </w:p>
    <w:p>
      <w:r>
        <w:pict>
          <v:rect style="width:0;height:1.5pt" o:hralign="center" o:hrstd="t" o:hr="t"/>
        </w:pict>
      </w:r>
    </w:p>
    <w:p>
      <w:pPr>
        <w:pStyle w:val="Heading2"/>
      </w:pPr>
      <w:bookmarkStart w:id="52" w:name="Xe2d52cfc77c97b5e413d6e6dc2fad6188ccb7d0"/>
      <w:r>
        <w:t xml:space="preserve">25. Accessibility, Grievance and Legal index pages (wrapper copy; the documents themselves are Appendix AD)</w:t>
      </w:r>
      <w:bookmarkEnd w:id="52"/>
    </w:p>
    <w:p>
      <w:pPr>
        <w:pStyle w:val="FirstParagraph"/>
      </w:pPr>
      <w:r>
        <w:rPr>
          <w:rStyle w:val="VerbatimChar"/>
          <w:b/>
        </w:rPr>
        <w:t xml:space="preserve">/accessibility</w:t>
      </w:r>
      <w:r>
        <w:rPr>
          <w:b/>
        </w:rPr>
        <w:t xml:space="preserve">.</w:t>
      </w:r>
      <w:r>
        <w:t xml:space="preserve"> </w:t>
      </w:r>
      <w:r>
        <w:t xml:space="preserve">h1: Accessibility at LawDocsComply. Intro: "We design to WCAG 2.2 AA and IS 17802. This statement is generated from our accessibility backlog and says exactly where we stand, including known issues and their target dates." Then the Appendix AD §AD.10 statement. Feedback control that works without JavaScript.</w:t>
      </w:r>
    </w:p>
    <w:p>
      <w:pPr>
        <w:pStyle w:val="BodyText"/>
      </w:pPr>
      <w:r>
        <w:rPr>
          <w:rStyle w:val="VerbatimChar"/>
          <w:b/>
        </w:rPr>
        <w:t xml:space="preserve">/grievance</w:t>
      </w:r>
      <w:r>
        <w:rPr>
          <w:b/>
        </w:rPr>
        <w:t xml:space="preserve">.</w:t>
      </w:r>
      <w:r>
        <w:t xml:space="preserve"> </w:t>
      </w:r>
      <w:r>
        <w:t xml:space="preserve">h1: Raise a grievance. Intro: "Tell us what happened and what outcome you seek. You will receive a reference number immediately and an acknowledgement within 48 hours (24 hours for complaints about unlawful content). We resolve within 30 days or sooner where the law requires." Officer block; form (account email, category, description, desired outcome, attachments ≤ 10 MB, scanned); escalation table from Appendix AD §AD.7.</w:t>
      </w:r>
    </w:p>
    <w:p>
      <w:pPr>
        <w:pStyle w:val="BodyText"/>
      </w:pPr>
      <w:r>
        <w:rPr>
          <w:rStyle w:val="VerbatimChar"/>
          <w:b/>
        </w:rPr>
        <w:t xml:space="preserve">/legal</w:t>
      </w:r>
      <w:r>
        <w:rPr>
          <w:b/>
        </w:rPr>
        <w:t xml:space="preserve">.</w:t>
      </w:r>
      <w:r>
        <w:t xml:space="preserve"> </w:t>
      </w:r>
      <w:r>
        <w:t xml:space="preserve">h1: Legal. Intro: "Every policy with its version, effective date, 'what changed' and prior versions. A machine-readable index is at /legal/index.json." List of all Appendix AD instances in the footer order.</w:t>
      </w:r>
    </w:p>
    <w:p>
      <w:pPr>
        <w:pStyle w:val="BodyText"/>
      </w:pPr>
      <w:r>
        <w:rPr>
          <w:rStyle w:val="VerbatimChar"/>
          <w:b/>
        </w:rPr>
        <w:t xml:space="preserve">/security</w:t>
      </w:r>
      <w:r>
        <w:rPr>
          <w:b/>
        </w:rPr>
        <w:t xml:space="preserve">.</w:t>
      </w:r>
      <w:r>
        <w:t xml:space="preserve"> </w:t>
      </w:r>
      <w:r>
        <w:t xml:space="preserve">h1: Security and responsible disclosure. The Appendix AD §AD.11 text with the report form and</w:t>
      </w:r>
      <w:r>
        <w:t xml:space="preserve"> </w:t>
      </w:r>
      <w:r>
        <w:rPr>
          <w:rStyle w:val="VerbatimChar"/>
        </w:rPr>
        <w:t xml:space="preserve">security.txt</w:t>
      </w:r>
      <w:r>
        <w:t xml:space="preserve"> </w:t>
      </w:r>
      <w:r>
        <w:t xml:space="preserve">link.</w:t>
      </w:r>
    </w:p>
    <w:p>
      <w:pPr>
        <w:pStyle w:val="BodyText"/>
      </w:pPr>
      <w:r>
        <w:rPr>
          <w:rStyle w:val="VerbatimChar"/>
          <w:b/>
        </w:rPr>
        <w:t xml:space="preserve">/sitemap</w:t>
      </w:r>
      <w:r>
        <w:rPr>
          <w:b/>
        </w:rPr>
        <w:t xml:space="preserve">.</w:t>
      </w:r>
      <w:r>
        <w:t xml:space="preserve"> </w:t>
      </w:r>
      <w:r>
        <w:t xml:space="preserve">Auto-generated tree.</w:t>
      </w:r>
    </w:p>
    <w:p>
      <w:r>
        <w:pict>
          <v:rect style="width:0;height:1.5pt" o:hralign="center" o:hrstd="t" o:hr="t"/>
        </w:pict>
      </w:r>
    </w:p>
    <w:p>
      <w:pPr>
        <w:pStyle w:val="Heading2"/>
      </w:pPr>
      <w:bookmarkStart w:id="53" w:name="X2933bd0e7462493c268fc76718d78e3ba7ae9e0"/>
      <w:r>
        <w:t xml:space="preserve">26. Footer, header, cookie banner and system texts</w:t>
      </w:r>
      <w:bookmarkEnd w:id="53"/>
    </w:p>
    <w:p>
      <w:pPr>
        <w:pStyle w:val="FirstParagraph"/>
      </w:pPr>
      <w:r>
        <w:rPr>
          <w:b/>
        </w:rPr>
        <w:t xml:space="preserve">Header.</w:t>
      </w:r>
      <w:r>
        <w:t xml:space="preserve"> </w:t>
      </w:r>
      <w:r>
        <w:t xml:space="preserve">Logo (home) · Solutions ▾ · Modules ▾ · Pricing · Resources ▾ (Resources, Blog, Video, Updates, Help, Docs) · Company ▾ (About, Team, Leadership, Careers, Press, Partners, Contact, Investors when enabled) · Trust · [Primary] Free Health Check · Sign in.</w:t>
      </w:r>
    </w:p>
    <w:p>
      <w:pPr>
        <w:pStyle w:val="BodyText"/>
      </w:pPr>
      <w:r>
        <w:rPr>
          <w:b/>
        </w:rPr>
        <w:t xml:space="preserve">Footer (binding; P23 FR-P23-12 amended).</w:t>
      </w:r>
    </w:p>
    <w:p>
      <w:pPr>
        <w:numPr>
          <w:ilvl w:val="0"/>
          <w:numId w:val="1013"/>
        </w:numPr>
        <w:pStyle w:val="Compact"/>
      </w:pPr>
      <w:r>
        <w:t xml:space="preserve">Column 1 — Product: Applicability · Compliance workspace · Regulatory change · Governance · Risk and ICAAP · Audits · Returns · Policies · People and labour · Grievance desk · Co-operatives · Reports · Vidhi AI · Pricing · Health Check.</w:t>
      </w:r>
    </w:p>
    <w:p>
      <w:pPr>
        <w:numPr>
          <w:ilvl w:val="0"/>
          <w:numId w:val="1013"/>
        </w:numPr>
        <w:pStyle w:val="Compact"/>
      </w:pPr>
      <w:r>
        <w:t xml:space="preserve">Column 2 — Company: About · Team · Leadership · Governance · Careers · Press · Partners · Contact · Investors (when enabled).</w:t>
      </w:r>
    </w:p>
    <w:p>
      <w:pPr>
        <w:numPr>
          <w:ilvl w:val="0"/>
          <w:numId w:val="1013"/>
        </w:numPr>
        <w:pStyle w:val="Compact"/>
      </w:pPr>
      <w:r>
        <w:t xml:space="preserve">Column 3 — Resources: Resources library · Blog · Video · Regulatory updates · Help centre · Documentation · Changelog · Status page · Trust Centre · Accessibility.</w:t>
      </w:r>
    </w:p>
    <w:p>
      <w:pPr>
        <w:numPr>
          <w:ilvl w:val="0"/>
          <w:numId w:val="1013"/>
        </w:numPr>
        <w:pStyle w:val="Compact"/>
      </w:pPr>
      <w:r>
        <w:t xml:space="preserve">Column 4 — Legal: Privacy Notice · Terms of Use · Payment &amp; Subscription Terms · Refund &amp; Cancellation Policy · Cookie Policy · AI Use &amp; Transparency Policy · Grievance Redressal Policy · Acceptable Use Policy · Data Retention &amp; Deletion Schedule · Accessibility Statement · Security &amp; Responsible Disclosure · Blog &amp; UGC Terms (when enabled) · Resources Download Terms · Data Processing Agreement · Service Level Agreement · Vendor Assurance Statement · Sitemap.</w:t>
      </w:r>
    </w:p>
    <w:p>
      <w:pPr>
        <w:numPr>
          <w:ilvl w:val="0"/>
          <w:numId w:val="1013"/>
        </w:numPr>
        <w:pStyle w:val="Compact"/>
      </w:pPr>
      <w:r>
        <w:t xml:space="preserve">Officers line: "Grievance Officer: [name],</w:t>
      </w:r>
      <w:r>
        <w:t xml:space="preserve"> </w:t>
      </w:r>
      <w:hyperlink r:id="rId41">
        <w:r>
          <w:rPr>
            <w:rStyle w:val="Hyperlink"/>
          </w:rPr>
          <w:t xml:space="preserve">grievance@lawdocscomply.com</w:t>
        </w:r>
      </w:hyperlink>
      <w:r>
        <w:t xml:space="preserve">, [hours] · Data protection contact: [name],</w:t>
      </w:r>
      <w:r>
        <w:t xml:space="preserve"> </w:t>
      </w:r>
      <w:hyperlink r:id="rId42">
        <w:r>
          <w:rPr>
            <w:rStyle w:val="Hyperlink"/>
          </w:rPr>
          <w:t xml:space="preserve">privacy@lawdocscomply.com</w:t>
        </w:r>
      </w:hyperlink>
      <w:r>
        <w:t xml:space="preserve">".</w:t>
      </w:r>
    </w:p>
    <w:p>
      <w:pPr>
        <w:numPr>
          <w:ilvl w:val="0"/>
          <w:numId w:val="1013"/>
        </w:numPr>
        <w:pStyle w:val="Compact"/>
      </w:pPr>
      <w:r>
        <w:t xml:space="preserve">Entity line: "[Legal name] · CIN [CIN] · GSTIN [GSTIN] · Registered office: [address] · Part of the Infrabyx Group".</w:t>
      </w:r>
    </w:p>
    <w:p>
      <w:pPr>
        <w:numPr>
          <w:ilvl w:val="0"/>
          <w:numId w:val="1013"/>
        </w:numPr>
        <w:pStyle w:val="Compact"/>
      </w:pPr>
      <w:r>
        <w:t xml:space="preserve">Social: LinkedIn · YouTube · X · Instagram · WhatsApp channel (labelled icons from</w:t>
      </w:r>
      <w:r>
        <w:t xml:space="preserve"> </w:t>
      </w:r>
      <w:r>
        <w:rPr>
          <w:rStyle w:val="VerbatimChar"/>
        </w:rPr>
        <w:t xml:space="preserve">brand_pack.social</w:t>
      </w:r>
      <w:r>
        <w:t xml:space="preserve">).</w:t>
      </w:r>
    </w:p>
    <w:p>
      <w:pPr>
        <w:numPr>
          <w:ilvl w:val="0"/>
          <w:numId w:val="1013"/>
        </w:numPr>
        <w:pStyle w:val="Compact"/>
      </w:pPr>
      <w:r>
        <w:t xml:space="preserve">Language switch (English | हिन्दी) · Cookie settings · Boundary statement (one line) · "© [year] [legal name]. Prices shown exclusive of GST unless stated."</w:t>
      </w:r>
    </w:p>
    <w:p>
      <w:pPr>
        <w:pStyle w:val="FirstParagraph"/>
      </w:pPr>
      <w:r>
        <w:rPr>
          <w:b/>
        </w:rPr>
        <w:t xml:space="preserve">Cookie banner (</w:t>
      </w:r>
      <w:r>
        <w:rPr>
          <w:rStyle w:val="VerbatimChar"/>
          <w:b/>
        </w:rPr>
        <w:t xml:space="preserve">consent.cookie.banner</w:t>
      </w:r>
      <w:r>
        <w:rPr>
          <w:b/>
        </w:rPr>
        <w:t xml:space="preserve">).</w:t>
      </w:r>
      <w:r>
        <w:t xml:space="preserve"> </w:t>
      </w:r>
      <w:r>
        <w:t xml:space="preserve">"We use cookies to run this site and, with your consent, to understand usage and measure campaigns. Choose Accept all, Reject all or Manage. You can change your choice any time." Buttons of equal prominence: Accept all · Reject all · Manage. Preference centre: categories with plain descriptions (Necessary — "Needed for the site to work, including your accessibility preferences"; Functional; Analytics — "First-party analytics hosted in India"; Marketing — "Measures our campaigns on other platforms; never used on logged-in or sensitive pages"), vendor table from the registry, "Save my choices".</w:t>
      </w:r>
    </w:p>
    <w:p>
      <w:pPr>
        <w:pStyle w:val="BodyText"/>
      </w:pPr>
      <w:r>
        <w:rPr>
          <w:b/>
        </w:rPr>
        <w:t xml:space="preserve">System texts (public site).</w:t>
      </w:r>
      <w:r>
        <w:t xml:space="preserve"> </w:t>
      </w:r>
      <w:r>
        <w:t xml:space="preserve">404: "We could not find that page. Try the search, the sitemap, or start from the home page." 410 (retired): "This page has been retired. [Link to replacement or category.]" 421 (unknown host): "This address is not served by LawDocsComply." Form error: "Please check the highlighted fields." Form success: "Thank you. Reference [id]." Maintenance: "LawDocsComply is undergoing scheduled maintenance announced on our status page. We expect to be back by [time] IST."</w:t>
      </w:r>
    </w:p>
    <w:p>
      <w:pPr>
        <w:pStyle w:val="BodyText"/>
      </w:pPr>
      <w:r>
        <w:rPr>
          <w:b/>
        </w:rPr>
        <w:t xml:space="preserve">Consent texts.</w:t>
      </w:r>
      <w:r>
        <w:t xml:space="preserve"> </w:t>
      </w:r>
      <w:r>
        <w:t xml:space="preserve">All from Appendix AD §AD.18 (</w:t>
      </w:r>
      <w:r>
        <w:rPr>
          <w:rStyle w:val="VerbatimChar"/>
        </w:rPr>
        <w:t xml:space="preserve">consent.*</w:t>
      </w:r>
      <w:r>
        <w:t xml:space="preserve"> </w:t>
      </w:r>
      <w:r>
        <w:t xml:space="preserve">keys); not duplicated here.</w:t>
      </w:r>
    </w:p>
    <w:p>
      <w:r>
        <w:pict>
          <v:rect style="width:0;height:1.5pt" o:hralign="center" o:hrstd="t" o:hr="t"/>
        </w:pict>
      </w:r>
    </w:p>
    <w:p>
      <w:pPr>
        <w:pStyle w:val="Heading2"/>
      </w:pPr>
      <w:bookmarkStart w:id="54" w:name="Xd0011a3aaf195f68743e4e7c28f49ede146d938"/>
      <w:r>
        <w:t xml:space="preserve">27. FAQ bank (≥ 40; grouped; each answer stands alone and may be reused on any page; claims marked)</w:t>
      </w:r>
      <w:bookmarkEnd w:id="54"/>
    </w:p>
    <w:p>
      <w:pPr>
        <w:pStyle w:val="FirstParagraph"/>
      </w:pPr>
      <w:r>
        <w:rPr>
          <w:b/>
        </w:rPr>
        <w:t xml:space="preserve">About the product</w:t>
      </w:r>
    </w:p>
    <w:p>
      <w:pPr>
        <w:numPr>
          <w:ilvl w:val="0"/>
          <w:numId w:val="1014"/>
        </w:numPr>
        <w:pStyle w:val="Compact"/>
      </w:pPr>
      <w:r>
        <w:rPr>
          <w:b/>
        </w:rPr>
        <w:t xml:space="preserve">Is LawDocsComply a law firm or a compliance consultancy?</w:t>
      </w:r>
      <w:r>
        <w:t xml:space="preserve"> </w:t>
      </w:r>
      <w:r>
        <w:t xml:space="preserve">No. LawDocsComply provides compliance-management software and curated regulatory information. It does not provide legal, secretarial, tax or audit opinions, and it does not file with any regulator. Where you need a professional, our Marketplace lists independent practitioners whose engagement is directly with you.</w:t>
      </w:r>
    </w:p>
    <w:p>
      <w:pPr>
        <w:numPr>
          <w:ilvl w:val="0"/>
          <w:numId w:val="1014"/>
        </w:numPr>
        <w:pStyle w:val="Compact"/>
      </w:pPr>
      <w:r>
        <w:rPr>
          <w:b/>
        </w:rPr>
        <w:t xml:space="preserve">What does "cited to the regulation" mean?</w:t>
      </w:r>
      <w:r>
        <w:t xml:space="preserve"> </w:t>
      </w:r>
      <w:r>
        <w:t xml:space="preserve">Every obligation in our library names the instrument (for example a master direction or regulation), the clause or paragraph, the issue date, the date it was last amended, the date our reviewer last checked it and the reviewer of record. You can open the source from the obligation.</w:t>
      </w:r>
    </w:p>
    <w:p>
      <w:pPr>
        <w:numPr>
          <w:ilvl w:val="0"/>
          <w:numId w:val="1014"/>
        </w:numPr>
        <w:pStyle w:val="Compact"/>
      </w:pPr>
      <w:r>
        <w:rPr>
          <w:b/>
        </w:rPr>
        <w:t xml:space="preserve">Which regulators and laws does the library cover?</w:t>
      </w:r>
      <w:r>
        <w:t xml:space="preserve"> </w:t>
      </w:r>
      <w:r>
        <w:t xml:space="preserve">RBI (commercial banks, small finance and payments banks, RRBs, urban and rural co-operative banks, NBFCs, ARCs and other regulated entities), SEBI (listed entities, mutual funds, AIFs, REITs and InvITs, intermediaries), IRDAI (insurers and intermediaries), IFSCA (regulated entities, finance companies and units, fund management entities), MCA (companies and LLPs), co-operative societies law (credit and other societies), and the overlays every entity faces: data protection, cyber security, labour codes and POSH, GST and direct tax, ESG and BRSR, AI governance. The published count per family is shown on each Solution page from the live registry [Claims: E1 registry count].</w:t>
      </w:r>
    </w:p>
    <w:p>
      <w:pPr>
        <w:numPr>
          <w:ilvl w:val="0"/>
          <w:numId w:val="1014"/>
        </w:numPr>
        <w:pStyle w:val="Compact"/>
      </w:pPr>
      <w:r>
        <w:rPr>
          <w:b/>
        </w:rPr>
        <w:t xml:space="preserve">Do you upload every RBI circular ever issued?</w:t>
      </w:r>
      <w:r>
        <w:t xml:space="preserve"> </w:t>
      </w:r>
      <w:r>
        <w:t xml:space="preserve">No. Our RBI content base is built on the consolidated directions the RBI issued on 28 November 2025 and the amendments and directions issued after that date, including the Department of Supervision returns directions of 31 July 2026 [Claims: E2 RBI press release and the LDC catalogue]. Older circulars that the consolidation superseded are not loaded as obligations.</w:t>
      </w:r>
    </w:p>
    <w:p>
      <w:pPr>
        <w:numPr>
          <w:ilvl w:val="0"/>
          <w:numId w:val="1014"/>
        </w:numPr>
        <w:pStyle w:val="Compact"/>
      </w:pPr>
      <w:r>
        <w:rPr>
          <w:b/>
        </w:rPr>
        <w:t xml:space="preserve">How do you know what applies to my entity?</w:t>
      </w:r>
      <w:r>
        <w:t xml:space="preserve"> </w:t>
      </w:r>
      <w:r>
        <w:t xml:space="preserve">You answer up to twelve questions (regulator, entity type, layer or tier, size, listing status, State, activities), or you let us pre-fill them from public registers through a licensed provider with your consent. The applicability engine then lists the instruments and obligations and shows the rule that makes each one apply. You confirm or correct before anything is created.</w:t>
      </w:r>
    </w:p>
    <w:p>
      <w:pPr>
        <w:numPr>
          <w:ilvl w:val="0"/>
          <w:numId w:val="1014"/>
        </w:numPr>
        <w:pStyle w:val="Compact"/>
      </w:pPr>
      <w:r>
        <w:rPr>
          <w:b/>
        </w:rPr>
        <w:t xml:space="preserve">What is a CompID?</w:t>
      </w:r>
      <w:r>
        <w:t xml:space="preserve"> </w:t>
      </w:r>
      <w:r>
        <w:t xml:space="preserve">A permanent, human-readable identifier the platform assigns to every compliance question when a direction's sheet is published — for example</w:t>
      </w:r>
      <w:r>
        <w:t xml:space="preserve"> </w:t>
      </w:r>
      <w:r>
        <w:rPr>
          <w:rStyle w:val="VerbatimChar"/>
        </w:rPr>
        <w:t xml:space="preserve">RBI-NBFC-GOV25-0042</w:t>
      </w:r>
      <w:r>
        <w:t xml:space="preserve">. It never changes and is never reused, so you can quote it in a board note, an audit or a reply to a regulator and everyone finds the same item.</w:t>
      </w:r>
    </w:p>
    <w:p>
      <w:pPr>
        <w:numPr>
          <w:ilvl w:val="0"/>
          <w:numId w:val="1014"/>
        </w:numPr>
        <w:pStyle w:val="Compact"/>
      </w:pPr>
      <w:r>
        <w:rPr>
          <w:b/>
        </w:rPr>
        <w:t xml:space="preserve">What are RiskIDs and GovIDs?</w:t>
      </w:r>
      <w:r>
        <w:t xml:space="preserve"> </w:t>
      </w:r>
      <w:r>
        <w:t xml:space="preserve">The same idea for risk items and governance items: stable identifiers that the audit trail, conversations, bookmarks and exports are keyed to.</w:t>
      </w:r>
    </w:p>
    <w:p>
      <w:pPr>
        <w:numPr>
          <w:ilvl w:val="0"/>
          <w:numId w:val="1014"/>
        </w:numPr>
        <w:pStyle w:val="Compact"/>
      </w:pPr>
      <w:r>
        <w:rPr>
          <w:b/>
        </w:rPr>
        <w:t xml:space="preserve">How are red, amber and green decided?</w:t>
      </w:r>
      <w:r>
        <w:t xml:space="preserve"> </w:t>
      </w:r>
      <w:r>
        <w:t xml:space="preserve">By a deterministic rule from the item's status, its next due date, its frequency window and its risk category. The same facts always give the same colour, and the rule is shown when you hover. A separate, labelled "at risk of slipping" prediction is kept apart from the RAG itself.</w:t>
      </w:r>
    </w:p>
    <w:p>
      <w:pPr>
        <w:numPr>
          <w:ilvl w:val="0"/>
          <w:numId w:val="1014"/>
        </w:numPr>
        <w:pStyle w:val="Compact"/>
      </w:pPr>
      <w:r>
        <w:rPr>
          <w:b/>
        </w:rPr>
        <w:t xml:space="preserve">Can we use our own terminology?</w:t>
      </w:r>
      <w:r>
        <w:t xml:space="preserve"> </w:t>
      </w:r>
      <w:r>
        <w:t xml:space="preserve">Yes. Co-operative societies see Managing Committee, Members and Annual General Body Meeting; LLPs see Designated Partners; you can override terms within limits. Legal disclaimers and statutory form layouts never change.</w:t>
      </w:r>
    </w:p>
    <w:p>
      <w:pPr>
        <w:numPr>
          <w:ilvl w:val="0"/>
          <w:numId w:val="1014"/>
        </w:numPr>
        <w:pStyle w:val="Compact"/>
      </w:pPr>
      <w:r>
        <w:rPr>
          <w:b/>
        </w:rPr>
        <w:t xml:space="preserve">Can we import our existing Excel trackers?</w:t>
      </w:r>
      <w:r>
        <w:t xml:space="preserve"> </w:t>
      </w:r>
      <w:r>
        <w:t xml:space="preserve">Yes. Upload your sheet; the importer proposes a mapping to our template contract, shows a preview, row errors and a diff, and nothing publishes until you approve. Imports are one change set with a 24-hour undo.</w:t>
      </w:r>
    </w:p>
    <w:p>
      <w:pPr>
        <w:pStyle w:val="FirstParagraph"/>
      </w:pPr>
      <w:r>
        <w:rPr>
          <w:b/>
        </w:rPr>
        <w:t xml:space="preserve">Working the register</w:t>
      </w:r>
    </w:p>
    <w:p>
      <w:pPr>
        <w:numPr>
          <w:ilvl w:val="0"/>
          <w:numId w:val="1015"/>
        </w:numPr>
        <w:pStyle w:val="Compact"/>
      </w:pPr>
      <w:r>
        <w:rPr>
          <w:b/>
        </w:rPr>
        <w:t xml:space="preserve">Who can mark an item as complied?</w:t>
      </w:r>
      <w:r>
        <w:t xml:space="preserve"> </w:t>
      </w:r>
      <w:r>
        <w:t xml:space="preserve">A maker records the work and attaches evidence; a checker approves; an auditor may test. No item is complied without a checker, and the AI assistant can never change a status.</w:t>
      </w:r>
    </w:p>
    <w:p>
      <w:pPr>
        <w:numPr>
          <w:ilvl w:val="0"/>
          <w:numId w:val="1015"/>
        </w:numPr>
        <w:pStyle w:val="Compact"/>
      </w:pPr>
      <w:r>
        <w:rPr>
          <w:b/>
        </w:rPr>
        <w:t xml:space="preserve">How does evidence work?</w:t>
      </w:r>
      <w:r>
        <w:t xml:space="preserve"> </w:t>
      </w:r>
      <w:r>
        <w:t xml:space="preserve">Evidence attaches to the compliance item (and to the CompID), is scanned for malware, versioned, stored immutably and shown with who uploaded it and when. Evidence requests to colleagues or vendors are tracked until fulfilled.</w:t>
      </w:r>
    </w:p>
    <w:p>
      <w:pPr>
        <w:numPr>
          <w:ilvl w:val="0"/>
          <w:numId w:val="1015"/>
        </w:numPr>
        <w:pStyle w:val="Compact"/>
      </w:pPr>
      <w:r>
        <w:rPr>
          <w:b/>
        </w:rPr>
        <w:t xml:space="preserve">What is the Work Inbox?</w:t>
      </w:r>
      <w:r>
        <w:t xml:space="preserve"> </w:t>
      </w:r>
      <w:r>
        <w:t xml:space="preserve">One list of what needs your action — approvals, evidence requests, overdue items, conversations awaiting your reply — ordered by urgency with a suggested next action. It works entirely from the keyboard.</w:t>
      </w:r>
    </w:p>
    <w:p>
      <w:pPr>
        <w:numPr>
          <w:ilvl w:val="0"/>
          <w:numId w:val="1015"/>
        </w:numPr>
        <w:pStyle w:val="Compact"/>
      </w:pPr>
      <w:r>
        <w:rPr>
          <w:b/>
        </w:rPr>
        <w:t xml:space="preserve">Can seniors ask for an explanation of a delay?</w:t>
      </w:r>
      <w:r>
        <w:t xml:space="preserve"> </w:t>
      </w:r>
      <w:r>
        <w:t xml:space="preserve">Yes. Each item has typed conversations: explanation requests, guidance requests, queries, notes and decisions, each with a response time. The accountability record shows who held an item, for how long and what it was waiting on, computed from the ledger. What an organisation does with that record is a matter for its own HR policy.</w:t>
      </w:r>
    </w:p>
    <w:p>
      <w:pPr>
        <w:numPr>
          <w:ilvl w:val="0"/>
          <w:numId w:val="1015"/>
        </w:numPr>
        <w:pStyle w:val="Compact"/>
      </w:pPr>
      <w:r>
        <w:rPr>
          <w:b/>
        </w:rPr>
        <w:t xml:space="preserve">Does the calendar sync to Outlook or Google Calendar?</w:t>
      </w:r>
      <w:r>
        <w:t xml:space="preserve"> </w:t>
      </w:r>
      <w:r>
        <w:t xml:space="preserve">Yes — Microsoft 365 (work and personal accounts), Google Calendar, and ICS subscriptions for Apple and others. Deadlines, meetings and reminders appear in your own calendar.</w:t>
      </w:r>
    </w:p>
    <w:p>
      <w:pPr>
        <w:numPr>
          <w:ilvl w:val="0"/>
          <w:numId w:val="1015"/>
        </w:numPr>
        <w:pStyle w:val="Compact"/>
      </w:pPr>
      <w:r>
        <w:rPr>
          <w:b/>
        </w:rPr>
        <w:t xml:space="preserve">Can an auditor get access?</w:t>
      </w:r>
      <w:r>
        <w:t xml:space="preserve"> </w:t>
      </w:r>
      <w:r>
        <w:t xml:space="preserve">Yes. Internal and external auditors use a read-only assurance view scoped to what you grant, with their own log. Board members use a board view for packs and minutes.</w:t>
      </w:r>
    </w:p>
    <w:p>
      <w:pPr>
        <w:pStyle w:val="FirstParagraph"/>
      </w:pPr>
      <w:r>
        <w:rPr>
          <w:b/>
        </w:rPr>
        <w:t xml:space="preserve">Regulatory change</w:t>
      </w:r>
    </w:p>
    <w:p>
      <w:pPr>
        <w:numPr>
          <w:ilvl w:val="0"/>
          <w:numId w:val="1016"/>
        </w:numPr>
        <w:pStyle w:val="Compact"/>
      </w:pPr>
      <w:r>
        <w:rPr>
          <w:b/>
        </w:rPr>
        <w:t xml:space="preserve">How quickly do you reflect a regulatory change?</w:t>
      </w:r>
      <w:r>
        <w:t xml:space="preserve"> </w:t>
      </w:r>
      <w:r>
        <w:t xml:space="preserve">Our systems scan regulator sources daily at 20:00 IST and flag changes; our content team reviews and publishes the impact — what changed, where, and which obligations are affected — and your register shows proposed re-mappings for your approval. We state the date of each review. We do not promise same-day coverage of every regulatory action.</w:t>
      </w:r>
    </w:p>
    <w:p>
      <w:pPr>
        <w:numPr>
          <w:ilvl w:val="0"/>
          <w:numId w:val="1016"/>
        </w:numPr>
        <w:pStyle w:val="Compact"/>
      </w:pPr>
      <w:r>
        <w:rPr>
          <w:b/>
        </w:rPr>
        <w:t xml:space="preserve">Will a change alter our register automatically?</w:t>
      </w:r>
      <w:r>
        <w:t xml:space="preserve"> </w:t>
      </w:r>
      <w:r>
        <w:t xml:space="preserve">No. Proposed re-mappings wait for a person in your organisation to accept them.</w:t>
      </w:r>
    </w:p>
    <w:p>
      <w:pPr>
        <w:pStyle w:val="FirstParagraph"/>
      </w:pPr>
      <w:r>
        <w:rPr>
          <w:b/>
        </w:rPr>
        <w:t xml:space="preserve">Vidhi and AI</w:t>
      </w:r>
    </w:p>
    <w:p>
      <w:pPr>
        <w:numPr>
          <w:ilvl w:val="0"/>
          <w:numId w:val="1017"/>
        </w:numPr>
        <w:pStyle w:val="Compact"/>
      </w:pPr>
      <w:r>
        <w:rPr>
          <w:b/>
        </w:rPr>
        <w:t xml:space="preserve">What is Vidhi?</w:t>
      </w:r>
      <w:r>
        <w:t xml:space="preserve"> </w:t>
      </w:r>
      <w:r>
        <w:t xml:space="preserve">The AI assistant built into LawDocsComply on the Infrabyx Vidhi AI kernel. It drafts, summarises, classifies, extracts, translates and answers questions from cited notebooks.</w:t>
      </w:r>
    </w:p>
    <w:p>
      <w:pPr>
        <w:numPr>
          <w:ilvl w:val="0"/>
          <w:numId w:val="1017"/>
        </w:numPr>
        <w:pStyle w:val="Compact"/>
      </w:pPr>
      <w:r>
        <w:rPr>
          <w:b/>
        </w:rPr>
        <w:t xml:space="preserve">Does Vidhi make decisions or file anything?</w:t>
      </w:r>
      <w:r>
        <w:t xml:space="preserve"> </w:t>
      </w:r>
      <w:r>
        <w:t xml:space="preserve">No. Vidhi never marks an obligation complied, never submits a return or filing, never changes an owner, never closes a finding, never publishes a policy and never sends anything to a regulator, auditor or counter-party. Those actions always need a person.</w:t>
      </w:r>
    </w:p>
    <w:p>
      <w:pPr>
        <w:numPr>
          <w:ilvl w:val="0"/>
          <w:numId w:val="1017"/>
        </w:numPr>
        <w:pStyle w:val="Compact"/>
      </w:pPr>
      <w:r>
        <w:rPr>
          <w:b/>
        </w:rPr>
        <w:t xml:space="preserve">Does the AI see our documents, and where are they processed?</w:t>
      </w:r>
      <w:r>
        <w:t xml:space="preserve"> </w:t>
      </w:r>
      <w:r>
        <w:t xml:space="preserve">Only the documents you point it at, only to produce the output you asked for, and — for confidential, financial, legal, HR and regulated data — only on India-resident endpoints under zero-retention contracts. Your content is never used to train models. The provider used is shown on each output.</w:t>
      </w:r>
    </w:p>
    <w:p>
      <w:pPr>
        <w:numPr>
          <w:ilvl w:val="0"/>
          <w:numId w:val="1017"/>
        </w:numPr>
        <w:pStyle w:val="Compact"/>
      </w:pPr>
      <w:r>
        <w:rPr>
          <w:b/>
        </w:rPr>
        <w:t xml:space="preserve">Can we turn Vidhi off or limit it?</w:t>
      </w:r>
      <w:r>
        <w:t xml:space="preserve"> </w:t>
      </w:r>
      <w:r>
        <w:t xml:space="preserve">Yes. Administrators can disable AI features for the organisation, tighten autonomy limits per skill, disable individual agents and schedules, and see usage and cost.</w:t>
      </w:r>
    </w:p>
    <w:p>
      <w:pPr>
        <w:numPr>
          <w:ilvl w:val="0"/>
          <w:numId w:val="1017"/>
        </w:numPr>
        <w:pStyle w:val="Compact"/>
      </w:pPr>
      <w:r>
        <w:rPr>
          <w:b/>
        </w:rPr>
        <w:t xml:space="preserve">Is AI output labelled?</w:t>
      </w:r>
      <w:r>
        <w:t xml:space="preserve"> </w:t>
      </w:r>
      <w:r>
        <w:t xml:space="preserve">Yes. Every output carries "AI-generated — review before use", the date and the model family. Images we generate for our own website carry a visible label and embedded provenance.</w:t>
      </w:r>
    </w:p>
    <w:p>
      <w:pPr>
        <w:pStyle w:val="FirstParagraph"/>
      </w:pPr>
      <w:r>
        <w:rPr>
          <w:b/>
        </w:rPr>
        <w:t xml:space="preserve">Data, security and exit</w:t>
      </w:r>
    </w:p>
    <w:p>
      <w:pPr>
        <w:numPr>
          <w:ilvl w:val="0"/>
          <w:numId w:val="1018"/>
        </w:numPr>
        <w:pStyle w:val="Compact"/>
      </w:pPr>
      <w:r>
        <w:rPr>
          <w:b/>
        </w:rPr>
        <w:t xml:space="preserve">Where is our data stored?</w:t>
      </w:r>
      <w:r>
        <w:t xml:space="preserve"> </w:t>
      </w:r>
      <w:r>
        <w:t xml:space="preserve">In India: primary systems in Mumbai with disaster recovery in Hyderabad. Confidential and regulated data does not leave India.</w:t>
      </w:r>
    </w:p>
    <w:p>
      <w:pPr>
        <w:numPr>
          <w:ilvl w:val="0"/>
          <w:numId w:val="1018"/>
        </w:numPr>
        <w:pStyle w:val="Compact"/>
      </w:pPr>
      <w:r>
        <w:rPr>
          <w:b/>
        </w:rPr>
        <w:t xml:space="preserve">Is our data separated from other customers'?</w:t>
      </w:r>
      <w:r>
        <w:t xml:space="preserve"> </w:t>
      </w:r>
      <w:r>
        <w:t xml:space="preserve">Yes. Every tenant is isolated at the database level with row-level security policies that are tested on every build, and sealed data classes use per-tenant keys.</w:t>
      </w:r>
    </w:p>
    <w:p>
      <w:pPr>
        <w:numPr>
          <w:ilvl w:val="0"/>
          <w:numId w:val="1018"/>
        </w:numPr>
        <w:pStyle w:val="Compact"/>
      </w:pPr>
      <w:r>
        <w:rPr>
          <w:b/>
        </w:rPr>
        <w:t xml:space="preserve">Are you ISO 27001 certified or SOC 2 audited?</w:t>
      </w:r>
      <w:r>
        <w:t xml:space="preserve"> </w:t>
      </w:r>
      <w:r>
        <w:t xml:space="preserve">We list in the Trust Centre only the certifications and reports we actually hold, with issuer, scope and validity. Standards we are working towards are labelled "in progress". Please check the Trust Centre for the current position rather than relying on a general statement.</w:t>
      </w:r>
    </w:p>
    <w:p>
      <w:pPr>
        <w:numPr>
          <w:ilvl w:val="0"/>
          <w:numId w:val="1018"/>
        </w:numPr>
        <w:pStyle w:val="Compact"/>
      </w:pPr>
      <w:r>
        <w:rPr>
          <w:b/>
        </w:rPr>
        <w:t xml:space="preserve">Can we export everything if we leave?</w:t>
      </w:r>
      <w:r>
        <w:t xml:space="preserve"> </w:t>
      </w:r>
      <w:r>
        <w:t xml:space="preserve">Yes. The</w:t>
      </w:r>
      <w:r>
        <w:t xml:space="preserve"> </w:t>
      </w:r>
      <w:r>
        <w:rPr>
          <w:rStyle w:val="VerbatimChar"/>
        </w:rPr>
        <w:t xml:space="preserve">LDC-EXPORT-1.0</w:t>
      </w:r>
      <w:r>
        <w:t xml:space="preserve"> </w:t>
      </w:r>
      <w:r>
        <w:t xml:space="preserve">package is a numbered folder tree a beginner can read without LawDocsComply — organisation profile, coverage, register and evidence, updates, governance, policies, risk, audits, returns, people, grievances, documents, Vidhi outputs, billing, users, settings, integrations and the audit trail — in DOCX, XLSX, PDF/A, CSV and JSON. Export is available on demand, on a schedule and to your own storage. On termination you have at least 30 days (90 for enterprise and regulated plans).</w:t>
      </w:r>
    </w:p>
    <w:p>
      <w:pPr>
        <w:numPr>
          <w:ilvl w:val="0"/>
          <w:numId w:val="1018"/>
        </w:numPr>
        <w:pStyle w:val="Compact"/>
      </w:pPr>
      <w:r>
        <w:rPr>
          <w:b/>
        </w:rPr>
        <w:t xml:space="preserve">Can we keep a copy in our own cloud?</w:t>
      </w:r>
      <w:r>
        <w:t xml:space="preserve"> </w:t>
      </w:r>
      <w:r>
        <w:t xml:space="preserve">Yes. Bring-your-own storage targets include S3, Azure Blob, Google Cloud Storage, SFTP, OneDrive, SharePoint and Google Drive; scheduled backup copies can mirror to your bucket.</w:t>
      </w:r>
    </w:p>
    <w:p>
      <w:pPr>
        <w:numPr>
          <w:ilvl w:val="0"/>
          <w:numId w:val="1018"/>
        </w:numPr>
        <w:pStyle w:val="Compact"/>
      </w:pPr>
      <w:r>
        <w:rPr>
          <w:b/>
        </w:rPr>
        <w:t xml:space="preserve">What happens if we stop paying?</w:t>
      </w:r>
      <w:r>
        <w:t xml:space="preserve"> </w:t>
      </w:r>
      <w:r>
        <w:t xml:space="preserve">After the grace period your account becomes read-only with export available; we do not delete your data for non-payment before the Retention Schedule period for suspended accounts. Reactivation restores the same plan.</w:t>
      </w:r>
    </w:p>
    <w:p>
      <w:pPr>
        <w:numPr>
          <w:ilvl w:val="0"/>
          <w:numId w:val="1018"/>
        </w:numPr>
        <w:pStyle w:val="Compact"/>
      </w:pPr>
      <w:r>
        <w:rPr>
          <w:b/>
        </w:rPr>
        <w:t xml:space="preserve">How do you handle a security incident?</w:t>
      </w:r>
      <w:r>
        <w:t xml:space="preserve"> </w:t>
      </w:r>
      <w:r>
        <w:t xml:space="preserve">We follow a tested incident process, report to CERT-In within six hours where the Directions apply, notify affected users and the Data Protection Board as the DPDP framework requires, and notify regulated customers within the window in their Data Processing Agreement so they can meet their own reporting duties.</w:t>
      </w:r>
    </w:p>
    <w:p>
      <w:pPr>
        <w:numPr>
          <w:ilvl w:val="0"/>
          <w:numId w:val="1018"/>
        </w:numPr>
        <w:pStyle w:val="Compact"/>
      </w:pPr>
      <w:r>
        <w:rPr>
          <w:b/>
        </w:rPr>
        <w:t xml:space="preserve">Do you pull credit reports during onboarding or the Health Check?</w:t>
      </w:r>
      <w:r>
        <w:t xml:space="preserve"> </w:t>
      </w:r>
      <w:r>
        <w:t xml:space="preserve">No. We never obtain credit-information reports. Where you prepare your own credit-bureau submissions, Return Studio helps you build your files from your data.</w:t>
      </w:r>
    </w:p>
    <w:p>
      <w:pPr>
        <w:pStyle w:val="FirstParagraph"/>
      </w:pPr>
      <w:r>
        <w:rPr>
          <w:b/>
        </w:rPr>
        <w:t xml:space="preserve">Health Check</w:t>
      </w:r>
    </w:p>
    <w:p>
      <w:pPr>
        <w:numPr>
          <w:ilvl w:val="0"/>
          <w:numId w:val="1019"/>
        </w:numPr>
        <w:pStyle w:val="Compact"/>
      </w:pPr>
      <w:r>
        <w:rPr>
          <w:b/>
        </w:rPr>
        <w:t xml:space="preserve">Is the Health Check really free?</w:t>
      </w:r>
      <w:r>
        <w:t xml:space="preserve"> </w:t>
      </w:r>
      <w:r>
        <w:t xml:space="preserve">Yes. There is no charge, no card and no obligation. You can delete your session at any time, and we do not contact you unless you ask.</w:t>
      </w:r>
    </w:p>
    <w:p>
      <w:pPr>
        <w:numPr>
          <w:ilvl w:val="0"/>
          <w:numId w:val="1019"/>
        </w:numPr>
        <w:pStyle w:val="Compact"/>
      </w:pPr>
      <w:r>
        <w:rPr>
          <w:b/>
        </w:rPr>
        <w:t xml:space="preserve">Is the Health Check Score a rating or a certificate?</w:t>
      </w:r>
      <w:r>
        <w:t xml:space="preserve"> </w:t>
      </w:r>
      <w:r>
        <w:t xml:space="preserve">No. It is a self-assessment score computed from your answers against a published set of checks. It is not a regulatory rating and cannot be shown to a regulator as evidence of compliance.</w:t>
      </w:r>
    </w:p>
    <w:p>
      <w:pPr>
        <w:numPr>
          <w:ilvl w:val="0"/>
          <w:numId w:val="1019"/>
        </w:numPr>
        <w:pStyle w:val="Compact"/>
      </w:pPr>
      <w:r>
        <w:rPr>
          <w:b/>
        </w:rPr>
        <w:t xml:space="preserve">Can we carry Health Check answers into the product?</w:t>
      </w:r>
      <w:r>
        <w:t xml:space="preserve"> </w:t>
      </w:r>
      <w:r>
        <w:t xml:space="preserve">Yes. Your answers can pre-fill a trial register as a self-declared baseline — never marked "Compliant" — so your team starts with the gaps already listed.</w:t>
      </w:r>
    </w:p>
    <w:p>
      <w:pPr>
        <w:pStyle w:val="FirstParagraph"/>
      </w:pPr>
      <w:r>
        <w:rPr>
          <w:b/>
        </w:rPr>
        <w:t xml:space="preserve">Pricing, billing and plans</w:t>
      </w:r>
    </w:p>
    <w:p>
      <w:pPr>
        <w:numPr>
          <w:ilvl w:val="0"/>
          <w:numId w:val="1020"/>
        </w:numPr>
        <w:pStyle w:val="Compact"/>
      </w:pPr>
      <w:r>
        <w:rPr>
          <w:b/>
        </w:rPr>
        <w:t xml:space="preserve">How is pricing calculated?</w:t>
      </w:r>
      <w:r>
        <w:t xml:space="preserve"> </w:t>
      </w:r>
      <w:r>
        <w:t xml:space="preserve">By seats (named users) and by legal entities covered, per plan. Prices are shown exclusive of GST with the rate beside each price, and the total including GST before you pay. Enterprise and regulated-entity plans are quoted on an order form.</w:t>
      </w:r>
    </w:p>
    <w:p>
      <w:pPr>
        <w:numPr>
          <w:ilvl w:val="0"/>
          <w:numId w:val="1020"/>
        </w:numPr>
        <w:pStyle w:val="Compact"/>
      </w:pPr>
      <w:r>
        <w:rPr>
          <w:b/>
        </w:rPr>
        <w:t xml:space="preserve">Who invoices us?</w:t>
      </w:r>
      <w:r>
        <w:t xml:space="preserve"> </w:t>
      </w:r>
      <w:r>
        <w:t xml:space="preserve">The selling entity named in the Payment &amp; Subscription Terms, which is the merchant of record for LawDocsComply plans. Your statement shows its name.</w:t>
      </w:r>
    </w:p>
    <w:p>
      <w:pPr>
        <w:numPr>
          <w:ilvl w:val="0"/>
          <w:numId w:val="1020"/>
        </w:numPr>
        <w:pStyle w:val="Compact"/>
      </w:pPr>
      <w:r>
        <w:rPr>
          <w:b/>
        </w:rPr>
        <w:t xml:space="preserve">Does a trial convert automatically?</w:t>
      </w:r>
      <w:r>
        <w:t xml:space="preserve"> </w:t>
      </w:r>
      <w:r>
        <w:t xml:space="preserve">Never. At the end of a trial you choose a plan or your account becomes read-only with export for 30 days.</w:t>
      </w:r>
    </w:p>
    <w:p>
      <w:pPr>
        <w:numPr>
          <w:ilvl w:val="0"/>
          <w:numId w:val="1020"/>
        </w:numPr>
        <w:pStyle w:val="Compact"/>
      </w:pPr>
      <w:r>
        <w:rPr>
          <w:b/>
        </w:rPr>
        <w:t xml:space="preserve">Can we cancel online?</w:t>
      </w:r>
      <w:r>
        <w:t xml:space="preserve"> </w:t>
      </w:r>
      <w:r>
        <w:t xml:space="preserve">Yes, in Settings › Plans &amp; subscription, in as few steps as it took to subscribe. Cancellation stops future renewals; you keep access to the end of the paid period.</w:t>
      </w:r>
    </w:p>
    <w:p>
      <w:pPr>
        <w:numPr>
          <w:ilvl w:val="0"/>
          <w:numId w:val="1020"/>
        </w:numPr>
        <w:pStyle w:val="Compact"/>
      </w:pPr>
      <w:r>
        <w:rPr>
          <w:b/>
        </w:rPr>
        <w:t xml:space="preserve">What is your refund policy?</w:t>
      </w:r>
      <w:r>
        <w:t xml:space="preserve"> </w:t>
      </w:r>
      <w:r>
        <w:t xml:space="preserve">For self-serve plans, a full refund if you cancel within 7 days of a first purchase or renewal; statutory fees paid on your behalf, used AI credits and completed professional services are not refundable. Refunds reach the original instrument within 5–7 working days with a credit note. Enterprise contracts follow their order form.</w:t>
      </w:r>
    </w:p>
    <w:p>
      <w:pPr>
        <w:numPr>
          <w:ilvl w:val="0"/>
          <w:numId w:val="1020"/>
        </w:numPr>
        <w:pStyle w:val="Compact"/>
      </w:pPr>
      <w:r>
        <w:rPr>
          <w:b/>
        </w:rPr>
        <w:t xml:space="preserve">Do you offer a plan for small co-operative societies or base-layer NBFCs?</w:t>
      </w:r>
      <w:r>
        <w:t xml:space="preserve"> </w:t>
      </w:r>
      <w:r>
        <w:t xml:space="preserve">[OWNER TO SET — no answer published until decided.]</w:t>
      </w:r>
    </w:p>
    <w:p>
      <w:pPr>
        <w:pStyle w:val="FirstParagraph"/>
      </w:pPr>
      <w:r>
        <w:rPr>
          <w:b/>
        </w:rPr>
        <w:t xml:space="preserve">Accessibility, help and support</w:t>
      </w:r>
    </w:p>
    <w:p>
      <w:pPr>
        <w:numPr>
          <w:ilvl w:val="0"/>
          <w:numId w:val="1021"/>
        </w:numPr>
        <w:pStyle w:val="Compact"/>
      </w:pPr>
      <w:r>
        <w:rPr>
          <w:b/>
        </w:rPr>
        <w:t xml:space="preserve">Is LawDocsComply accessible?</w:t>
      </w:r>
      <w:r>
        <w:t xml:space="preserve"> </w:t>
      </w:r>
      <w:r>
        <w:t xml:space="preserve">We design and test to WCAG 2.2 AA and IS 17802; our Accessibility Statement lists exactly where we stand, including known issues and target dates. Settings › Accessibility offers larger text, spacing, a dyslexia-friendly font, high contrast, reduced motion, captions and read-aloud.</w:t>
      </w:r>
    </w:p>
    <w:p>
      <w:pPr>
        <w:numPr>
          <w:ilvl w:val="0"/>
          <w:numId w:val="1021"/>
        </w:numPr>
        <w:pStyle w:val="Compact"/>
      </w:pPr>
      <w:r>
        <w:rPr>
          <w:b/>
        </w:rPr>
        <w:t xml:space="preserve">Is there a Hindi version?</w:t>
      </w:r>
      <w:r>
        <w:t xml:space="preserve"> </w:t>
      </w:r>
      <w:r>
        <w:t xml:space="preserve">The glossary, the Health Check and the most-used maker and checker screens are available in Hindi at launch; coverage grows with each release. Legal pages carry a Hindi summary; the English text prevails.</w:t>
      </w:r>
    </w:p>
    <w:p>
      <w:pPr>
        <w:numPr>
          <w:ilvl w:val="0"/>
          <w:numId w:val="1021"/>
        </w:numPr>
        <w:pStyle w:val="Compact"/>
      </w:pPr>
      <w:r>
        <w:rPr>
          <w:b/>
        </w:rPr>
        <w:t xml:space="preserve">How do we get help?</w:t>
      </w:r>
      <w:r>
        <w:t xml:space="preserve"> </w:t>
      </w:r>
      <w:r>
        <w:t xml:space="preserve">Help in the app (guides, captioned videos, the glossary with regulatory references, learning paths by role), the feedback control on every page, email, and phone for Enterprise plans. Response targets by severity are in the Service Level Agreement.</w:t>
      </w:r>
    </w:p>
    <w:p>
      <w:pPr>
        <w:numPr>
          <w:ilvl w:val="0"/>
          <w:numId w:val="1021"/>
        </w:numPr>
        <w:pStyle w:val="Compact"/>
      </w:pPr>
      <w:r>
        <w:rPr>
          <w:b/>
        </w:rPr>
        <w:t xml:space="preserve">How do we raise a grievance?</w:t>
      </w:r>
      <w:r>
        <w:t xml:space="preserve"> </w:t>
      </w:r>
      <w:r>
        <w:t xml:space="preserve">Help › Raise a grievance in the app or the form at /grievance. You receive a reference immediately, an acknowledgement within 48 hours (24 hours for content complaints) and a resolution within 30 days or sooner where the law requires. The Grievance Officer is named in the footer.</w:t>
      </w:r>
    </w:p>
    <w:p>
      <w:pPr>
        <w:pStyle w:val="FirstParagraph"/>
      </w:pPr>
      <w:r>
        <w:rPr>
          <w:b/>
        </w:rPr>
        <w:t xml:space="preserve">Partners and integration</w:t>
      </w:r>
    </w:p>
    <w:p>
      <w:pPr>
        <w:numPr>
          <w:ilvl w:val="0"/>
          <w:numId w:val="1022"/>
        </w:numPr>
        <w:pStyle w:val="Compact"/>
      </w:pPr>
      <w:r>
        <w:rPr>
          <w:b/>
        </w:rPr>
        <w:t xml:space="preserve">Can we connect LawDocsComply to our other systems?</w:t>
      </w:r>
      <w:r>
        <w:t xml:space="preserve"> </w:t>
      </w:r>
      <w:r>
        <w:t xml:space="preserve">Yes — versioned REST APIs, events and webhooks, a connector marketplace (Microsoft 365, Google Workspace, Tally, ITSM tools, SFTP), OSCAL export for other GRC tools, and an MCP server for your own AI assistant. API keys are scoped and expiring; connectors show what data moves where before you install them.</w:t>
      </w:r>
    </w:p>
    <w:p>
      <w:pPr>
        <w:numPr>
          <w:ilvl w:val="0"/>
          <w:numId w:val="1022"/>
        </w:numPr>
        <w:pStyle w:val="Compact"/>
      </w:pPr>
      <w:r>
        <w:rPr>
          <w:b/>
        </w:rPr>
        <w:t xml:space="preserve">Do you work with practitioner firms?</w:t>
      </w:r>
      <w:r>
        <w:t xml:space="preserve"> </w:t>
      </w:r>
      <w:r>
        <w:t xml:space="preserve">Yes. Practitioners list in the Marketplace under their institutes' rules, review content as reviewers of record, and implement for customers. We never invoice for a practitioner's services and never share professional fees.</w:t>
      </w:r>
    </w:p>
    <w:p>
      <w:r>
        <w:pict>
          <v:rect style="width:0;height:1.5pt" o:hralign="center" o:hrstd="t" o:hr="t"/>
        </w:pict>
      </w:r>
    </w:p>
    <w:p>
      <w:pPr>
        <w:pStyle w:val="Heading2"/>
      </w:pPr>
      <w:bookmarkStart w:id="55" w:name="X86021800bceea197798ffc73c86404b401719e3"/>
      <w:r>
        <w:t xml:space="preserve">28. SEO titles and meta descriptions (per page; titles ≤ 60 characters where possible, descriptions ≤ 160)</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Title</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w:t>
            </w:r>
          </w:p>
        </w:tc>
        <w:tc>
          <w:p>
            <w:pPr>
              <w:pStyle w:val="Compact"/>
              <w:jc w:val="left"/>
            </w:pPr>
            <w:r>
              <w:t xml:space="preserve">LawDocsComply — GRC software for regulated entities in India</w:t>
            </w:r>
          </w:p>
        </w:tc>
        <w:tc>
          <w:p>
            <w:pPr>
              <w:pStyle w:val="Compact"/>
              <w:jc w:val="left"/>
            </w:pPr>
            <w:r>
              <w:t xml:space="preserve">Know what applies to your NBFC, bank, listed company, AIF, insurer, company or co-operative; run maker–checker workflows with evidence; see changes mapped to obligations. Free Health Check.</w:t>
            </w:r>
          </w:p>
        </w:tc>
      </w:tr>
      <w:tr>
        <w:tc>
          <w:p>
            <w:pPr>
              <w:pStyle w:val="Compact"/>
              <w:jc w:val="left"/>
            </w:pPr>
            <w:r>
              <w:rPr>
                <w:rStyle w:val="VerbatimChar"/>
              </w:rPr>
              <w:t xml:space="preserve">/health-check</w:t>
            </w:r>
          </w:p>
        </w:tc>
        <w:tc>
          <w:p>
            <w:pPr>
              <w:pStyle w:val="Compact"/>
              <w:jc w:val="left"/>
            </w:pPr>
            <w:r>
              <w:t xml:space="preserve">Free Compliance Health Check — LawDocsComply</w:t>
            </w:r>
          </w:p>
        </w:tc>
        <w:tc>
          <w:p>
            <w:pPr>
              <w:pStyle w:val="Compact"/>
              <w:jc w:val="left"/>
            </w:pPr>
            <w:r>
              <w:t xml:space="preserve">Answer up to forty questions and get a Health Check Score with a prioritised, cited action list. Free, private, no credit pulls.</w:t>
            </w:r>
          </w:p>
        </w:tc>
      </w:tr>
      <w:tr>
        <w:tc>
          <w:p>
            <w:pPr>
              <w:pStyle w:val="Compact"/>
              <w:jc w:val="left"/>
            </w:pPr>
            <w:r>
              <w:rPr>
                <w:rStyle w:val="VerbatimChar"/>
              </w:rPr>
              <w:t xml:space="preserve">/solutions/nbfc</w:t>
            </w:r>
          </w:p>
        </w:tc>
        <w:tc>
          <w:p>
            <w:pPr>
              <w:pStyle w:val="Compact"/>
              <w:jc w:val="left"/>
            </w:pPr>
            <w:r>
              <w:t xml:space="preserve">NBFC compliance software, Scale Based Regulation — LawDocsComply</w:t>
            </w:r>
          </w:p>
        </w:tc>
        <w:tc>
          <w:p>
            <w:pPr>
              <w:pStyle w:val="Compact"/>
              <w:jc w:val="left"/>
            </w:pPr>
            <w:r>
              <w:t xml:space="preserve">Obligations for all NBFC layers from the RBI consolidated directions, with workflow, ICAAP and returns preparation.</w:t>
            </w:r>
          </w:p>
        </w:tc>
      </w:tr>
      <w:tr>
        <w:tc>
          <w:p>
            <w:pPr>
              <w:pStyle w:val="Compact"/>
              <w:jc w:val="left"/>
            </w:pPr>
            <w:r>
              <w:rPr>
                <w:rStyle w:val="VerbatimChar"/>
              </w:rPr>
              <w:t xml:space="preserve">/solutions/banks</w:t>
            </w:r>
          </w:p>
        </w:tc>
        <w:tc>
          <w:p>
            <w:pPr>
              <w:pStyle w:val="Compact"/>
              <w:jc w:val="left"/>
            </w:pPr>
            <w:r>
              <w:t xml:space="preserve">Bank compliance management with cited obligations — LawDocsComply</w:t>
            </w:r>
          </w:p>
        </w:tc>
        <w:tc>
          <w:p>
            <w:pPr>
              <w:pStyle w:val="Compact"/>
              <w:jc w:val="left"/>
            </w:pPr>
            <w:r>
              <w:t xml:space="preserve">Master directions, DoS circulars and IT governance in one register, with audit tracks and board reporting.</w:t>
            </w:r>
          </w:p>
        </w:tc>
      </w:tr>
      <w:tr>
        <w:tc>
          <w:p>
            <w:pPr>
              <w:pStyle w:val="Compact"/>
              <w:jc w:val="left"/>
            </w:pPr>
            <w:r>
              <w:rPr>
                <w:rStyle w:val="VerbatimChar"/>
              </w:rPr>
              <w:t xml:space="preserve">/solutions/co-operative-banks</w:t>
            </w:r>
          </w:p>
        </w:tc>
        <w:tc>
          <w:p>
            <w:pPr>
              <w:pStyle w:val="Compact"/>
              <w:jc w:val="left"/>
            </w:pPr>
            <w:r>
              <w:t xml:space="preserve">UCB and RCB compliance software — LawDocsComply</w:t>
            </w:r>
          </w:p>
        </w:tc>
        <w:tc>
          <w:p>
            <w:pPr>
              <w:pStyle w:val="Compact"/>
              <w:jc w:val="left"/>
            </w:pPr>
            <w:r>
              <w:t xml:space="preserve">RBI directions, State co-operative law and Registrar registers, in your board's terminology.</w:t>
            </w:r>
          </w:p>
        </w:tc>
      </w:tr>
      <w:tr>
        <w:tc>
          <w:p>
            <w:pPr>
              <w:pStyle w:val="Compact"/>
              <w:jc w:val="left"/>
            </w:pPr>
            <w:r>
              <w:rPr>
                <w:rStyle w:val="VerbatimChar"/>
              </w:rPr>
              <w:t xml:space="preserve">/solutions/listed</w:t>
            </w:r>
          </w:p>
        </w:tc>
        <w:tc>
          <w:p>
            <w:pPr>
              <w:pStyle w:val="Compact"/>
              <w:jc w:val="left"/>
            </w:pPr>
            <w:r>
              <w:t xml:space="preserve">LODR and Companies Act compliance for listed entities — LawDocsComply</w:t>
            </w:r>
          </w:p>
        </w:tc>
        <w:tc>
          <w:p>
            <w:pPr>
              <w:pStyle w:val="Compact"/>
              <w:jc w:val="left"/>
            </w:pPr>
            <w:r>
              <w:t xml:space="preserve">LODR disclosures, board and committee compliance, secretarial standards and BRSR with GovIDs.</w:t>
            </w:r>
          </w:p>
        </w:tc>
      </w:tr>
      <w:tr>
        <w:tc>
          <w:p>
            <w:pPr>
              <w:pStyle w:val="Compact"/>
              <w:jc w:val="left"/>
            </w:pPr>
            <w:r>
              <w:rPr>
                <w:rStyle w:val="VerbatimChar"/>
              </w:rPr>
              <w:t xml:space="preserve">/solutions/funds-intermediaries</w:t>
            </w:r>
          </w:p>
        </w:tc>
        <w:tc>
          <w:p>
            <w:pPr>
              <w:pStyle w:val="Compact"/>
              <w:jc w:val="left"/>
            </w:pPr>
            <w:r>
              <w:t xml:space="preserve">SEBI compliance software for funds and intermediaries — LawDocsComply</w:t>
            </w:r>
          </w:p>
        </w:tc>
        <w:tc>
          <w:p>
            <w:pPr>
              <w:pStyle w:val="Compact"/>
              <w:jc w:val="left"/>
            </w:pPr>
            <w:r>
              <w:t xml:space="preserve">Regulation-by-regulation obligations for AIFs, mutual funds, REITs/InvITs and intermediaries.</w:t>
            </w:r>
          </w:p>
        </w:tc>
      </w:tr>
      <w:tr>
        <w:tc>
          <w:p>
            <w:pPr>
              <w:pStyle w:val="Compact"/>
              <w:jc w:val="left"/>
            </w:pPr>
            <w:r>
              <w:rPr>
                <w:rStyle w:val="VerbatimChar"/>
              </w:rPr>
              <w:t xml:space="preserve">/solutions/insurers</w:t>
            </w:r>
          </w:p>
        </w:tc>
        <w:tc>
          <w:p>
            <w:pPr>
              <w:pStyle w:val="Compact"/>
              <w:jc w:val="left"/>
            </w:pPr>
            <w:r>
              <w:t xml:space="preserve">IRDAI compliance management — LawDocsComply</w:t>
            </w:r>
          </w:p>
        </w:tc>
        <w:tc>
          <w:p>
            <w:pPr>
              <w:pStyle w:val="Compact"/>
              <w:jc w:val="left"/>
            </w:pPr>
            <w:r>
              <w:t xml:space="preserve">IRDAI regulations and circulars mapped to departments, with the returns calendar and board framework.</w:t>
            </w:r>
          </w:p>
        </w:tc>
      </w:tr>
      <w:tr>
        <w:tc>
          <w:p>
            <w:pPr>
              <w:pStyle w:val="Compact"/>
              <w:jc w:val="left"/>
            </w:pPr>
            <w:r>
              <w:rPr>
                <w:rStyle w:val="VerbatimChar"/>
              </w:rPr>
              <w:t xml:space="preserve">/solutions/ifsc</w:t>
            </w:r>
          </w:p>
        </w:tc>
        <w:tc>
          <w:p>
            <w:pPr>
              <w:pStyle w:val="Compact"/>
              <w:jc w:val="left"/>
            </w:pPr>
            <w:r>
              <w:t xml:space="preserve">IFSCA compliance for IFSC units and FMEs — LawDocsComply</w:t>
            </w:r>
          </w:p>
        </w:tc>
        <w:tc>
          <w:p>
            <w:pPr>
              <w:pStyle w:val="Compact"/>
              <w:jc w:val="left"/>
            </w:pPr>
            <w:r>
              <w:t xml:space="preserve">IFSCA regulations and circulars with the reporting calendar and a cross-regulator view for groups.</w:t>
            </w:r>
          </w:p>
        </w:tc>
      </w:tr>
      <w:tr>
        <w:tc>
          <w:p>
            <w:pPr>
              <w:pStyle w:val="Compact"/>
              <w:jc w:val="left"/>
            </w:pPr>
            <w:r>
              <w:rPr>
                <w:rStyle w:val="VerbatimChar"/>
              </w:rPr>
              <w:t xml:space="preserve">/solutions/companies-llps-societies</w:t>
            </w:r>
          </w:p>
        </w:tc>
        <w:tc>
          <w:p>
            <w:pPr>
              <w:pStyle w:val="Compact"/>
              <w:jc w:val="left"/>
            </w:pPr>
            <w:r>
              <w:t xml:space="preserve">Companies Act, LLP and co-operative society compliance — LawDocsComply</w:t>
            </w:r>
          </w:p>
        </w:tc>
        <w:tc>
          <w:p>
            <w:pPr>
              <w:pStyle w:val="Compact"/>
              <w:jc w:val="left"/>
            </w:pPr>
            <w:r>
              <w:t xml:space="preserve">Filings, registers, meetings and resolutions with data-protection, cyber, labour, tax and ESG overlays.</w:t>
            </w:r>
          </w:p>
        </w:tc>
      </w:tr>
      <w:tr>
        <w:tc>
          <w:p>
            <w:pPr>
              <w:pStyle w:val="Compact"/>
              <w:jc w:val="left"/>
            </w:pPr>
            <w:r>
              <w:rPr>
                <w:rStyle w:val="VerbatimChar"/>
              </w:rPr>
              <w:t xml:space="preserve">/modules</w:t>
            </w:r>
          </w:p>
        </w:tc>
        <w:tc>
          <w:p>
            <w:pPr>
              <w:pStyle w:val="Compact"/>
              <w:jc w:val="left"/>
            </w:pPr>
            <w:r>
              <w:t xml:space="preserve">LawDocsComply modules</w:t>
            </w:r>
          </w:p>
        </w:tc>
        <w:tc>
          <w:p>
            <w:pPr>
              <w:pStyle w:val="Compact"/>
              <w:jc w:val="left"/>
            </w:pPr>
            <w:r>
              <w:t xml:space="preserve">Applicability, compliance workspace, regulatory change, governance, policies, risk, ICAAP, audits, returns, data protection, HR, grievances, co-operatives, reports.</w:t>
            </w:r>
          </w:p>
        </w:tc>
      </w:tr>
      <w:tr>
        <w:tc>
          <w:p>
            <w:pPr>
              <w:pStyle w:val="Compact"/>
              <w:jc w:val="left"/>
            </w:pPr>
            <w:r>
              <w:rPr>
                <w:rStyle w:val="VerbatimChar"/>
              </w:rPr>
              <w:t xml:space="preserve">/modules/compliance</w:t>
            </w:r>
          </w:p>
        </w:tc>
        <w:tc>
          <w:p>
            <w:pPr>
              <w:pStyle w:val="Compact"/>
              <w:jc w:val="left"/>
            </w:pPr>
            <w:r>
              <w:t xml:space="preserve">Compliance workspace with maker–checker and CompIDs — LawDocsComply</w:t>
            </w:r>
          </w:p>
        </w:tc>
        <w:tc>
          <w:p>
            <w:pPr>
              <w:pStyle w:val="Compact"/>
              <w:jc w:val="left"/>
            </w:pPr>
            <w:r>
              <w:t xml:space="preserve">Dated compliance items with evidence, conversations, computed RAG and permanent CompIDs.</w:t>
            </w:r>
          </w:p>
        </w:tc>
      </w:tr>
      <w:tr>
        <w:tc>
          <w:p>
            <w:pPr>
              <w:pStyle w:val="Compact"/>
              <w:jc w:val="left"/>
            </w:pPr>
            <w:r>
              <w:rPr>
                <w:rStyle w:val="VerbatimChar"/>
              </w:rPr>
              <w:t xml:space="preserve">/modules/regulatory-change</w:t>
            </w:r>
          </w:p>
        </w:tc>
        <w:tc>
          <w:p>
            <w:pPr>
              <w:pStyle w:val="Compact"/>
              <w:jc w:val="left"/>
            </w:pPr>
            <w:r>
              <w:t xml:space="preserve">Regulatory change tracking mapped to your obligations — LawDocsComply</w:t>
            </w:r>
          </w:p>
        </w:tc>
        <w:tc>
          <w:p>
            <w:pPr>
              <w:pStyle w:val="Compact"/>
              <w:jc w:val="left"/>
            </w:pPr>
            <w:r>
              <w:t xml:space="preserve">Daily scans, side-by-side changes and re-mapping proposals that wait for your approval.</w:t>
            </w:r>
          </w:p>
        </w:tc>
      </w:tr>
      <w:tr>
        <w:tc>
          <w:p>
            <w:pPr>
              <w:pStyle w:val="Compact"/>
              <w:jc w:val="left"/>
            </w:pPr>
            <w:r>
              <w:rPr>
                <w:rStyle w:val="VerbatimChar"/>
              </w:rPr>
              <w:t xml:space="preserve">/modules/governance</w:t>
            </w:r>
          </w:p>
        </w:tc>
        <w:tc>
          <w:p>
            <w:pPr>
              <w:pStyle w:val="Compact"/>
              <w:jc w:val="left"/>
            </w:pPr>
            <w:r>
              <w:t xml:space="preserve">Board, committee and company secretarial software — LawDocsComply</w:t>
            </w:r>
          </w:p>
        </w:tc>
        <w:tc>
          <w:p>
            <w:pPr>
              <w:pStyle w:val="Compact"/>
              <w:jc w:val="left"/>
            </w:pPr>
            <w:r>
              <w:t xml:space="preserve">Meetings, minutes with tracked changes, registers, resolutions and filings with stable GovIDs.</w:t>
            </w:r>
          </w:p>
        </w:tc>
      </w:tr>
      <w:tr>
        <w:tc>
          <w:p>
            <w:pPr>
              <w:pStyle w:val="Compact"/>
              <w:jc w:val="left"/>
            </w:pPr>
            <w:r>
              <w:rPr>
                <w:rStyle w:val="VerbatimChar"/>
              </w:rPr>
              <w:t xml:space="preserve">/modules/risk</w:t>
            </w:r>
          </w:p>
        </w:tc>
        <w:tc>
          <w:p>
            <w:pPr>
              <w:pStyle w:val="Compact"/>
              <w:jc w:val="left"/>
            </w:pPr>
            <w:r>
              <w:t xml:space="preserve">Risk registers, KRIs, ICAAP and stress tests — LawDocsComply</w:t>
            </w:r>
          </w:p>
        </w:tc>
        <w:tc>
          <w:p>
            <w:pPr>
              <w:pStyle w:val="Compact"/>
              <w:jc w:val="left"/>
            </w:pPr>
            <w:r>
              <w:t xml:space="preserve">RiskIDs, appetite, KRIs, ICAAP sections and ratio libraries that cite their directions.</w:t>
            </w:r>
          </w:p>
        </w:tc>
      </w:tr>
      <w:tr>
        <w:tc>
          <w:p>
            <w:pPr>
              <w:pStyle w:val="Compact"/>
              <w:jc w:val="left"/>
            </w:pPr>
            <w:r>
              <w:rPr>
                <w:rStyle w:val="VerbatimChar"/>
              </w:rPr>
              <w:t xml:space="preserve">/modules/returns</w:t>
            </w:r>
          </w:p>
        </w:tc>
        <w:tc>
          <w:p>
            <w:pPr>
              <w:pStyle w:val="Compact"/>
              <w:jc w:val="left"/>
            </w:pPr>
            <w:r>
              <w:t xml:space="preserve">Regulatory returns preparation from one data upload — LawDocsComply</w:t>
            </w:r>
          </w:p>
        </w:tc>
        <w:tc>
          <w:p>
            <w:pPr>
              <w:pStyle w:val="Compact"/>
              <w:jc w:val="left"/>
            </w:pPr>
            <w:r>
              <w:t xml:space="preserve">Prepare and reconcile returns before anyone files. LawDocsComply never files for you.</w:t>
            </w:r>
          </w:p>
        </w:tc>
      </w:tr>
      <w:tr>
        <w:tc>
          <w:p>
            <w:pPr>
              <w:pStyle w:val="Compact"/>
              <w:jc w:val="left"/>
            </w:pPr>
            <w:r>
              <w:rPr>
                <w:rStyle w:val="VerbatimChar"/>
              </w:rPr>
              <w:t xml:space="preserve">/vidhi</w:t>
            </w:r>
          </w:p>
        </w:tc>
        <w:tc>
          <w:p>
            <w:pPr>
              <w:pStyle w:val="Compact"/>
              <w:jc w:val="left"/>
            </w:pPr>
            <w:r>
              <w:t xml:space="preserve">Vidhi — AI that drafts and cites, and never decides — LawDocsComply</w:t>
            </w:r>
          </w:p>
        </w:tc>
        <w:tc>
          <w:p>
            <w:pPr>
              <w:pStyle w:val="Compact"/>
              <w:jc w:val="left"/>
            </w:pPr>
            <w:r>
              <w:t xml:space="preserve">Drafts, summaries, document reading and cited notebooks. People decide; nothing is filed by an AI. India-resident processing.</w:t>
            </w:r>
          </w:p>
        </w:tc>
      </w:tr>
      <w:tr>
        <w:tc>
          <w:p>
            <w:pPr>
              <w:pStyle w:val="Compact"/>
              <w:jc w:val="left"/>
            </w:pPr>
            <w:r>
              <w:rPr>
                <w:rStyle w:val="VerbatimChar"/>
              </w:rPr>
              <w:t xml:space="preserve">/pricing</w:t>
            </w:r>
          </w:p>
        </w:tc>
        <w:tc>
          <w:p>
            <w:pPr>
              <w:pStyle w:val="Compact"/>
              <w:jc w:val="left"/>
            </w:pPr>
            <w:r>
              <w:t xml:space="preserve">LawDocsComply pricing — by seats and entities, with GST</w:t>
            </w:r>
          </w:p>
        </w:tc>
        <w:tc>
          <w:p>
            <w:pPr>
              <w:pStyle w:val="Compact"/>
              <w:jc w:val="left"/>
            </w:pPr>
            <w:r>
              <w:t xml:space="preserve">Essentials, Professional, Enterprise and Regulated Enterprise. No hidden add-ons; trials never auto-convert.</w:t>
            </w:r>
          </w:p>
        </w:tc>
      </w:tr>
      <w:tr>
        <w:tc>
          <w:p>
            <w:pPr>
              <w:pStyle w:val="Compact"/>
              <w:jc w:val="left"/>
            </w:pPr>
            <w:r>
              <w:rPr>
                <w:rStyle w:val="VerbatimChar"/>
              </w:rPr>
              <w:t xml:space="preserve">/about</w:t>
            </w:r>
          </w:p>
        </w:tc>
        <w:tc>
          <w:p>
            <w:pPr>
              <w:pStyle w:val="Compact"/>
              <w:jc w:val="left"/>
            </w:pPr>
            <w:r>
              <w:t xml:space="preserve">About LawDocsComply — part of the Infrabyx Group</w:t>
            </w:r>
          </w:p>
        </w:tc>
        <w:tc>
          <w:p>
            <w:pPr>
              <w:pStyle w:val="Compact"/>
              <w:jc w:val="left"/>
            </w:pPr>
            <w:r>
              <w:t xml:space="preserve">Why we built a compliance platform that cites the regulation, who we are and what we do not do.</w:t>
            </w:r>
          </w:p>
        </w:tc>
      </w:tr>
      <w:tr>
        <w:tc>
          <w:p>
            <w:pPr>
              <w:pStyle w:val="Compact"/>
              <w:jc w:val="left"/>
            </w:pPr>
            <w:r>
              <w:rPr>
                <w:rStyle w:val="VerbatimChar"/>
              </w:rPr>
              <w:t xml:space="preserve">/team</w:t>
            </w:r>
          </w:p>
        </w:tc>
        <w:tc>
          <w:p>
            <w:pPr>
              <w:pStyle w:val="Compact"/>
              <w:jc w:val="left"/>
            </w:pPr>
            <w:r>
              <w:t xml:space="preserve">The LawDocsComply team</w:t>
            </w:r>
          </w:p>
        </w:tc>
        <w:tc>
          <w:p>
            <w:pPr>
              <w:pStyle w:val="Compact"/>
              <w:jc w:val="left"/>
            </w:pPr>
            <w:r>
              <w:t xml:space="preserve">The people who review the regulations, build the platform and support compliance teams.</w:t>
            </w:r>
          </w:p>
        </w:tc>
      </w:tr>
      <w:tr>
        <w:tc>
          <w:p>
            <w:pPr>
              <w:pStyle w:val="Compact"/>
              <w:jc w:val="left"/>
            </w:pPr>
            <w:r>
              <w:rPr>
                <w:rStyle w:val="VerbatimChar"/>
              </w:rPr>
              <w:t xml:space="preserve">/leadership</w:t>
            </w:r>
          </w:p>
        </w:tc>
        <w:tc>
          <w:p>
            <w:pPr>
              <w:pStyle w:val="Compact"/>
              <w:jc w:val="left"/>
            </w:pPr>
            <w:r>
              <w:t xml:space="preserve">LawDocsComply leadership</w:t>
            </w:r>
          </w:p>
        </w:tc>
        <w:tc>
          <w:p>
            <w:pPr>
              <w:pStyle w:val="Compact"/>
              <w:jc w:val="left"/>
            </w:pPr>
            <w:r>
              <w:t xml:space="preserve">Leadership of LawDocsComply and the Infrabyx Group, with verifiable bios.</w:t>
            </w:r>
          </w:p>
        </w:tc>
      </w:tr>
      <w:tr>
        <w:tc>
          <w:p>
            <w:pPr>
              <w:pStyle w:val="Compact"/>
              <w:jc w:val="left"/>
            </w:pPr>
            <w:r>
              <w:rPr>
                <w:rStyle w:val="VerbatimChar"/>
              </w:rPr>
              <w:t xml:space="preserve">/governance</w:t>
            </w:r>
          </w:p>
        </w:tc>
        <w:tc>
          <w:p>
            <w:pPr>
              <w:pStyle w:val="Compact"/>
              <w:jc w:val="left"/>
            </w:pPr>
            <w:r>
              <w:t xml:space="preserve">Governance at LawDocsComply</w:t>
            </w:r>
          </w:p>
        </w:tc>
        <w:tc>
          <w:p>
            <w:pPr>
              <w:pStyle w:val="Compact"/>
              <w:jc w:val="left"/>
            </w:pPr>
            <w:r>
              <w:t xml:space="preserve">Board, policies adopted, auditor and officers you can contact.</w:t>
            </w:r>
          </w:p>
        </w:tc>
      </w:tr>
      <w:tr>
        <w:tc>
          <w:p>
            <w:pPr>
              <w:pStyle w:val="Compact"/>
              <w:jc w:val="left"/>
            </w:pPr>
            <w:r>
              <w:rPr>
                <w:rStyle w:val="VerbatimChar"/>
              </w:rPr>
              <w:t xml:space="preserve">/investors</w:t>
            </w:r>
          </w:p>
        </w:tc>
        <w:tc>
          <w:p>
            <w:pPr>
              <w:pStyle w:val="Compact"/>
              <w:jc w:val="left"/>
            </w:pPr>
            <w:r>
              <w:t xml:space="preserve">LawDocsComply — information for investors</w:t>
            </w:r>
          </w:p>
        </w:tc>
        <w:tc>
          <w:p>
            <w:pPr>
              <w:pStyle w:val="Compact"/>
              <w:jc w:val="left"/>
            </w:pPr>
            <w:r>
              <w:t xml:space="preserve">Information only; not an offer of securities. (noindex until enabled)</w:t>
            </w:r>
          </w:p>
        </w:tc>
      </w:tr>
      <w:tr>
        <w:tc>
          <w:p>
            <w:pPr>
              <w:pStyle w:val="Compact"/>
              <w:jc w:val="left"/>
            </w:pPr>
            <w:r>
              <w:rPr>
                <w:rStyle w:val="VerbatimChar"/>
              </w:rPr>
              <w:t xml:space="preserve">/careers</w:t>
            </w:r>
          </w:p>
        </w:tc>
        <w:tc>
          <w:p>
            <w:pPr>
              <w:pStyle w:val="Compact"/>
              <w:jc w:val="left"/>
            </w:pPr>
            <w:r>
              <w:t xml:space="preserve">Careers at LawDocsComply</w:t>
            </w:r>
          </w:p>
        </w:tc>
        <w:tc>
          <w:p>
            <w:pPr>
              <w:pStyle w:val="Compact"/>
              <w:jc w:val="left"/>
            </w:pPr>
            <w:r>
              <w:t xml:space="preserve">Open roles in content, engineering, design, security and customer success. Equal opportunity.</w:t>
            </w:r>
          </w:p>
        </w:tc>
      </w:tr>
      <w:tr>
        <w:tc>
          <w:p>
            <w:pPr>
              <w:pStyle w:val="Compact"/>
              <w:jc w:val="left"/>
            </w:pPr>
            <w:r>
              <w:rPr>
                <w:rStyle w:val="VerbatimChar"/>
              </w:rPr>
              <w:t xml:space="preserve">/press</w:t>
            </w:r>
          </w:p>
        </w:tc>
        <w:tc>
          <w:p>
            <w:pPr>
              <w:pStyle w:val="Compact"/>
              <w:jc w:val="left"/>
            </w:pPr>
            <w:r>
              <w:t xml:space="preserve">LawDocsComply press and media kit</w:t>
            </w:r>
          </w:p>
        </w:tc>
        <w:tc>
          <w:p>
            <w:pPr>
              <w:pStyle w:val="Compact"/>
              <w:jc w:val="left"/>
            </w:pPr>
            <w:r>
              <w:t xml:space="preserve">Releases, dated coverage, logos, boilerplate and a named spokesperson.</w:t>
            </w:r>
          </w:p>
        </w:tc>
      </w:tr>
      <w:tr>
        <w:tc>
          <w:p>
            <w:pPr>
              <w:pStyle w:val="Compact"/>
              <w:jc w:val="left"/>
            </w:pPr>
            <w:r>
              <w:rPr>
                <w:rStyle w:val="VerbatimChar"/>
              </w:rPr>
              <w:t xml:space="preserve">/partners</w:t>
            </w:r>
          </w:p>
        </w:tc>
        <w:tc>
          <w:p>
            <w:pPr>
              <w:pStyle w:val="Compact"/>
              <w:jc w:val="left"/>
            </w:pPr>
            <w:r>
              <w:t xml:space="preserve">LawDocsComply partners</w:t>
            </w:r>
          </w:p>
        </w:tc>
        <w:tc>
          <w:p>
            <w:pPr>
              <w:pStyle w:val="Compact"/>
              <w:jc w:val="left"/>
            </w:pPr>
            <w:r>
              <w:t xml:space="preserve">Content reviewers, implementation partners, practitioners and technology partners.</w:t>
            </w:r>
          </w:p>
        </w:tc>
      </w:tr>
      <w:tr>
        <w:tc>
          <w:p>
            <w:pPr>
              <w:pStyle w:val="Compact"/>
              <w:jc w:val="left"/>
            </w:pPr>
            <w:r>
              <w:rPr>
                <w:rStyle w:val="VerbatimChar"/>
              </w:rPr>
              <w:t xml:space="preserve">/contact</w:t>
            </w:r>
          </w:p>
        </w:tc>
        <w:tc>
          <w:p>
            <w:pPr>
              <w:pStyle w:val="Compact"/>
              <w:jc w:val="left"/>
            </w:pPr>
            <w:r>
              <w:t xml:space="preserve">Contact LawDocsComply — Delhi, Noida, Jaipur</w:t>
            </w:r>
          </w:p>
        </w:tc>
        <w:tc>
          <w:p>
            <w:pPr>
              <w:pStyle w:val="Compact"/>
              <w:jc w:val="left"/>
            </w:pPr>
            <w:r>
              <w:t xml:space="preserve">Sales, support, partnerships, press; offices; Grievance Officer and data protection contact.</w:t>
            </w:r>
          </w:p>
        </w:tc>
      </w:tr>
      <w:tr>
        <w:tc>
          <w:p>
            <w:pPr>
              <w:pStyle w:val="Compact"/>
              <w:jc w:val="left"/>
            </w:pPr>
            <w:r>
              <w:rPr>
                <w:rStyle w:val="VerbatimChar"/>
              </w:rPr>
              <w:t xml:space="preserve">/docs</w:t>
            </w:r>
          </w:p>
        </w:tc>
        <w:tc>
          <w:p>
            <w:pPr>
              <w:pStyle w:val="Compact"/>
              <w:jc w:val="left"/>
            </w:pPr>
            <w:r>
              <w:t xml:space="preserve">LawDocsComply documentation and developer portal</w:t>
            </w:r>
          </w:p>
        </w:tc>
        <w:tc>
          <w:p>
            <w:pPr>
              <w:pStyle w:val="Compact"/>
              <w:jc w:val="left"/>
            </w:pPr>
            <w:r>
              <w:t xml:space="preserve">OpenAPI 3.1, AsyncAPI 3.0, webhooks, connector marketplace, sandbox, MCP server, SDKs.</w:t>
            </w:r>
          </w:p>
        </w:tc>
      </w:tr>
      <w:tr>
        <w:tc>
          <w:p>
            <w:pPr>
              <w:pStyle w:val="Compact"/>
              <w:jc w:val="left"/>
            </w:pPr>
            <w:r>
              <w:rPr>
                <w:rStyle w:val="VerbatimChar"/>
              </w:rPr>
              <w:t xml:space="preserve">/trust</w:t>
            </w:r>
          </w:p>
        </w:tc>
        <w:tc>
          <w:p>
            <w:pPr>
              <w:pStyle w:val="Compact"/>
              <w:jc w:val="left"/>
            </w:pPr>
            <w:r>
              <w:t xml:space="preserve">LawDocsComply Trust Centre</w:t>
            </w:r>
          </w:p>
        </w:tc>
        <w:tc>
          <w:p>
            <w:pPr>
              <w:pStyle w:val="Compact"/>
              <w:jc w:val="left"/>
            </w:pPr>
            <w:r>
              <w:t xml:space="preserve">Security, India residency, AI data use, sub-processors, VAPT summaries and the Vendor Assurance Room. Only what we hold.</w:t>
            </w:r>
          </w:p>
        </w:tc>
      </w:tr>
      <w:tr>
        <w:tc>
          <w:p>
            <w:pPr>
              <w:pStyle w:val="Compact"/>
              <w:jc w:val="left"/>
            </w:pPr>
            <w:r>
              <w:rPr>
                <w:rStyle w:val="VerbatimChar"/>
              </w:rPr>
              <w:t xml:space="preserve">/help</w:t>
            </w:r>
          </w:p>
        </w:tc>
        <w:tc>
          <w:p>
            <w:pPr>
              <w:pStyle w:val="Compact"/>
              <w:jc w:val="left"/>
            </w:pPr>
            <w:r>
              <w:t xml:space="preserve">LawDocsComply help centre</w:t>
            </w:r>
          </w:p>
        </w:tc>
        <w:tc>
          <w:p>
            <w:pPr>
              <w:pStyle w:val="Compact"/>
              <w:jc w:val="left"/>
            </w:pPr>
            <w:r>
              <w:t xml:space="preserve">Guides, captioned tutorials, learning paths and the glossary with regulatory references.</w:t>
            </w:r>
          </w:p>
        </w:tc>
      </w:tr>
      <w:tr>
        <w:tc>
          <w:p>
            <w:pPr>
              <w:pStyle w:val="Compact"/>
              <w:jc w:val="left"/>
            </w:pPr>
            <w:r>
              <w:rPr>
                <w:rStyle w:val="VerbatimChar"/>
              </w:rPr>
              <w:t xml:space="preserve">/resources</w:t>
            </w:r>
          </w:p>
        </w:tc>
        <w:tc>
          <w:p>
            <w:pPr>
              <w:pStyle w:val="Compact"/>
              <w:jc w:val="left"/>
            </w:pPr>
            <w:r>
              <w:t xml:space="preserve">Compliance resources — LawDocsComply</w:t>
            </w:r>
          </w:p>
        </w:tc>
        <w:tc>
          <w:p>
            <w:pPr>
              <w:pStyle w:val="Compact"/>
              <w:jc w:val="left"/>
            </w:pPr>
            <w:r>
              <w:t xml:space="preserve">Versioned, dated and cited guides, checklists, templates, samples and reports.</w:t>
            </w:r>
          </w:p>
        </w:tc>
      </w:tr>
      <w:tr>
        <w:tc>
          <w:p>
            <w:pPr>
              <w:pStyle w:val="Compact"/>
              <w:jc w:val="left"/>
            </w:pPr>
            <w:r>
              <w:rPr>
                <w:rStyle w:val="VerbatimChar"/>
              </w:rPr>
              <w:t xml:space="preserve">/blog</w:t>
            </w:r>
          </w:p>
        </w:tc>
        <w:tc>
          <w:p>
            <w:pPr>
              <w:pStyle w:val="Compact"/>
              <w:jc w:val="left"/>
            </w:pPr>
            <w:r>
              <w:t xml:space="preserve">The LawDocsComply blog</w:t>
            </w:r>
          </w:p>
        </w:tc>
        <w:tc>
          <w:p>
            <w:pPr>
              <w:pStyle w:val="Compact"/>
              <w:jc w:val="left"/>
            </w:pPr>
            <w:r>
              <w:t xml:space="preserve">Regulatory changes explained with clauses cited; compliance practice; product notes.</w:t>
            </w:r>
          </w:p>
        </w:tc>
      </w:tr>
      <w:tr>
        <w:tc>
          <w:p>
            <w:pPr>
              <w:pStyle w:val="Compact"/>
              <w:jc w:val="left"/>
            </w:pPr>
            <w:r>
              <w:rPr>
                <w:rStyle w:val="VerbatimChar"/>
              </w:rPr>
              <w:t xml:space="preserve">/vlog</w:t>
            </w:r>
          </w:p>
        </w:tc>
        <w:tc>
          <w:p>
            <w:pPr>
              <w:pStyle w:val="Compact"/>
              <w:jc w:val="left"/>
            </w:pPr>
            <w:r>
              <w:t xml:space="preserve">LawDocsComply video</w:t>
            </w:r>
          </w:p>
        </w:tc>
        <w:tc>
          <w:p>
            <w:pPr>
              <w:pStyle w:val="Compact"/>
              <w:jc w:val="left"/>
            </w:pPr>
            <w:r>
              <w:t xml:space="preserve">Walkthroughs and explainers with captions, transcripts and chapters.</w:t>
            </w:r>
          </w:p>
        </w:tc>
      </w:tr>
      <w:tr>
        <w:tc>
          <w:p>
            <w:pPr>
              <w:pStyle w:val="Compact"/>
              <w:jc w:val="left"/>
            </w:pPr>
            <w:r>
              <w:rPr>
                <w:rStyle w:val="VerbatimChar"/>
              </w:rPr>
              <w:t xml:space="preserve">/changelog</w:t>
            </w:r>
          </w:p>
        </w:tc>
        <w:tc>
          <w:p>
            <w:pPr>
              <w:pStyle w:val="Compact"/>
              <w:jc w:val="left"/>
            </w:pPr>
            <w:r>
              <w:t xml:space="preserve">LawDocsComply changelog</w:t>
            </w:r>
          </w:p>
        </w:tc>
        <w:tc>
          <w:p>
            <w:pPr>
              <w:pStyle w:val="Compact"/>
              <w:jc w:val="left"/>
            </w:pPr>
            <w:r>
              <w:t xml:space="preserve">What changed, by release and area; regulatory-content releases marked.</w:t>
            </w:r>
          </w:p>
        </w:tc>
      </w:tr>
      <w:tr>
        <w:tc>
          <w:p>
            <w:pPr>
              <w:pStyle w:val="Compact"/>
              <w:jc w:val="left"/>
            </w:pPr>
            <w:r>
              <w:rPr>
                <w:rStyle w:val="VerbatimChar"/>
              </w:rPr>
              <w:t xml:space="preserve">/updates</w:t>
            </w:r>
          </w:p>
        </w:tc>
        <w:tc>
          <w:p>
            <w:pPr>
              <w:pStyle w:val="Compact"/>
              <w:jc w:val="left"/>
            </w:pPr>
            <w:r>
              <w:t xml:space="preserve">Regulatory updates — LawDocsComply</w:t>
            </w:r>
          </w:p>
        </w:tc>
        <w:tc>
          <w:p>
            <w:pPr>
              <w:pStyle w:val="Compact"/>
              <w:jc w:val="left"/>
            </w:pPr>
            <w:r>
              <w:t xml:space="preserve">Human-reviewed summaries with instrument, date and what changed.</w:t>
            </w:r>
          </w:p>
        </w:tc>
      </w:tr>
      <w:tr>
        <w:tc>
          <w:p>
            <w:pPr>
              <w:pStyle w:val="Compact"/>
              <w:jc w:val="left"/>
            </w:pPr>
            <w:r>
              <w:rPr>
                <w:rStyle w:val="VerbatimChar"/>
              </w:rPr>
              <w:t xml:space="preserve">/accessibility</w:t>
            </w:r>
          </w:p>
        </w:tc>
        <w:tc>
          <w:p>
            <w:pPr>
              <w:pStyle w:val="Compact"/>
              <w:jc w:val="left"/>
            </w:pPr>
            <w:r>
              <w:t xml:space="preserve">Accessibility statement — LawDocsComply</w:t>
            </w:r>
          </w:p>
        </w:tc>
        <w:tc>
          <w:p>
            <w:pPr>
              <w:pStyle w:val="Compact"/>
              <w:jc w:val="left"/>
            </w:pPr>
            <w:r>
              <w:t xml:space="preserve">WCAG 2.2 AA and IS 17802; where we stand, known issues and target dates.</w:t>
            </w:r>
          </w:p>
        </w:tc>
      </w:tr>
      <w:tr>
        <w:tc>
          <w:p>
            <w:pPr>
              <w:pStyle w:val="Compact"/>
              <w:jc w:val="left"/>
            </w:pPr>
            <w:r>
              <w:rPr>
                <w:rStyle w:val="VerbatimChar"/>
              </w:rPr>
              <w:t xml:space="preserve">/grievance</w:t>
            </w:r>
          </w:p>
        </w:tc>
        <w:tc>
          <w:p>
            <w:pPr>
              <w:pStyle w:val="Compact"/>
              <w:jc w:val="left"/>
            </w:pPr>
            <w:r>
              <w:t xml:space="preserve">Raise a grievance — LawDocsComply</w:t>
            </w:r>
          </w:p>
        </w:tc>
        <w:tc>
          <w:p>
            <w:pPr>
              <w:pStyle w:val="Compact"/>
              <w:jc w:val="left"/>
            </w:pPr>
            <w:r>
              <w:t xml:space="preserve">Grievance Officer, timelines and escalation. Reference number issued immediately.</w:t>
            </w:r>
          </w:p>
        </w:tc>
      </w:tr>
      <w:tr>
        <w:tc>
          <w:p>
            <w:pPr>
              <w:pStyle w:val="Compact"/>
              <w:jc w:val="left"/>
            </w:pPr>
            <w:r>
              <w:rPr>
                <w:rStyle w:val="VerbatimChar"/>
              </w:rPr>
              <w:t xml:space="preserve">/legal</w:t>
            </w:r>
          </w:p>
        </w:tc>
        <w:tc>
          <w:p>
            <w:pPr>
              <w:pStyle w:val="Compact"/>
              <w:jc w:val="left"/>
            </w:pPr>
            <w:r>
              <w:t xml:space="preserve">Legal — LawDocsComply</w:t>
            </w:r>
          </w:p>
        </w:tc>
        <w:tc>
          <w:p>
            <w:pPr>
              <w:pStyle w:val="Compact"/>
              <w:jc w:val="left"/>
            </w:pPr>
            <w:r>
              <w:t xml:space="preserve">Every policy with version, effective date and prior versions.</w:t>
            </w:r>
          </w:p>
        </w:tc>
      </w:tr>
      <w:tr>
        <w:tc>
          <w:p>
            <w:pPr>
              <w:pStyle w:val="Compact"/>
              <w:jc w:val="left"/>
            </w:pPr>
            <w:r>
              <w:rPr>
                <w:rStyle w:val="VerbatimChar"/>
              </w:rPr>
              <w:t xml:space="preserve">/security</w:t>
            </w:r>
          </w:p>
        </w:tc>
        <w:tc>
          <w:p>
            <w:pPr>
              <w:pStyle w:val="Compact"/>
              <w:jc w:val="left"/>
            </w:pPr>
            <w:r>
              <w:t xml:space="preserve">Security and responsible disclosure — LawDocsComply</w:t>
            </w:r>
          </w:p>
        </w:tc>
        <w:tc>
          <w:p>
            <w:pPr>
              <w:pStyle w:val="Compact"/>
              <w:jc w:val="left"/>
            </w:pPr>
            <w:r>
              <w:t xml:space="preserve">How to report a vulnerability, scope, safe harbour and security.txt.</w:t>
            </w:r>
          </w:p>
        </w:tc>
      </w:tr>
    </w:tbl>
    <w:p>
      <w:pPr>
        <w:pStyle w:val="BodyText"/>
      </w:pPr>
      <w:r>
        <w:t xml:space="preserve">Structured data per page:</w:t>
      </w:r>
      <w:r>
        <w:t xml:space="preserve"> </w:t>
      </w:r>
      <w:r>
        <w:rPr>
          <w:rStyle w:val="VerbatimChar"/>
        </w:rPr>
        <w:t xml:space="preserve">Organization</w:t>
      </w:r>
      <w:r>
        <w:t xml:space="preserve"> </w:t>
      </w:r>
      <w:r>
        <w:t xml:space="preserve">(site),</w:t>
      </w:r>
      <w:r>
        <w:t xml:space="preserve"> </w:t>
      </w:r>
      <w:r>
        <w:rPr>
          <w:rStyle w:val="VerbatimChar"/>
        </w:rPr>
        <w:t xml:space="preserve">BreadcrumbList</w:t>
      </w:r>
      <w:r>
        <w:t xml:space="preserve"> </w:t>
      </w:r>
      <w:r>
        <w:t xml:space="preserve">(all),</w:t>
      </w:r>
      <w:r>
        <w:t xml:space="preserve"> </w:t>
      </w:r>
      <w:r>
        <w:rPr>
          <w:rStyle w:val="VerbatimChar"/>
        </w:rPr>
        <w:t xml:space="preserve">SoftwareApplication</w:t>
      </w:r>
      <w:r>
        <w:t xml:space="preserve"> </w:t>
      </w:r>
      <w:r>
        <w:t xml:space="preserve">(home, modules),</w:t>
      </w:r>
      <w:r>
        <w:t xml:space="preserve"> </w:t>
      </w:r>
      <w:r>
        <w:rPr>
          <w:rStyle w:val="VerbatimChar"/>
        </w:rPr>
        <w:t xml:space="preserve">FAQPage</w:t>
      </w:r>
      <w:r>
        <w:t xml:space="preserve"> </w:t>
      </w:r>
      <w:r>
        <w:t xml:space="preserve">(pages with FAQ),</w:t>
      </w:r>
      <w:r>
        <w:t xml:space="preserve"> </w:t>
      </w:r>
      <w:r>
        <w:rPr>
          <w:rStyle w:val="VerbatimChar"/>
        </w:rPr>
        <w:t xml:space="preserve">Article</w:t>
      </w:r>
      <w:r>
        <w:t xml:space="preserve"> </w:t>
      </w:r>
      <w:r>
        <w:t xml:space="preserve">(blog),</w:t>
      </w:r>
      <w:r>
        <w:t xml:space="preserve"> </w:t>
      </w:r>
      <w:r>
        <w:rPr>
          <w:rStyle w:val="VerbatimChar"/>
        </w:rPr>
        <w:t xml:space="preserve">JobPosting</w:t>
      </w:r>
      <w:r>
        <w:t xml:space="preserve"> </w:t>
      </w:r>
      <w:r>
        <w:t xml:space="preserve">(careers),</w:t>
      </w:r>
      <w:r>
        <w:t xml:space="preserve"> </w:t>
      </w:r>
      <w:r>
        <w:rPr>
          <w:rStyle w:val="VerbatimChar"/>
        </w:rPr>
        <w:t xml:space="preserve">VideoObject</w:t>
      </w:r>
      <w:r>
        <w:t xml:space="preserve"> </w:t>
      </w:r>
      <w:r>
        <w:t xml:space="preserve">(vlog, with transcript).</w:t>
      </w:r>
      <w:r>
        <w:t xml:space="preserve"> </w:t>
      </w:r>
      <w:r>
        <w:rPr>
          <w:rStyle w:val="VerbatimChar"/>
        </w:rPr>
        <w:t xml:space="preserve">llms.txt</w:t>
      </w:r>
      <w:r>
        <w:t xml:space="preserve"> </w:t>
      </w:r>
      <w:r>
        <w:t xml:space="preserve">lists the public pages and the boundary statement.</w:t>
      </w:r>
    </w:p>
    <w:p>
      <w:r>
        <w:pict>
          <v:rect style="width:0;height:1.5pt" o:hralign="center" o:hrstd="t" o:hr="t"/>
        </w:pict>
      </w:r>
    </w:p>
    <w:p>
      <w:pPr>
        <w:pStyle w:val="Heading2"/>
      </w:pPr>
      <w:bookmarkStart w:id="56" w:name="Xadec2c16b73d4968008ad7e5a268d4601bd4908"/>
      <w:r>
        <w:t xml:space="preserve">29. Image placeholder list (owner replaces from Brand Studio › Media; alt text binding)</w:t>
      </w:r>
      <w:bookmarkEnd w:id="56"/>
    </w:p>
    <w:p>
      <w:pPr>
        <w:pStyle w:val="FirstParagraph"/>
      </w:pPr>
      <w:r>
        <w:t xml:space="preserve">See</w:t>
      </w:r>
      <w:r>
        <w:t xml:space="preserve"> </w:t>
      </w:r>
      <w:r>
        <w:rPr>
          <w:rStyle w:val="VerbatimChar"/>
        </w:rPr>
        <w:t xml:space="preserve">design/UI_UX_Design_Brief_v1.3.md</w:t>
      </w:r>
      <w:r>
        <w:t xml:space="preserve"> </w:t>
      </w:r>
      <w:r>
        <w:t xml:space="preserve">§7 for sizes. Summary of what this deck needs:</w:t>
      </w:r>
      <w:r>
        <w:t xml:space="preserve"> </w:t>
      </w:r>
      <w:r>
        <w:rPr>
          <w:rStyle w:val="VerbatimChar"/>
        </w:rPr>
        <w:t xml:space="preserve">img.home.hero</w:t>
      </w:r>
      <w:r>
        <w:t xml:space="preserve">;</w:t>
      </w:r>
      <w:r>
        <w:t xml:space="preserve"> </w:t>
      </w:r>
      <w:r>
        <w:rPr>
          <w:rStyle w:val="VerbatimChar"/>
        </w:rPr>
        <w:t xml:space="preserve">img.home.how-it-works.1–4</w:t>
      </w:r>
      <w:r>
        <w:t xml:space="preserve">;</w:t>
      </w:r>
      <w:r>
        <w:t xml:space="preserve"> </w:t>
      </w:r>
      <w:r>
        <w:rPr>
          <w:rStyle w:val="VerbatimChar"/>
        </w:rPr>
        <w:t xml:space="preserve">img.solutions.&lt;family&gt;</w:t>
      </w:r>
      <w:r>
        <w:t xml:space="preserve"> </w:t>
      </w:r>
      <w:r>
        <w:t xml:space="preserve">(8);</w:t>
      </w:r>
      <w:r>
        <w:t xml:space="preserve"> </w:t>
      </w:r>
      <w:r>
        <w:rPr>
          <w:rStyle w:val="VerbatimChar"/>
        </w:rPr>
        <w:t xml:space="preserve">img.health-check.hero</w:t>
      </w:r>
      <w:r>
        <w:t xml:space="preserve">;</w:t>
      </w:r>
      <w:r>
        <w:t xml:space="preserve"> </w:t>
      </w:r>
      <w:r>
        <w:rPr>
          <w:rStyle w:val="VerbatimChar"/>
        </w:rPr>
        <w:t xml:space="preserve">img.about.story</w:t>
      </w:r>
      <w:r>
        <w:t xml:space="preserve">;</w:t>
      </w:r>
      <w:r>
        <w:t xml:space="preserve"> </w:t>
      </w:r>
      <w:r>
        <w:rPr>
          <w:rStyle w:val="VerbatimChar"/>
        </w:rPr>
        <w:t xml:space="preserve">img.about.offices.delhi/noida/jaipur</w:t>
      </w:r>
      <w:r>
        <w:t xml:space="preserve">;</w:t>
      </w:r>
      <w:r>
        <w:t xml:space="preserve"> </w:t>
      </w:r>
      <w:r>
        <w:rPr>
          <w:rStyle w:val="VerbatimChar"/>
        </w:rPr>
        <w:t xml:space="preserve">img.team.&lt;slug&gt;</w:t>
      </w:r>
      <w:r>
        <w:t xml:space="preserve"> </w:t>
      </w:r>
      <w:r>
        <w:t xml:space="preserve">(per member, consent recorded);</w:t>
      </w:r>
      <w:r>
        <w:t xml:space="preserve"> </w:t>
      </w:r>
      <w:r>
        <w:rPr>
          <w:rStyle w:val="VerbatimChar"/>
        </w:rPr>
        <w:t xml:space="preserve">img.trust.residency</w:t>
      </w:r>
      <w:r>
        <w:t xml:space="preserve"> </w:t>
      </w:r>
      <w:r>
        <w:t xml:space="preserve">(SVG with text alternative);</w:t>
      </w:r>
      <w:r>
        <w:t xml:space="preserve"> </w:t>
      </w:r>
      <w:r>
        <w:rPr>
          <w:rStyle w:val="VerbatimChar"/>
        </w:rPr>
        <w:t xml:space="preserve">img.vidhi.panel</w:t>
      </w:r>
      <w:r>
        <w:t xml:space="preserve">;</w:t>
      </w:r>
      <w:r>
        <w:t xml:space="preserve"> </w:t>
      </w:r>
      <w:r>
        <w:rPr>
          <w:rStyle w:val="VerbatimChar"/>
        </w:rPr>
        <w:t xml:space="preserve">img.og.default</w:t>
      </w:r>
      <w:r>
        <w:t xml:space="preserve"> </w:t>
      </w:r>
      <w:r>
        <w:t xml:space="preserve">and per-page OG variants (pricing, health check, trust, blog);</w:t>
      </w:r>
      <w:r>
        <w:t xml:space="preserve"> </w:t>
      </w:r>
      <w:r>
        <w:rPr>
          <w:rStyle w:val="VerbatimChar"/>
        </w:rPr>
        <w:t xml:space="preserve">img.press.kit.*</w:t>
      </w:r>
      <w:r>
        <w:t xml:space="preserve">;</w:t>
      </w:r>
      <w:r>
        <w:t xml:space="preserve"> </w:t>
      </w:r>
      <w:r>
        <w:rPr>
          <w:rStyle w:val="VerbatimChar"/>
        </w:rPr>
        <w:t xml:space="preserve">img.resources.cover.&lt;slug&gt;</w:t>
      </w:r>
      <w:r>
        <w:t xml:space="preserve">;</w:t>
      </w:r>
      <w:r>
        <w:t xml:space="preserve"> </w:t>
      </w:r>
      <w:r>
        <w:rPr>
          <w:rStyle w:val="VerbatimChar"/>
        </w:rPr>
        <w:t xml:space="preserve">img.blog.cover.default</w:t>
      </w:r>
      <w:r>
        <w:t xml:space="preserve"> </w:t>
      </w:r>
      <w:r>
        <w:t xml:space="preserve">(6 variants). Until replaced, every placeholder renders a labelled two-tone illustration; the Studio publish queue lists remaining placeholders. No AI-generated image publishes without a named reviewer and the visible label (NN-63).</w:t>
      </w:r>
    </w:p>
    <w:p>
      <w:r>
        <w:pict>
          <v:rect style="width:0;height:1.5pt" o:hralign="center" o:hrstd="t" o:hr="t"/>
        </w:pict>
      </w:r>
    </w:p>
    <w:p>
      <w:pPr>
        <w:pStyle w:val="Heading2"/>
      </w:pPr>
      <w:bookmarkStart w:id="57" w:name="Xd5d76290f8c495fdc6effc93868bf08b1727875"/>
      <w:r>
        <w:t xml:space="preserve">30. Claims Register entries this deck requires (proposed classes; content team attaches evidence)</w:t>
      </w:r>
      <w:bookmarkEnd w:id="57"/>
    </w:p>
    <w:tbl>
      <w:tblPr>
        <w:tblStyle w:val="Table"/>
        <w:tblW w:type="pct" w:w="0.0"/>
        <w:tblLook w:firstRow="1"/>
      </w:tblPr>
      <w:tblGrid/>
      <w:tr>
        <w:trPr>
          <w:cnfStyle w:firstRow="1"/>
        </w:trPr>
        <w:tc>
          <w:tcPr>
            <w:tcBorders>
              <w:bottom w:val="single"/>
            </w:tcBorders>
            <w:vAlign w:val="bottom"/>
          </w:tcPr>
          <w:p>
            <w:pPr>
              <w:pStyle w:val="Compact"/>
              <w:jc w:val="left"/>
            </w:pPr>
            <w:r>
              <w:t xml:space="preserve">Claim (as worded)</w:t>
            </w:r>
          </w:p>
        </w:tc>
        <w:tc>
          <w:tcPr>
            <w:tcBorders>
              <w:bottom w:val="single"/>
            </w:tcBorders>
            <w:vAlign w:val="bottom"/>
          </w:tcPr>
          <w:p>
            <w:pPr>
              <w:pStyle w:val="Compact"/>
              <w:jc w:val="left"/>
            </w:pPr>
            <w:r>
              <w:t xml:space="preserve">Where</w:t>
            </w:r>
          </w:p>
        </w:tc>
        <w:tc>
          <w:tcPr>
            <w:tcBorders>
              <w:bottom w:val="single"/>
            </w:tcBorders>
            <w:vAlign w:val="bottom"/>
          </w:tcPr>
          <w:p>
            <w:pPr>
              <w:pStyle w:val="Compact"/>
              <w:jc w:val="left"/>
            </w:pPr>
            <w:r>
              <w:t xml:space="preserve">Class</w:t>
            </w:r>
          </w:p>
        </w:tc>
        <w:tc>
          <w:tcPr>
            <w:tcBorders>
              <w:bottom w:val="single"/>
            </w:tcBorders>
            <w:vAlign w:val="bottom"/>
          </w:tcPr>
          <w:p>
            <w:pPr>
              <w:pStyle w:val="Compact"/>
              <w:jc w:val="left"/>
            </w:pPr>
            <w:r>
              <w:t xml:space="preserve">Evidence to attach</w:t>
            </w:r>
          </w:p>
        </w:tc>
      </w:tr>
      <w:tr>
        <w:tc>
          <w:p>
            <w:pPr>
              <w:pStyle w:val="Compact"/>
              <w:jc w:val="left"/>
            </w:pPr>
            <w:r>
              <w:t xml:space="preserve">"[N] RBI directions in the content base, drawn from the 28 November 2025 consolidated set and later amendments"</w:t>
            </w:r>
          </w:p>
        </w:tc>
        <w:tc>
          <w:p>
            <w:pPr>
              <w:pStyle w:val="Compact"/>
              <w:jc w:val="left"/>
            </w:pPr>
            <w:r>
              <w:t xml:space="preserve">Home proof strip; NBFC and bank Solution pages; FAQ 4</w:t>
            </w:r>
          </w:p>
        </w:tc>
        <w:tc>
          <w:p>
            <w:pPr>
              <w:pStyle w:val="Compact"/>
              <w:jc w:val="left"/>
            </w:pPr>
            <w:r>
              <w:t xml:space="preserve">E2</w:t>
            </w:r>
          </w:p>
        </w:tc>
        <w:tc>
          <w:p>
            <w:pPr>
              <w:pStyle w:val="Compact"/>
              <w:jc w:val="left"/>
            </w:pPr>
            <w:r>
              <w:t xml:space="preserve">RBI press release of 28 Nov 2025;</w:t>
            </w:r>
            <w:r>
              <w:t xml:space="preserve"> </w:t>
            </w:r>
            <w:r>
              <w:rPr>
                <w:rStyle w:val="VerbatimChar"/>
              </w:rPr>
              <w:t xml:space="preserve">catalogue/LDC_RBI_Directions_Catalogue</w:t>
            </w:r>
            <w:r>
              <w:t xml:space="preserve"> </w:t>
            </w:r>
            <w:r>
              <w:t xml:space="preserve">row count as of date</w:t>
            </w:r>
          </w:p>
        </w:tc>
      </w:tr>
      <w:tr>
        <w:tc>
          <w:p>
            <w:pPr>
              <w:pStyle w:val="Compact"/>
              <w:jc w:val="left"/>
            </w:pPr>
            <w:r>
              <w:t xml:space="preserve">"[N] question families across RBI, SEBI, IFSCA, IRDAI, MCA, co-operative law, DPDP, cyber, labour, tax, ESG and AI governance"</w:t>
            </w:r>
          </w:p>
        </w:tc>
        <w:tc>
          <w:p>
            <w:pPr>
              <w:pStyle w:val="Compact"/>
              <w:jc w:val="left"/>
            </w:pPr>
            <w:r>
              <w:t xml:space="preserve">Home; FAQ 3</w:t>
            </w:r>
          </w:p>
        </w:tc>
        <w:tc>
          <w:p>
            <w:pPr>
              <w:pStyle w:val="Compact"/>
              <w:jc w:val="left"/>
            </w:pPr>
            <w:r>
              <w:t xml:space="preserve">E1</w:t>
            </w:r>
          </w:p>
        </w:tc>
        <w:tc>
          <w:p>
            <w:pPr>
              <w:pStyle w:val="Compact"/>
              <w:jc w:val="left"/>
            </w:pPr>
            <w:r>
              <w:t xml:space="preserve">Template registry count (29 workbooks: 27 families + RISK + GOV) as of date</w:t>
            </w:r>
          </w:p>
        </w:tc>
      </w:tr>
      <w:tr>
        <w:tc>
          <w:p>
            <w:pPr>
              <w:pStyle w:val="Compact"/>
              <w:jc w:val="left"/>
            </w:pPr>
            <w:r>
              <w:t xml:space="preserve">"Every obligation cites its instrument and clause"</w:t>
            </w:r>
          </w:p>
        </w:tc>
        <w:tc>
          <w:p>
            <w:pPr>
              <w:pStyle w:val="Compact"/>
              <w:jc w:val="left"/>
            </w:pPr>
            <w:r>
              <w:t xml:space="preserve">Home; About; FAQ 2</w:t>
            </w:r>
          </w:p>
        </w:tc>
        <w:tc>
          <w:p>
            <w:pPr>
              <w:pStyle w:val="Compact"/>
              <w:jc w:val="left"/>
            </w:pPr>
            <w:r>
              <w:t xml:space="preserve">E1</w:t>
            </w:r>
          </w:p>
        </w:tc>
        <w:tc>
          <w:p>
            <w:pPr>
              <w:pStyle w:val="Compact"/>
              <w:jc w:val="left"/>
            </w:pPr>
            <w:r>
              <w:t xml:space="preserve">Content-library publish validator rule; count of published rows with citation = 100%</w:t>
            </w:r>
          </w:p>
        </w:tc>
      </w:tr>
      <w:tr>
        <w:tc>
          <w:p>
            <w:pPr>
              <w:pStyle w:val="Compact"/>
              <w:jc w:val="left"/>
            </w:pPr>
            <w:r>
              <w:t xml:space="preserve">"Data stored in India — Mumbai primary, Hyderabad recovery"</w:t>
            </w:r>
          </w:p>
        </w:tc>
        <w:tc>
          <w:p>
            <w:pPr>
              <w:pStyle w:val="Compact"/>
              <w:jc w:val="left"/>
            </w:pPr>
            <w:r>
              <w:t xml:space="preserve">Home trust line; Trust Centre; FAQ 24</w:t>
            </w:r>
          </w:p>
        </w:tc>
        <w:tc>
          <w:p>
            <w:pPr>
              <w:pStyle w:val="Compact"/>
              <w:jc w:val="left"/>
            </w:pPr>
            <w:r>
              <w:t xml:space="preserve">E1</w:t>
            </w:r>
          </w:p>
        </w:tc>
        <w:tc>
          <w:p>
            <w:pPr>
              <w:pStyle w:val="Compact"/>
              <w:jc w:val="left"/>
            </w:pPr>
            <w:r>
              <w:t xml:space="preserve">Infrastructure inventory; P24 go-live checklist</w:t>
            </w:r>
          </w:p>
        </w:tc>
      </w:tr>
      <w:tr>
        <w:tc>
          <w:p>
            <w:pPr>
              <w:pStyle w:val="Compact"/>
              <w:jc w:val="left"/>
            </w:pPr>
            <w:r>
              <w:t xml:space="preserve">"Every tenant isolated at the database level, tested on every build"</w:t>
            </w:r>
          </w:p>
        </w:tc>
        <w:tc>
          <w:p>
            <w:pPr>
              <w:pStyle w:val="Compact"/>
              <w:jc w:val="left"/>
            </w:pPr>
            <w:r>
              <w:t xml:space="preserve">Trust Centre; FAQ 25</w:t>
            </w:r>
          </w:p>
        </w:tc>
        <w:tc>
          <w:p>
            <w:pPr>
              <w:pStyle w:val="Compact"/>
              <w:jc w:val="left"/>
            </w:pPr>
            <w:r>
              <w:t xml:space="preserve">E1</w:t>
            </w:r>
          </w:p>
        </w:tc>
        <w:tc>
          <w:p>
            <w:pPr>
              <w:pStyle w:val="Compact"/>
              <w:jc w:val="left"/>
            </w:pPr>
            <w:r>
              <w:t xml:space="preserve">CI report for</w:t>
            </w:r>
            <w:r>
              <w:t xml:space="preserve"> </w:t>
            </w:r>
            <w:r>
              <w:rPr>
                <w:rStyle w:val="VerbatimChar"/>
              </w:rPr>
              <w:t xml:space="preserve">NN-01_*</w:t>
            </w:r>
            <w:r>
              <w:t xml:space="preserve"> </w:t>
            </w:r>
            <w:r>
              <w:t xml:space="preserve">tests</w:t>
            </w:r>
          </w:p>
        </w:tc>
      </w:tr>
      <w:tr>
        <w:tc>
          <w:p>
            <w:pPr>
              <w:pStyle w:val="Compact"/>
              <w:jc w:val="left"/>
            </w:pPr>
            <w:r>
              <w:t xml:space="preserve">"Penetration testing by a CERT-In empanelled auditor at least annually"</w:t>
            </w:r>
          </w:p>
        </w:tc>
        <w:tc>
          <w:p>
            <w:pPr>
              <w:pStyle w:val="Compact"/>
              <w:jc w:val="left"/>
            </w:pPr>
            <w:r>
              <w:t xml:space="preserve">Trust Centre</w:t>
            </w:r>
          </w:p>
        </w:tc>
        <w:tc>
          <w:p>
            <w:pPr>
              <w:pStyle w:val="Compact"/>
              <w:jc w:val="left"/>
            </w:pPr>
            <w:r>
              <w:t xml:space="preserve">E3 (after first VAPT)</w:t>
            </w:r>
          </w:p>
        </w:tc>
        <w:tc>
          <w:p>
            <w:pPr>
              <w:pStyle w:val="Compact"/>
              <w:jc w:val="left"/>
            </w:pPr>
            <w:r>
              <w:t xml:space="preserve">VAPT certificate in the Vendor Assurance Room; until then phrase as "planned before GA"</w:t>
            </w:r>
          </w:p>
        </w:tc>
      </w:tr>
      <w:tr>
        <w:tc>
          <w:p>
            <w:pPr>
              <w:pStyle w:val="Compact"/>
              <w:jc w:val="left"/>
            </w:pPr>
            <w:r>
              <w:t xml:space="preserve">"Twelve questions to find what applies"</w:t>
            </w:r>
          </w:p>
        </w:tc>
        <w:tc>
          <w:p>
            <w:pPr>
              <w:pStyle w:val="Compact"/>
              <w:jc w:val="left"/>
            </w:pPr>
            <w:r>
              <w:t xml:space="preserve">Home; Health Check; FAQ 5</w:t>
            </w:r>
          </w:p>
        </w:tc>
        <w:tc>
          <w:p>
            <w:pPr>
              <w:pStyle w:val="Compact"/>
              <w:jc w:val="left"/>
            </w:pPr>
            <w:r>
              <w:t xml:space="preserve">E1</w:t>
            </w:r>
          </w:p>
        </w:tc>
        <w:tc>
          <w:p>
            <w:pPr>
              <w:pStyle w:val="Compact"/>
              <w:jc w:val="left"/>
            </w:pPr>
            <w:r>
              <w:t xml:space="preserve">Applicability questionnaire specification (P15; ≤ 12)</w:t>
            </w:r>
          </w:p>
        </w:tc>
      </w:tr>
      <w:tr>
        <w:tc>
          <w:p>
            <w:pPr>
              <w:pStyle w:val="Compact"/>
              <w:jc w:val="left"/>
            </w:pPr>
            <w:r>
              <w:t xml:space="preserve">"Forty questions, ten minutes" (Health Check)</w:t>
            </w:r>
          </w:p>
        </w:tc>
        <w:tc>
          <w:p>
            <w:pPr>
              <w:pStyle w:val="Compact"/>
              <w:jc w:val="left"/>
            </w:pPr>
            <w:r>
              <w:t xml:space="preserve">Health Check</w:t>
            </w:r>
          </w:p>
        </w:tc>
        <w:tc>
          <w:p>
            <w:pPr>
              <w:pStyle w:val="Compact"/>
              <w:jc w:val="left"/>
            </w:pPr>
            <w:r>
              <w:t xml:space="preserve">E1</w:t>
            </w:r>
          </w:p>
        </w:tc>
        <w:tc>
          <w:p>
            <w:pPr>
              <w:pStyle w:val="Compact"/>
              <w:jc w:val="left"/>
            </w:pPr>
            <w:r>
              <w:t xml:space="preserve">HC-SET-0001 question count; median completion time from analytics (once ≥ 30 sessions) — until then "about ten minutes"</w:t>
            </w:r>
          </w:p>
        </w:tc>
      </w:tr>
      <w:tr>
        <w:tc>
          <w:p>
            <w:pPr>
              <w:pStyle w:val="Compact"/>
              <w:jc w:val="left"/>
            </w:pPr>
            <w:r>
              <w:t xml:space="preserve">"Scans regulators daily at 20:00 IST"</w:t>
            </w:r>
          </w:p>
        </w:tc>
        <w:tc>
          <w:p>
            <w:pPr>
              <w:pStyle w:val="Compact"/>
              <w:jc w:val="left"/>
            </w:pPr>
            <w:r>
              <w:t xml:space="preserve">Home; FAQ 17</w:t>
            </w:r>
          </w:p>
        </w:tc>
        <w:tc>
          <w:p>
            <w:pPr>
              <w:pStyle w:val="Compact"/>
              <w:jc w:val="left"/>
            </w:pPr>
            <w:r>
              <w:t xml:space="preserve">E1</w:t>
            </w:r>
          </w:p>
        </w:tc>
        <w:tc>
          <w:p>
            <w:pPr>
              <w:pStyle w:val="Compact"/>
              <w:jc w:val="left"/>
            </w:pPr>
            <w:r>
              <w:t xml:space="preserve">P05 schedule configuration</w:t>
            </w:r>
          </w:p>
        </w:tc>
      </w:tr>
      <w:tr>
        <w:tc>
          <w:p>
            <w:pPr>
              <w:pStyle w:val="Compact"/>
              <w:jc w:val="left"/>
            </w:pPr>
            <w:r>
              <w:t xml:space="preserve">"Trials never convert automatically"</w:t>
            </w:r>
          </w:p>
        </w:tc>
        <w:tc>
          <w:p>
            <w:pPr>
              <w:pStyle w:val="Compact"/>
              <w:jc w:val="left"/>
            </w:pPr>
            <w:r>
              <w:t xml:space="preserve">Pricing; FAQ 37</w:t>
            </w:r>
          </w:p>
        </w:tc>
        <w:tc>
          <w:p>
            <w:pPr>
              <w:pStyle w:val="Compact"/>
              <w:jc w:val="left"/>
            </w:pPr>
            <w:r>
              <w:t xml:space="preserve">E1</w:t>
            </w:r>
          </w:p>
        </w:tc>
        <w:tc>
          <w:p>
            <w:pPr>
              <w:pStyle w:val="Compact"/>
              <w:jc w:val="left"/>
            </w:pPr>
            <w:r>
              <w:t xml:space="preserve">D-26; billing configuration</w:t>
            </w:r>
          </w:p>
        </w:tc>
      </w:tr>
      <w:tr>
        <w:tc>
          <w:p>
            <w:pPr>
              <w:pStyle w:val="Compact"/>
              <w:jc w:val="left"/>
            </w:pPr>
            <w:r>
              <w:t xml:space="preserve">"Refunds reach the original instrument within 5–7 working days"</w:t>
            </w:r>
          </w:p>
        </w:tc>
        <w:tc>
          <w:p>
            <w:pPr>
              <w:pStyle w:val="Compact"/>
              <w:jc w:val="left"/>
            </w:pPr>
            <w:r>
              <w:t xml:space="preserve">Pricing FAQ; FAQ 39</w:t>
            </w:r>
          </w:p>
        </w:tc>
        <w:tc>
          <w:p>
            <w:pPr>
              <w:pStyle w:val="Compact"/>
              <w:jc w:val="left"/>
            </w:pPr>
            <w:r>
              <w:t xml:space="preserve">E1</w:t>
            </w:r>
          </w:p>
        </w:tc>
        <w:tc>
          <w:p>
            <w:pPr>
              <w:pStyle w:val="Compact"/>
              <w:jc w:val="left"/>
            </w:pPr>
            <w:r>
              <w:t xml:space="preserve">OH8 refund SLA configuration; gateway refund API</w:t>
            </w:r>
          </w:p>
        </w:tc>
      </w:tr>
      <w:tr>
        <w:tc>
          <w:p>
            <w:pPr>
              <w:pStyle w:val="Compact"/>
              <w:jc w:val="left"/>
            </w:pPr>
            <w:r>
              <w:t xml:space="preserve">Office addresses (Delhi, Noida, Jaipur)</w:t>
            </w:r>
          </w:p>
        </w:tc>
        <w:tc>
          <w:p>
            <w:pPr>
              <w:pStyle w:val="Compact"/>
              <w:jc w:val="left"/>
            </w:pPr>
            <w:r>
              <w:t xml:space="preserve">Contact; About; footer</w:t>
            </w:r>
          </w:p>
        </w:tc>
        <w:tc>
          <w:p>
            <w:pPr>
              <w:pStyle w:val="Compact"/>
              <w:jc w:val="left"/>
            </w:pPr>
            <w:r>
              <w:t xml:space="preserve">E1</w:t>
            </w:r>
          </w:p>
        </w:tc>
        <w:tc>
          <w:p>
            <w:pPr>
              <w:pStyle w:val="Compact"/>
              <w:jc w:val="left"/>
            </w:pPr>
            <w:r>
              <w:t xml:space="preserve">Lease or registration documents</w:t>
            </w:r>
          </w:p>
        </w:tc>
      </w:tr>
      <w:tr>
        <w:tc>
          <w:p>
            <w:pPr>
              <w:pStyle w:val="Compact"/>
              <w:jc w:val="left"/>
            </w:pPr>
            <w:r>
              <w:t xml:space="preserve">Any count of customers, users, entities or obligations managed</w:t>
            </w:r>
          </w:p>
        </w:tc>
        <w:tc>
          <w:p>
            <w:pPr>
              <w:pStyle w:val="Compact"/>
              <w:jc w:val="left"/>
            </w:pPr>
            <w:r>
              <w:t xml:space="preserve">— (not used in v1.0)</w:t>
            </w:r>
          </w:p>
        </w:tc>
        <w:tc>
          <w:p>
            <w:pPr>
              <w:pStyle w:val="Compact"/>
              <w:jc w:val="left"/>
            </w:pPr>
            <w:r>
              <w:t xml:space="preserve">E1</w:t>
            </w:r>
          </w:p>
        </w:tc>
        <w:tc>
          <w:p>
            <w:pPr>
              <w:pStyle w:val="Compact"/>
              <w:jc w:val="left"/>
            </w:pPr>
            <w:r>
              <w:t xml:space="preserve">Only when measured; none published at launch</w:t>
            </w:r>
          </w:p>
        </w:tc>
      </w:tr>
      <w:tr>
        <w:tc>
          <w:p>
            <w:pPr>
              <w:pStyle w:val="Compact"/>
              <w:jc w:val="left"/>
            </w:pPr>
            <w:r>
              <w:t xml:space="preserve">Regulator counts on the Investors page (NBFCs, UCBs, AIFs, companies)</w:t>
            </w:r>
          </w:p>
        </w:tc>
        <w:tc>
          <w:p>
            <w:pPr>
              <w:pStyle w:val="Compact"/>
              <w:jc w:val="left"/>
            </w:pPr>
            <w:r>
              <w:t xml:space="preserve">Investors (when enabled)</w:t>
            </w:r>
          </w:p>
        </w:tc>
        <w:tc>
          <w:p>
            <w:pPr>
              <w:pStyle w:val="Compact"/>
              <w:jc w:val="left"/>
            </w:pPr>
            <w:r>
              <w:t xml:space="preserve">E2</w:t>
            </w:r>
          </w:p>
        </w:tc>
        <w:tc>
          <w:p>
            <w:pPr>
              <w:pStyle w:val="Compact"/>
              <w:jc w:val="left"/>
            </w:pPr>
            <w:r>
              <w:t xml:space="preserve">RBI, SEBI, MCA published lists with as-of dates</w:t>
            </w:r>
          </w:p>
        </w:tc>
      </w:tr>
      <w:tr>
        <w:tc>
          <w:p>
            <w:pPr>
              <w:pStyle w:val="Compact"/>
              <w:jc w:val="left"/>
            </w:pPr>
            <w:r>
              <w:t xml:space="preserve">Partner logos</w:t>
            </w:r>
          </w:p>
        </w:tc>
        <w:tc>
          <w:p>
            <w:pPr>
              <w:pStyle w:val="Compact"/>
              <w:jc w:val="left"/>
            </w:pPr>
            <w:r>
              <w:t xml:space="preserve">Partners</w:t>
            </w:r>
          </w:p>
        </w:tc>
        <w:tc>
          <w:p>
            <w:pPr>
              <w:pStyle w:val="Compact"/>
              <w:jc w:val="left"/>
            </w:pPr>
            <w:r>
              <w:t xml:space="preserve">E3</w:t>
            </w:r>
          </w:p>
        </w:tc>
        <w:tc>
          <w:p>
            <w:pPr>
              <w:pStyle w:val="Compact"/>
              <w:jc w:val="left"/>
            </w:pPr>
            <w:r>
              <w:t xml:space="preserve">Signed permission record per logo</w:t>
            </w:r>
          </w:p>
        </w:tc>
      </w:tr>
      <w:tr>
        <w:tc>
          <w:p>
            <w:pPr>
              <w:pStyle w:val="Compact"/>
              <w:jc w:val="left"/>
            </w:pPr>
            <w:r>
              <w:t xml:space="preserve">Coverage items</w:t>
            </w:r>
          </w:p>
        </w:tc>
        <w:tc>
          <w:p>
            <w:pPr>
              <w:pStyle w:val="Compact"/>
              <w:jc w:val="left"/>
            </w:pPr>
            <w:r>
              <w:t xml:space="preserve">Press</w:t>
            </w:r>
          </w:p>
        </w:tc>
        <w:tc>
          <w:p>
            <w:pPr>
              <w:pStyle w:val="Compact"/>
              <w:jc w:val="left"/>
            </w:pPr>
            <w:r>
              <w:t xml:space="preserve">E2</w:t>
            </w:r>
          </w:p>
        </w:tc>
        <w:tc>
          <w:p>
            <w:pPr>
              <w:pStyle w:val="Compact"/>
              <w:jc w:val="left"/>
            </w:pPr>
            <w:r>
              <w:t xml:space="preserve">Article URL and date per item</w:t>
            </w:r>
          </w:p>
        </w:tc>
      </w:tr>
      <w:tr>
        <w:tc>
          <w:p>
            <w:pPr>
              <w:pStyle w:val="Compact"/>
              <w:jc w:val="left"/>
            </w:pPr>
            <w:r>
              <w:t xml:space="preserve">Certifications</w:t>
            </w:r>
          </w:p>
        </w:tc>
        <w:tc>
          <w:p>
            <w:pPr>
              <w:pStyle w:val="Compact"/>
              <w:jc w:val="left"/>
            </w:pPr>
            <w:r>
              <w:t xml:space="preserve">Trust Centre</w:t>
            </w:r>
          </w:p>
        </w:tc>
        <w:tc>
          <w:p>
            <w:pPr>
              <w:pStyle w:val="Compact"/>
              <w:jc w:val="left"/>
            </w:pPr>
            <w:r>
              <w:t xml:space="preserve">E3</w:t>
            </w:r>
          </w:p>
        </w:tc>
        <w:tc>
          <w:p>
            <w:pPr>
              <w:pStyle w:val="Compact"/>
              <w:jc w:val="left"/>
            </w:pPr>
            <w:r>
              <w:t xml:space="preserve">Certificate or report; none at launch</w:t>
            </w:r>
          </w:p>
        </w:tc>
      </w:tr>
    </w:tbl>
    <w:p>
      <w:r>
        <w:pict>
          <v:rect style="width:0;height:1.5pt" o:hralign="center" o:hrstd="t" o:hr="t"/>
        </w:pict>
      </w:r>
    </w:p>
    <w:p>
      <w:pPr>
        <w:pStyle w:val="Heading2"/>
      </w:pPr>
      <w:bookmarkStart w:id="58" w:name="Xa16fd6097c19245165de115ec4a432c7498c173"/>
      <w:r>
        <w:t xml:space="preserve">31. Trial and onboarding emails (product-triggered; consent-gated where marketing; plain text first)</w:t>
      </w:r>
      <w:bookmarkEnd w:id="58"/>
    </w:p>
    <w:p>
      <w:pPr>
        <w:numPr>
          <w:ilvl w:val="0"/>
          <w:numId w:val="1023"/>
        </w:numPr>
        <w:pStyle w:val="Compact"/>
      </w:pPr>
      <w:r>
        <w:rPr>
          <w:b/>
        </w:rPr>
        <w:t xml:space="preserve">Welcome (transactional).</w:t>
      </w:r>
      <w:r>
        <w:t xml:space="preserve"> </w:t>
      </w:r>
      <w:r>
        <w:t xml:space="preserve">Subject: "Your LawDocsComply trial is ready". Body: who you are signed in as, what the trial includes, the three things to do first (confirm your entity profile, invite a checker, import or create your first ten obligations), the trial end date, the sentence "Your trial will not convert automatically; at the end you choose a plan or your account becomes read-only with export for 30 days", support contact, Grievance Officer in the footer.</w:t>
      </w:r>
    </w:p>
    <w:p>
      <w:pPr>
        <w:numPr>
          <w:ilvl w:val="0"/>
          <w:numId w:val="1023"/>
        </w:numPr>
        <w:pStyle w:val="Compact"/>
      </w:pPr>
      <w:r>
        <w:rPr>
          <w:b/>
        </w:rPr>
        <w:t xml:space="preserve">Day 2 (transactional, usage-triggered if no checker invited).</w:t>
      </w:r>
      <w:r>
        <w:t xml:space="preserve"> </w:t>
      </w:r>
      <w:r>
        <w:t xml:space="preserve">Subject: "Add a checker so items can be approved". Body: why maker–checker matters, how to invite, what a checker sees.</w:t>
      </w:r>
    </w:p>
    <w:p>
      <w:pPr>
        <w:numPr>
          <w:ilvl w:val="0"/>
          <w:numId w:val="1023"/>
        </w:numPr>
        <w:pStyle w:val="Compact"/>
      </w:pPr>
      <w:r>
        <w:rPr>
          <w:b/>
        </w:rPr>
        <w:t xml:space="preserve">Day 7 (transactional).</w:t>
      </w:r>
      <w:r>
        <w:t xml:space="preserve"> </w:t>
      </w:r>
      <w:r>
        <w:t xml:space="preserve">Subject: "Your register so far". Body: counts of items by status (from the tenant), the next three due items, a link to the Work Inbox, one tutorial.</w:t>
      </w:r>
    </w:p>
    <w:p>
      <w:pPr>
        <w:numPr>
          <w:ilvl w:val="0"/>
          <w:numId w:val="1023"/>
        </w:numPr>
        <w:pStyle w:val="Compact"/>
      </w:pPr>
      <w:r>
        <w:rPr>
          <w:b/>
        </w:rPr>
        <w:t xml:space="preserve">Day 12 (transactional).</w:t>
      </w:r>
      <w:r>
        <w:t xml:space="preserve"> </w:t>
      </w:r>
      <w:r>
        <w:t xml:space="preserve">Subject: "Two days left — what happens next". Body: the read-only rule, export instructions, the plan page, a person to talk to.</w:t>
      </w:r>
    </w:p>
    <w:p>
      <w:pPr>
        <w:numPr>
          <w:ilvl w:val="0"/>
          <w:numId w:val="1023"/>
        </w:numPr>
        <w:pStyle w:val="Compact"/>
      </w:pPr>
      <w:r>
        <w:rPr>
          <w:b/>
        </w:rPr>
        <w:t xml:space="preserve">Day 14 (transactional).</w:t>
      </w:r>
      <w:r>
        <w:t xml:space="preserve"> </w:t>
      </w:r>
      <w:r>
        <w:t xml:space="preserve">Subject: "Your trial has ended". Body: read-only until [date], export link, plans, thank-you.</w:t>
      </w:r>
    </w:p>
    <w:p>
      <w:pPr>
        <w:numPr>
          <w:ilvl w:val="0"/>
          <w:numId w:val="1023"/>
        </w:numPr>
        <w:pStyle w:val="Compact"/>
      </w:pPr>
      <w:r>
        <w:rPr>
          <w:b/>
        </w:rPr>
        <w:t xml:space="preserve">Marketing sequence</w:t>
      </w:r>
      <w:r>
        <w:t xml:space="preserve"> </w:t>
      </w:r>
      <w:r>
        <w:t xml:space="preserve">(only with</w:t>
      </w:r>
      <w:r>
        <w:t xml:space="preserve"> </w:t>
      </w:r>
      <w:r>
        <w:rPr>
          <w:rStyle w:val="VerbatimChar"/>
        </w:rPr>
        <w:t xml:space="preserve">consent.marketing.email</w:t>
      </w:r>
      <w:r>
        <w:t xml:space="preserve">): monthly "Regulatory updates digest" with three changes explained and sources; quarterly product notes; webinar invitations with captions promised.</w:t>
      </w:r>
    </w:p>
    <w:p>
      <w:pPr>
        <w:pStyle w:val="Heading2"/>
      </w:pPr>
      <w:bookmarkStart w:id="59" w:name="X2d18ccdf4652a83bb6b4d7d8d9696603a760b0f"/>
      <w:r>
        <w:t xml:space="preserve">32. Webinar and Academy wrapper copy</w:t>
      </w:r>
      <w:bookmarkEnd w:id="59"/>
    </w:p>
    <w:p>
      <w:pPr>
        <w:numPr>
          <w:ilvl w:val="0"/>
          <w:numId w:val="1024"/>
        </w:numPr>
        <w:pStyle w:val="Compact"/>
      </w:pPr>
      <w:r>
        <w:rPr>
          <w:b/>
        </w:rPr>
        <w:t xml:space="preserve">Webinar landing (</w:t>
      </w:r>
      <w:r>
        <w:rPr>
          <w:rStyle w:val="VerbatimChar"/>
          <w:b/>
        </w:rPr>
        <w:t xml:space="preserve">/webinars/{slug}</w:t>
      </w:r>
      <w:r>
        <w:rPr>
          <w:b/>
        </w:rPr>
        <w:t xml:space="preserve">).</w:t>
      </w:r>
      <w:r>
        <w:t xml:space="preserve"> </w:t>
      </w:r>
      <w:r>
        <w:t xml:space="preserve">Title, date and time (IST), speakers (team_member or guest with consent), what you will learn (three bullets), "Live captions are provided; an Indian Sign Language interpreter can be arranged with three working days' notice", registration form (</w:t>
      </w:r>
      <w:r>
        <w:rPr>
          <w:rStyle w:val="VerbatimChar"/>
        </w:rPr>
        <w:t xml:space="preserve">consent.contact_form</w:t>
      </w:r>
      <w:r>
        <w:t xml:space="preserve"> </w:t>
      </w:r>
      <w:r>
        <w:t xml:space="preserve">plus a specified purpose "webinar reminders"), recording promise ("Registrants receive the captioned recording and transcript within three working days").</w:t>
      </w:r>
    </w:p>
    <w:p>
      <w:pPr>
        <w:numPr>
          <w:ilvl w:val="0"/>
          <w:numId w:val="1024"/>
        </w:numPr>
        <w:pStyle w:val="Compact"/>
      </w:pPr>
      <w:r>
        <w:rPr>
          <w:b/>
        </w:rPr>
        <w:t xml:space="preserve">FinLegal Academy entry (</w:t>
      </w:r>
      <w:r>
        <w:rPr>
          <w:rStyle w:val="VerbatimChar"/>
          <w:b/>
        </w:rPr>
        <w:t xml:space="preserve">/academy</w:t>
      </w:r>
      <w:r>
        <w:rPr>
          <w:b/>
        </w:rPr>
        <w:t xml:space="preserve">).</w:t>
      </w:r>
      <w:r>
        <w:t xml:space="preserve"> </w:t>
      </w:r>
      <w:r>
        <w:t xml:space="preserve">"Short, practical courses for compliance teams — maker–checker practice, board minutes under the secretarial standards, reading an RBI direction, DPDP for compliance officers. Quizzes help you check your understanding; they are not a competence assessment and carry no professional credit unless stated." [No CPE claims — OI-X-06.]</w:t>
      </w:r>
    </w:p>
    <w:p>
      <w:pPr>
        <w:pStyle w:val="Heading2"/>
      </w:pPr>
      <w:bookmarkStart w:id="60" w:name="Xcda245d6aa15aaec79bef0a10c2a4410db35273"/>
      <w:r>
        <w:t xml:space="preserve">33. Compare pages methodology note (</w:t>
      </w:r>
      <w:r>
        <w:rPr>
          <w:rStyle w:val="VerbatimChar"/>
        </w:rPr>
        <w:t xml:space="preserve">/compare/{slug}</w:t>
      </w:r>
      <w:r>
        <w:t xml:space="preserve">; published only after legal review)</w:t>
      </w:r>
      <w:bookmarkEnd w:id="60"/>
    </w:p>
    <w:p>
      <w:pPr>
        <w:pStyle w:val="FirstParagraph"/>
      </w:pPr>
      <w:r>
        <w:t xml:space="preserve">"This comparison lists features and positions that both products document publicly, as at [date], with a link to the source for every row. It is not a review and contains no customer quotations. Where a feature is configurable or plan-dependent we say so. If you represent the compared product and believe a row is wrong, write to</w:t>
      </w:r>
      <w:r>
        <w:t xml:space="preserve"> </w:t>
      </w:r>
      <w:hyperlink r:id="rId37">
        <w:r>
          <w:rPr>
            <w:rStyle w:val="Hyperlink"/>
          </w:rPr>
          <w:t xml:space="preserve">press@lawdocscomply.com</w:t>
        </w:r>
      </w:hyperlink>
      <w:r>
        <w:t xml:space="preserve"> </w:t>
      </w:r>
      <w:r>
        <w:t xml:space="preserve">and we will check and correct within five working days." (Appendix R supplies the research; competitor names appear only after</w:t>
      </w:r>
      <w:r>
        <w:t xml:space="preserve"> </w:t>
      </w:r>
      <w:r>
        <w:rPr>
          <w:rStyle w:val="VerbatimChar"/>
        </w:rPr>
        <w:t xml:space="preserve">plt_legal_reviewer</w:t>
      </w:r>
      <w:r>
        <w:t xml:space="preserve"> </w:t>
      </w:r>
      <w:r>
        <w:t xml:space="preserve">sign-off.)</w:t>
      </w:r>
    </w:p>
    <w:p>
      <w:pPr>
        <w:pStyle w:val="Heading2"/>
      </w:pPr>
      <w:bookmarkStart w:id="61" w:name="X4a21f0a0ceff52bb5bbd34e8411645e0824f620"/>
      <w:r>
        <w:t xml:space="preserve">34. Microcopy for the public forms and the Health Check (binding strings)</w:t>
      </w:r>
      <w:bookmarkEnd w:id="61"/>
    </w:p>
    <w:p>
      <w:pPr>
        <w:numPr>
          <w:ilvl w:val="0"/>
          <w:numId w:val="1025"/>
        </w:numPr>
        <w:pStyle w:val="Compact"/>
      </w:pPr>
      <w:r>
        <w:t xml:space="preserve">Required field: "Please enter your {field}."</w:t>
      </w:r>
    </w:p>
    <w:p>
      <w:pPr>
        <w:numPr>
          <w:ilvl w:val="0"/>
          <w:numId w:val="1025"/>
        </w:numPr>
        <w:pStyle w:val="Compact"/>
      </w:pPr>
      <w:r>
        <w:t xml:space="preserve">Work email hint: "Use your organisation email so we can match you to your entity."</w:t>
      </w:r>
    </w:p>
    <w:p>
      <w:pPr>
        <w:numPr>
          <w:ilvl w:val="0"/>
          <w:numId w:val="1025"/>
        </w:numPr>
        <w:pStyle w:val="Compact"/>
      </w:pPr>
      <w:r>
        <w:t xml:space="preserve">Phone optional: "Optional. We only call if you ask us to."</w:t>
      </w:r>
    </w:p>
    <w:p>
      <w:pPr>
        <w:numPr>
          <w:ilvl w:val="0"/>
          <w:numId w:val="1025"/>
        </w:numPr>
        <w:pStyle w:val="Compact"/>
      </w:pPr>
      <w:r>
        <w:t xml:space="preserve">CIN/LLPIN lookup: "Optional. With your consent we pre-fill your profile from public registers through a licensed provider. You confirm every field."</w:t>
      </w:r>
    </w:p>
    <w:p>
      <w:pPr>
        <w:numPr>
          <w:ilvl w:val="0"/>
          <w:numId w:val="1025"/>
        </w:numPr>
        <w:pStyle w:val="Compact"/>
      </w:pPr>
      <w:r>
        <w:t xml:space="preserve">Consent checkbox (marketing): "Send me regulatory updates, product news and offers by email. I can unsubscribe any time." (unticked)</w:t>
      </w:r>
    </w:p>
    <w:p>
      <w:pPr>
        <w:numPr>
          <w:ilvl w:val="0"/>
          <w:numId w:val="1025"/>
        </w:numPr>
        <w:pStyle w:val="Compact"/>
      </w:pPr>
      <w:r>
        <w:t xml:space="preserve">Health Check answer options: "In place" · "Partly in place" · "Not in place" · "Not applicable to us" · "Not sure" (counts as a gap, labelled "to confirm").</w:t>
      </w:r>
    </w:p>
    <w:p>
      <w:pPr>
        <w:numPr>
          <w:ilvl w:val="0"/>
          <w:numId w:val="1025"/>
        </w:numPr>
        <w:pStyle w:val="Compact"/>
      </w:pPr>
      <w:r>
        <w:t xml:space="preserve">Health Check progress: "Section {n} of {total} — {family}".</w:t>
      </w:r>
    </w:p>
    <w:p>
      <w:pPr>
        <w:numPr>
          <w:ilvl w:val="0"/>
          <w:numId w:val="1025"/>
        </w:numPr>
        <w:pStyle w:val="Compact"/>
      </w:pPr>
      <w:r>
        <w:t xml:space="preserve">Result share: "Share a read-only link (expires in 90 days)".</w:t>
      </w:r>
    </w:p>
    <w:p>
      <w:pPr>
        <w:numPr>
          <w:ilvl w:val="0"/>
          <w:numId w:val="1025"/>
        </w:numPr>
        <w:pStyle w:val="Compact"/>
      </w:pPr>
      <w:r>
        <w:t xml:space="preserve">Delete session: "Delete my answers now" — confirmation: "Your answers and score will be deleted within 24 hours and cannot be recovered."</w:t>
      </w:r>
    </w:p>
    <w:p>
      <w:pPr>
        <w:numPr>
          <w:ilvl w:val="0"/>
          <w:numId w:val="1025"/>
        </w:numPr>
        <w:pStyle w:val="Compact"/>
      </w:pPr>
      <w:r>
        <w:t xml:space="preserve">Trial conversion: "Carry my answers into a trial register as a self-declared baseline" — note: "Items are marked 'self-declared', never 'Compliant'."</w:t>
      </w:r>
    </w:p>
    <w:p>
      <w:pPr>
        <w:pStyle w:val="Heading2"/>
      </w:pPr>
      <w:bookmarkStart w:id="62" w:name="X0b87e6dadee0e3fc82230c16c0dfde39dfd7dd8"/>
      <w:r>
        <w:t xml:space="preserve">35. Hindi programme note</w:t>
      </w:r>
      <w:bookmarkEnd w:id="62"/>
    </w:p>
    <w:p>
      <w:pPr>
        <w:pStyle w:val="FirstParagraph"/>
      </w:pPr>
      <w:r>
        <w:t xml:space="preserve">The glossary, the Health Check (questions, options, result page), the cookie banner, the consent texts and the top twenty maker and checker screens are translated by a reviewer before publication; machine translation is used only for drafts and never publishes unreviewed (</w:t>
      </w:r>
      <w:r>
        <w:rPr>
          <w:rStyle w:val="VerbatimChar"/>
        </w:rPr>
        <w:t xml:space="preserve">IPB-POL-007</w:t>
      </w:r>
      <w:r>
        <w:t xml:space="preserve">; P23 FR-P23-171 analogue for content). Legal pages carry a Hindi summary with the sentence "The English text prevails" [COUNSEL]. Marketing pages are translated in the order Home → Health Check → Pricing → Solutions (NBFC, co-operative banks, companies) → About → Contact.</w:t>
      </w:r>
    </w:p>
    <w:p>
      <w:pPr>
        <w:pStyle w:val="Heading2"/>
      </w:pPr>
      <w:bookmarkStart w:id="63" w:name="X230689c5a99671b73decc44f1b2699dcc411147"/>
      <w:r>
        <w:t xml:space="preserve">36. Expanded module page copy (four modules written in full as the pattern for the rest)</w:t>
      </w:r>
      <w:bookmarkEnd w:id="63"/>
    </w:p>
    <w:p>
      <w:pPr>
        <w:pStyle w:val="FirstParagraph"/>
      </w:pPr>
      <w:r>
        <w:rPr>
          <w:b/>
        </w:rPr>
        <w:t xml:space="preserve">Governance and company secretarial (</w:t>
      </w:r>
      <w:r>
        <w:rPr>
          <w:rStyle w:val="VerbatimChar"/>
          <w:b/>
        </w:rPr>
        <w:t xml:space="preserve">/modules/governance</w:t>
      </w:r>
      <w:r>
        <w:rPr>
          <w:b/>
        </w:rPr>
        <w:t xml:space="preserve">).</w:t>
      </w:r>
      <w:r>
        <w:t xml:space="preserve"> </w:t>
      </w:r>
      <w:r>
        <w:t xml:space="preserve">h1: Board, committees and secretarial work on one record. Intro: "Meetings, minutes, registers, resolutions and filings for companies, LLPs, co-operative societies and regulated entities, each item carrying a GovID that stays stable across years." What you can do: build the annual board and committee calendar from the entity's profile (frequency rules from the Companies Act 2013, SEBI LODR, RBI governance directions and your articles); issue notices and agendas with the statutory lead times computed; record attendance and quorum; draft minutes with Vidhi and review them with tracked changes against the agenda and the secretarial standards checklist; pass and file resolutions with the forms tracker; maintain statutory registers with change history; give directors a board view with packs, minutes for approval and declarations; run attestation campaigns (interest, independence, fit-and-proper) with reminders. What it will not do: sign, certify or file on your behalf; LawDocsComply prepares and tracks, your officers execute. FAQ: Do you implement Secretarial Standards SS-1 and SS-2 timelines? (Yes, as rule-pack parameters with the clause cited; windows the Institute has not fixed are marked for your confirmation.) · Can directors use it without training? (The board view has one primary action per screen and a two-minute tour.) · Does it cover co-operative general body meetings? (Yes, with the terminology societies use.)</w:t>
      </w:r>
    </w:p>
    <w:p>
      <w:pPr>
        <w:pStyle w:val="BodyText"/>
      </w:pPr>
      <w:r>
        <w:rPr>
          <w:b/>
        </w:rPr>
        <w:t xml:space="preserve">Policy lifecycle and document management (</w:t>
      </w:r>
      <w:r>
        <w:rPr>
          <w:rStyle w:val="VerbatimChar"/>
          <w:b/>
        </w:rPr>
        <w:t xml:space="preserve">/modules/policies</w:t>
      </w:r>
      <w:r>
        <w:rPr>
          <w:b/>
        </w:rPr>
        <w:t xml:space="preserve">).</w:t>
      </w:r>
      <w:r>
        <w:t xml:space="preserve"> </w:t>
      </w:r>
      <w:r>
        <w:t xml:space="preserve">h1: Policies drafted, reviewed, approved and renewed — with every change visible. Intro: "Regulators ask for board-approved policies and the evidence that they were reviewed. LawDocsComply keeps the template, the versions, the redline and the approval on one record." What you can do: start from a template library mapped to the directions that require each policy; draft with Vidhi against the template or the last approved version; see a deterministic redline (no AI-typed figures); route through the approval chain your board uses; record adoption with the minute reference; schedule renewals with the cadence the direction requires; run attestation campaigns so staff acknowledge the current version; store every document with versions, retention and legal hold; co-author in your own SharePoint or OneDrive. What it will not do: adopt a policy — your board or committee does, and the record says so. FAQ: Can we use our own templates? (Yes; the library is a starting point.) · Does the redline work on Word files? (Yes — DOCX in, DOCX with tracked changes out.) · Where are documents stored? (In India, immutably, with per-tenant keys for sealed classes.)</w:t>
      </w:r>
    </w:p>
    <w:p>
      <w:pPr>
        <w:pStyle w:val="BodyText"/>
      </w:pPr>
      <w:r>
        <w:rPr>
          <w:b/>
        </w:rPr>
        <w:t xml:space="preserve">Return Studio (</w:t>
      </w:r>
      <w:r>
        <w:rPr>
          <w:rStyle w:val="VerbatimChar"/>
          <w:b/>
        </w:rPr>
        <w:t xml:space="preserve">/modules/returns</w:t>
      </w:r>
      <w:r>
        <w:rPr>
          <w:b/>
        </w:rPr>
        <w:t xml:space="preserve">).</w:t>
      </w:r>
      <w:r>
        <w:t xml:space="preserve"> </w:t>
      </w:r>
      <w:r>
        <w:t xml:space="preserve">h1: Returns prepared from one data upload, reconciled before anyone files. Intro: "Upload trial balance, loan, investment and capital data once; Return Studio maps it to the return formats your regulator prescribes, reconciles across returns and shows what is missing — then a person files." What you can do: use the common data-intake templates (</w:t>
      </w:r>
      <w:r>
        <w:rPr>
          <w:rStyle w:val="VerbatimChar"/>
        </w:rPr>
        <w:t xml:space="preserve">LDC-DT-*</w:t>
      </w:r>
      <w:r>
        <w:t xml:space="preserve">); map once, reuse across periods; see reconciliation checks and variance explanations; prepare supervisory returns, CIC submission files from your own data and tax returns support; keep the working files and the filed copy together with the acknowledgement; hand off to Risk Lab for ICAAP and ratios from the same upload. What it will not do: file with any regulator or bureau, or type a figure by AI. FAQ: Do you connect to regulator portals? (No. We prepare the file; you upload it through the regulator's own channel and record the acknowledgement.) · Can Tally data be read? (Read-only export of Tally Prime; we never write vouchers.) · Which returns are covered? (The catalogue per family is listed on the Solution page from the live registry; new DoS returns are added as directions publish.)</w:t>
      </w:r>
    </w:p>
    <w:p>
      <w:pPr>
        <w:pStyle w:val="BodyText"/>
      </w:pPr>
      <w:r>
        <w:rPr>
          <w:b/>
        </w:rPr>
        <w:t xml:space="preserve">Grievance redressal and customer support desk (</w:t>
      </w:r>
      <w:r>
        <w:rPr>
          <w:rStyle w:val="VerbatimChar"/>
          <w:b/>
        </w:rPr>
        <w:t xml:space="preserve">/modules/grievances</w:t>
      </w:r>
      <w:r>
        <w:rPr>
          <w:b/>
        </w:rPr>
        <w:t xml:space="preserve">).</w:t>
      </w:r>
      <w:r>
        <w:t xml:space="preserve"> </w:t>
      </w:r>
      <w:r>
        <w:t xml:space="preserve">h1: Grievances handled to the timelines the law sets. Intro: "A register, a workflow and a report for the grievances your regulator and your customers expect you to handle — with the statutory clocks built in." What you can do: receive grievances from web, email and phone into one queue with a reference; classify by regulation (RBI Integrated Ombudsman for banks and NBFCs, SEBI SCORES references for intermediaries, IRDAI Bima Bharosa for insurers — references to the external systems, not integrations) and set the clock the direction requires; route to the owner with escalation ladders; record the resolution and the customer's acknowledgement; produce the periodic returns and board reports on grievances; publish a transparency report. What it will not do: file on your behalf with any ombudsman or portal, or send messages without a person's approval. FAQ: Does it integrate with the RBI CMS portal? (No; it prepares the data and records the reference you receive.) · Can customers raise grievances through our website? (Yes, through a form you host or ours, white-labelled on enterprise plans.) · Does it cover internal staff grievances and POSH? (Yes, as separate confidential queues with restricted access.)</w:t>
      </w:r>
    </w:p>
    <w:p>
      <w:pPr>
        <w:pStyle w:val="Heading2"/>
      </w:pPr>
      <w:bookmarkStart w:id="64" w:name="Xa633b041ec58eec2f9a1b604b9c9cc2b533f835"/>
      <w:r>
        <w:t xml:space="preserve">37. Country and global pages (template copy; P23 §4Q)</w:t>
      </w:r>
      <w:bookmarkEnd w:id="64"/>
    </w:p>
    <w:p>
      <w:pPr>
        <w:pStyle w:val="FirstParagraph"/>
      </w:pPr>
      <w:r>
        <w:rPr>
          <w:b/>
        </w:rPr>
        <w:t xml:space="preserve">Market subfolders (</w:t>
      </w:r>
      <w:r>
        <w:rPr>
          <w:rStyle w:val="VerbatimChar"/>
          <w:b/>
        </w:rPr>
        <w:t xml:space="preserve">/ae/</w:t>
      </w:r>
      <w:r>
        <w:rPr>
          <w:b/>
        </w:rPr>
        <w:t xml:space="preserve">,</w:t>
      </w:r>
      <w:r>
        <w:rPr>
          <w:b/>
        </w:rPr>
        <w:t xml:space="preserve"> </w:t>
      </w:r>
      <w:r>
        <w:rPr>
          <w:rStyle w:val="VerbatimChar"/>
          <w:b/>
        </w:rPr>
        <w:t xml:space="preserve">/sg/</w:t>
      </w:r>
      <w:r>
        <w:rPr>
          <w:b/>
        </w:rPr>
        <w:t xml:space="preserve">,</w:t>
      </w:r>
      <w:r>
        <w:rPr>
          <w:b/>
        </w:rPr>
        <w:t xml:space="preserve"> </w:t>
      </w:r>
      <w:r>
        <w:rPr>
          <w:rStyle w:val="VerbatimChar"/>
          <w:b/>
        </w:rPr>
        <w:t xml:space="preserve">/uk/</w:t>
      </w:r>
      <w:r>
        <w:rPr>
          <w:b/>
        </w:rPr>
        <w:t xml:space="preserve">,</w:t>
      </w:r>
      <w:r>
        <w:rPr>
          <w:b/>
        </w:rPr>
        <w:t xml:space="preserve"> </w:t>
      </w:r>
      <w:r>
        <w:rPr>
          <w:rStyle w:val="VerbatimChar"/>
          <w:b/>
        </w:rPr>
        <w:t xml:space="preserve">/eu/</w:t>
      </w:r>
      <w:r>
        <w:rPr>
          <w:b/>
        </w:rPr>
        <w:t xml:space="preserve">,</w:t>
      </w:r>
      <w:r>
        <w:rPr>
          <w:b/>
        </w:rPr>
        <w:t xml:space="preserve"> </w:t>
      </w:r>
      <w:r>
        <w:rPr>
          <w:rStyle w:val="VerbatimChar"/>
          <w:b/>
        </w:rPr>
        <w:t xml:space="preserve">/us/</w:t>
      </w:r>
      <w:r>
        <w:rPr>
          <w:b/>
        </w:rPr>
        <w:t xml:space="preserve">).</w:t>
      </w:r>
      <w:r>
        <w:t xml:space="preserve"> </w:t>
      </w:r>
      <w:r>
        <w:t xml:space="preserve">Each market home repeats the global home with: the jurisdiction packs published for that market (only</w:t>
      </w:r>
      <w:r>
        <w:t xml:space="preserve"> </w:t>
      </w:r>
      <w:r>
        <w:rPr>
          <w:rStyle w:val="VerbatimChar"/>
        </w:rPr>
        <w:t xml:space="preserve">PUBLISHED</w:t>
      </w:r>
      <w:r>
        <w:t xml:space="preserve"> </w:t>
      </w:r>
      <w:r>
        <w:t xml:space="preserve">packs advertised;</w:t>
      </w:r>
      <w:r>
        <w:t xml:space="preserve"> </w:t>
      </w:r>
      <w:r>
        <w:rPr>
          <w:rStyle w:val="VerbatimChar"/>
        </w:rPr>
        <w:t xml:space="preserve">PILOT</w:t>
      </w:r>
      <w:r>
        <w:t xml:space="preserve"> </w:t>
      </w:r>
      <w:r>
        <w:t xml:space="preserve">packs labelled "pilot — reviewed by [partner firm], not yet complete"), the local reviewer-of-record partner, the data cell ("Data for customers in [market] is stored in [cell]") and the local legal pages switched on (GDPR or other annexes after counsel review). Copy rule: no claim of coverage for a jurisdiction without a published pack and a named reviewer of record. Country solution page h1 pattern: "{Country} compliance obligations for {entity types}, reviewed by {partner}". Global health check (20 questions) is offered only where a pack is published.</w:t>
      </w:r>
    </w:p>
    <w:p>
      <w:pPr>
        <w:pStyle w:val="Heading2"/>
      </w:pPr>
      <w:bookmarkStart w:id="65" w:name="X844d6a5c549c06b82feff0dd2c0cb4f4b509b3b"/>
      <w:r>
        <w:t xml:space="preserve">38. Status page and incident communication texts</w:t>
      </w:r>
      <w:bookmarkEnd w:id="65"/>
    </w:p>
    <w:p>
      <w:pPr>
        <w:numPr>
          <w:ilvl w:val="0"/>
          <w:numId w:val="1026"/>
        </w:numPr>
        <w:pStyle w:val="Compact"/>
      </w:pPr>
      <w:r>
        <w:rPr>
          <w:b/>
        </w:rPr>
        <w:t xml:space="preserve">Status page intro.</w:t>
      </w:r>
      <w:r>
        <w:t xml:space="preserve"> </w:t>
      </w:r>
      <w:r>
        <w:t xml:space="preserve">"Live and historical availability of lawdocscomply.com, app.lawdocscomply.com and the API, measured by independent external monitoring. Scheduled maintenance is announced here at least 72 hours ahead and never in the last three working days before a statutory due date recorded by our customers."</w:t>
      </w:r>
    </w:p>
    <w:p>
      <w:pPr>
        <w:numPr>
          <w:ilvl w:val="0"/>
          <w:numId w:val="1026"/>
        </w:numPr>
        <w:pStyle w:val="Compact"/>
      </w:pPr>
      <w:r>
        <w:rPr>
          <w:b/>
        </w:rPr>
        <w:t xml:space="preserve">Investigating.</w:t>
      </w:r>
      <w:r>
        <w:t xml:space="preserve"> </w:t>
      </w:r>
      <w:r>
        <w:t xml:space="preserve">"We are investigating reports of {symptom} affecting {component}. Next update by {time} IST."</w:t>
      </w:r>
    </w:p>
    <w:p>
      <w:pPr>
        <w:numPr>
          <w:ilvl w:val="0"/>
          <w:numId w:val="1026"/>
        </w:numPr>
        <w:pStyle w:val="Compact"/>
      </w:pPr>
      <w:r>
        <w:rPr>
          <w:b/>
        </w:rPr>
        <w:t xml:space="preserve">Identified.</w:t>
      </w:r>
      <w:r>
        <w:t xml:space="preserve"> </w:t>
      </w:r>
      <w:r>
        <w:t xml:space="preserve">"The cause is {plain description}. We are applying a fix. Your data is not affected. Next update by {time} IST."</w:t>
      </w:r>
    </w:p>
    <w:p>
      <w:pPr>
        <w:numPr>
          <w:ilvl w:val="0"/>
          <w:numId w:val="1026"/>
        </w:numPr>
        <w:pStyle w:val="Compact"/>
      </w:pPr>
      <w:r>
        <w:rPr>
          <w:b/>
        </w:rPr>
        <w:t xml:space="preserve">Resolved.</w:t>
      </w:r>
      <w:r>
        <w:t xml:space="preserve"> </w:t>
      </w:r>
      <w:r>
        <w:t xml:space="preserve">"Resolved at {time} IST after {duration}. A post-incident summary will be published here within five working days."</w:t>
      </w:r>
    </w:p>
    <w:p>
      <w:pPr>
        <w:numPr>
          <w:ilvl w:val="0"/>
          <w:numId w:val="1026"/>
        </w:numPr>
        <w:pStyle w:val="Compact"/>
      </w:pPr>
      <w:r>
        <w:rPr>
          <w:b/>
        </w:rPr>
        <w:t xml:space="preserve">Security incident (public, if applicable).</w:t>
      </w:r>
      <w:r>
        <w:t xml:space="preserve"> </w:t>
      </w:r>
      <w:r>
        <w:t xml:space="preserve">"On {date} we identified {what}. We contained it at {time}, reported to CERT-In within the required window and notified affected customers directly. Details: {summary}. Contact</w:t>
      </w:r>
      <w:r>
        <w:t xml:space="preserve"> </w:t>
      </w:r>
      <w:hyperlink r:id="rId32">
        <w:r>
          <w:rPr>
            <w:rStyle w:val="Hyperlink"/>
          </w:rPr>
          <w:t xml:space="preserve">security@lawdocscomply.com</w:t>
        </w:r>
      </w:hyperlink>
      <w:r>
        <w:t xml:space="preserve">."</w:t>
      </w:r>
    </w:p>
    <w:p>
      <w:pPr>
        <w:numPr>
          <w:ilvl w:val="0"/>
          <w:numId w:val="1026"/>
        </w:numPr>
        <w:pStyle w:val="Compact"/>
      </w:pPr>
      <w:r>
        <w:rPr>
          <w:b/>
        </w:rPr>
        <w:t xml:space="preserve">Regulated-customer notice.</w:t>
      </w:r>
      <w:r>
        <w:t xml:space="preserve"> </w:t>
      </w:r>
      <w:r>
        <w:t xml:space="preserve">From Appendix AD</w:t>
      </w:r>
      <w:r>
        <w:t xml:space="preserve"> </w:t>
      </w:r>
      <w:r>
        <w:rPr>
          <w:rStyle w:val="VerbatimChar"/>
        </w:rPr>
        <w:t xml:space="preserve">notice.breach.regulated_customer</w:t>
      </w:r>
      <w:r>
        <w:t xml:space="preserve">.</w:t>
      </w:r>
    </w:p>
    <w:p>
      <w:pPr>
        <w:pStyle w:val="Heading2"/>
      </w:pPr>
      <w:bookmarkStart w:id="66" w:name="Xe19d58f1a052cdeffe6192b7921fbb37d1f8cd6"/>
      <w:r>
        <w:t xml:space="preserve">39. Social profiles, bios and ad copy (ASCI-conformant; claims-registered)</w:t>
      </w:r>
      <w:bookmarkEnd w:id="66"/>
    </w:p>
    <w:p>
      <w:pPr>
        <w:numPr>
          <w:ilvl w:val="0"/>
          <w:numId w:val="1027"/>
        </w:numPr>
        <w:pStyle w:val="Compact"/>
      </w:pPr>
      <w:r>
        <w:rPr>
          <w:b/>
        </w:rPr>
        <w:t xml:space="preserve">LinkedIn bio (≤ 300 characters).</w:t>
      </w:r>
      <w:r>
        <w:t xml:space="preserve"> </w:t>
      </w:r>
      <w:r>
        <w:t xml:space="preserve">"LawDocsComply is governance, risk and compliance software for India's regulated entities and for companies, LLPs and co-operatives. Obligations cited to the regulation; maker–checker workflow with evidence; regulatory changes mapped to your register. Part of the Infrabyx Group."</w:t>
      </w:r>
    </w:p>
    <w:p>
      <w:pPr>
        <w:numPr>
          <w:ilvl w:val="0"/>
          <w:numId w:val="1027"/>
        </w:numPr>
        <w:pStyle w:val="Compact"/>
      </w:pPr>
      <w:r>
        <w:rPr>
          <w:b/>
        </w:rPr>
        <w:t xml:space="preserve">X / Instagram bio (≤ 150 characters).</w:t>
      </w:r>
      <w:r>
        <w:t xml:space="preserve"> </w:t>
      </w:r>
      <w:r>
        <w:t xml:space="preserve">"GRC software for India's regulated entities. Know what applies. Prove what you did. Part of the Infrabyx Group."</w:t>
      </w:r>
    </w:p>
    <w:p>
      <w:pPr>
        <w:numPr>
          <w:ilvl w:val="0"/>
          <w:numId w:val="1027"/>
        </w:numPr>
        <w:pStyle w:val="Compact"/>
      </w:pPr>
      <w:r>
        <w:rPr>
          <w:b/>
        </w:rPr>
        <w:t xml:space="preserve">YouTube channel description.</w:t>
      </w:r>
      <w:r>
        <w:t xml:space="preserve"> </w:t>
      </w:r>
      <w:r>
        <w:t xml:space="preserve">"Short walkthroughs and regulatory explainers from LawDocsComply. Every video has captions and a transcript. Nothing here is legal advice."</w:t>
      </w:r>
    </w:p>
    <w:p>
      <w:pPr>
        <w:numPr>
          <w:ilvl w:val="0"/>
          <w:numId w:val="1027"/>
        </w:numPr>
        <w:pStyle w:val="Compact"/>
      </w:pPr>
      <w:r>
        <w:rPr>
          <w:b/>
        </w:rPr>
        <w:t xml:space="preserve">Search ad (headlines ≤ 30, descriptions ≤ 90).</w:t>
      </w:r>
      <w:r>
        <w:t xml:space="preserve"> </w:t>
      </w:r>
      <w:r>
        <w:t xml:space="preserve">H1 "NBFC compliance software" · H2 "Obligations cited to the clause" · H3 "Free Health Check" · D1 "See what applies to your layer, work it with maker-checker, prepare returns from one upload." · D2 "Data in India. Export everything. Trials never auto-convert."</w:t>
      </w:r>
    </w:p>
    <w:p>
      <w:pPr>
        <w:numPr>
          <w:ilvl w:val="0"/>
          <w:numId w:val="1027"/>
        </w:numPr>
        <w:pStyle w:val="Compact"/>
      </w:pPr>
      <w:r>
        <w:rPr>
          <w:b/>
        </w:rPr>
        <w:t xml:space="preserve">Social post templates.</w:t>
      </w:r>
      <w:r>
        <w:t xml:space="preserve"> </w:t>
      </w:r>
      <w:r>
        <w:t xml:space="preserve">Regulatory change post: "{Regulator} has {amended/issued} {instrument} on {date}. What changed: {one line}. Who is affected: {families}. Our explainer, with the clauses: {link}." Product post: "Shipped: {feature}. Why: {one line}. Changelog: {link}." Never: "Don't miss", "Act now", "Limited offer".</w:t>
      </w:r>
    </w:p>
    <w:p>
      <w:pPr>
        <w:pStyle w:val="Heading2"/>
      </w:pPr>
      <w:bookmarkStart w:id="67" w:name="X3b87ad347ac4bf8158ae18fa985f9462f26efea"/>
      <w:r>
        <w:t xml:space="preserve">41. Tutorials index copy (public twins of the in-app tutorial library; P23 §4K)</w:t>
      </w:r>
      <w:bookmarkEnd w:id="67"/>
    </w:p>
    <w:p>
      <w:pPr>
        <w:pStyle w:val="FirstParagraph"/>
      </w:pPr>
      <w:r>
        <w:t xml:space="preserve">Each tutorial page (</w:t>
      </w:r>
      <w:r>
        <w:rPr>
          <w:rStyle w:val="VerbatimChar"/>
        </w:rPr>
        <w:t xml:space="preserve">/tutorials/{slug}</w:t>
      </w:r>
      <w:r>
        <w:t xml:space="preserve">) carries: a one-sentence outcome ("After this you can…"), the role it is for, the time it takes, the captioned video with transcript and chapters, the same steps as numbered text with screenshots (alt text written as sentences), the "i" terms used (linked to the glossary), and the related obligations by CompID where relevant. Launch set (titles): "Confirm your entity profile and see what applies" · "Invite a checker and set the maker–checker policy" · "Import an existing Excel tracker with preview and undo" · "Work the compliance list: filters, saved views, group-by and export" · "Open a CompID drawer and attach evidence" · "Ask for an explanation or guidance on an item" · "Read a regulatory change and accept a re-mapping" · "Build the board calendar and draft minutes with tracked changes" · "Create a risk register and link RiskIDs to CompIDs" · "Upload data once for Return Studio and Risk Lab" · "Set autonomy limits and schedules for Vidhi" · "Export your data and connect your own storage" · "Download your vendor assurance evidence pack" · "Set up accessibility: font, spacing, captions and read-aloud". Every tutorial is refreshed within one release of a screen change; the Studio flags stale screenshots.</w:t>
      </w:r>
    </w:p>
    <w:p>
      <w:pPr>
        <w:pStyle w:val="Heading2"/>
      </w:pPr>
      <w:bookmarkStart w:id="68" w:name="Xea131d909f196f31221c44c12d4ad8ec7a25cd5"/>
      <w:r>
        <w:t xml:space="preserve">42. Glossary seed — public "i" entries most read on the site (full registry in the product; P23 §4H)</w:t>
      </w:r>
      <w:bookmarkEnd w:id="68"/>
    </w:p>
    <w:p>
      <w:pPr>
        <w:pStyle w:val="FirstParagraph"/>
      </w:pPr>
      <w:r>
        <w:t xml:space="preserve">Applicability · Obligation · Instrument · Clause · CompID · RiskID · GovID · Maker · Checker · Auditor · Evidence · RAG · Due rule · Frequency · Event-based obligation · Regulatory change · Re-mapping · Attestation · Board pack · Secretarial standards · Scale Based Regulation · Master direction · Circular · Return · Reconciliation · ICAAP · Stress test · KRI · Risk appetite · Legal hold · Retention floor · Data Fiduciary · Data Processor · Consent ledger · Sub-processor · Vendor Assurance Room · Evidence pack · Auditor grant · Autonomy level · Locked action · Mission · Scheduled task · Notebook · Citation · Health Check Score · Claims Register · Brand pack · White-label. Each entry: plain-language definition (≤ 40 words), the regulatory reference where one exists (instrument, clause, link, last verified), related terms, "report a problem".</w:t>
      </w:r>
    </w:p>
    <w:p>
      <w:pPr>
        <w:pStyle w:val="Heading2"/>
      </w:pPr>
      <w:bookmarkStart w:id="69" w:name="Xfadf500259448e7d176713034788e3c7bd79441"/>
      <w:r>
        <w:t xml:space="preserve">43. Deck maintenance</w:t>
      </w:r>
      <w:bookmarkEnd w:id="69"/>
    </w:p>
    <w:p>
      <w:pPr>
        <w:pStyle w:val="FirstParagraph"/>
      </w:pPr>
      <w:r>
        <w:t xml:space="preserve">Pages are reviewed every six months or on a regulatory or product change; every edit goes through the Studio maker–checker; claims re-verified at each review; the Hindi programme follows §35; the Claims Register (§30) is the control for every number on the site. Owner decisions that change this deck: #6 (names), #9 (Hindi), #28 (policies), #29 (Investors), #30 (user posts, tags), #31 (images).</w:t>
      </w:r>
    </w:p>
    <w:sectPr>
      <w:pgSz w:h="16838" w:w="11906"/>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1">
    <w:nsid w:val="47261bad"/>
    <w:multiLevelType w:val="multilevel"/>
    <w:lvl w:ilvl="0">
      <w:start w:val="11"/>
      <w:numFmt w:val="decimal"/>
      <w:lvlText w:val="%1."/>
      <w:lvlJc w:val="left"/>
      <w:pPr>
        <w:tabs>
          <w:tab w:val="num" w:pos="0"/>
        </w:tabs>
        <w:ind w:left="480" w:hanging="480"/>
      </w:pPr>
    </w:lvl>
    <w:lvl w:ilvl="1">
      <w:start w:val="11"/>
      <w:numFmt w:val="lowerLetter"/>
      <w:lvlText w:val="%2."/>
      <w:lvlJc w:val="left"/>
      <w:pPr>
        <w:tabs>
          <w:tab w:val="num" w:pos="720"/>
        </w:tabs>
        <w:ind w:left="1200" w:hanging="480"/>
      </w:pPr>
    </w:lvl>
    <w:lvl w:ilvl="2">
      <w:start w:val="11"/>
      <w:numFmt w:val="lowerRoman"/>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lowerLetter"/>
      <w:lvlText w:val="%5."/>
      <w:lvlJc w:val="left"/>
      <w:pPr>
        <w:tabs>
          <w:tab w:val="num" w:pos="2880"/>
        </w:tabs>
        <w:ind w:left="3360" w:hanging="480"/>
      </w:pPr>
    </w:lvl>
    <w:lvl w:ilvl="5">
      <w:start w:val="11"/>
      <w:numFmt w:val="lowerRoman"/>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lowerLetter"/>
      <w:lvlText w:val="%8."/>
      <w:lvlJc w:val="left"/>
      <w:pPr>
        <w:tabs>
          <w:tab w:val="num" w:pos="5040"/>
        </w:tabs>
        <w:ind w:left="5520" w:hanging="480"/>
      </w:pPr>
    </w:lvl>
    <w:lvl w:ilvl="8">
      <w:start w:val="11"/>
      <w:numFmt w:val="lowerRoman"/>
      <w:lvlText w:val="%9."/>
      <w:lvlJc w:val="left"/>
      <w:pPr>
        <w:tabs>
          <w:tab w:val="num" w:pos="5760"/>
        </w:tabs>
        <w:ind w:left="6240" w:hanging="480"/>
      </w:pPr>
    </w:lvl>
  </w:abstractNum>
  <w:abstractNum w:abstractNumId="992117">
    <w:nsid w:val="b3cbbdee"/>
    <w:multiLevelType w:val="multilevel"/>
    <w:lvl w:ilvl="0">
      <w:start w:val="17"/>
      <w:numFmt w:val="decimal"/>
      <w:lvlText w:val="%1."/>
      <w:lvlJc w:val="left"/>
      <w:pPr>
        <w:tabs>
          <w:tab w:val="num" w:pos="0"/>
        </w:tabs>
        <w:ind w:left="480" w:hanging="480"/>
      </w:pPr>
    </w:lvl>
    <w:lvl w:ilvl="1">
      <w:start w:val="17"/>
      <w:numFmt w:val="lowerLetter"/>
      <w:lvlText w:val="%2."/>
      <w:lvlJc w:val="left"/>
      <w:pPr>
        <w:tabs>
          <w:tab w:val="num" w:pos="720"/>
        </w:tabs>
        <w:ind w:left="1200" w:hanging="480"/>
      </w:pPr>
    </w:lvl>
    <w:lvl w:ilvl="2">
      <w:start w:val="17"/>
      <w:numFmt w:val="lowerRoman"/>
      <w:lvlText w:val="%3."/>
      <w:lvlJc w:val="left"/>
      <w:pPr>
        <w:tabs>
          <w:tab w:val="num" w:pos="1440"/>
        </w:tabs>
        <w:ind w:left="1920" w:hanging="480"/>
      </w:pPr>
    </w:lvl>
    <w:lvl w:ilvl="3">
      <w:start w:val="17"/>
      <w:numFmt w:val="decimal"/>
      <w:lvlText w:val="%4."/>
      <w:lvlJc w:val="left"/>
      <w:pPr>
        <w:tabs>
          <w:tab w:val="num" w:pos="2160"/>
        </w:tabs>
        <w:ind w:left="2640" w:hanging="480"/>
      </w:pPr>
    </w:lvl>
    <w:lvl w:ilvl="4">
      <w:start w:val="17"/>
      <w:numFmt w:val="lowerLetter"/>
      <w:lvlText w:val="%5."/>
      <w:lvlJc w:val="left"/>
      <w:pPr>
        <w:tabs>
          <w:tab w:val="num" w:pos="2880"/>
        </w:tabs>
        <w:ind w:left="3360" w:hanging="480"/>
      </w:pPr>
    </w:lvl>
    <w:lvl w:ilvl="5">
      <w:start w:val="17"/>
      <w:numFmt w:val="lowerRoman"/>
      <w:lvlText w:val="%6."/>
      <w:lvlJc w:val="left"/>
      <w:pPr>
        <w:tabs>
          <w:tab w:val="num" w:pos="3600"/>
        </w:tabs>
        <w:ind w:left="4080" w:hanging="480"/>
      </w:pPr>
    </w:lvl>
    <w:lvl w:ilvl="6">
      <w:start w:val="17"/>
      <w:numFmt w:val="decimal"/>
      <w:lvlText w:val="%7."/>
      <w:lvlJc w:val="left"/>
      <w:pPr>
        <w:tabs>
          <w:tab w:val="num" w:pos="4320"/>
        </w:tabs>
        <w:ind w:left="4800" w:hanging="480"/>
      </w:pPr>
    </w:lvl>
    <w:lvl w:ilvl="7">
      <w:start w:val="17"/>
      <w:numFmt w:val="lowerLetter"/>
      <w:lvlText w:val="%8."/>
      <w:lvlJc w:val="left"/>
      <w:pPr>
        <w:tabs>
          <w:tab w:val="num" w:pos="5040"/>
        </w:tabs>
        <w:ind w:left="5520" w:hanging="480"/>
      </w:pPr>
    </w:lvl>
    <w:lvl w:ilvl="8">
      <w:start w:val="17"/>
      <w:numFmt w:val="lowerRoman"/>
      <w:lvlText w:val="%9."/>
      <w:lvlJc w:val="left"/>
      <w:pPr>
        <w:tabs>
          <w:tab w:val="num" w:pos="5760"/>
        </w:tabs>
        <w:ind w:left="6240" w:hanging="480"/>
      </w:pPr>
    </w:lvl>
  </w:abstractNum>
  <w:abstractNum w:abstractNumId="992119">
    <w:nsid w:val="4fbe019a"/>
    <w:multiLevelType w:val="multilevel"/>
    <w:lvl w:ilvl="0">
      <w:start w:val="19"/>
      <w:numFmt w:val="decimal"/>
      <w:lvlText w:val="%1."/>
      <w:lvlJc w:val="left"/>
      <w:pPr>
        <w:tabs>
          <w:tab w:val="num" w:pos="0"/>
        </w:tabs>
        <w:ind w:left="480" w:hanging="480"/>
      </w:pPr>
    </w:lvl>
    <w:lvl w:ilvl="1">
      <w:start w:val="19"/>
      <w:numFmt w:val="lowerLetter"/>
      <w:lvlText w:val="%2."/>
      <w:lvlJc w:val="left"/>
      <w:pPr>
        <w:tabs>
          <w:tab w:val="num" w:pos="720"/>
        </w:tabs>
        <w:ind w:left="1200" w:hanging="480"/>
      </w:pPr>
    </w:lvl>
    <w:lvl w:ilvl="2">
      <w:start w:val="19"/>
      <w:numFmt w:val="lowerRoman"/>
      <w:lvlText w:val="%3."/>
      <w:lvlJc w:val="left"/>
      <w:pPr>
        <w:tabs>
          <w:tab w:val="num" w:pos="1440"/>
        </w:tabs>
        <w:ind w:left="1920" w:hanging="480"/>
      </w:pPr>
    </w:lvl>
    <w:lvl w:ilvl="3">
      <w:start w:val="19"/>
      <w:numFmt w:val="decimal"/>
      <w:lvlText w:val="%4."/>
      <w:lvlJc w:val="left"/>
      <w:pPr>
        <w:tabs>
          <w:tab w:val="num" w:pos="2160"/>
        </w:tabs>
        <w:ind w:left="2640" w:hanging="480"/>
      </w:pPr>
    </w:lvl>
    <w:lvl w:ilvl="4">
      <w:start w:val="19"/>
      <w:numFmt w:val="lowerLetter"/>
      <w:lvlText w:val="%5."/>
      <w:lvlJc w:val="left"/>
      <w:pPr>
        <w:tabs>
          <w:tab w:val="num" w:pos="2880"/>
        </w:tabs>
        <w:ind w:left="3360" w:hanging="480"/>
      </w:pPr>
    </w:lvl>
    <w:lvl w:ilvl="5">
      <w:start w:val="19"/>
      <w:numFmt w:val="lowerRoman"/>
      <w:lvlText w:val="%6."/>
      <w:lvlJc w:val="left"/>
      <w:pPr>
        <w:tabs>
          <w:tab w:val="num" w:pos="3600"/>
        </w:tabs>
        <w:ind w:left="4080" w:hanging="480"/>
      </w:pPr>
    </w:lvl>
    <w:lvl w:ilvl="6">
      <w:start w:val="19"/>
      <w:numFmt w:val="decimal"/>
      <w:lvlText w:val="%7."/>
      <w:lvlJc w:val="left"/>
      <w:pPr>
        <w:tabs>
          <w:tab w:val="num" w:pos="4320"/>
        </w:tabs>
        <w:ind w:left="4800" w:hanging="480"/>
      </w:pPr>
    </w:lvl>
    <w:lvl w:ilvl="7">
      <w:start w:val="19"/>
      <w:numFmt w:val="lowerLetter"/>
      <w:lvlText w:val="%8."/>
      <w:lvlJc w:val="left"/>
      <w:pPr>
        <w:tabs>
          <w:tab w:val="num" w:pos="5040"/>
        </w:tabs>
        <w:ind w:left="5520" w:hanging="480"/>
      </w:pPr>
    </w:lvl>
    <w:lvl w:ilvl="8">
      <w:start w:val="19"/>
      <w:numFmt w:val="lowerRoman"/>
      <w:lvlText w:val="%9."/>
      <w:lvlJc w:val="left"/>
      <w:pPr>
        <w:tabs>
          <w:tab w:val="num" w:pos="5760"/>
        </w:tabs>
        <w:ind w:left="6240" w:hanging="480"/>
      </w:pPr>
    </w:lvl>
  </w:abstractNum>
  <w:abstractNum w:abstractNumId="992124">
    <w:nsid w:val="91a27d85"/>
    <w:multiLevelType w:val="multilevel"/>
    <w:lvl w:ilvl="0">
      <w:start w:val="24"/>
      <w:numFmt w:val="decimal"/>
      <w:lvlText w:val="%1."/>
      <w:lvlJc w:val="left"/>
      <w:pPr>
        <w:tabs>
          <w:tab w:val="num" w:pos="0"/>
        </w:tabs>
        <w:ind w:left="480" w:hanging="480"/>
      </w:pPr>
    </w:lvl>
    <w:lvl w:ilvl="1">
      <w:start w:val="24"/>
      <w:numFmt w:val="lowerLetter"/>
      <w:lvlText w:val="%2."/>
      <w:lvlJc w:val="left"/>
      <w:pPr>
        <w:tabs>
          <w:tab w:val="num" w:pos="720"/>
        </w:tabs>
        <w:ind w:left="1200" w:hanging="480"/>
      </w:pPr>
    </w:lvl>
    <w:lvl w:ilvl="2">
      <w:start w:val="24"/>
      <w:numFmt w:val="lowerRoman"/>
      <w:lvlText w:val="%3."/>
      <w:lvlJc w:val="left"/>
      <w:pPr>
        <w:tabs>
          <w:tab w:val="num" w:pos="1440"/>
        </w:tabs>
        <w:ind w:left="1920" w:hanging="480"/>
      </w:pPr>
    </w:lvl>
    <w:lvl w:ilvl="3">
      <w:start w:val="24"/>
      <w:numFmt w:val="decimal"/>
      <w:lvlText w:val="%4."/>
      <w:lvlJc w:val="left"/>
      <w:pPr>
        <w:tabs>
          <w:tab w:val="num" w:pos="2160"/>
        </w:tabs>
        <w:ind w:left="2640" w:hanging="480"/>
      </w:pPr>
    </w:lvl>
    <w:lvl w:ilvl="4">
      <w:start w:val="24"/>
      <w:numFmt w:val="lowerLetter"/>
      <w:lvlText w:val="%5."/>
      <w:lvlJc w:val="left"/>
      <w:pPr>
        <w:tabs>
          <w:tab w:val="num" w:pos="2880"/>
        </w:tabs>
        <w:ind w:left="3360" w:hanging="480"/>
      </w:pPr>
    </w:lvl>
    <w:lvl w:ilvl="5">
      <w:start w:val="24"/>
      <w:numFmt w:val="lowerRoman"/>
      <w:lvlText w:val="%6."/>
      <w:lvlJc w:val="left"/>
      <w:pPr>
        <w:tabs>
          <w:tab w:val="num" w:pos="3600"/>
        </w:tabs>
        <w:ind w:left="4080" w:hanging="480"/>
      </w:pPr>
    </w:lvl>
    <w:lvl w:ilvl="6">
      <w:start w:val="24"/>
      <w:numFmt w:val="decimal"/>
      <w:lvlText w:val="%7."/>
      <w:lvlJc w:val="left"/>
      <w:pPr>
        <w:tabs>
          <w:tab w:val="num" w:pos="4320"/>
        </w:tabs>
        <w:ind w:left="4800" w:hanging="480"/>
      </w:pPr>
    </w:lvl>
    <w:lvl w:ilvl="7">
      <w:start w:val="24"/>
      <w:numFmt w:val="lowerLetter"/>
      <w:lvlText w:val="%8."/>
      <w:lvlJc w:val="left"/>
      <w:pPr>
        <w:tabs>
          <w:tab w:val="num" w:pos="5040"/>
        </w:tabs>
        <w:ind w:left="5520" w:hanging="480"/>
      </w:pPr>
    </w:lvl>
    <w:lvl w:ilvl="8">
      <w:start w:val="24"/>
      <w:numFmt w:val="lowerRoman"/>
      <w:lvlText w:val="%9."/>
      <w:lvlJc w:val="left"/>
      <w:pPr>
        <w:tabs>
          <w:tab w:val="num" w:pos="5760"/>
        </w:tabs>
        <w:ind w:left="6240" w:hanging="480"/>
      </w:pPr>
    </w:lvl>
  </w:abstractNum>
  <w:abstractNum w:abstractNumId="992132">
    <w:nsid w:val="615f1ed2"/>
    <w:multiLevelType w:val="multilevel"/>
    <w:lvl w:ilvl="0">
      <w:start w:val="32"/>
      <w:numFmt w:val="decimal"/>
      <w:lvlText w:val="%1."/>
      <w:lvlJc w:val="left"/>
      <w:pPr>
        <w:tabs>
          <w:tab w:val="num" w:pos="0"/>
        </w:tabs>
        <w:ind w:left="480" w:hanging="480"/>
      </w:pPr>
    </w:lvl>
    <w:lvl w:ilvl="1">
      <w:start w:val="32"/>
      <w:numFmt w:val="lowerLetter"/>
      <w:lvlText w:val="%2."/>
      <w:lvlJc w:val="left"/>
      <w:pPr>
        <w:tabs>
          <w:tab w:val="num" w:pos="720"/>
        </w:tabs>
        <w:ind w:left="1200" w:hanging="480"/>
      </w:pPr>
    </w:lvl>
    <w:lvl w:ilvl="2">
      <w:start w:val="32"/>
      <w:numFmt w:val="lowerRoman"/>
      <w:lvlText w:val="%3."/>
      <w:lvlJc w:val="left"/>
      <w:pPr>
        <w:tabs>
          <w:tab w:val="num" w:pos="1440"/>
        </w:tabs>
        <w:ind w:left="1920" w:hanging="480"/>
      </w:pPr>
    </w:lvl>
    <w:lvl w:ilvl="3">
      <w:start w:val="32"/>
      <w:numFmt w:val="decimal"/>
      <w:lvlText w:val="%4."/>
      <w:lvlJc w:val="left"/>
      <w:pPr>
        <w:tabs>
          <w:tab w:val="num" w:pos="2160"/>
        </w:tabs>
        <w:ind w:left="2640" w:hanging="480"/>
      </w:pPr>
    </w:lvl>
    <w:lvl w:ilvl="4">
      <w:start w:val="32"/>
      <w:numFmt w:val="lowerLetter"/>
      <w:lvlText w:val="%5."/>
      <w:lvlJc w:val="left"/>
      <w:pPr>
        <w:tabs>
          <w:tab w:val="num" w:pos="2880"/>
        </w:tabs>
        <w:ind w:left="3360" w:hanging="480"/>
      </w:pPr>
    </w:lvl>
    <w:lvl w:ilvl="5">
      <w:start w:val="32"/>
      <w:numFmt w:val="lowerRoman"/>
      <w:lvlText w:val="%6."/>
      <w:lvlJc w:val="left"/>
      <w:pPr>
        <w:tabs>
          <w:tab w:val="num" w:pos="3600"/>
        </w:tabs>
        <w:ind w:left="4080" w:hanging="480"/>
      </w:pPr>
    </w:lvl>
    <w:lvl w:ilvl="6">
      <w:start w:val="32"/>
      <w:numFmt w:val="decimal"/>
      <w:lvlText w:val="%7."/>
      <w:lvlJc w:val="left"/>
      <w:pPr>
        <w:tabs>
          <w:tab w:val="num" w:pos="4320"/>
        </w:tabs>
        <w:ind w:left="4800" w:hanging="480"/>
      </w:pPr>
    </w:lvl>
    <w:lvl w:ilvl="7">
      <w:start w:val="32"/>
      <w:numFmt w:val="lowerLetter"/>
      <w:lvlText w:val="%8."/>
      <w:lvlJc w:val="left"/>
      <w:pPr>
        <w:tabs>
          <w:tab w:val="num" w:pos="5040"/>
        </w:tabs>
        <w:ind w:left="5520" w:hanging="480"/>
      </w:pPr>
    </w:lvl>
    <w:lvl w:ilvl="8">
      <w:start w:val="32"/>
      <w:numFmt w:val="lowerRoman"/>
      <w:lvlText w:val="%9."/>
      <w:lvlJc w:val="left"/>
      <w:pPr>
        <w:tabs>
          <w:tab w:val="num" w:pos="5760"/>
        </w:tabs>
        <w:ind w:left="6240" w:hanging="480"/>
      </w:pPr>
    </w:lvl>
  </w:abstractNum>
  <w:abstractNum w:abstractNumId="992135">
    <w:nsid w:val="238d8174"/>
    <w:multiLevelType w:val="multilevel"/>
    <w:lvl w:ilvl="0">
      <w:start w:val="35"/>
      <w:numFmt w:val="decimal"/>
      <w:lvlText w:val="%1."/>
      <w:lvlJc w:val="left"/>
      <w:pPr>
        <w:tabs>
          <w:tab w:val="num" w:pos="0"/>
        </w:tabs>
        <w:ind w:left="480" w:hanging="480"/>
      </w:pPr>
    </w:lvl>
    <w:lvl w:ilvl="1">
      <w:start w:val="35"/>
      <w:numFmt w:val="lowerLetter"/>
      <w:lvlText w:val="%2."/>
      <w:lvlJc w:val="left"/>
      <w:pPr>
        <w:tabs>
          <w:tab w:val="num" w:pos="720"/>
        </w:tabs>
        <w:ind w:left="1200" w:hanging="480"/>
      </w:pPr>
    </w:lvl>
    <w:lvl w:ilvl="2">
      <w:start w:val="35"/>
      <w:numFmt w:val="lowerRoman"/>
      <w:lvlText w:val="%3."/>
      <w:lvlJc w:val="left"/>
      <w:pPr>
        <w:tabs>
          <w:tab w:val="num" w:pos="1440"/>
        </w:tabs>
        <w:ind w:left="1920" w:hanging="480"/>
      </w:pPr>
    </w:lvl>
    <w:lvl w:ilvl="3">
      <w:start w:val="35"/>
      <w:numFmt w:val="decimal"/>
      <w:lvlText w:val="%4."/>
      <w:lvlJc w:val="left"/>
      <w:pPr>
        <w:tabs>
          <w:tab w:val="num" w:pos="2160"/>
        </w:tabs>
        <w:ind w:left="2640" w:hanging="480"/>
      </w:pPr>
    </w:lvl>
    <w:lvl w:ilvl="4">
      <w:start w:val="35"/>
      <w:numFmt w:val="lowerLetter"/>
      <w:lvlText w:val="%5."/>
      <w:lvlJc w:val="left"/>
      <w:pPr>
        <w:tabs>
          <w:tab w:val="num" w:pos="2880"/>
        </w:tabs>
        <w:ind w:left="3360" w:hanging="480"/>
      </w:pPr>
    </w:lvl>
    <w:lvl w:ilvl="5">
      <w:start w:val="35"/>
      <w:numFmt w:val="lowerRoman"/>
      <w:lvlText w:val="%6."/>
      <w:lvlJc w:val="left"/>
      <w:pPr>
        <w:tabs>
          <w:tab w:val="num" w:pos="3600"/>
        </w:tabs>
        <w:ind w:left="4080" w:hanging="480"/>
      </w:pPr>
    </w:lvl>
    <w:lvl w:ilvl="6">
      <w:start w:val="35"/>
      <w:numFmt w:val="decimal"/>
      <w:lvlText w:val="%7."/>
      <w:lvlJc w:val="left"/>
      <w:pPr>
        <w:tabs>
          <w:tab w:val="num" w:pos="4320"/>
        </w:tabs>
        <w:ind w:left="4800" w:hanging="480"/>
      </w:pPr>
    </w:lvl>
    <w:lvl w:ilvl="7">
      <w:start w:val="35"/>
      <w:numFmt w:val="lowerLetter"/>
      <w:lvlText w:val="%8."/>
      <w:lvlJc w:val="left"/>
      <w:pPr>
        <w:tabs>
          <w:tab w:val="num" w:pos="5040"/>
        </w:tabs>
        <w:ind w:left="5520" w:hanging="480"/>
      </w:pPr>
    </w:lvl>
    <w:lvl w:ilvl="8">
      <w:start w:val="35"/>
      <w:numFmt w:val="lowerRoman"/>
      <w:lvlText w:val="%9."/>
      <w:lvlJc w:val="left"/>
      <w:pPr>
        <w:tabs>
          <w:tab w:val="num" w:pos="5760"/>
        </w:tabs>
        <w:ind w:left="6240" w:hanging="480"/>
      </w:pPr>
    </w:lvl>
  </w:abstractNum>
  <w:abstractNum w:abstractNumId="992141">
    <w:nsid w:val="41f388d6"/>
    <w:multiLevelType w:val="multilevel"/>
    <w:lvl w:ilvl="0">
      <w:start w:val="41"/>
      <w:numFmt w:val="decimal"/>
      <w:lvlText w:val="%1."/>
      <w:lvlJc w:val="left"/>
      <w:pPr>
        <w:tabs>
          <w:tab w:val="num" w:pos="0"/>
        </w:tabs>
        <w:ind w:left="480" w:hanging="480"/>
      </w:pPr>
    </w:lvl>
    <w:lvl w:ilvl="1">
      <w:start w:val="41"/>
      <w:numFmt w:val="lowerLetter"/>
      <w:lvlText w:val="%2."/>
      <w:lvlJc w:val="left"/>
      <w:pPr>
        <w:tabs>
          <w:tab w:val="num" w:pos="720"/>
        </w:tabs>
        <w:ind w:left="1200" w:hanging="480"/>
      </w:pPr>
    </w:lvl>
    <w:lvl w:ilvl="2">
      <w:start w:val="41"/>
      <w:numFmt w:val="lowerRoman"/>
      <w:lvlText w:val="%3."/>
      <w:lvlJc w:val="left"/>
      <w:pPr>
        <w:tabs>
          <w:tab w:val="num" w:pos="1440"/>
        </w:tabs>
        <w:ind w:left="1920" w:hanging="480"/>
      </w:pPr>
    </w:lvl>
    <w:lvl w:ilvl="3">
      <w:start w:val="41"/>
      <w:numFmt w:val="decimal"/>
      <w:lvlText w:val="%4."/>
      <w:lvlJc w:val="left"/>
      <w:pPr>
        <w:tabs>
          <w:tab w:val="num" w:pos="2160"/>
        </w:tabs>
        <w:ind w:left="2640" w:hanging="480"/>
      </w:pPr>
    </w:lvl>
    <w:lvl w:ilvl="4">
      <w:start w:val="41"/>
      <w:numFmt w:val="lowerLetter"/>
      <w:lvlText w:val="%5."/>
      <w:lvlJc w:val="left"/>
      <w:pPr>
        <w:tabs>
          <w:tab w:val="num" w:pos="2880"/>
        </w:tabs>
        <w:ind w:left="3360" w:hanging="480"/>
      </w:pPr>
    </w:lvl>
    <w:lvl w:ilvl="5">
      <w:start w:val="41"/>
      <w:numFmt w:val="lowerRoman"/>
      <w:lvlText w:val="%6."/>
      <w:lvlJc w:val="left"/>
      <w:pPr>
        <w:tabs>
          <w:tab w:val="num" w:pos="3600"/>
        </w:tabs>
        <w:ind w:left="4080" w:hanging="480"/>
      </w:pPr>
    </w:lvl>
    <w:lvl w:ilvl="6">
      <w:start w:val="41"/>
      <w:numFmt w:val="decimal"/>
      <w:lvlText w:val="%7."/>
      <w:lvlJc w:val="left"/>
      <w:pPr>
        <w:tabs>
          <w:tab w:val="num" w:pos="4320"/>
        </w:tabs>
        <w:ind w:left="4800" w:hanging="480"/>
      </w:pPr>
    </w:lvl>
    <w:lvl w:ilvl="7">
      <w:start w:val="41"/>
      <w:numFmt w:val="lowerLetter"/>
      <w:lvlText w:val="%8."/>
      <w:lvlJc w:val="left"/>
      <w:pPr>
        <w:tabs>
          <w:tab w:val="num" w:pos="5040"/>
        </w:tabs>
        <w:ind w:left="5520" w:hanging="480"/>
      </w:pPr>
    </w:lvl>
    <w:lvl w:ilvl="8">
      <w:start w:val="41"/>
      <w:numFmt w:val="lowerRoman"/>
      <w:lvlText w:val="%9."/>
      <w:lvlJc w:val="left"/>
      <w:pPr>
        <w:tabs>
          <w:tab w:val="num" w:pos="5760"/>
        </w:tabs>
        <w:ind w:left="6240" w:hanging="480"/>
      </w:pPr>
    </w:lvl>
  </w:abstractNum>
  <w:abstractNum w:abstractNumId="992145">
    <w:nsid w:val="da4300bd"/>
    <w:multiLevelType w:val="multilevel"/>
    <w:lvl w:ilvl="0">
      <w:start w:val="45"/>
      <w:numFmt w:val="decimal"/>
      <w:lvlText w:val="%1."/>
      <w:lvlJc w:val="left"/>
      <w:pPr>
        <w:tabs>
          <w:tab w:val="num" w:pos="0"/>
        </w:tabs>
        <w:ind w:left="480" w:hanging="480"/>
      </w:pPr>
    </w:lvl>
    <w:lvl w:ilvl="1">
      <w:start w:val="45"/>
      <w:numFmt w:val="lowerLetter"/>
      <w:lvlText w:val="%2."/>
      <w:lvlJc w:val="left"/>
      <w:pPr>
        <w:tabs>
          <w:tab w:val="num" w:pos="720"/>
        </w:tabs>
        <w:ind w:left="1200" w:hanging="480"/>
      </w:pPr>
    </w:lvl>
    <w:lvl w:ilvl="2">
      <w:start w:val="45"/>
      <w:numFmt w:val="lowerRoman"/>
      <w:lvlText w:val="%3."/>
      <w:lvlJc w:val="left"/>
      <w:pPr>
        <w:tabs>
          <w:tab w:val="num" w:pos="1440"/>
        </w:tabs>
        <w:ind w:left="1920" w:hanging="480"/>
      </w:pPr>
    </w:lvl>
    <w:lvl w:ilvl="3">
      <w:start w:val="45"/>
      <w:numFmt w:val="decimal"/>
      <w:lvlText w:val="%4."/>
      <w:lvlJc w:val="left"/>
      <w:pPr>
        <w:tabs>
          <w:tab w:val="num" w:pos="2160"/>
        </w:tabs>
        <w:ind w:left="2640" w:hanging="480"/>
      </w:pPr>
    </w:lvl>
    <w:lvl w:ilvl="4">
      <w:start w:val="45"/>
      <w:numFmt w:val="lowerLetter"/>
      <w:lvlText w:val="%5."/>
      <w:lvlJc w:val="left"/>
      <w:pPr>
        <w:tabs>
          <w:tab w:val="num" w:pos="2880"/>
        </w:tabs>
        <w:ind w:left="3360" w:hanging="480"/>
      </w:pPr>
    </w:lvl>
    <w:lvl w:ilvl="5">
      <w:start w:val="45"/>
      <w:numFmt w:val="lowerRoman"/>
      <w:lvlText w:val="%6."/>
      <w:lvlJc w:val="left"/>
      <w:pPr>
        <w:tabs>
          <w:tab w:val="num" w:pos="3600"/>
        </w:tabs>
        <w:ind w:left="4080" w:hanging="480"/>
      </w:pPr>
    </w:lvl>
    <w:lvl w:ilvl="6">
      <w:start w:val="45"/>
      <w:numFmt w:val="decimal"/>
      <w:lvlText w:val="%7."/>
      <w:lvlJc w:val="left"/>
      <w:pPr>
        <w:tabs>
          <w:tab w:val="num" w:pos="4320"/>
        </w:tabs>
        <w:ind w:left="4800" w:hanging="480"/>
      </w:pPr>
    </w:lvl>
    <w:lvl w:ilvl="7">
      <w:start w:val="45"/>
      <w:numFmt w:val="lowerLetter"/>
      <w:lvlText w:val="%8."/>
      <w:lvlJc w:val="left"/>
      <w:pPr>
        <w:tabs>
          <w:tab w:val="num" w:pos="5040"/>
        </w:tabs>
        <w:ind w:left="5520" w:hanging="480"/>
      </w:pPr>
    </w:lvl>
    <w:lvl w:ilvl="8">
      <w:start w:val="45"/>
      <w:numFmt w:val="lowerRoman"/>
      <w:lvlText w:val="%9."/>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2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7">
    <w:abstractNumId w:val="992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8">
    <w:abstractNumId w:val="992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9">
    <w:abstractNumId w:val="992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20">
    <w:abstractNumId w:val="992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1">
    <w:abstractNumId w:val="992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22">
    <w:abstractNumId w:val="992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sz w:val="21"/>
    </w:rPr>
  </w:style>
  <w:style w:type="paragraph" w:styleId="BodyText">
    <w:name w:val="Body Text"/>
    <w:basedOn w:val="Normal"/>
    <w:link w:val="BodyTextChar"/>
    <w:pPr>
      <w:spacing w:before="180" w:after="180"/>
    </w:pPr>
    <w:qFormat/>
    <w:rPr>
      <w:rFonts w:ascii="Calibri" w:hAnsi="Calibri"/>
      <w:sz w:val="21"/>
    </w:rPr>
  </w:style>
  <w:style w:type="paragraph" w:customStyle="1" w:styleId="FirstParagraph">
    <w:name w:val="First Paragraph"/>
    <w:basedOn w:val="BodyText"/>
    <w:next w:val="BodyText"/>
    <w:qFormat/>
    <w:rPr>
      <w:rFonts w:ascii="Calibri" w:hAnsi="Calibri"/>
      <w:sz w:val="21"/>
    </w:rPr>
  </w:style>
  <w:style w:type="paragraph" w:customStyle="1" w:styleId="Compact">
    <w:name w:val="Compact"/>
    <w:basedOn w:val="BodyText"/>
    <w:qFormat/>
    <w:pPr>
      <w:spacing w:before="36" w:after="36"/>
    </w:pPr>
    <w:rPr>
      <w:rFonts w:ascii="Calibri" w:hAnsi="Calibri"/>
      <w:sz w:val="2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Calibri" w:hAnsi="Calibri"/>
      <w:b/>
      <w:bCs/>
      <w:color w:val="0B2545"/>
      <w:sz w:val="44"/>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mailto:accessibility@lawdocscomply.com" TargetMode="External" /><Relationship Type="http://schemas.openxmlformats.org/officeDocument/2006/relationships/hyperlink" Id="rId41" Target="mailto:grievance@lawdocscomply.com" TargetMode="External" /><Relationship Type="http://schemas.openxmlformats.org/officeDocument/2006/relationships/hyperlink" Id="rId37" Target="mailto:press@lawdocscomply.com" TargetMode="External" /><Relationship Type="http://schemas.openxmlformats.org/officeDocument/2006/relationships/hyperlink" Id="rId42" Target="mailto:privacy@lawdocscomply.com" TargetMode="External" /><Relationship Type="http://schemas.openxmlformats.org/officeDocument/2006/relationships/hyperlink" Id="rId32" Target="mailto:security@lawdocscomply.com" TargetMode="External" /><Relationship Type="http://schemas.openxmlformats.org/officeDocument/2006/relationships/hyperlink" Id="rId40" Target="mailto:support@lawdocscomply.com" TargetMode="External" /></Relationships>
</file>

<file path=word/_rels/footnotes.xml.rels><?xml version="1.0" encoding="UTF-8"?>
<Relationships xmlns="http://schemas.openxmlformats.org/package/2006/relationships"><Relationship Type="http://schemas.openxmlformats.org/officeDocument/2006/relationships/hyperlink" Id="rId33" Target="mailto:accessibility@lawdocscomply.com" TargetMode="External" /><Relationship Type="http://schemas.openxmlformats.org/officeDocument/2006/relationships/hyperlink" Id="rId41" Target="mailto:grievance@lawdocscomply.com" TargetMode="External" /><Relationship Type="http://schemas.openxmlformats.org/officeDocument/2006/relationships/hyperlink" Id="rId37" Target="mailto:press@lawdocscomply.com" TargetMode="External" /><Relationship Type="http://schemas.openxmlformats.org/officeDocument/2006/relationships/hyperlink" Id="rId42" Target="mailto:privacy@lawdocscomply.com" TargetMode="External" /><Relationship Type="http://schemas.openxmlformats.org/officeDocument/2006/relationships/hyperlink" Id="rId32" Target="mailto:security@lawdocscomply.com" TargetMode="External" /><Relationship Type="http://schemas.openxmlformats.org/officeDocument/2006/relationships/hyperlink" Id="rId40" Target="mailto:support@lawdocscomply.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2026-10-25T21:09:12Z</dcterms:created>
  <dcterms:modified xsi:type="dcterms:W3CDTF">2026-10-25T21:09:12Z</dcterms:modified>
</cp:coreProperties>
</file>

<file path=docProps/custom.xml><?xml version="1.0" encoding="utf-8"?>
<Properties xmlns="http://schemas.openxmlformats.org/officeDocument/2006/custom-properties" xmlns:vt="http://schemas.openxmlformats.org/officeDocument/2006/docPropsVTypes"/>
</file>