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5" w:name="X7d7a659290e7961f7525aa89fa2571da13a6fc7"/>
    <w:p>
      <w:pPr>
        <w:pStyle w:val="Heading1"/>
      </w:pPr>
      <w:r>
        <w:t xml:space="preserve">LAWDOCSCOMPLY — PHASE RUNBOOK FOR CLAUDE CODE (v1.0, 25 October 2026)</w:t>
      </w:r>
    </w:p>
    <w:p>
      <w:pPr>
        <w:pStyle w:val="FirstParagraph"/>
      </w:pPr>
      <w:r>
        <w:t xml:space="preserve">Companion to</w:t>
      </w:r>
      <w:r>
        <w:t xml:space="preserve"> </w:t>
      </w:r>
      <w:r>
        <w:rPr>
          <w:rStyle w:val="VerbatimChar"/>
        </w:rPr>
        <w:t xml:space="preserve">LawDocsComply_Master_Prompt_ClaudeCode_v1.0</w:t>
      </w:r>
      <w:r>
        <w:t xml:space="preserve"> </w:t>
      </w:r>
      <w:r>
        <w:t xml:space="preserve">and the full Build Prompt Pack v1.0. One section per phase: what to type, dependencies, objective, the exit gate and the integration notes that bind the phase. The full functional specification of each phase is in</w:t>
      </w:r>
      <w:r>
        <w:t xml:space="preserve"> </w:t>
      </w:r>
      <w:r>
        <w:rPr>
          <w:rStyle w:val="VerbatimChar"/>
        </w:rPr>
        <w:t xml:space="preserve">phases/PXX_*.md</w:t>
      </w:r>
      <w:r>
        <w:t xml:space="preserve"> </w:t>
      </w:r>
      <w:r>
        <w:t xml:space="preserve">of the pack.</w:t>
      </w:r>
    </w:p>
    <w:bookmarkStart w:id="20" w:name="how-to-run-each-session-project-owner"/>
    <w:p>
      <w:pPr>
        <w:pStyle w:val="Heading2"/>
      </w:pPr>
      <w:r>
        <w:t xml:space="preserve">How to run each session (project owner)</w:t>
      </w:r>
    </w:p>
    <w:p>
      <w:pPr>
        <w:numPr>
          <w:ilvl w:val="0"/>
          <w:numId w:val="1001"/>
        </w:numPr>
        <w:pStyle w:val="Compact"/>
      </w:pPr>
      <w:r>
        <w:t xml:space="preserve">Open Claude Code in the LawDocsComply repository.</w:t>
      </w:r>
    </w:p>
    <w:p>
      <w:pPr>
        <w:numPr>
          <w:ilvl w:val="0"/>
          <w:numId w:val="1001"/>
        </w:numPr>
        <w:pStyle w:val="Compact"/>
      </w:pPr>
      <w:r>
        <w:t xml:space="preserve">Session 1 only: commit</w:t>
      </w:r>
      <w:r>
        <w:t xml:space="preserve"> </w:t>
      </w:r>
      <w:r>
        <w:rPr>
          <w:rStyle w:val="VerbatimChar"/>
        </w:rPr>
        <w:t xml:space="preserve">01_MASTER_PROMPT.md</w:t>
      </w:r>
      <w:r>
        <w:t xml:space="preserve"> </w:t>
      </w:r>
      <w:r>
        <w:t xml:space="preserve">as</w:t>
      </w:r>
      <w:r>
        <w:t xml:space="preserve"> </w:t>
      </w:r>
      <w:r>
        <w:rPr>
          <w:rStyle w:val="VerbatimChar"/>
        </w:rPr>
        <w:t xml:space="preserve">docs/00-master-prompt.md</w:t>
      </w:r>
      <w:r>
        <w:t xml:space="preserve">,</w:t>
      </w:r>
      <w:r>
        <w:t xml:space="preserve"> </w:t>
      </w:r>
      <w:r>
        <w:rPr>
          <w:rStyle w:val="VerbatimChar"/>
        </w:rPr>
        <w:t xml:space="preserve">02_REQUIREMENTS_MAP_AND_DECISION_LOG.md</w:t>
      </w:r>
      <w:r>
        <w:t xml:space="preserve"> </w:t>
      </w:r>
      <w:r>
        <w:t xml:space="preserve">as</w:t>
      </w:r>
      <w:r>
        <w:t xml:space="preserve"> </w:t>
      </w:r>
      <w:r>
        <w:rPr>
          <w:rStyle w:val="VerbatimChar"/>
        </w:rPr>
        <w:t xml:space="preserve">docs/01-decision-log.md</w:t>
      </w:r>
      <w:r>
        <w:t xml:space="preserve">, all phase files under</w:t>
      </w:r>
      <w:r>
        <w:t xml:space="preserve"> </w:t>
      </w:r>
      <w:r>
        <w:rPr>
          <w:rStyle w:val="VerbatimChar"/>
        </w:rPr>
        <w:t xml:space="preserve">docs/phases/</w:t>
      </w:r>
      <w:r>
        <w:t xml:space="preserve">, all appendices under</w:t>
      </w:r>
      <w:r>
        <w:t xml:space="preserve"> </w:t>
      </w:r>
      <w:r>
        <w:rPr>
          <w:rStyle w:val="VerbatimChar"/>
        </w:rPr>
        <w:t xml:space="preserve">docs/appendices/</w:t>
      </w:r>
      <w:r>
        <w:t xml:space="preserve">, and the Ecosystem Integration Specification v1.1 unchanged as</w:t>
      </w:r>
      <w:r>
        <w:t xml:space="preserve"> </w:t>
      </w:r>
      <w:r>
        <w:rPr>
          <w:rStyle w:val="VerbatimChar"/>
        </w:rPr>
        <w:t xml:space="preserve">docs/ecosystem/infrabyx-integration-spec.md</w:t>
      </w:r>
      <w:r>
        <w:t xml:space="preserve">.</w:t>
      </w:r>
    </w:p>
    <w:p>
      <w:pPr>
        <w:numPr>
          <w:ilvl w:val="0"/>
          <w:numId w:val="1001"/>
        </w:numPr>
        <w:pStyle w:val="Compact"/>
      </w:pPr>
      <w:r>
        <w:t xml:space="preserve">Every session, type the session prompt given for the phase below. Claude Code reads the master, the decision log and the phase file, writes</w:t>
      </w:r>
      <w:r>
        <w:t xml:space="preserve"> </w:t>
      </w:r>
      <w:r>
        <w:rPr>
          <w:rStyle w:val="VerbatimChar"/>
        </w:rPr>
        <w:t xml:space="preserve">docs/phases/PXX-plan.md</w:t>
      </w:r>
      <w:r>
        <w:t xml:space="preserve"> </w:t>
      </w:r>
      <w:r>
        <w:t xml:space="preserve">and stops for your approval.</w:t>
      </w:r>
    </w:p>
    <w:p>
      <w:pPr>
        <w:numPr>
          <w:ilvl w:val="0"/>
          <w:numId w:val="1001"/>
        </w:numPr>
        <w:pStyle w:val="Compact"/>
      </w:pPr>
      <w:r>
        <w:t xml:space="preserve">Approve the plan (or correct it). Claude Code then builds in vertical slices and stops at the exit gate with the hand-over pack (master §0).</w:t>
      </w:r>
    </w:p>
    <w:p>
      <w:pPr>
        <w:numPr>
          <w:ilvl w:val="0"/>
          <w:numId w:val="1001"/>
        </w:numPr>
        <w:pStyle w:val="Compact"/>
      </w:pPr>
      <w:r>
        <w:t xml:space="preserve">Before a wave goes live, run P24 for that wave's scope.</w:t>
      </w:r>
    </w:p>
    <w:bookmarkEnd w:id="20"/>
    <w:bookmarkStart w:id="21" w:name="phase-order-and-waves"/>
    <w:p>
      <w:pPr>
        <w:pStyle w:val="Heading2"/>
      </w:pPr>
      <w:r>
        <w:t xml:space="preserve">Phase order and waves</w:t>
      </w:r>
    </w:p>
    <w:p>
      <w:pPr>
        <w:pStyle w:val="FirstParagraph"/>
      </w:pPr>
      <w:r>
        <w:t xml:space="preserve">Wave 1 (Compliance Core GA, about S1–S25): P00 → P01 → P02 → P03 → P04 → P05, with P15 (RBI-NBFC, MCA-CO, DATA-PRIV, IFSCA-GEN), P17 runtime, P18 core, P19 core, P06, P07, P20 and P23 in parallel squads → P24. Wave 2 (about S18–S38): P08, P09, P10, P11, P12, P14, rest of P15, P17, P18, P19 → P24. Wave 3 (about S28–S46): P13, P16, P21, P22 → P24. See master §13.</w:t>
      </w:r>
    </w:p>
    <w:p>
      <w:r>
        <w:pict>
          <v:rect style="width:0;height:1.5pt" o:hralign="center" o:hrstd="t" o:hr="t"/>
        </w:pict>
      </w:r>
    </w:p>
    <w:bookmarkEnd w:id="21"/>
    <w:bookmarkStart w:id="25" w:name="Xfadad2035348a0fe8ab2f08b6cc5f2d4ec38781"/>
    <w:p>
      <w:pPr>
        <w:pStyle w:val="Heading2"/>
      </w:pPr>
      <w:r>
        <w:t xml:space="preserve">Phase P00 — Foundations, Repository Discovery and Migration</w:t>
      </w:r>
    </w:p>
    <w:p>
      <w:pPr>
        <w:pStyle w:val="FirstParagraph"/>
      </w:pPr>
      <w:r>
        <w:rPr>
          <w:bCs/>
          <w:b/>
        </w:rPr>
        <w:t xml:space="preserve">Session prompt (type in Claude Code):</w:t>
      </w:r>
      <w:r>
        <w:t xml:space="preserve"> </w:t>
      </w:r>
      <w:r>
        <w:rPr>
          <w:iCs/>
          <w:i/>
        </w:rPr>
        <w:t xml:space="preserve">"Read docs/00-master-prompt.md, docs/01-decision-log.md and docs/phases/P00_Foundations_Repository_Discovery_and_Migration.md in full, plus the appendices it names as binding. Then write docs/phases/P00-plan.md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Reads the live lawdocscomply.com repository and production data (read-only), the Infrabyx Ecosystem Integration Specification v1.1 (committed unchanged as</w:t>
      </w:r>
      <w:r>
        <w:t xml:space="preserve"> </w:t>
      </w:r>
      <w:r>
        <w:rPr>
          <w:rStyle w:val="VerbatimChar"/>
        </w:rPr>
        <w:t xml:space="preserve">docs/ecosystem/infrabyx-integration-spec.md</w:t>
      </w:r>
      <w:r>
        <w:t xml:space="preserve">) and the Operations Hub Master Prompt v1.0 (reference copy</w:t>
      </w:r>
      <w:r>
        <w:t xml:space="preserve"> </w:t>
      </w:r>
      <w:r>
        <w:rPr>
          <w:rStyle w:val="VerbatimChar"/>
        </w:rPr>
        <w:t xml:space="preserve">docs/ecosystem/ops-hub-master-prompt.md</w:t>
      </w:r>
      <w:r>
        <w:t xml:space="preserve">).</w:t>
      </w:r>
    </w:p>
    <w:p>
      <w:pPr>
        <w:pStyle w:val="BlockText"/>
      </w:pPr>
      <w:r>
        <w:rPr>
          <w:bCs/>
          <w:b/>
        </w:rPr>
        <w:t xml:space="preserve">Sequencing:</w:t>
      </w:r>
      <w:r>
        <w:t xml:space="preserve"> </w:t>
      </w:r>
      <w:r>
        <w:t xml:space="preserve">P00 → P01 → P02 (P02 starts in parallel from P01 sprint 2). Every later phase builds on the platform core delivered here. The data migration of §4.9 runs in three waves: wave 1 (content and question banks) inside P00; wave 2 (tenants, users, compliance records) at the P01 exit; wave 3 (documents and evidence) at the P07 exit. The legacy application stays live and read-write until cut-over (§5.5).</w:t>
      </w:r>
    </w:p>
    <w:p>
      <w:pPr>
        <w:pStyle w:val="BlockText"/>
      </w:pPr>
      <w:r>
        <w:rPr>
          <w:bCs/>
          <w:b/>
        </w:rPr>
        <w:t xml:space="preserve">Binding appendices:</w:t>
      </w:r>
      <w:r>
        <w:t xml:space="preserve"> </w:t>
      </w:r>
      <w:r>
        <w:t xml:space="preserve">B (data model, events, error codes), Q (security, privacy, certification readiness), A (core state machines: correction entry, change request, break-glass), U (configuration framework — the</w:t>
      </w:r>
      <w:r>
        <w:t xml:space="preserve"> </w:t>
      </w:r>
      <w:r>
        <w:rPr>
          <w:rStyle w:val="VerbatimChar"/>
        </w:rPr>
        <w:t xml:space="preserve">cfg</w:t>
      </w:r>
      <w:r>
        <w:t xml:space="preserve"> </w:t>
      </w:r>
      <w:r>
        <w:t xml:space="preserve">heads created here), M (export package; NN-10 contract test skeleton created here).</w:t>
      </w:r>
    </w:p>
    <w:p>
      <w:pPr>
        <w:pStyle w:val="BlockText"/>
      </w:pPr>
      <w:r>
        <w:rPr>
          <w:bCs/>
          <w:b/>
        </w:rPr>
        <w:t xml:space="preserve">Requirements covered:</w:t>
      </w:r>
      <w:r>
        <w:t xml:space="preserve"> </w:t>
      </w:r>
      <w:r>
        <w:t xml:space="preserve">R-001, R-002, R-003, R-021 (storage foundations), R-031, R-033 (foundations), R-046 (CI/CD skeleton), R-068, R-071, R-074, R-075, R-081 (foundations), R-101 (verification tooling).</w:t>
      </w:r>
    </w:p>
    <w:p>
      <w:pPr>
        <w:pStyle w:val="BlockText"/>
      </w:pPr>
      <w:r>
        <w:rPr>
          <w:bCs/>
          <w:b/>
        </w:rPr>
        <w:t xml:space="preserve">Decisions applied:</w:t>
      </w:r>
      <w:r>
        <w:t xml:space="preserve"> </w:t>
      </w:r>
      <w:r>
        <w:t xml:space="preserve">D-01, D-02, D-07, D-09, D-12, D-13, D-21.</w:t>
      </w:r>
    </w:p>
    <w:p>
      <w:pPr>
        <w:pStyle w:val="BlockText"/>
      </w:pPr>
      <w:r>
        <w:rPr>
          <w:bCs/>
          <w:b/>
        </w:rPr>
        <w:t xml:space="preserve">Estimated effort:</w:t>
      </w:r>
      <w:r>
        <w:t xml:space="preserve"> </w:t>
      </w:r>
      <w:r>
        <w:t xml:space="preserve">4 two-week sprints, squad of 7 (tech lead, 2 backend, 1 frontend, 1 platform/DevOps, 1 data-migration engineer, 1 QA/security engineer) plus a part-time product owner and the Company Secretary as content owner for wave 1.</w:t>
      </w:r>
    </w:p>
    <w:bookmarkStart w:id="22" w:name="objective-and-business-outcome"/>
    <w:p>
      <w:pPr>
        <w:pStyle w:val="Heading3"/>
      </w:pPr>
      <w:r>
        <w:t xml:space="preserve">Objective and business outcome</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bookmarkEnd w:id="22"/>
    <w:bookmarkStart w:id="23" w:name="exit-gate"/>
    <w:p>
      <w:pPr>
        <w:pStyle w:val="Heading3"/>
      </w:pPr>
      <w:r>
        <w:t xml:space="preserve">Exit gate</w:t>
      </w:r>
    </w:p>
    <w:p>
      <w:pPr>
        <w:numPr>
          <w:ilvl w:val="0"/>
          <w:numId w:val="1002"/>
        </w:numPr>
        <w:pStyle w:val="Compact"/>
      </w:pPr>
      <w:r>
        <w:t xml:space="preserve">☐</w:t>
      </w:r>
      <w:r>
        <w:t xml:space="preserve"> </w:t>
      </w:r>
      <w:r>
        <w:rPr>
          <w:rStyle w:val="VerbatimChar"/>
        </w:rPr>
        <w:t xml:space="preserve">docs/discovery/01–10</w:t>
      </w:r>
      <w:r>
        <w:t xml:space="preserve"> </w:t>
      </w:r>
      <w:r>
        <w:t xml:space="preserve">complete; disposition register signed by the owner.</w:t>
      </w:r>
    </w:p>
    <w:p>
      <w:pPr>
        <w:numPr>
          <w:ilvl w:val="0"/>
          <w:numId w:val="1002"/>
        </w:numPr>
        <w:pStyle w:val="Compact"/>
      </w:pPr>
      <w:r>
        <w:t xml:space="preserve">☐ Legacy Critical/High security findings fixed or mitigated in the legacy app; leaked secrets rotated.</w:t>
      </w:r>
    </w:p>
    <w:p>
      <w:pPr>
        <w:numPr>
          <w:ilvl w:val="0"/>
          <w:numId w:val="1002"/>
        </w:numPr>
        <w:pStyle w:val="Compact"/>
      </w:pPr>
      <w:r>
        <w:t xml:space="preserve">☐ Public-claims corrections approved (FR-P00-04) and handed to P23.</w:t>
      </w:r>
    </w:p>
    <w:p>
      <w:pPr>
        <w:numPr>
          <w:ilvl w:val="0"/>
          <w:numId w:val="1002"/>
        </w:numPr>
        <w:pStyle w:val="Compact"/>
      </w:pPr>
      <w:r>
        <w:t xml:space="preserve">☐ ADR-0001 to ADR-0020 merged.</w:t>
      </w:r>
    </w:p>
    <w:p>
      <w:pPr>
        <w:numPr>
          <w:ilvl w:val="0"/>
          <w:numId w:val="1002"/>
        </w:numPr>
        <w:pStyle w:val="Compact"/>
      </w:pPr>
      <w:r>
        <w:t xml:space="preserve">☐ Monorepo, module skeletons, ownership and boundary checks green.</w:t>
      </w:r>
    </w:p>
    <w:p>
      <w:pPr>
        <w:numPr>
          <w:ilvl w:val="0"/>
          <w:numId w:val="1002"/>
        </w:numPr>
        <w:pStyle w:val="Compact"/>
      </w:pPr>
      <w:r>
        <w:t xml:space="preserve">☐ Local stack and dev/staging/uat environments running; production AWS account baseline and SCPs applied (prod workloads arrive in P24).</w:t>
      </w:r>
    </w:p>
    <w:p>
      <w:pPr>
        <w:numPr>
          <w:ilvl w:val="0"/>
          <w:numId w:val="1002"/>
        </w:numPr>
        <w:pStyle w:val="Compact"/>
      </w:pPr>
      <w:r>
        <w:t xml:space="preserve">☐</w:t>
      </w:r>
      <w:r>
        <w:t xml:space="preserve"> </w:t>
      </w:r>
      <w:r>
        <w:rPr>
          <w:rStyle w:val="VerbatimChar"/>
        </w:rPr>
        <w:t xml:space="preserve">core</w:t>
      </w:r>
      <w:r>
        <w:t xml:space="preserve"> </w:t>
      </w:r>
      <w:r>
        <w:t xml:space="preserve">schema, RLS framework, sealed database, encryption library, bitemporal library, IDs, money, citations, outbox/inbox, flags,</w:t>
      </w:r>
      <w:r>
        <w:t xml:space="preserve"> </w:t>
      </w:r>
      <w:r>
        <w:rPr>
          <w:rStyle w:val="VerbatimChar"/>
        </w:rPr>
        <w:t xml:space="preserve">cfg</w:t>
      </w:r>
      <w:r>
        <w:t xml:space="preserve"> </w:t>
      </w:r>
      <w:r>
        <w:t xml:space="preserve">heads, buckets and evidence ingest skeleton delivered with tests.</w:t>
      </w:r>
    </w:p>
    <w:p>
      <w:pPr>
        <w:numPr>
          <w:ilvl w:val="0"/>
          <w:numId w:val="1002"/>
        </w:numPr>
        <w:pStyle w:val="Compact"/>
      </w:pPr>
      <w:r>
        <w:t xml:space="preserve">☐ Audit ledger, anchors, verification, Correction Entries (platform and tenant), access log and break-glass schema delivered; SCR-CORE-01 to 09 usable.</w:t>
      </w:r>
    </w:p>
    <w:p>
      <w:pPr>
        <w:numPr>
          <w:ilvl w:val="0"/>
          <w:numId w:val="1002"/>
        </w:numPr>
        <w:pStyle w:val="Compact"/>
      </w:pPr>
      <w:r>
        <w:t xml:space="preserve">☐ Wave-1 content migration promoted with reconciliation report and sample review signed by the Company Secretary.</w:t>
      </w:r>
    </w:p>
    <w:p>
      <w:pPr>
        <w:numPr>
          <w:ilvl w:val="0"/>
          <w:numId w:val="1002"/>
        </w:numPr>
        <w:pStyle w:val="Compact"/>
      </w:pPr>
      <w:r>
        <w:t xml:space="preserve">☐ Waves 2 and 3 rehearsed on a restore with reconciliation reports; cut-over runbook approved.</w:t>
      </w:r>
    </w:p>
    <w:p>
      <w:pPr>
        <w:numPr>
          <w:ilvl w:val="0"/>
          <w:numId w:val="1002"/>
        </w:numPr>
        <w:pStyle w:val="Compact"/>
      </w:pPr>
      <w:r>
        <w:t xml:space="preserve">☐ Export-mapping registry and NN-10 contract test live.</w:t>
      </w:r>
    </w:p>
    <w:p>
      <w:pPr>
        <w:numPr>
          <w:ilvl w:val="0"/>
          <w:numId w:val="1002"/>
        </w:numPr>
        <w:pStyle w:val="Compact"/>
      </w:pPr>
      <w:r>
        <w:t xml:space="preserve">☐ Contribution to Appendix B (core DDL), Appendix Q (core threat model) and</w:t>
      </w:r>
      <w:r>
        <w:t xml:space="preserve"> </w:t>
      </w:r>
      <w:r>
        <w:rPr>
          <w:rStyle w:val="VerbatimChar"/>
        </w:rPr>
        <w:t xml:space="preserve">docs/phases/P00-plan.md</w:t>
      </w:r>
      <w:r>
        <w:t xml:space="preserve"> </w:t>
      </w:r>
      <w:r>
        <w:t xml:space="preserve">five inventories (settings, events, error codes, approval actions, export mappings).</w:t>
      </w:r>
    </w:p>
    <w:p>
      <w:pPr>
        <w:numPr>
          <w:ilvl w:val="0"/>
          <w:numId w:val="1002"/>
        </w:numPr>
        <w:pStyle w:val="Compact"/>
      </w:pPr>
      <w:r>
        <w:t xml:space="preserve">☐ All P00 Gherkin scenarios and listed NN tests pass in CI.</w:t>
      </w:r>
    </w:p>
    <w:p>
      <w:r>
        <w:pict>
          <v:rect style="width:0;height:1.5pt" o:hralign="center" o:hrstd="t" o:hr="t"/>
        </w:pict>
      </w:r>
    </w:p>
    <w:bookmarkEnd w:id="23"/>
    <w:bookmarkStart w:id="24" w:name="integration-notes"/>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NN-34, NN-45; X-01, X-05, X-06 (licence ADR for an optional WOPI editor), X-21, X-22 (remove live-site claims), X-25 (kernel ADRs), X-26; raise the Ecosystem Spec v1.2 change requests of master §19 in sprint 1</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24"/>
    <w:bookmarkEnd w:id="25"/>
    <w:bookmarkStart w:id="29" w:name="Xa5ebe5d3ccb793094908fbb5aed1223750bde83"/>
    <w:p>
      <w:pPr>
        <w:pStyle w:val="Heading2"/>
      </w:pPr>
      <w:r>
        <w:t xml:space="preserve">Phase P01 — Identity, Tenancy, Onboarding and Access</w:t>
      </w:r>
    </w:p>
    <w:p>
      <w:pPr>
        <w:pStyle w:val="FirstParagraph"/>
      </w:pPr>
      <w:r>
        <w:rPr>
          <w:bCs/>
          <w:b/>
        </w:rPr>
        <w:t xml:space="preserve">Session prompt (type in Claude Code):</w:t>
      </w:r>
      <w:r>
        <w:t xml:space="preserve"> </w:t>
      </w:r>
      <w:r>
        <w:rPr>
          <w:iCs/>
          <w:i/>
        </w:rPr>
        <w:t xml:space="preserve">"Read docs/00-master-prompt.md, docs/01-decision-log.md and docs/phases/P01_Identity_Tenancy_Onboarding_and_Access.md in full, plus the appendices it names as binding. Then write docs/phases/P01-plan.md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session context, audit ledger, Correction Entries, break-glass schema,</w:t>
      </w:r>
      <w:r>
        <w:t xml:space="preserve"> </w:t>
      </w:r>
      <w:r>
        <w:rPr>
          <w:rStyle w:val="VerbatimChar"/>
        </w:rPr>
        <w:t xml:space="preserve">cfg</w:t>
      </w:r>
      <w:r>
        <w:t xml:space="preserve"> </w:t>
      </w:r>
      <w:r>
        <w:t xml:space="preserve">heads, flags, evidence ingest, provisioning workflow).</w:t>
      </w:r>
    </w:p>
    <w:p>
      <w:pPr>
        <w:pStyle w:val="BlockText"/>
      </w:pPr>
      <w:r>
        <w:rPr>
          <w:bCs/>
          <w:b/>
        </w:rPr>
        <w:t xml:space="preserve">Sequencing:</w:t>
      </w:r>
      <w:r>
        <w:t xml:space="preserve"> </w:t>
      </w:r>
      <w:r>
        <w:t xml:space="preserve">P01 follows P00. P02 (Configuration Studio) starts in P01 sprint 2 and consumes the settings P01 registers. P20 (pricing, subscriptions) and P23 (public site, health check) extend the onboarding funnel built here: P01 delivers the funnel's identity, KYB, tenant creation, trial and module-selection mechanics with a price-computation call to a stub of the P20 pricing service (</w:t>
      </w:r>
      <w:r>
        <w:rPr>
          <w:rStyle w:val="VerbatimChar"/>
        </w:rPr>
        <w:t xml:space="preserve">bil.quote</w:t>
      </w:r>
      <w:r>
        <w:t xml:space="preserve">) that returns catalogue seed values until P20 is live. Migration wave 2 (tenants, users, compliance records) executes at the P01 exit (P00 FR-P00-57).</w:t>
      </w:r>
    </w:p>
    <w:p>
      <w:pPr>
        <w:pStyle w:val="BlockText"/>
      </w:pPr>
      <w:r>
        <w:rPr>
          <w:bCs/>
          <w:b/>
        </w:rPr>
        <w:t xml:space="preserve">Binding appendices:</w:t>
      </w:r>
      <w:r>
        <w:t xml:space="preserve"> </w:t>
      </w:r>
      <w:r>
        <w:t xml:space="preserve">D (roles, personas and access-control matrix — owned by stream S12; this phase implements its enforcement), A (user, invitation, grant, delegation, break-glass, regulator-view state machines), B (identity tables), Q (authentication and session controls), U (settings), N (plans, trial rules — pricing data), L (KYB/KYC adapters — S8), C (dashboards per role — S12).</w:t>
      </w:r>
    </w:p>
    <w:p>
      <w:pPr>
        <w:pStyle w:val="BlockText"/>
      </w:pPr>
      <w:r>
        <w:rPr>
          <w:bCs/>
          <w:b/>
        </w:rPr>
        <w:t xml:space="preserve">Requirements covered:</w:t>
      </w:r>
      <w:r>
        <w:t xml:space="preserve"> </w:t>
      </w:r>
      <w:r>
        <w:t xml:space="preserve">R-018, R-025, R-029, R-030, R-031, R-056 (user ↔ HRMS link foundation), R-057, R-069, R-072 (delivery users acting in a tenant), R-074, R-083, R-016 (health-check-to-trial hand-off), R-034 (trial).</w:t>
      </w:r>
    </w:p>
    <w:p>
      <w:pPr>
        <w:pStyle w:val="BlockText"/>
      </w:pPr>
      <w:r>
        <w:rPr>
          <w:bCs/>
          <w:b/>
        </w:rPr>
        <w:t xml:space="preserve">Decisions applied:</w:t>
      </w:r>
      <w:r>
        <w:t xml:space="preserve"> </w:t>
      </w:r>
      <w:r>
        <w:t xml:space="preserve">D-02, D-03, D-04 (vault access step-up), D-10, D-12, D-14, D-15, D-21.</w:t>
      </w:r>
    </w:p>
    <w:p>
      <w:pPr>
        <w:pStyle w:val="BlockText"/>
      </w:pPr>
      <w:r>
        <w:rPr>
          <w:bCs/>
          <w:b/>
        </w:rPr>
        <w:t xml:space="preserve">Estimated effort:</w:t>
      </w:r>
      <w:r>
        <w:t xml:space="preserve"> </w:t>
      </w:r>
      <w:r>
        <w:t xml:space="preserve">5 two-week sprints, squad of 8 (identity engineer, 2 backend, 2 frontend, 1 integration engineer for KYB adapters, 1 QA, 1 UX writer/designer).</w:t>
      </w:r>
    </w:p>
    <w:bookmarkStart w:id="26" w:name="objective-and-business-outcome-1"/>
    <w:p>
      <w:pPr>
        <w:pStyle w:val="Heading3"/>
      </w:pPr>
      <w:r>
        <w:t xml:space="preserve">Objective and business outcome</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bookmarkEnd w:id="26"/>
    <w:bookmarkStart w:id="27" w:name="exit-gate-1"/>
    <w:p>
      <w:pPr>
        <w:pStyle w:val="Heading3"/>
      </w:pPr>
      <w:r>
        <w:t xml:space="preserve">Exit gate</w:t>
      </w:r>
    </w:p>
    <w:p>
      <w:pPr>
        <w:numPr>
          <w:ilvl w:val="0"/>
          <w:numId w:val="1003"/>
        </w:numPr>
        <w:pStyle w:val="Compact"/>
      </w:pPr>
      <w:r>
        <w:t xml:space="preserve">☐ Keycloak realms, clients, theme (WCAG 2.2 AA), authenticators; staff realm federated to Entra ID; SCIM endpoints.</w:t>
      </w:r>
    </w:p>
    <w:p>
      <w:pPr>
        <w:numPr>
          <w:ilvl w:val="0"/>
          <w:numId w:val="1003"/>
        </w:numPr>
        <w:pStyle w:val="Compact"/>
      </w:pPr>
      <w:r>
        <w:t xml:space="preserve">☐ Cerbos policies generated from Appendix D with ≥ 1 allow and ≥ 1 deny test per matrix row;</w:t>
      </w:r>
      <w:r>
        <w:t xml:space="preserve"> </w:t>
      </w:r>
      <w:r>
        <w:rPr>
          <w:rStyle w:val="VerbatimChar"/>
        </w:rPr>
        <w:t xml:space="preserve">packages/authz</w:t>
      </w:r>
      <w:r>
        <w:t xml:space="preserve"> </w:t>
      </w:r>
      <w:r>
        <w:t xml:space="preserve">with query-plan filters; Semgrep rule for unauthorised handlers.</w:t>
      </w:r>
    </w:p>
    <w:p>
      <w:pPr>
        <w:numPr>
          <w:ilvl w:val="0"/>
          <w:numId w:val="1003"/>
        </w:numPr>
        <w:pStyle w:val="Compact"/>
      </w:pPr>
      <w:r>
        <w:t xml:space="preserve">☐ Delivery, auditor and supervisor grants; break-glass UI and tenant reports; delegations; SoD enforcement.</w:t>
      </w:r>
    </w:p>
    <w:p>
      <w:pPr>
        <w:numPr>
          <w:ilvl w:val="0"/>
          <w:numId w:val="1003"/>
        </w:numPr>
        <w:pStyle w:val="Compact"/>
      </w:pPr>
      <w:r>
        <w:t xml:space="preserve">☐ Onboarding funnel steps 1–8 with KYB adapters (at least MCA data provider, GSTN search, PAN verification, GLEIF) in sandbox; trial lifecycle; services-only buyer path.</w:t>
      </w:r>
    </w:p>
    <w:p>
      <w:pPr>
        <w:numPr>
          <w:ilvl w:val="0"/>
          <w:numId w:val="1003"/>
        </w:numPr>
        <w:pStyle w:val="Compact"/>
      </w:pPr>
      <w:r>
        <w:t xml:space="preserve">☐ Users admin, bulk import, invitations, HRMS-event consumer contract (P13 will produce).</w:t>
      </w:r>
    </w:p>
    <w:p>
      <w:pPr>
        <w:numPr>
          <w:ilvl w:val="0"/>
          <w:numId w:val="1003"/>
        </w:numPr>
        <w:pStyle w:val="Compact"/>
      </w:pPr>
      <w:r>
        <w:t xml:space="preserve">☐ Privacy centre for LawDocsComply's own account data; consent ledger.</w:t>
      </w:r>
    </w:p>
    <w:p>
      <w:pPr>
        <w:numPr>
          <w:ilvl w:val="0"/>
          <w:numId w:val="1003"/>
        </w:numPr>
        <w:pStyle w:val="Compact"/>
      </w:pPr>
      <w:r>
        <w:t xml:space="preserve">☐ Migration wave 2 executed with reconciliation; all migrated users enrolled in MFA on first login.</w:t>
      </w:r>
    </w:p>
    <w:p>
      <w:pPr>
        <w:numPr>
          <w:ilvl w:val="0"/>
          <w:numId w:val="1003"/>
        </w:numPr>
        <w:pStyle w:val="Compact"/>
      </w:pPr>
      <w:r>
        <w:t xml:space="preserve">☐ Settings registered; screens SCR-IAM-01 to 62; acceptance and NN tests green.</w:t>
      </w:r>
    </w:p>
    <w:p>
      <w:pPr>
        <w:numPr>
          <w:ilvl w:val="0"/>
          <w:numId w:val="1003"/>
        </w:numPr>
        <w:pStyle w:val="Compact"/>
      </w:pPr>
      <w:r>
        <w:t xml:space="preserve">☐</w:t>
      </w:r>
      <w:r>
        <w:t xml:space="preserve"> </w:t>
      </w:r>
      <w:r>
        <w:rPr>
          <w:rStyle w:val="VerbatimChar"/>
        </w:rPr>
        <w:t xml:space="preserve">docs/phases/P01-plan.md</w:t>
      </w:r>
      <w:r>
        <w:t xml:space="preserve"> </w:t>
      </w:r>
      <w:r>
        <w:t xml:space="preserve">with the five inventories.</w:t>
      </w:r>
    </w:p>
    <w:p>
      <w:r>
        <w:pict>
          <v:rect style="width:0;height:1.5pt" o:hralign="center" o:hrstd="t" o:hr="t"/>
        </w:pict>
      </w:r>
    </w:p>
    <w:bookmarkEnd w:id="27"/>
    <w:bookmarkStart w:id="28" w:name="integration-notes-1"/>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NN-43; X-07 (no credit-bureau pulls at onboarding), X-13 (shells), X-15 (trial tenants, pending D-26), X-17, X-19 (added roles)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28"/>
    <w:bookmarkEnd w:id="29"/>
    <w:bookmarkStart w:id="33" w:name="X21459821d75174e1364b2fe74af7cbe9c9ab984"/>
    <w:p>
      <w:pPr>
        <w:pStyle w:val="Heading2"/>
      </w:pPr>
      <w:r>
        <w:t xml:space="preserve">Phase P02 — Configuration Studio, Rule Engine and Settings</w:t>
      </w:r>
    </w:p>
    <w:p>
      <w:pPr>
        <w:pStyle w:val="FirstParagraph"/>
      </w:pPr>
      <w:r>
        <w:rPr>
          <w:bCs/>
          <w:b/>
        </w:rPr>
        <w:t xml:space="preserve">Session prompt (type in Claude Code):</w:t>
      </w:r>
      <w:r>
        <w:t xml:space="preserve"> </w:t>
      </w:r>
      <w:r>
        <w:rPr>
          <w:iCs/>
          <w:i/>
        </w:rPr>
        <w:t xml:space="preserve">"Read docs/00-master-prompt.md, docs/01-decision-log.md and docs/phases/P02_Configuration_Studio_Rule_Engine_and_Settings.md in full, plus the appendices it names as binding. Then write docs/phases/P02-plan.md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hash-chained audit ledger,</w:t>
      </w:r>
      <w:r>
        <w:t xml:space="preserve"> </w:t>
      </w:r>
      <w:r>
        <w:rPr>
          <w:rStyle w:val="VerbatimChar"/>
        </w:rPr>
        <w:t xml:space="preserve">core.correction_entries</w:t>
      </w:r>
      <w:r>
        <w:t xml:space="preserve">, feature flags, outbox, Temporal), P01 (identity, step-up authentication, role catalogue, delegations, legal-entity and department masters).</w:t>
      </w:r>
    </w:p>
    <w:p>
      <w:pPr>
        <w:pStyle w:val="BlockText"/>
      </w:pPr>
      <w:r>
        <w:rPr>
          <w:bCs/>
          <w:b/>
        </w:rPr>
        <w:t xml:space="preserve">Sequencing:</w:t>
      </w:r>
      <w:r>
        <w:t xml:space="preserve"> </w:t>
      </w:r>
      <w:r>
        <w:t xml:space="preserve">P02 starts immediately after P01 and runs</w:t>
      </w:r>
      <w:r>
        <w:t xml:space="preserve"> </w:t>
      </w:r>
      <w:r>
        <w:rPr>
          <w:bCs/>
          <w:b/>
        </w:rPr>
        <w:t xml:space="preserve">in parallel with P03 onwards</w:t>
      </w:r>
      <w:r>
        <w:t xml:space="preserve">. Sprint 1 freezes the settings SDK (</w:t>
      </w:r>
      <w:r>
        <w:rPr>
          <w:rStyle w:val="VerbatimChar"/>
        </w:rPr>
        <w:t xml:space="preserve">packages/config</w:t>
      </w:r>
      <w:r>
        <w:t xml:space="preserve">), key-naming rules, the scope tree and the tier badge component; every later phase registers its settings in the P02 registry</w:t>
      </w:r>
      <w:r>
        <w:t xml:space="preserve"> </w:t>
      </w:r>
      <w:r>
        <w:rPr>
          <w:bCs/>
          <w:b/>
        </w:rPr>
        <w:t xml:space="preserve">before</w:t>
      </w:r>
      <w:r>
        <w:t xml:space="preserve"> </w:t>
      </w:r>
      <w:r>
        <w:t xml:space="preserve">reading them (NN-28, "registry before use"). P02 must be complete before P04 exits and before P20–P22 start, because pricing, marketplace and delivery settings depend on G-tier pipelines.</w:t>
      </w:r>
    </w:p>
    <w:p>
      <w:pPr>
        <w:pStyle w:val="BlockText"/>
      </w:pPr>
      <w:r>
        <w:rPr>
          <w:bCs/>
          <w:b/>
        </w:rPr>
        <w:t xml:space="preserve">Binding appendices:</w:t>
      </w:r>
      <w:r>
        <w:t xml:space="preserve"> </w:t>
      </w:r>
      <w:r>
        <w:t xml:space="preserve">U (configuration framework and settings catalogue), A (workflow and state-machine conventions), C (menus, widget catalogue, settings menu), D (roles, SoD, delegation), B (DDL conventions, events, error codes). Precedence on conflict: master → 02 → Appendix G (law) → Appendix U (tiers and keys) → this phase → other appendices.</w:t>
      </w:r>
    </w:p>
    <w:p>
      <w:pPr>
        <w:pStyle w:val="BlockText"/>
      </w:pPr>
      <w:r>
        <w:rPr>
          <w:bCs/>
          <w:b/>
        </w:rPr>
        <w:t xml:space="preserve">Requirements covered:</w:t>
      </w:r>
      <w:r>
        <w:t xml:space="preserve"> </w:t>
      </w:r>
      <w:r>
        <w:t xml:space="preserve">R-023, R-024, R-028, R-039, R-068, R-071, R-074, R-086, R-007 (per-entity logic as configuration), R-013 (maker-checker configuration), R-012 and R-059 (customisable dashboards), R-090 (notification templates, not Updates content).</w:t>
      </w:r>
    </w:p>
    <w:p>
      <w:pPr>
        <w:pStyle w:val="BlockText"/>
      </w:pPr>
      <w:r>
        <w:rPr>
          <w:bCs/>
          <w:b/>
        </w:rPr>
        <w:t xml:space="preserve">Estimated effort:</w:t>
      </w:r>
      <w:r>
        <w:t xml:space="preserve"> </w:t>
      </w:r>
      <w:r>
        <w:t xml:space="preserve">6 two-week sprints for a squad of 8 (configuration core 3; rule engine 2; Studio UX, designers and catalogue 3).</w:t>
      </w:r>
    </w:p>
    <w:bookmarkStart w:id="30" w:name="objective-and-business-outcome-2"/>
    <w:p>
      <w:pPr>
        <w:pStyle w:val="Heading3"/>
      </w:pPr>
      <w:r>
        <w:t xml:space="preserve">Objective and business outcome</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bookmarkEnd w:id="30"/>
    <w:bookmarkStart w:id="31" w:name="exit-gate-2"/>
    <w:p>
      <w:pPr>
        <w:pStyle w:val="Heading3"/>
      </w:pPr>
      <w:r>
        <w:t xml:space="preserve">Exit gate</w:t>
      </w:r>
    </w:p>
    <w:p>
      <w:pPr>
        <w:numPr>
          <w:ilvl w:val="0"/>
          <w:numId w:val="1004"/>
        </w:numPr>
        <w:pStyle w:val="Compact"/>
      </w:pPr>
      <w:r>
        <w:rPr>
          <w:rStyle w:val="VerbatimChar"/>
        </w:rPr>
        <w:t xml:space="preserve">packages/config</w:t>
      </w:r>
      <w:r>
        <w:t xml:space="preserve"> </w:t>
      </w:r>
      <w:r>
        <w:t xml:space="preserve">SDK with codegen, React hook, NestJS decorator, test helpers; CI lint</w:t>
      </w:r>
      <w:r>
        <w:t xml:space="preserve"> </w:t>
      </w:r>
      <w:r>
        <w:rPr>
          <w:rStyle w:val="VerbatimChar"/>
        </w:rPr>
        <w:t xml:space="preserve">config-registry-lint</w:t>
      </w:r>
      <w:r>
        <w:t xml:space="preserve">.</w:t>
      </w:r>
    </w:p>
    <w:p>
      <w:pPr>
        <w:numPr>
          <w:ilvl w:val="0"/>
          <w:numId w:val="1004"/>
        </w:numPr>
        <w:pStyle w:val="Compact"/>
      </w:pPr>
      <w:r>
        <w:rPr>
          <w:rStyle w:val="VerbatimChar"/>
        </w:rPr>
        <w:t xml:space="preserve">cfg</w:t>
      </w:r>
      <w:r>
        <w:t xml:space="preserve"> </w:t>
      </w:r>
      <w:r>
        <w:t xml:space="preserve">schema migrations (expand-contract), seed definitions (Appendix U), seed setting packs (≥ 12 families at exit: NBFC-BL/ML/UL, NBFC-ICC, UCB-T2, COOP-CCS-RJ, IFSCA-FCFU, SEBI-LISTED-MAIN, IRDAI-BROKER, MCA-PVT, MCA-LLP, STANDALONE-HRMS-LABOUR), seed department catalogue, terminology packs, canonical status sets, seed workflow templates (≥ 8).</w:t>
      </w:r>
    </w:p>
    <w:p>
      <w:pPr>
        <w:numPr>
          <w:ilvl w:val="0"/>
          <w:numId w:val="1004"/>
        </w:numPr>
        <w:pStyle w:val="Compact"/>
      </w:pPr>
      <w:r>
        <w:t xml:space="preserve">Rule engine (</w:t>
      </w:r>
      <w:r>
        <w:rPr>
          <w:rStyle w:val="VerbatimChar"/>
        </w:rPr>
        <w:t xml:space="preserve">RULES_PORT</w:t>
      </w:r>
      <w:r>
        <w:t xml:space="preserve"> </w:t>
      </w:r>
      <w:r>
        <w:t xml:space="preserve">+ ZEN + CEL) with ADR, golden-case harness, impact workflow, review-due scanning, fallback.</w:t>
      </w:r>
    </w:p>
    <w:p>
      <w:pPr>
        <w:numPr>
          <w:ilvl w:val="0"/>
          <w:numId w:val="1004"/>
        </w:numPr>
        <w:pStyle w:val="Compact"/>
      </w:pPr>
      <w:r>
        <w:t xml:space="preserve">Studio screens SCR-CFG-01 to SCR-CFG-32, accessible (axe-core clean, keyboard paths tested).</w:t>
      </w:r>
    </w:p>
    <w:p>
      <w:pPr>
        <w:numPr>
          <w:ilvl w:val="0"/>
          <w:numId w:val="1004"/>
        </w:numPr>
        <w:pStyle w:val="Compact"/>
      </w:pPr>
      <w:r>
        <w:t xml:space="preserve">Correction Entry console path and tenant "Changes made by LawDocs" page.</w:t>
      </w:r>
    </w:p>
    <w:p>
      <w:pPr>
        <w:numPr>
          <w:ilvl w:val="0"/>
          <w:numId w:val="1004"/>
        </w:numPr>
        <w:pStyle w:val="Compact"/>
      </w:pPr>
      <w:r>
        <w:t xml:space="preserve">Configuration export/import/compare.</w:t>
      </w:r>
    </w:p>
    <w:p>
      <w:pPr>
        <w:numPr>
          <w:ilvl w:val="0"/>
          <w:numId w:val="1004"/>
        </w:numPr>
        <w:pStyle w:val="Compact"/>
      </w:pPr>
      <w:r>
        <w:t xml:space="preserve">Documentation:</w:t>
      </w:r>
      <w:r>
        <w:t xml:space="preserve"> </w:t>
      </w:r>
      <w:r>
        <w:rPr>
          <w:rStyle w:val="VerbatimChar"/>
        </w:rPr>
        <w:t xml:space="preserve">docs/config/</w:t>
      </w:r>
      <w:r>
        <w:t xml:space="preserve"> </w:t>
      </w:r>
      <w:r>
        <w:t xml:space="preserve">(how to add a setting, tier decision test, rule-pack authoring guide, setting-pack authoring guide), runbook for emergency blocks and overrides.</w:t>
      </w:r>
    </w:p>
    <w:p>
      <w:pPr>
        <w:pStyle w:val="FirstParagraph"/>
      </w:pPr>
      <w:r>
        <w:rPr>
          <w:bCs/>
          <w:b/>
        </w:rPr>
        <w:t xml:space="preserve">Exit gate:</w:t>
      </w:r>
      <w:r>
        <w:t xml:space="preserve"> </w:t>
      </w:r>
      <w:r>
        <w:t xml:space="preserve">all §12 scenarios and NN tests green; zero unregistered keys in CI; p95 resolve ≤ 2 ms warm; a pilot tenant completes the §1 30-minute admin script unaided; Configuration Health shows zero High-risk workflows without a checker; ADR for the rule engine merged; P03–P05 teams have consumed the SDK.</w:t>
      </w:r>
    </w:p>
    <w:p>
      <w:r>
        <w:pict>
          <v:rect style="width:0;height:1.5pt" o:hralign="center" o:hrstd="t" o:hr="t"/>
        </w:pict>
      </w:r>
    </w:p>
    <w:bookmarkEnd w:id="31"/>
    <w:bookmarkStart w:id="32" w:name="integration-notes-2"/>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NN-33 (waiting pauses internal targets only), NN-46; X-10 (department alias map, Appendix U §U.9.0), X-11 (canonical statuses), X-14 (Correction Entry scope), X-16 (register the host switches as Governed settings)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32"/>
    <w:bookmarkEnd w:id="33"/>
    <w:bookmarkStart w:id="37" w:name="X921418a5f2e3b68953951ccfd93b6bd03823e22"/>
    <w:p>
      <w:pPr>
        <w:pStyle w:val="Heading2"/>
      </w:pPr>
      <w:r>
        <w:t xml:space="preserve">Phase P03 — Regulatory Content Library, Template Registry and Excel Import</w:t>
      </w:r>
    </w:p>
    <w:p>
      <w:pPr>
        <w:pStyle w:val="FirstParagraph"/>
      </w:pPr>
      <w:r>
        <w:rPr>
          <w:bCs/>
          <w:b/>
        </w:rPr>
        <w:t xml:space="preserve">Session prompt (type in Claude Code):</w:t>
      </w:r>
      <w:r>
        <w:t xml:space="preserve"> </w:t>
      </w:r>
      <w:r>
        <w:rPr>
          <w:iCs/>
          <w:i/>
        </w:rPr>
        <w:t xml:space="preserve">"Read docs/00-master-prompt.md, docs/01-decision-log.md and docs/phases/P03_Regulatory_Content_Library_Template_Registry_and_Excel_Import.md in full, plus the appendices it names as binding. Then write docs/phases/P03-plan.md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and Correction Entries, object storage with Object Lock, outbox), P01 (identity, roles</w:t>
      </w:r>
      <w:r>
        <w:t xml:space="preserve"> </w:t>
      </w:r>
      <w:r>
        <w:rPr>
          <w:rStyle w:val="VerbatimChar"/>
        </w:rPr>
        <w:t xml:space="preserve">plt_content_*</w:t>
      </w:r>
      <w:r>
        <w:t xml:space="preserve">,</w:t>
      </w:r>
      <w:r>
        <w:t xml:space="preserve"> </w:t>
      </w:r>
      <w:r>
        <w:rPr>
          <w:rStyle w:val="VerbatimChar"/>
        </w:rPr>
        <w:t xml:space="preserve">ten_admin</w:t>
      </w:r>
      <w:r>
        <w:t xml:space="preserve">, step-up MFA), P02 (settings registry, rule-pack engine, terminology overrides, Governed change pipeline).</w:t>
      </w:r>
    </w:p>
    <w:p>
      <w:pPr>
        <w:pStyle w:val="BlockText"/>
      </w:pPr>
      <w:r>
        <w:rPr>
          <w:bCs/>
          <w:b/>
        </w:rPr>
        <w:t xml:space="preserve">Sequencing:</w:t>
      </w:r>
      <w:r>
        <w:t xml:space="preserve"> </w:t>
      </w:r>
      <w:r>
        <w:t xml:space="preserve">P03 starts after P01 exits and runs alongside P02 sprint 2 onwards. P04 cannot start its compliance-instance work until P03 §13 items 1–6 are green. P05 consumes the content model, the release pipeline and the importer built here. P15 (sector packs) plugs its applicability rules into the interface defined in §4H.</w:t>
      </w:r>
    </w:p>
    <w:p>
      <w:pPr>
        <w:pStyle w:val="BlockText"/>
      </w:pPr>
      <w:r>
        <w:rPr>
          <w:bCs/>
          <w:b/>
        </w:rPr>
        <w:t xml:space="preserve">Binding appendices:</w:t>
      </w:r>
      <w:r>
        <w:t xml:space="preserve"> </w:t>
      </w:r>
      <w:r>
        <w:t xml:space="preserve">E (Excel template contract, entity-family vocabularies, importer rules — owned by S2; this phase implements it), F (source register), G (legal rules register), B (data model, events, errors), U (settings catalogue), D (access matrix).</w:t>
      </w:r>
    </w:p>
    <w:p>
      <w:pPr>
        <w:pStyle w:val="BlockText"/>
      </w:pPr>
      <w:r>
        <w:rPr>
          <w:bCs/>
          <w:b/>
        </w:rPr>
        <w:t xml:space="preserve">Requirements covered:</w:t>
      </w:r>
      <w:r>
        <w:t xml:space="preserve"> </w:t>
      </w:r>
      <w:r>
        <w:t xml:space="preserve">R-003, R-004, R-005, R-007, R-013, R-017, R-039, R-084, R-086, R-087, R-088, R-102 (ingestion side), R-005/D-19 (jurisdiction packs).</w:t>
      </w:r>
    </w:p>
    <w:p>
      <w:pPr>
        <w:pStyle w:val="BlockText"/>
      </w:pPr>
      <w:r>
        <w:rPr>
          <w:bCs/>
          <w:b/>
        </w:rPr>
        <w:t xml:space="preserve">Estimated effort:</w:t>
      </w:r>
      <w:r>
        <w:t xml:space="preserve"> </w:t>
      </w:r>
      <w:r>
        <w:t xml:space="preserve">6 two-week sprints for a squad of 8 (content model and release pipeline 3; importer and template registry 3; tenant catalogue and overlay UX 2).</w:t>
      </w:r>
    </w:p>
    <w:bookmarkStart w:id="34" w:name="objective-and-business-outcome-3"/>
    <w:p>
      <w:pPr>
        <w:pStyle w:val="Heading3"/>
      </w:pPr>
      <w:r>
        <w:t xml:space="preserve">Objective and business outcome</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05"/>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05"/>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05"/>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05"/>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05"/>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bl>
    <w:p>
      <w:r>
        <w:pict>
          <v:rect style="width:0;height:1.5pt" o:hralign="center" o:hrstd="t" o:hr="t"/>
        </w:pict>
      </w:r>
    </w:p>
    <w:bookmarkEnd w:id="34"/>
    <w:bookmarkStart w:id="35" w:name="exit-gate-3"/>
    <w:p>
      <w:pPr>
        <w:pStyle w:val="Heading3"/>
      </w:pPr>
      <w:r>
        <w:t xml:space="preserve">Exit gate</w:t>
      </w:r>
    </w:p>
    <w:p>
      <w:pPr>
        <w:numPr>
          <w:ilvl w:val="0"/>
          <w:numId w:val="1006"/>
        </w:numPr>
        <w:pStyle w:val="Compact"/>
      </w:pPr>
      <w:r>
        <w:rPr>
          <w:rStyle w:val="VerbatimChar"/>
        </w:rPr>
        <w:t xml:space="preserve">cnt</w:t>
      </w:r>
      <w:r>
        <w:t xml:space="preserve"> </w:t>
      </w:r>
      <w:r>
        <w:t xml:space="preserve">and</w:t>
      </w:r>
      <w:r>
        <w:t xml:space="preserve"> </w:t>
      </w:r>
      <w:r>
        <w:rPr>
          <w:rStyle w:val="VerbatimChar"/>
        </w:rPr>
        <w:t xml:space="preserve">tpl</w:t>
      </w:r>
      <w:r>
        <w:t xml:space="preserve"> </w:t>
      </w:r>
      <w:r>
        <w:t xml:space="preserve">schemas, migrations (expand-contract), RLS policies and seed authorities/jurisdictions/calendars.</w:t>
      </w:r>
    </w:p>
    <w:p>
      <w:pPr>
        <w:numPr>
          <w:ilvl w:val="0"/>
          <w:numId w:val="1006"/>
        </w:numPr>
        <w:pStyle w:val="Compact"/>
      </w:pPr>
      <w:r>
        <w:t xml:space="preserve">Template Registry loaded with every family in Appendix E (S2's 24 templates) and their vocabularies; blank templates downloadable.</w:t>
      </w:r>
    </w:p>
    <w:p>
      <w:pPr>
        <w:numPr>
          <w:ilvl w:val="0"/>
          <w:numId w:val="1006"/>
        </w:numPr>
        <w:pStyle w:val="Compact"/>
      </w:pPr>
      <w:r>
        <w:t xml:space="preserve">Importer with all four modes, V-rules, preview, error workbook, diff, review and idempotency; performance targets in FR-P03-37 met.</w:t>
      </w:r>
    </w:p>
    <w:p>
      <w:pPr>
        <w:numPr>
          <w:ilvl w:val="0"/>
          <w:numId w:val="1006"/>
        </w:numPr>
        <w:pStyle w:val="Compact"/>
      </w:pPr>
      <w:r>
        <w:t xml:space="preserve">Content Studio grid with source pane, lint (L-rules) and coverage report.</w:t>
      </w:r>
    </w:p>
    <w:p>
      <w:pPr>
        <w:numPr>
          <w:ilvl w:val="0"/>
          <w:numId w:val="1006"/>
        </w:numPr>
        <w:pStyle w:val="Compact"/>
      </w:pPr>
      <w:r>
        <w:t xml:space="preserve">Release pipeline with scheduling, events and fan-out rebase.</w:t>
      </w:r>
    </w:p>
    <w:p>
      <w:pPr>
        <w:numPr>
          <w:ilvl w:val="0"/>
          <w:numId w:val="1006"/>
        </w:numPr>
        <w:pStyle w:val="Compact"/>
      </w:pPr>
      <w:r>
        <w:t xml:space="preserve">Tenant overlays, tenant checkpoints, conflict review, lineage view.</w:t>
      </w:r>
    </w:p>
    <w:p>
      <w:pPr>
        <w:numPr>
          <w:ilvl w:val="0"/>
          <w:numId w:val="1006"/>
        </w:numPr>
        <w:pStyle w:val="Compact"/>
      </w:pPr>
      <w:r>
        <w:t xml:space="preserve">Regulation Catalogue with recommended set, adoption preview, removal with second approver.</w:t>
      </w:r>
    </w:p>
    <w:p>
      <w:pPr>
        <w:numPr>
          <w:ilvl w:val="0"/>
          <w:numId w:val="1006"/>
        </w:numPr>
        <w:pStyle w:val="Compact"/>
      </w:pPr>
      <w:r>
        <w:t xml:space="preserve">Department/function mapping and terminology.</w:t>
      </w:r>
    </w:p>
    <w:p>
      <w:pPr>
        <w:numPr>
          <w:ilvl w:val="0"/>
          <w:numId w:val="1006"/>
        </w:numPr>
        <w:pStyle w:val="Compact"/>
      </w:pPr>
      <w:r>
        <w:t xml:space="preserve">Applicability interface wired to a stub evaluator (real rules from P15).</w:t>
      </w:r>
    </w:p>
    <w:p>
      <w:pPr>
        <w:numPr>
          <w:ilvl w:val="0"/>
          <w:numId w:val="1006"/>
        </w:numPr>
        <w:pStyle w:val="Compact"/>
      </w:pPr>
      <w:r>
        <w:t xml:space="preserve">Migration of legacy MongoDB banks and the 9 RBI NBFC MD sheets (460–468) plus the IFSCA sheets into DRAFT, with a migration quality report.</w:t>
      </w:r>
    </w:p>
    <w:p>
      <w:pPr>
        <w:numPr>
          <w:ilvl w:val="0"/>
          <w:numId w:val="1006"/>
        </w:numPr>
        <w:pStyle w:val="Compact"/>
      </w:pPr>
      <w:r>
        <w:t xml:space="preserve">All §12 scenarios and NN tests green; accessibility audit of SCR-CNT-10/03 and SCR-TPL-02 passes WCAG 2.2 AA.</w:t>
      </w:r>
    </w:p>
    <w:p>
      <w:pPr>
        <w:numPr>
          <w:ilvl w:val="0"/>
          <w:numId w:val="1006"/>
        </w:numPr>
        <w:pStyle w:val="Compact"/>
      </w:pPr>
      <w:r>
        <w:t xml:space="preserve">Contribution to Appendix B (DDL), C (screens), U (settings) and F (events) registered.</w:t>
      </w:r>
    </w:p>
    <w:p>
      <w:r>
        <w:pict>
          <v:rect style="width:0;height:1.5pt" o:hralign="center" o:hrstd="t" o:hr="t"/>
        </w:pict>
      </w:r>
    </w:p>
    <w:bookmarkEnd w:id="35"/>
    <w:bookmarkStart w:id="36" w:name="integration-notes-3"/>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NN-34, NN-35; X-08 (delimiter "; "), X-09 (template and data-template codes), X-10, X-12 (cite the 31 Jul 2026 DoS directions), X-28 (</w:t>
      </w:r>
      <w:r>
        <w:rPr>
          <w:rStyle w:val="VerbatimChar"/>
          <w:bCs/>
          <w:b/>
        </w:rPr>
        <w:t xml:space="preserve">_LDC_System</w:t>
      </w:r>
      <w:r>
        <w:rPr>
          <w:bCs/>
          <w:b/>
        </w:rPr>
        <w:t xml:space="preserve"> </w:t>
      </w:r>
      <w:r>
        <w:rPr>
          <w:bCs/>
          <w:b/>
        </w:rPr>
        <w:t xml:space="preserve">export sheet, owner to confirm), X-29, X-38 (canonical IFSCA vocabulary)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36"/>
    <w:bookmarkEnd w:id="37"/>
    <w:bookmarkStart w:id="41" w:name="X6cf14a15530e0095393ab55b968bdf3b07aa4fc"/>
    <w:p>
      <w:pPr>
        <w:pStyle w:val="Heading2"/>
      </w:pPr>
      <w:r>
        <w:t xml:space="preserve">Phase P04 — Compliance Workspace: Maker-Checker, Calendar, Tasks and Notifications</w:t>
      </w:r>
    </w:p>
    <w:p>
      <w:pPr>
        <w:pStyle w:val="FirstParagraph"/>
      </w:pPr>
      <w:r>
        <w:rPr>
          <w:bCs/>
          <w:b/>
        </w:rPr>
        <w:t xml:space="preserve">Session prompt (type in Claude Code):</w:t>
      </w:r>
      <w:r>
        <w:t xml:space="preserve"> </w:t>
      </w:r>
      <w:r>
        <w:rPr>
          <w:iCs/>
          <w:i/>
        </w:rPr>
        <w:t xml:space="preserve">"Read docs/00-master-prompt.md, docs/01-decision-log.md and docs/phases/P04_Compliance_Workspace_Maker_Checker_Calendar_Tasks_Notifications.md in full, plus the appendices it names as binding. Then write docs/phases/P04-plan.md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P01 (users, roles, ABAC, delegations, step-up), P02 (settings registry, rule packs, terminology), P03 (content model, adoption, overlays, department map, holiday calendars, WORKSPACE import validation).</w:t>
      </w:r>
    </w:p>
    <w:p>
      <w:pPr>
        <w:pStyle w:val="BlockText"/>
      </w:pPr>
      <w:r>
        <w:rPr>
          <w:bCs/>
          <w:b/>
        </w:rPr>
        <w:t xml:space="preserve">Sequencing:</w:t>
      </w:r>
      <w:r>
        <w:t xml:space="preserve"> </w:t>
      </w:r>
      <w:r>
        <w:t xml:space="preserve">Starts when P03 §13 items 1–6 are green. P05 (Updates) and P06–P14 build on the workflow engine, Work Inbox, calendar and notification service delivered here; those services ship in sprint 2 of P04 as shared packages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and later phases must use them rather than building their own.</w:t>
      </w:r>
    </w:p>
    <w:p>
      <w:pPr>
        <w:pStyle w:val="BlockText"/>
      </w:pPr>
      <w:r>
        <w:rPr>
          <w:bCs/>
          <w:b/>
        </w:rPr>
        <w:t xml:space="preserve">Binding appendices:</w:t>
      </w:r>
      <w:r>
        <w:t xml:space="preserve"> </w:t>
      </w:r>
      <w:r>
        <w:t xml:space="preserve">A (canonical state machines), C (screens and menus), D (access matrix), U (settings), B (events and errors), G (penalty rules used for exposure), E (column contract).</w:t>
      </w:r>
    </w:p>
    <w:p>
      <w:pPr>
        <w:pStyle w:val="BlockText"/>
      </w:pPr>
      <w:r>
        <w:rPr>
          <w:bCs/>
          <w:b/>
        </w:rPr>
        <w:t xml:space="preserve">Requirements covered:</w:t>
      </w:r>
      <w:r>
        <w:t xml:space="preserve"> </w:t>
      </w:r>
      <w:r>
        <w:t xml:space="preserve">R-013, R-018, R-023, R-028, R-030, R-057, R-067 (exposure inputs), R-072, R-075, R-088, R-090, R-094, R-095, R-004 (display of imported questions), R-086 (routing).</w:t>
      </w:r>
    </w:p>
    <w:p>
      <w:pPr>
        <w:pStyle w:val="BlockText"/>
      </w:pPr>
      <w:r>
        <w:rPr>
          <w:bCs/>
          <w:b/>
        </w:rPr>
        <w:t xml:space="preserve">Estimated effort:</w:t>
      </w:r>
      <w:r>
        <w:t xml:space="preserve"> </w:t>
      </w:r>
      <w:r>
        <w:t xml:space="preserve">8 two-week sprints for a squad of 9 (scheduling engine 2; maker-checker and evidence 2; calendar and sync 2; notifications and inbox 2; reports 1).</w:t>
      </w:r>
    </w:p>
    <w:bookmarkStart w:id="38" w:name="objective-and-business-outcome-4"/>
    <w:p>
      <w:pPr>
        <w:pStyle w:val="Heading3"/>
      </w:pPr>
      <w:r>
        <w:t xml:space="preserve">Objective and business outcome</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t xml:space="preserve">The tenant's register exports in the owner's 30-column format with user columns populated; bulk status updates re-import through WORKSPACE mode under the same permissions</w:t>
            </w:r>
          </w:p>
        </w:tc>
      </w:tr>
    </w:tbl>
    <w:p>
      <w:r>
        <w:pict>
          <v:rect style="width:0;height:1.5pt" o:hralign="center" o:hrstd="t" o:hr="t"/>
        </w:pict>
      </w:r>
    </w:p>
    <w:bookmarkEnd w:id="38"/>
    <w:bookmarkStart w:id="39" w:name="exit-gate-4"/>
    <w:p>
      <w:pPr>
        <w:pStyle w:val="Heading3"/>
      </w:pPr>
      <w:r>
        <w:t xml:space="preserve">Exit gate</w:t>
      </w:r>
    </w:p>
    <w:p>
      <w:pPr>
        <w:numPr>
          <w:ilvl w:val="0"/>
          <w:numId w:val="1007"/>
        </w:numPr>
        <w:pStyle w:val="Compact"/>
      </w:pPr>
      <w:r>
        <w:rPr>
          <w:rStyle w:val="VerbatimChar"/>
        </w:rPr>
        <w:t xml:space="preserve">cmp</w:t>
      </w:r>
      <w:r>
        <w:t xml:space="preserve"> </w:t>
      </w:r>
      <w:r>
        <w:t xml:space="preserve">and</w:t>
      </w:r>
      <w:r>
        <w:t xml:space="preserve"> </w:t>
      </w:r>
      <w:r>
        <w:rPr>
          <w:rStyle w:val="VerbatimChar"/>
        </w:rPr>
        <w:t xml:space="preserve">wf</w:t>
      </w:r>
      <w:r>
        <w:t xml:space="preserve"> </w:t>
      </w:r>
      <w:r>
        <w:t xml:space="preserve">schemas with RLS; shared packages</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adopted by later phases.</w:t>
      </w:r>
    </w:p>
    <w:p>
      <w:pPr>
        <w:numPr>
          <w:ilvl w:val="0"/>
          <w:numId w:val="1007"/>
        </w:numPr>
        <w:pStyle w:val="Compact"/>
      </w:pPr>
      <w:r>
        <w:t xml:space="preserve">Schedule generator, due-rule evaluator with holiday calendars and business-day conventions, event engine, extension overrides.</w:t>
      </w:r>
    </w:p>
    <w:p>
      <w:pPr>
        <w:numPr>
          <w:ilvl w:val="0"/>
          <w:numId w:val="1007"/>
        </w:numPr>
        <w:pStyle w:val="Compact"/>
      </w:pPr>
      <w:r>
        <w:t xml:space="preserve">Instance lifecycle with maker/checker/auditor mapping to columns I, J, T, U, W–AD; evidence capture (upload, DMS, drive, e-mail, ecosystem).</w:t>
      </w:r>
    </w:p>
    <w:p>
      <w:pPr>
        <w:numPr>
          <w:ilvl w:val="0"/>
          <w:numId w:val="1007"/>
        </w:numPr>
        <w:pStyle w:val="Compact"/>
      </w:pPr>
      <w:r>
        <w:t xml:space="preserve">Exceptions, waivers, extensions, escalation ladder with floors, delegation and backup owners.</w:t>
      </w:r>
    </w:p>
    <w:p>
      <w:pPr>
        <w:numPr>
          <w:ilvl w:val="0"/>
          <w:numId w:val="1007"/>
        </w:numPr>
        <w:pStyle w:val="Compact"/>
      </w:pPr>
      <w:r>
        <w:t xml:space="preserve">Certificates chain with snapshot hashing and eSign/DSC hooks.</w:t>
      </w:r>
    </w:p>
    <w:p>
      <w:pPr>
        <w:numPr>
          <w:ilvl w:val="0"/>
          <w:numId w:val="1007"/>
        </w:numPr>
        <w:pStyle w:val="Compact"/>
      </w:pPr>
      <w:r>
        <w:t xml:space="preserve">Dashboards (maker, department head, CCO, MD/Board, auditor), score, report catalogue and builder, scheduled reports, Board compliance report draft.</w:t>
      </w:r>
    </w:p>
    <w:p>
      <w:pPr>
        <w:numPr>
          <w:ilvl w:val="0"/>
          <w:numId w:val="1007"/>
        </w:numPr>
        <w:pStyle w:val="Compact"/>
      </w:pPr>
      <w:r>
        <w:t xml:space="preserve">Register export in owner's format and WORKSPACE import application.</w:t>
      </w:r>
    </w:p>
    <w:p>
      <w:pPr>
        <w:numPr>
          <w:ilvl w:val="0"/>
          <w:numId w:val="1007"/>
        </w:numPr>
        <w:pStyle w:val="Compact"/>
      </w:pPr>
      <w:r>
        <w:t xml:space="preserve">Calendar with M365, Google, personal accounts and ICS; Teams meetings hook for P06.</w:t>
      </w:r>
    </w:p>
    <w:p>
      <w:pPr>
        <w:numPr>
          <w:ilvl w:val="0"/>
          <w:numId w:val="1007"/>
        </w:numPr>
        <w:pStyle w:val="Compact"/>
      </w:pPr>
      <w:r>
        <w:t xml:space="preserve">Tasks with hierarchy rule, dependencies, scheduled/recurring tasks, Vidhi task dispatch stub (real agent in P17), Work Inbox.</w:t>
      </w:r>
    </w:p>
    <w:p>
      <w:pPr>
        <w:numPr>
          <w:ilvl w:val="0"/>
          <w:numId w:val="1007"/>
        </w:numPr>
        <w:pStyle w:val="Compact"/>
      </w:pPr>
      <w:r>
        <w:t xml:space="preserve">Notifications with channels, digests, quiet hours, floors; messaging.</w:t>
      </w:r>
    </w:p>
    <w:p>
      <w:pPr>
        <w:numPr>
          <w:ilvl w:val="0"/>
          <w:numId w:val="1007"/>
        </w:numPr>
        <w:pStyle w:val="Compact"/>
      </w:pPr>
      <w:r>
        <w:t xml:space="preserve">All §12 scenarios and NN tests green; performance: register grid 50,000 instances scroll at 60 fps (virtualised), filter ≤ 1 s P95; schedule generator 1 million instances/night per region.</w:t>
      </w:r>
    </w:p>
    <w:p>
      <w:pPr>
        <w:numPr>
          <w:ilvl w:val="0"/>
          <w:numId w:val="1007"/>
        </w:numPr>
        <w:pStyle w:val="Compact"/>
      </w:pPr>
      <w:r>
        <w:t xml:space="preserve">Contributions to Appendices A, B, C, U registered.</w:t>
      </w:r>
    </w:p>
    <w:p>
      <w:r>
        <w:pict>
          <v:rect style="width:0;height:1.5pt" o:hralign="center" o:hrstd="t" o:hr="t"/>
        </w:pict>
      </w:r>
    </w:p>
    <w:bookmarkEnd w:id="39"/>
    <w:bookmarkStart w:id="40" w:name="integration-notes-4"/>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NN-33, NN-46; X-11, X-24 (LDC dates authoritative over synced calendars), X-26 (this phase owns</w:t>
      </w:r>
      <w:r>
        <w:rPr>
          <w:bCs/>
          <w:b/>
        </w:rPr>
        <w:t xml:space="preserve"> </w:t>
      </w:r>
      <w:r>
        <w:rPr>
          <w:rStyle w:val="VerbatimChar"/>
          <w:bCs/>
          <w:b/>
        </w:rPr>
        <w:t xml:space="preserve">packages/workflow</w:t>
      </w:r>
      <w:r>
        <w:rPr>
          <w:bCs/>
          <w:b/>
        </w:rPr>
        <w:t xml:space="preserve">,</w:t>
      </w:r>
      <w:r>
        <w:rPr>
          <w:bCs/>
          <w:b/>
        </w:rPr>
        <w:t xml:space="preserve"> </w:t>
      </w:r>
      <w:r>
        <w:rPr>
          <w:rStyle w:val="VerbatimChar"/>
          <w:bCs/>
          <w:b/>
        </w:rPr>
        <w:t xml:space="preserve">notify</w:t>
      </w:r>
      <w:r>
        <w:rPr>
          <w:bCs/>
          <w:b/>
        </w:rPr>
        <w:t xml:space="preserve">,</w:t>
      </w:r>
      <w:r>
        <w:rPr>
          <w:bCs/>
          <w:b/>
        </w:rPr>
        <w:t xml:space="preserve"> </w:t>
      </w:r>
      <w:r>
        <w:rPr>
          <w:rStyle w:val="VerbatimChar"/>
          <w:bCs/>
          <w:b/>
        </w:rPr>
        <w:t xml:space="preserve">calendar</w:t>
      </w:r>
      <w:r>
        <w:rPr>
          <w:bCs/>
          <w:b/>
        </w:rPr>
        <w:t xml:space="preserve">, SCR-RPT-01, SCR-WF-00 Work Inbox, SCR-CORE-21 global search; SCR-WF-01 remains the Calendar)</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40"/>
    <w:bookmarkEnd w:id="41"/>
    <w:bookmarkStart w:id="45" w:name="X4e6ecd44161925dffcf68c185d66414e4e530d8"/>
    <w:p>
      <w:pPr>
        <w:pStyle w:val="Heading2"/>
      </w:pPr>
      <w:r>
        <w:t xml:space="preserve">Phase P05 — Regulatory Change Management and AI Question Authoring</w:t>
      </w:r>
    </w:p>
    <w:p>
      <w:pPr>
        <w:pStyle w:val="FirstParagraph"/>
      </w:pPr>
      <w:r>
        <w:rPr>
          <w:bCs/>
          <w:b/>
        </w:rPr>
        <w:t xml:space="preserve">Session prompt (type in Claude Code):</w:t>
      </w:r>
      <w:r>
        <w:t xml:space="preserve"> </w:t>
      </w:r>
      <w:r>
        <w:rPr>
          <w:iCs/>
          <w:i/>
        </w:rPr>
        <w:t xml:space="preserve">"Read docs/00-master-prompt.md, docs/01-decision-log.md and docs/phases/P05_Regulatory_Change_Management_and_AI_Question_Authoring.md in full, plus the appendices it names as binding. Then write docs/phases/P05-plan.md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(Temporal, object storage with Object Lock, outbox, egress proxy), P01, P02 (settings, rule packs, flags), P03 (content model, clause index, importer, release pipeline, overlays, Regulation Catalogue), P04 (Work Inbox, tasks, calendar, notification service, due-date overrides). AI runtime basics from P17 sprint 1 (provider adapter, prompt registry, logging) — P05 may ship with a minimal adapter and adopt P17's when ready.</w:t>
      </w:r>
    </w:p>
    <w:p>
      <w:pPr>
        <w:pStyle w:val="BlockText"/>
      </w:pPr>
      <w:r>
        <w:rPr>
          <w:bCs/>
          <w:b/>
        </w:rPr>
        <w:t xml:space="preserve">Sequencing:</w:t>
      </w:r>
      <w:r>
        <w:t xml:space="preserve"> </w:t>
      </w:r>
      <w:r>
        <w:t xml:space="preserve">Starts when P03 exits; may overlap P04 sprints 3–8. The source monitor (§4A–4B) ships first so that the content team accumulates history before go-live.</w:t>
      </w:r>
    </w:p>
    <w:p>
      <w:pPr>
        <w:pStyle w:val="BlockText"/>
      </w:pPr>
      <w:r>
        <w:rPr>
          <w:bCs/>
          <w:b/>
        </w:rPr>
        <w:t xml:space="preserve">Binding appendices:</w:t>
      </w:r>
      <w:r>
        <w:t xml:space="preserve"> </w:t>
      </w:r>
      <w:r>
        <w:t xml:space="preserve">F (source register — every monitored URL, method and SLA), E (template contract and vocabularies used by the AI Studio), K (Vidhi AI agent specification), G (legal rules), B, U, C.</w:t>
      </w:r>
    </w:p>
    <w:p>
      <w:pPr>
        <w:pStyle w:val="BlockText"/>
      </w:pPr>
      <w:r>
        <w:rPr>
          <w:bCs/>
          <w:b/>
        </w:rPr>
        <w:t xml:space="preserve">Requirements covered:</w:t>
      </w:r>
      <w:r>
        <w:t xml:space="preserve"> </w:t>
      </w:r>
      <w:r>
        <w:t xml:space="preserve">R-006, R-085, R-088, R-089, R-090, R-004, R-005, R-017, R-039, R-102 (generation of data-compliance sheets uses the same studio), R-097 (Vidhi as authoring assistant).</w:t>
      </w:r>
    </w:p>
    <w:p>
      <w:pPr>
        <w:pStyle w:val="BlockText"/>
      </w:pPr>
      <w:r>
        <w:rPr>
          <w:bCs/>
          <w:b/>
        </w:rPr>
        <w:t xml:space="preserve">Estimated effort:</w:t>
      </w:r>
      <w:r>
        <w:t xml:space="preserve"> </w:t>
      </w:r>
      <w:r>
        <w:t xml:space="preserve">7 two-week sprints for a squad of 8 (monitor and ingestion 2; diff and impact 2; Updates UX and tenant change management 2; AI Question Authoring Studio and evaluation 2).</w:t>
      </w:r>
    </w:p>
    <w:bookmarkStart w:id="42" w:name="objective-and-business-outcome-5"/>
    <w:p>
      <w:pPr>
        <w:pStyle w:val="Heading3"/>
      </w:pPr>
      <w:r>
        <w:t xml:space="preserve">Objective and business outcome</w:t>
      </w:r>
    </w:p>
    <w:p>
      <w:pPr>
        <w:pStyle w:val="FirstParagraph"/>
      </w:pPr>
      <w:r>
        <w:t xml:space="preserve">Regulators change their rules constantly — RBI alone replaced more than 9,000 circulars with 238 function-wise Master Directions on 28 November 2025 and has since issued amendment directions and "updated as on" 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08"/>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08"/>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08"/>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08"/>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08"/>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08"/>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bl>
    <w:p>
      <w:r>
        <w:pict>
          <v:rect style="width:0;height:1.5pt" o:hralign="center" o:hrstd="t" o:hr="t"/>
        </w:pict>
      </w:r>
    </w:p>
    <w:bookmarkEnd w:id="42"/>
    <w:bookmarkStart w:id="43" w:name="exit-gate-5"/>
    <w:p>
      <w:pPr>
        <w:pStyle w:val="Heading3"/>
      </w:pPr>
      <w:r>
        <w:t xml:space="preserve">Exit gate</w:t>
      </w:r>
    </w:p>
    <w:p>
      <w:pPr>
        <w:numPr>
          <w:ilvl w:val="0"/>
          <w:numId w:val="1009"/>
        </w:numPr>
        <w:pStyle w:val="Compact"/>
      </w:pPr>
      <w:r>
        <w:rPr>
          <w:rStyle w:val="VerbatimChar"/>
        </w:rPr>
        <w:t xml:space="preserve">chg</w:t>
      </w:r>
      <w:r>
        <w:t xml:space="preserve"> </w:t>
      </w:r>
      <w:r>
        <w:t xml:space="preserve">schema, source registry loaded from Appendix F, fetchers (RSS, HTML listing, PDF, e-Gazette, e-mail alert), schedules incl. 20:00 IST reconciliation, health monitoring and alerts.</w:t>
      </w:r>
    </w:p>
    <w:p>
      <w:pPr>
        <w:numPr>
          <w:ilvl w:val="0"/>
          <w:numId w:val="1009"/>
        </w:numPr>
        <w:pStyle w:val="Compact"/>
      </w:pPr>
      <w:r>
        <w:t xml:space="preserve">Ingestion, extraction, metadata and classification; triage UI; change-item workflow with SLAs.</w:t>
      </w:r>
    </w:p>
    <w:p>
      <w:pPr>
        <w:numPr>
          <w:ilvl w:val="0"/>
          <w:numId w:val="1009"/>
        </w:numPr>
        <w:pStyle w:val="Compact"/>
      </w:pPr>
      <w:r>
        <w:t xml:space="preserve">Clause diff, amendment-instruction parser, working consolidation, concordance editor and re-citation drafting.</w:t>
      </w:r>
    </w:p>
    <w:p>
      <w:pPr>
        <w:numPr>
          <w:ilvl w:val="0"/>
          <w:numId w:val="1009"/>
        </w:numPr>
        <w:pStyle w:val="Compact"/>
      </w:pPr>
      <w:r>
        <w:t xml:space="preserve">Publication fan-out integrated with P03 releases and P04 recalculation; due-date extensions.</w:t>
      </w:r>
    </w:p>
    <w:p>
      <w:pPr>
        <w:numPr>
          <w:ilvl w:val="0"/>
          <w:numId w:val="1009"/>
        </w:numPr>
        <w:pStyle w:val="Compact"/>
      </w:pPr>
      <w:r>
        <w:t xml:space="preserve">Updates inbox with categories, three-part notes, old-vs-new tables, delivery channels, preferences, acknowledgement and escalation; calendar entries.</w:t>
      </w:r>
    </w:p>
    <w:p>
      <w:pPr>
        <w:numPr>
          <w:ilvl w:val="0"/>
          <w:numId w:val="1009"/>
        </w:numPr>
        <w:pStyle w:val="Compact"/>
      </w:pPr>
      <w:r>
        <w:t xml:space="preserve">Tenant impact assessment, implementation tracker, change history exports, Board report section.</w:t>
      </w:r>
    </w:p>
    <w:p>
      <w:pPr>
        <w:numPr>
          <w:ilvl w:val="0"/>
          <w:numId w:val="1009"/>
        </w:numPr>
        <w:pStyle w:val="Compact"/>
      </w:pPr>
      <w:r>
        <w:t xml:space="preserve">AI Question Authoring Studio (platform and tenant), methodology profiles for every Appendix E family, evaluation harness with the golden set, cost estimates and metering hooks (P20).</w:t>
      </w:r>
    </w:p>
    <w:p>
      <w:pPr>
        <w:numPr>
          <w:ilvl w:val="0"/>
          <w:numId w:val="1009"/>
        </w:numPr>
        <w:pStyle w:val="Compact"/>
      </w:pPr>
      <w:r>
        <w:t xml:space="preserve">Change dashboard with lead-time metrics; Radar report.</w:t>
      </w:r>
    </w:p>
    <w:p>
      <w:pPr>
        <w:numPr>
          <w:ilvl w:val="0"/>
          <w:numId w:val="1009"/>
        </w:numPr>
        <w:pStyle w:val="Compact"/>
      </w:pPr>
      <w:r>
        <w:t xml:space="preserve">§12 scenarios and NN tests green; one-month shadow run before go-live comparing the monitor's detections with a manual check of RBI, SEBI, IFSCA and IRDAI pages (target: zero missed P1 items).</w:t>
      </w:r>
    </w:p>
    <w:p>
      <w:r>
        <w:pict>
          <v:rect style="width:0;height:1.5pt" o:hralign="center" o:hrstd="t" o:hr="t"/>
        </w:pict>
      </w:r>
    </w:p>
    <w:bookmarkEnd w:id="43"/>
    <w:bookmarkStart w:id="44" w:name="integration-notes-5"/>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NN-33, NN-34; X-01 (event names), X-12; the RBI 28 Nov 2025 concordance (master §7) is a Wave-1 deliverable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44"/>
    <w:bookmarkEnd w:id="45"/>
    <w:bookmarkStart w:id="49" w:name="X761aaab4004907396b72bfd090ceccbaf1888b8"/>
    <w:p>
      <w:pPr>
        <w:pStyle w:val="Heading2"/>
      </w:pPr>
      <w:r>
        <w:t xml:space="preserve">Phase P06 — Governance, Board, Committees and Company Secretarial</w:t>
      </w:r>
    </w:p>
    <w:p>
      <w:pPr>
        <w:pStyle w:val="FirstParagraph"/>
      </w:pPr>
      <w:r>
        <w:rPr>
          <w:bCs/>
          <w:b/>
        </w:rPr>
        <w:t xml:space="preserve">Session prompt (type in Claude Code):</w:t>
      </w:r>
      <w:r>
        <w:t xml:space="preserve"> </w:t>
      </w:r>
      <w:r>
        <w:rPr>
          <w:iCs/>
          <w:i/>
        </w:rPr>
        <w:t xml:space="preserve">"Read docs/00-master-prompt.md, docs/01-decision-log.md and docs/phases/P06_Governance_Board_Committees_and_Company_Secretarial.md in full, plus the appendices it names as binding. Then write docs/phases/P06-plan.md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0"/>
        </w:numPr>
        <w:pStyle w:val="Compact"/>
      </w:pPr>
      <w:r>
        <w:rPr>
          <w:bCs/>
          <w:b/>
        </w:rPr>
        <w:t xml:space="preserve">P00</w:t>
      </w:r>
      <w:r>
        <w:t xml:space="preserve"> </w:t>
      </w:r>
      <w:r>
        <w:t xml:space="preserve">(tenancy, RLS, hash-chained audit ledger, Correction Entries — D-02, NN-02; feature flags; outbox);</w:t>
      </w:r>
    </w:p>
    <w:p>
      <w:pPr>
        <w:numPr>
          <w:ilvl w:val="0"/>
          <w:numId w:val="1010"/>
        </w:numPr>
        <w:pStyle w:val="Compact"/>
      </w:pPr>
      <w:r>
        <w:rPr>
          <w:bCs/>
          <w:b/>
        </w:rPr>
        <w:t xml:space="preserve">P01</w:t>
      </w:r>
      <w:r>
        <w:t xml:space="preserve"> </w:t>
      </w:r>
      <w:r>
        <w:t xml:space="preserve">(identity, MFA/step-up, roles</w:t>
      </w:r>
      <w:r>
        <w:t xml:space="preserve"> </w:t>
      </w:r>
      <w:r>
        <w:rPr>
          <w:rStyle w:val="VerbatimChar"/>
        </w:rPr>
        <w:t xml:space="preserve">ten_*</w:t>
      </w:r>
      <w:r>
        <w:t xml:space="preserve">, legal-entity scoping, ABAC attributes</w:t>
      </w:r>
      <w:r>
        <w:t xml:space="preserve"> </w:t>
      </w:r>
      <w:r>
        <w:rPr>
          <w:rStyle w:val="VerbatimChar"/>
        </w:rPr>
        <w:t xml:space="preserve">legal_entity_id</w:t>
      </w:r>
      <w:r>
        <w:t xml:space="preserve">,</w:t>
      </w:r>
      <w:r>
        <w:t xml:space="preserve"> </w:t>
      </w:r>
      <w:r>
        <w:rPr>
          <w:rStyle w:val="VerbatimChar"/>
        </w:rPr>
        <w:t xml:space="preserve">committee_id</w:t>
      </w:r>
      <w:r>
        <w:t xml:space="preserve">,</w:t>
      </w:r>
      <w:r>
        <w:t xml:space="preserve"> </w:t>
      </w:r>
      <w:r>
        <w:rPr>
          <w:rStyle w:val="VerbatimChar"/>
        </w:rPr>
        <w:t xml:space="preserve">confidentiality_class</w:t>
      </w:r>
      <w:r>
        <w:t xml:space="preserve">);</w:t>
      </w:r>
    </w:p>
    <w:p>
      <w:pPr>
        <w:numPr>
          <w:ilvl w:val="0"/>
          <w:numId w:val="1010"/>
        </w:numPr>
        <w:pStyle w:val="Compact"/>
      </w:pPr>
      <w:r>
        <w:rPr>
          <w:bCs/>
          <w:b/>
        </w:rPr>
        <w:t xml:space="preserve">P02</w:t>
      </w:r>
      <w:r>
        <w:t xml:space="preserve"> </w:t>
      </w:r>
      <w:r>
        <w:t xml:space="preserve">(settings registry, rule packs for thresholds and due-date rules, terminology overrides — committee and department names are tenant terms);</w:t>
      </w:r>
    </w:p>
    <w:p>
      <w:pPr>
        <w:numPr>
          <w:ilvl w:val="0"/>
          <w:numId w:val="1010"/>
        </w:numPr>
        <w:pStyle w:val="Compact"/>
      </w:pPr>
      <w:r>
        <w:rPr>
          <w:bCs/>
          <w:b/>
        </w:rPr>
        <w:t xml:space="preserve">P04</w:t>
      </w:r>
      <w:r>
        <w:t xml:space="preserve"> </w:t>
      </w:r>
      <w:r>
        <w:t xml:space="preserve">(task engine, maker-checker, calendar, Notifications inbox; compliance instances that require Board noting);</w:t>
      </w:r>
    </w:p>
    <w:p>
      <w:pPr>
        <w:numPr>
          <w:ilvl w:val="0"/>
          <w:numId w:val="1010"/>
        </w:numPr>
        <w:pStyle w:val="Compact"/>
      </w:pPr>
      <w:r>
        <w:rPr>
          <w:bCs/>
          <w:b/>
        </w:rPr>
        <w:t xml:space="preserve">P07</w:t>
      </w:r>
      <w:r>
        <w:t xml:space="preserve"> </w:t>
      </w:r>
      <w:r>
        <w:t xml:space="preserve">(DMS, evidence vault, Word generation, eSign envelopes, DSC signing hand-off) — P06 and P07 are built by the same squad in alternating sprints;</w:t>
      </w:r>
    </w:p>
    <w:p>
      <w:pPr>
        <w:numPr>
          <w:ilvl w:val="0"/>
          <w:numId w:val="1010"/>
        </w:numPr>
        <w:pStyle w:val="Compact"/>
      </w:pPr>
      <w:r>
        <w:rPr>
          <w:bCs/>
          <w:b/>
        </w:rPr>
        <w:t xml:space="preserve">P13</w:t>
      </w:r>
      <w:r>
        <w:t xml:space="preserve"> </w:t>
      </w:r>
      <w:r>
        <w:t xml:space="preserve">(HRMS person master for directors, KMP and employees). Until P13 exits, P06 ships</w:t>
      </w:r>
      <w:r>
        <w:t xml:space="preserve"> </w:t>
      </w:r>
      <w:r>
        <w:rPr>
          <w:rStyle w:val="VerbatimChar"/>
        </w:rPr>
        <w:t xml:space="preserve">gov.persons</w:t>
      </w:r>
      <w:r>
        <w:t xml:space="preserve"> </w:t>
      </w:r>
      <w:r>
        <w:t xml:space="preserve">as a minimal person master and migrates it to the HRMS projection with expand-contract (NN-11).</w:t>
      </w:r>
    </w:p>
    <w:p>
      <w:pPr>
        <w:pStyle w:val="BlockText"/>
      </w:pPr>
      <w:r>
        <w:rPr>
          <w:bCs/>
          <w:b/>
        </w:rPr>
        <w:t xml:space="preserve">Sequencing:</w:t>
      </w:r>
      <w:r>
        <w:t xml:space="preserve"> </w:t>
      </w:r>
      <w:r>
        <w:t xml:space="preserve">starts after P04 sprint 2; P15 supplies regulator overlays (RBI, SEBI, IRDAI, IFSCA governance rule packs) — P06 builds the overlay engine and seeds the Companies Act, SEBI LODR, RBI NBFC/UCB/commercial bank and IRDAI governance packs as reference data. P10 (secretarial audit) and P16 (co-operative governance) reuse the P06 meeting, register and declaration engines.</w:t>
      </w:r>
    </w:p>
    <w:p>
      <w:pPr>
        <w:pStyle w:val="BlockText"/>
      </w:pPr>
      <w:r>
        <w:rPr>
          <w:bCs/>
          <w:b/>
        </w:rPr>
        <w:t xml:space="preserve">Binding appendices:</w:t>
      </w:r>
      <w:r>
        <w:t xml:space="preserve"> </w:t>
      </w:r>
      <w:r>
        <w:t xml:space="preserve">A (state machines), B (data model, events, errors), C (screens, menus), D (access matrix), G (legal rules</w:t>
      </w:r>
      <w:r>
        <w:t xml:space="preserve"> </w:t>
      </w:r>
      <w:r>
        <w:rPr>
          <w:rStyle w:val="VerbatimChar"/>
        </w:rPr>
        <w:t xml:space="preserve">LR-MCA-*</w:t>
      </w:r>
      <w:r>
        <w:t xml:space="preserve">,</w:t>
      </w:r>
      <w:r>
        <w:t xml:space="preserve"> </w:t>
      </w:r>
      <w:r>
        <w:rPr>
          <w:rStyle w:val="VerbatimChar"/>
        </w:rPr>
        <w:t xml:space="preserve">LR-ICSI-*</w:t>
      </w:r>
      <w:r>
        <w:t xml:space="preserve">,</w:t>
      </w:r>
      <w:r>
        <w:t xml:space="preserve"> </w:t>
      </w:r>
      <w:r>
        <w:rPr>
          <w:rStyle w:val="VerbatimChar"/>
        </w:rPr>
        <w:t xml:space="preserve">LR-SEBI-*</w:t>
      </w:r>
      <w:r>
        <w:t xml:space="preserve">,</w:t>
      </w:r>
      <w:r>
        <w:t xml:space="preserve"> </w:t>
      </w:r>
      <w:r>
        <w:rPr>
          <w:rStyle w:val="VerbatimChar"/>
        </w:rPr>
        <w:t xml:space="preserve">LR-RBI-*</w:t>
      </w:r>
      <w:r>
        <w:t xml:space="preserve">,</w:t>
      </w:r>
      <w:r>
        <w:t xml:space="preserve"> </w:t>
      </w:r>
      <w:r>
        <w:rPr>
          <w:rStyle w:val="VerbatimChar"/>
        </w:rPr>
        <w:t xml:space="preserve">LR-IRDAI-*</w:t>
      </w:r>
      <w:r>
        <w:t xml:space="preserve">), J (ICSI Secretarial Standards map), M (export folder taxonomy</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U (settings).</w:t>
      </w:r>
    </w:p>
    <w:p>
      <w:pPr>
        <w:pStyle w:val="BlockText"/>
      </w:pPr>
      <w:r>
        <w:rPr>
          <w:bCs/>
          <w:b/>
        </w:rPr>
        <w:t xml:space="preserve">Requirements covered:</w:t>
      </w:r>
      <w:r>
        <w:t xml:space="preserve"> </w:t>
      </w:r>
      <w:r>
        <w:t xml:space="preserve">R-009, R-018, R-053, R-054, R-056, R-057, R-066, R-071, R-086, R-092, R-093, R-094 (governance events), R-095, R-099; contributes to R-013, R-021, R-075.</w:t>
      </w:r>
    </w:p>
    <w:p>
      <w:pPr>
        <w:pStyle w:val="BlockText"/>
      </w:pPr>
      <w:r>
        <w:rPr>
          <w:bCs/>
          <w:b/>
        </w:rPr>
        <w:t xml:space="preserve">Estimated effort:</w:t>
      </w:r>
      <w:r>
        <w:t xml:space="preserve"> </w:t>
      </w:r>
      <w:r>
        <w:t xml:space="preserve">9 two-week sprints, squad of 8 (governance core 3, meetings and board portal 3, listed-company and filings 2), plus one company-secretary domain analyst (part-time ICSI member) for content and UAT.</w:t>
      </w:r>
    </w:p>
    <w:bookmarkStart w:id="46" w:name="objective-and-business-outcome-6"/>
    <w:p>
      <w:pPr>
        <w:pStyle w:val="Heading3"/>
      </w:pPr>
      <w:r>
        <w:t xml:space="preserve">Objective and business outcome</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bookmarkEnd w:id="46"/>
    <w:bookmarkStart w:id="47" w:name="exit-gate-6"/>
    <w:p>
      <w:pPr>
        <w:pStyle w:val="Heading3"/>
      </w:pPr>
      <w:r>
        <w:t xml:space="preserve">Exit gate</w:t>
      </w:r>
    </w:p>
    <w:p>
      <w:pPr>
        <w:pStyle w:val="FirstParagraph"/>
      </w:pPr>
      <w:r>
        <w:rPr>
          <w:bCs/>
          <w:b/>
        </w:rPr>
        <w:t xml:space="preserve">Deliverables:</w:t>
      </w:r>
      <w:r>
        <w:t xml:space="preserve"> </w:t>
      </w:r>
      <w:r>
        <w:rPr>
          <w:rStyle w:val="VerbatimChar"/>
        </w:rPr>
        <w:t xml:space="preserve">gov</w:t>
      </w:r>
      <w:r>
        <w:t xml:space="preserve"> </w:t>
      </w:r>
      <w:r>
        <w:t xml:space="preserve">module with migrations; seeded rule packs (Companies Act thresholds, SS-1/SS-2 timelines, LODR, PIT, RBI NBFC/UCB/commercial bank governance, IRDAI CG 2024, LLP, Societies Registration Act base); committee templates; register definitions; filing catalogue; resolution and document templates (DOCX); board portal shell; Temporal workflows; dashboards; Vidhi prompt templates for agenda notes, minutes and annual report; export mapping to</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(Appendix M); acceptance and NN tests;</w:t>
      </w:r>
      <w:r>
        <w:t xml:space="preserve"> </w:t>
      </w:r>
      <w:r>
        <w:rPr>
          <w:rStyle w:val="VerbatimChar"/>
        </w:rPr>
        <w:t xml:space="preserve">docs/phases/P06-plan.md</w:t>
      </w:r>
      <w:r>
        <w:t xml:space="preserve"> </w:t>
      </w:r>
      <w:r>
        <w:t xml:space="preserve">and</w:t>
      </w:r>
      <w:r>
        <w:t xml:space="preserve"> </w:t>
      </w:r>
      <w:r>
        <w:rPr>
          <w:rStyle w:val="VerbatimChar"/>
        </w:rPr>
        <w:t xml:space="preserve">docs/phases/P06-handover.md</w:t>
      </w:r>
      <w:r>
        <w:t xml:space="preserve">.</w:t>
      </w:r>
    </w:p>
    <w:p>
      <w:pPr>
        <w:pStyle w:val="BodyText"/>
      </w:pPr>
      <w:r>
        <w:rPr>
          <w:bCs/>
          <w:b/>
        </w:rPr>
        <w:t xml:space="preserve">Exit gate:</w:t>
      </w:r>
    </w:p>
    <w:p>
      <w:pPr>
        <w:numPr>
          <w:ilvl w:val="0"/>
          <w:numId w:val="1011"/>
        </w:numPr>
        <w:pStyle w:val="Compact"/>
      </w:pPr>
      <w:r>
        <w:t xml:space="preserve">All Gherkin scenarios and NN tests green; domain analyst signs golden blueprints for the eight seeded profiles.</w:t>
      </w:r>
    </w:p>
    <w:p>
      <w:pPr>
        <w:numPr>
          <w:ilvl w:val="0"/>
          <w:numId w:val="1011"/>
        </w:numPr>
        <w:pStyle w:val="Compact"/>
      </w:pPr>
      <w:r>
        <w:t xml:space="preserve">One full board-meeting cycle run end to end with a pilot tenant (notice → sealed minutes → MGT-14 data sheet → SRN recorded) with timers verified.</w:t>
      </w:r>
    </w:p>
    <w:p>
      <w:pPr>
        <w:numPr>
          <w:ilvl w:val="0"/>
          <w:numId w:val="1011"/>
        </w:numPr>
        <w:pStyle w:val="Compact"/>
      </w:pPr>
      <w:r>
        <w:t xml:space="preserve">Register reconciliation produces zero unexplained differences on the pilot's data.</w:t>
      </w:r>
    </w:p>
    <w:p>
      <w:pPr>
        <w:numPr>
          <w:ilvl w:val="0"/>
          <w:numId w:val="1011"/>
        </w:numPr>
        <w:pStyle w:val="Compact"/>
      </w:pPr>
      <w:r>
        <w:t xml:space="preserve">Listed-company module demonstrated on a synthetic listed NBFC: LODR calendar, Reg 30 case, RPT monitor, SDD auto-entries.</w:t>
      </w:r>
    </w:p>
    <w:p>
      <w:pPr>
        <w:numPr>
          <w:ilvl w:val="0"/>
          <w:numId w:val="1011"/>
        </w:numPr>
        <w:pStyle w:val="Compact"/>
      </w:pPr>
      <w:r>
        <w:t xml:space="preserve">Accessibility (WCAG 2.2 AA) audit of the board portal and minutes editor passed (NN-21).</w:t>
      </w:r>
    </w:p>
    <w:p>
      <w:pPr>
        <w:numPr>
          <w:ilvl w:val="0"/>
          <w:numId w:val="1011"/>
        </w:numPr>
        <w:pStyle w:val="Compact"/>
      </w:pPr>
      <w:r>
        <w:t xml:space="preserve">Export of</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validated: signed minutes open in a PDF reader, registers open in Excel, folder names self-explanatory.</w:t>
      </w:r>
    </w:p>
    <w:p>
      <w:pPr>
        <w:numPr>
          <w:ilvl w:val="0"/>
          <w:numId w:val="1011"/>
        </w:numPr>
        <w:pStyle w:val="Compact"/>
      </w:pPr>
      <w:r>
        <w:t xml:space="preserve">All</w:t>
      </w:r>
      <w:r>
        <w:t xml:space="preserve"> </w:t>
      </w:r>
      <w:r>
        <w:rPr>
          <w:bCs/>
          <w:b/>
        </w:rPr>
        <w:t xml:space="preserve">[VERIFY]</w:t>
      </w:r>
      <w:r>
        <w:t xml:space="preserve"> </w:t>
      </w:r>
      <w:r>
        <w:t xml:space="preserve">items for features enabled at go-live closed or behind OFF flags.</w:t>
      </w:r>
    </w:p>
    <w:p>
      <w:r>
        <w:pict>
          <v:rect style="width:0;height:1.5pt" o:hralign="center" o:hrstd="t" o:hr="t"/>
        </w:pict>
      </w:r>
    </w:p>
    <w:bookmarkEnd w:id="47"/>
    <w:bookmarkStart w:id="48" w:name="integration-notes-6"/>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NN-36, NN-37; X-26, X-30 (LODR Reg 24A conflict check), X-37 (MBP-1/MBP-4/deposit register corrections); committee and KMP seeds come from P15 §4F and are not redefined here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48"/>
    <w:bookmarkEnd w:id="49"/>
    <w:bookmarkStart w:id="53" w:name="Xc6e977df78c90aa7a0627599fb133f8720e705e"/>
    <w:p>
      <w:pPr>
        <w:pStyle w:val="Heading2"/>
      </w:pPr>
      <w:r>
        <w:t xml:space="preserve">Phase P07 — Policy Lifecycle and Document Management System</w:t>
      </w:r>
    </w:p>
    <w:p>
      <w:pPr>
        <w:pStyle w:val="FirstParagraph"/>
      </w:pPr>
      <w:r>
        <w:rPr>
          <w:bCs/>
          <w:b/>
        </w:rPr>
        <w:t xml:space="preserve">Session prompt (type in Claude Code):</w:t>
      </w:r>
      <w:r>
        <w:t xml:space="preserve"> </w:t>
      </w:r>
      <w:r>
        <w:rPr>
          <w:iCs/>
          <w:i/>
        </w:rPr>
        <w:t xml:space="preserve">"Read docs/00-master-prompt.md, docs/01-decision-log.md and docs/phases/P07_Policy_Lifecycle_and_Document_Management_System.md in full, plus the appendices it names as binding. Then write docs/phases/P07-plan.md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2"/>
        </w:numPr>
        <w:pStyle w:val="Compact"/>
      </w:pPr>
      <w:r>
        <w:rPr>
          <w:bCs/>
          <w:b/>
        </w:rPr>
        <w:t xml:space="preserve">P00</w:t>
      </w:r>
      <w:r>
        <w:t xml:space="preserve"> </w:t>
      </w:r>
      <w:r>
        <w:t xml:space="preserve">(tenancy, RLS, audit ledger, Correction Entries, object storage with SSE-KMS, versioning and Object Lock, outbox);</w:t>
      </w:r>
    </w:p>
    <w:p>
      <w:pPr>
        <w:numPr>
          <w:ilvl w:val="0"/>
          <w:numId w:val="1012"/>
        </w:numPr>
        <w:pStyle w:val="Compact"/>
      </w:pPr>
      <w:r>
        <w:rPr>
          <w:bCs/>
          <w:b/>
        </w:rPr>
        <w:t xml:space="preserve">P01</w:t>
      </w:r>
      <w:r>
        <w:t xml:space="preserve"> </w:t>
      </w:r>
      <w:r>
        <w:t xml:space="preserve">(identity, step-up MFA, external-party identities for signers and share recipients, ABAC attributes</w:t>
      </w:r>
      <w:r>
        <w:t xml:space="preserve"> </w:t>
      </w:r>
      <w:r>
        <w:rPr>
          <w:rStyle w:val="VerbatimChar"/>
        </w:rPr>
        <w:t xml:space="preserve">confidentiality_class</w:t>
      </w:r>
      <w:r>
        <w:t xml:space="preserve">,</w:t>
      </w:r>
      <w:r>
        <w:t xml:space="preserve"> </w:t>
      </w:r>
      <w:r>
        <w:rPr>
          <w:rStyle w:val="VerbatimChar"/>
        </w:rPr>
        <w:t xml:space="preserve">department_id</w:t>
      </w:r>
      <w:r>
        <w:t xml:space="preserve">);</w:t>
      </w:r>
    </w:p>
    <w:p>
      <w:pPr>
        <w:numPr>
          <w:ilvl w:val="0"/>
          <w:numId w:val="1012"/>
        </w:numPr>
        <w:pStyle w:val="Compact"/>
      </w:pPr>
      <w:r>
        <w:rPr>
          <w:bCs/>
          <w:b/>
        </w:rPr>
        <w:t xml:space="preserve">P02</w:t>
      </w:r>
      <w:r>
        <w:t xml:space="preserve"> </w:t>
      </w:r>
      <w:r>
        <w:t xml:space="preserve">(settings registry, retention-class rule packs, terminology, custom metadata);</w:t>
      </w:r>
    </w:p>
    <w:p>
      <w:pPr>
        <w:numPr>
          <w:ilvl w:val="0"/>
          <w:numId w:val="1012"/>
        </w:numPr>
        <w:pStyle w:val="Compact"/>
      </w:pPr>
      <w:r>
        <w:rPr>
          <w:bCs/>
          <w:b/>
        </w:rPr>
        <w:t xml:space="preserve">P04</w:t>
      </w:r>
      <w:r>
        <w:t xml:space="preserve"> </w:t>
      </w:r>
      <w:r>
        <w:t xml:space="preserve">(tasks, approvals, calendar, Notifications; evidence linkage to compliance instances);</w:t>
      </w:r>
    </w:p>
    <w:p>
      <w:pPr>
        <w:numPr>
          <w:ilvl w:val="0"/>
          <w:numId w:val="1012"/>
        </w:numPr>
        <w:pStyle w:val="Compact"/>
      </w:pPr>
      <w:r>
        <w:rPr>
          <w:bCs/>
          <w:b/>
        </w:rPr>
        <w:t xml:space="preserve">P06</w:t>
      </w:r>
      <w:r>
        <w:t xml:space="preserve"> </w:t>
      </w:r>
      <w:r>
        <w:t xml:space="preserve">(Board/committee approval of policies through agenda items and decisions; SDD writes for UPSI sharing).</w:t>
      </w:r>
    </w:p>
    <w:p>
      <w:pPr>
        <w:pStyle w:val="BlockText"/>
      </w:pPr>
      <w:r>
        <w:rPr>
          <w:bCs/>
          <w:b/>
        </w:rPr>
        <w:t xml:space="preserve">Sequencing:</w:t>
      </w:r>
      <w:r>
        <w:t xml:space="preserve"> </w:t>
      </w:r>
      <w:r>
        <w:t xml:space="preserve">the DMS core (§4H–§4M, §4S, §4W) is a platform service and is built</w:t>
      </w:r>
      <w:r>
        <w:t xml:space="preserve"> </w:t>
      </w:r>
      <w:r>
        <w:rPr>
          <w:bCs/>
          <w:b/>
        </w:rPr>
        <w:t xml:space="preserve">first, in P07 sprint 1–3, before P06 needs it</w:t>
      </w:r>
      <w:r>
        <w:t xml:space="preserve">; the policy lifecycle follows. P17 (Vidhi) provides the model adapters for drafting, OCR of handwriting and translation; P07 owns the document pipeline, UX and storage. P18 delivers the storage and eSign adapters; P19 consumes the folder taxonomy for export and bring-your-own storage.</w:t>
      </w:r>
    </w:p>
    <w:p>
      <w:pPr>
        <w:pStyle w:val="BlockText"/>
      </w:pPr>
      <w:r>
        <w:rPr>
          <w:bCs/>
          <w:b/>
        </w:rPr>
        <w:t xml:space="preserve">Binding appendices:</w:t>
      </w:r>
      <w:r>
        <w:t xml:space="preserve"> </w:t>
      </w:r>
      <w:r>
        <w:t xml:space="preserve">A (state machines), B (data model), C (screens), K (Vidhi — drafting, vision, translation guardrails), L (eSign, storage, Microsoft 365/Google adapters), M (LDC-EXPORT-1.0 folder taxonomy — the DMS folder tree mirrors it), Q (security), U (settings).</w:t>
      </w:r>
    </w:p>
    <w:p>
      <w:pPr>
        <w:pStyle w:val="BlockText"/>
      </w:pPr>
      <w:r>
        <w:rPr>
          <w:bCs/>
          <w:b/>
        </w:rPr>
        <w:t xml:space="preserve">Requirements covered:</w:t>
      </w:r>
      <w:r>
        <w:t xml:space="preserve"> </w:t>
      </w:r>
      <w:r>
        <w:t xml:space="preserve">R-091, R-038, R-021 (folder intake, preserved structure), R-027 (reads documents, screenshots, WhatsApp chats, PDFs, letters, e-mail; eSign where required), R-043, R-076, R-081, R-082; contributes to R-013 (evidence), R-017, R-053.</w:t>
      </w:r>
    </w:p>
    <w:p>
      <w:pPr>
        <w:pStyle w:val="BlockText"/>
      </w:pPr>
      <w:r>
        <w:rPr>
          <w:bCs/>
          <w:b/>
        </w:rPr>
        <w:t xml:space="preserve">Estimated effort:</w:t>
      </w:r>
      <w:r>
        <w:t xml:space="preserve"> </w:t>
      </w:r>
      <w:r>
        <w:t xml:space="preserve">8 two-week sprints, squad of 8 (DMS core 3, policy lifecycle 2, document intelligence 2, eSign and sharing 1), plus a part-time legal-drafting analyst for model templates and UAT.</w:t>
      </w:r>
    </w:p>
    <w:bookmarkStart w:id="50" w:name="objective-and-business-outcome-7"/>
    <w:p>
      <w:pPr>
        <w:pStyle w:val="Heading3"/>
      </w:pPr>
      <w:r>
        <w:t xml:space="preserve">Objective and business outcome</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bookmarkEnd w:id="50"/>
    <w:bookmarkStart w:id="51" w:name="exit-gate-7"/>
    <w:p>
      <w:pPr>
        <w:pStyle w:val="Heading3"/>
      </w:pPr>
      <w:r>
        <w:t xml:space="preserve">Exit gate</w:t>
      </w:r>
    </w:p>
    <w:p>
      <w:pPr>
        <w:pStyle w:val="FirstParagraph"/>
      </w:pPr>
      <w:r>
        <w:rPr>
          <w:bCs/>
          <w:b/>
        </w:rPr>
        <w:t xml:space="preserve">Deliverables:</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modules with migrations;</w:t>
      </w:r>
      <w:r>
        <w:t xml:space="preserve"> </w:t>
      </w:r>
      <w:r>
        <w:rPr>
          <w:rStyle w:val="VerbatimChar"/>
        </w:rPr>
        <w:t xml:space="preserve">packages/redline</w:t>
      </w:r>
      <w:r>
        <w:t xml:space="preserve"> </w:t>
      </w:r>
      <w:r>
        <w:t xml:space="preserve">(with CI round-trip validation); ingestion, OCR, type-copy and translation pipelines; eSign envelope service with at least one ASP adapter in sandbox; share service and external viewer; folder intake with mapping rules; retention rule pack seed; model templates for the first 20 required policies of NBFC-ML and listed entities (legal analyst signed); tenant template merge; Microsoft 365 co-authoring adapter (sandbox tenant); Appendix M mapping implemented; acceptance and NN tests;</w:t>
      </w:r>
      <w:r>
        <w:t xml:space="preserve"> </w:t>
      </w:r>
      <w:r>
        <w:rPr>
          <w:rStyle w:val="VerbatimChar"/>
        </w:rPr>
        <w:t xml:space="preserve">docs/phases/P07-plan.md</w:t>
      </w:r>
      <w:r>
        <w:t xml:space="preserve">,</w:t>
      </w:r>
      <w:r>
        <w:t xml:space="preserve"> </w:t>
      </w:r>
      <w:r>
        <w:rPr>
          <w:rStyle w:val="VerbatimChar"/>
        </w:rPr>
        <w:t xml:space="preserve">docs/phases/P07-handover.md</w:t>
      </w:r>
      <w:r>
        <w:t xml:space="preserve">.</w:t>
      </w:r>
    </w:p>
    <w:p>
      <w:pPr>
        <w:pStyle w:val="BodyText"/>
      </w:pPr>
      <w:r>
        <w:rPr>
          <w:bCs/>
          <w:b/>
        </w:rPr>
        <w:t xml:space="preserve">Exit gate:</w:t>
      </w:r>
    </w:p>
    <w:p>
      <w:pPr>
        <w:numPr>
          <w:ilvl w:val="0"/>
          <w:numId w:val="1013"/>
        </w:numPr>
        <w:pStyle w:val="Compact"/>
      </w:pPr>
      <w:r>
        <w:t xml:space="preserve">All Gherkin and NN tests green; redline round-trip suite passes on 50 real-world policy documents (tables, numbering, headers, footnotes).</w:t>
      </w:r>
    </w:p>
    <w:p>
      <w:pPr>
        <w:numPr>
          <w:ilvl w:val="0"/>
          <w:numId w:val="1013"/>
        </w:numPr>
        <w:pStyle w:val="Compact"/>
      </w:pPr>
      <w:r>
        <w:t xml:space="preserve">Pilot tenant runs one policy end to end: model → Vidhi draft → reviews → P06 Board approval → signed copy → effective → attestation campaign with ≥ 90% completion.</w:t>
      </w:r>
    </w:p>
    <w:p>
      <w:pPr>
        <w:numPr>
          <w:ilvl w:val="0"/>
          <w:numId w:val="1013"/>
        </w:numPr>
        <w:pStyle w:val="Compact"/>
      </w:pPr>
      <w:r>
        <w:t xml:space="preserve">Search p95 ≤ 1.5 s on a 1-million-document synthetic tenant; permission-trimming penetration test passed.</w:t>
      </w:r>
    </w:p>
    <w:p>
      <w:pPr>
        <w:numPr>
          <w:ilvl w:val="0"/>
          <w:numId w:val="1013"/>
        </w:numPr>
        <w:pStyle w:val="Compact"/>
      </w:pPr>
      <w:r>
        <w:t xml:space="preserve">eSign: Aadhaar eSign and DSC flows completed in sandbox with certificate of completion; excluded-document block verified.</w:t>
      </w:r>
    </w:p>
    <w:p>
      <w:pPr>
        <w:numPr>
          <w:ilvl w:val="0"/>
          <w:numId w:val="1013"/>
        </w:numPr>
        <w:pStyle w:val="Compact"/>
      </w:pPr>
      <w:r>
        <w:t xml:space="preserve">OCR/translation evaluation report from P17 attached, with per-language quality tiers published; tier A enabled only where evaluation passes.</w:t>
      </w:r>
    </w:p>
    <w:p>
      <w:pPr>
        <w:numPr>
          <w:ilvl w:val="0"/>
          <w:numId w:val="1013"/>
        </w:numPr>
        <w:pStyle w:val="Compact"/>
      </w:pPr>
      <w:r>
        <w:t xml:space="preserve">Folder intake of 5,000 files with mapping preview and zero overwrites; re-import of an LDC export maps 100%.</w:t>
      </w:r>
    </w:p>
    <w:p>
      <w:pPr>
        <w:numPr>
          <w:ilvl w:val="0"/>
          <w:numId w:val="1013"/>
        </w:numPr>
        <w:pStyle w:val="Compact"/>
      </w:pPr>
      <w:r>
        <w:t xml:space="preserve">WCAG 2.2 AA audit of viewer, type-copy workbench and share builder passed (NN-21); screen-reader reading order verified for type copies.</w:t>
      </w:r>
    </w:p>
    <w:p>
      <w:r>
        <w:pict>
          <v:rect style="width:0;height:1.5pt" o:hralign="center" o:hrstd="t" o:hr="t"/>
        </w:pict>
      </w:r>
    </w:p>
    <w:bookmarkEnd w:id="51"/>
    <w:bookmarkStart w:id="52" w:name="integration-notes-7"/>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NN-37 (deterministic redline engine), X-04 (ESP/ASP terms), X-06 (Graph co-authoring default)</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52"/>
    <w:bookmarkEnd w:id="53"/>
    <w:bookmarkStart w:id="57" w:name="X45aba6e155fef0ea1116029c342d622017d6297"/>
    <w:p>
      <w:pPr>
        <w:pStyle w:val="Heading2"/>
      </w:pPr>
      <w:r>
        <w:t xml:space="preserve">Phase P08 — Enterprise Risk Management and CRO Workspace</w:t>
      </w:r>
    </w:p>
    <w:p>
      <w:pPr>
        <w:pStyle w:val="FirstParagraph"/>
      </w:pPr>
      <w:r>
        <w:rPr>
          <w:bCs/>
          <w:b/>
        </w:rPr>
        <w:t xml:space="preserve">Session prompt (type in Claude Code):</w:t>
      </w:r>
      <w:r>
        <w:t xml:space="preserve"> </w:t>
      </w:r>
      <w:r>
        <w:rPr>
          <w:iCs/>
          <w:i/>
        </w:rPr>
        <w:t xml:space="preserve">"Read docs/00-master-prompt.md, docs/01-decision-log.md and docs/phases/P08_Enterprise_Risk_Management_and_CRO_Workspace.md in full, plus the appendices it names as binding. Then write docs/phases/P08-plan.md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4"/>
        </w:numPr>
        <w:pStyle w:val="Compact"/>
      </w:pPr>
      <w:r>
        <w:rPr>
          <w:bCs/>
          <w:b/>
        </w:rPr>
        <w:t xml:space="preserve">P00</w:t>
      </w:r>
      <w:r>
        <w:t xml:space="preserve"> </w:t>
      </w:r>
      <w:r>
        <w:t xml:space="preserve">(tenancy, RLS, audit ledger and Correction Entries, outbox, feature flags);</w:t>
      </w:r>
    </w:p>
    <w:p>
      <w:pPr>
        <w:numPr>
          <w:ilvl w:val="0"/>
          <w:numId w:val="1014"/>
        </w:numPr>
        <w:pStyle w:val="Compact"/>
      </w:pPr>
      <w:r>
        <w:rPr>
          <w:bCs/>
          <w:b/>
        </w:rPr>
        <w:t xml:space="preserve">P01</w:t>
      </w:r>
      <w:r>
        <w:t xml:space="preserve"> </w:t>
      </w:r>
      <w:r>
        <w:t xml:space="preserve">(identity, roles, ABAC attributes, step-up MFA);</w:t>
      </w:r>
    </w:p>
    <w:p>
      <w:pPr>
        <w:numPr>
          <w:ilvl w:val="0"/>
          <w:numId w:val="1014"/>
        </w:numPr>
        <w:pStyle w:val="Compact"/>
      </w:pPr>
      <w:r>
        <w:rPr>
          <w:bCs/>
          <w:b/>
        </w:rPr>
        <w:t xml:space="preserve">P02</w:t>
      </w:r>
      <w:r>
        <w:t xml:space="preserve"> </w:t>
      </w:r>
      <w:r>
        <w:t xml:space="preserve">(settings registry, rule packs, terminology, entity-family resolver — every</w:t>
      </w:r>
      <w:r>
        <w:t xml:space="preserve"> </w:t>
      </w:r>
      <w:r>
        <w:rPr>
          <w:rStyle w:val="VerbatimChar"/>
        </w:rPr>
        <w:t xml:space="preserve">erm.*</w:t>
      </w:r>
      <w:r>
        <w:t xml:space="preserve"> </w:t>
      </w:r>
      <w:r>
        <w:t xml:space="preserve">key is registered before use, NN-28);</w:t>
      </w:r>
    </w:p>
    <w:p>
      <w:pPr>
        <w:numPr>
          <w:ilvl w:val="0"/>
          <w:numId w:val="1014"/>
        </w:numPr>
        <w:pStyle w:val="Compact"/>
      </w:pPr>
      <w:r>
        <w:rPr>
          <w:bCs/>
          <w:b/>
        </w:rPr>
        <w:t xml:space="preserve">P03</w:t>
      </w:r>
      <w:r>
        <w:t xml:space="preserve"> </w:t>
      </w:r>
      <w:r>
        <w:t xml:space="preserve">(content library — obligations and control library that risks link to);</w:t>
      </w:r>
    </w:p>
    <w:p>
      <w:pPr>
        <w:numPr>
          <w:ilvl w:val="0"/>
          <w:numId w:val="1014"/>
        </w:numPr>
        <w:pStyle w:val="Compact"/>
      </w:pPr>
      <w:r>
        <w:rPr>
          <w:bCs/>
          <w:b/>
        </w:rPr>
        <w:t xml:space="preserve">P04</w:t>
      </w:r>
      <w:r>
        <w:t xml:space="preserve"> </w:t>
      </w:r>
      <w:r>
        <w:t xml:space="preserve">(workflow engine, tasks, approvals, Notifications inbox, calendar);</w:t>
      </w:r>
    </w:p>
    <w:p>
      <w:pPr>
        <w:numPr>
          <w:ilvl w:val="0"/>
          <w:numId w:val="1014"/>
        </w:numPr>
        <w:pStyle w:val="Compact"/>
      </w:pPr>
      <w:r>
        <w:rPr>
          <w:bCs/>
          <w:b/>
        </w:rPr>
        <w:t xml:space="preserve">P06</w:t>
      </w:r>
      <w:r>
        <w:t xml:space="preserve"> </w:t>
      </w:r>
      <w:r>
        <w:t xml:space="preserve">(committees and meetings — Risk Management Committee packs and minutes);</w:t>
      </w:r>
    </w:p>
    <w:p>
      <w:pPr>
        <w:numPr>
          <w:ilvl w:val="0"/>
          <w:numId w:val="1014"/>
        </w:numPr>
        <w:pStyle w:val="Compact"/>
      </w:pPr>
      <w:r>
        <w:rPr>
          <w:bCs/>
          <w:b/>
        </w:rPr>
        <w:t xml:space="preserve">P07</w:t>
      </w:r>
      <w:r>
        <w:t xml:space="preserve"> </w:t>
      </w:r>
      <w:r>
        <w:t xml:space="preserve">(DMS — evidence, policies such as the Risk Management Policy and Risk Appetite Statement).</w:t>
      </w:r>
    </w:p>
    <w:p>
      <w:pPr>
        <w:pStyle w:val="BlockText"/>
      </w:pPr>
      <w:r>
        <w:rPr>
          <w:bCs/>
          <w:b/>
        </w:rPr>
        <w:t xml:space="preserve">Consumes (stated fallbacks if not yet built):</w:t>
      </w:r>
      <w:r>
        <w:t xml:space="preserve"> </w:t>
      </w:r>
      <w:r>
        <w:t xml:space="preserve">P12 (IT/cyber incidents, TPRM register, DPDP breaches → risk events), P13 (people metrics), P14 (complaint metrics), P15 (entity-family profile and applicability), P18 (inbound Finbyx/Udofin</w:t>
      </w:r>
      <w:r>
        <w:t xml:space="preserve"> </w:t>
      </w:r>
      <w:r>
        <w:rPr>
          <w:rStyle w:val="VerbatimChar"/>
        </w:rPr>
        <w:t xml:space="preserve">risk</w:t>
      </w:r>
      <w:r>
        <w:t xml:space="preserve"> </w:t>
      </w:r>
      <w:r>
        <w:t xml:space="preserve">events), P17 (Vidhi drafting). Until P18 ships, KRI values arrive by Excel upload or manual attested entry (§4E.6).</w:t>
      </w:r>
    </w:p>
    <w:p>
      <w:pPr>
        <w:pStyle w:val="BlockText"/>
      </w:pPr>
      <w:r>
        <w:rPr>
          <w:bCs/>
          <w:b/>
        </w:rPr>
        <w:t xml:space="preserve">Sequencing:</w:t>
      </w:r>
      <w:r>
        <w:t xml:space="preserve"> </w:t>
      </w:r>
      <w:r>
        <w:t xml:space="preserve">starts after P04 exit; runs in parallel with P06–P07; must exit before P09 (Risk Assessment Lab), which reuses the taxonomy, appetite framework, KRI engine and dashboard shell built here.</w:t>
      </w:r>
    </w:p>
    <w:p>
      <w:pPr>
        <w:pStyle w:val="BlockText"/>
      </w:pPr>
      <w:r>
        <w:rPr>
          <w:bCs/>
          <w:b/>
        </w:rPr>
        <w:t xml:space="preserve">Binding appendices:</w:t>
      </w:r>
      <w:r>
        <w:t xml:space="preserve"> </w:t>
      </w:r>
      <w:r>
        <w:t xml:space="preserve">H (risk taxonomy, Basel mapping, applicability, KRI library, ratio library IDs), A (canonical approval and breach state machines), C (menus and dashboards), D (role matrix), U (settings catalogue), L (integration contracts; Ecosystem Spec v1.1 §6.22 and §9).</w:t>
      </w:r>
    </w:p>
    <w:p>
      <w:pPr>
        <w:pStyle w:val="BlockText"/>
      </w:pPr>
      <w:r>
        <w:rPr>
          <w:bCs/>
          <w:b/>
        </w:rPr>
        <w:t xml:space="preserve">Requirements covered:</w:t>
      </w:r>
      <w:r>
        <w:t xml:space="preserve"> </w:t>
      </w:r>
      <w:r>
        <w:t xml:space="preserve">R-010, R-012, R-013 (risk-linked controls), R-015 (people-risk data intake), R-023, R-024, R-028, R-030, R-039, R-056, R-058, R-059 (dashboards; ratios in P09), R-075, R-086, R-088.</w:t>
      </w:r>
    </w:p>
    <w:p>
      <w:pPr>
        <w:pStyle w:val="BlockText"/>
      </w:pPr>
      <w:r>
        <w:rPr>
          <w:bCs/>
          <w:b/>
        </w:rPr>
        <w:t xml:space="preserve">Estimated effort:</w:t>
      </w:r>
      <w:r>
        <w:t xml:space="preserve"> </w:t>
      </w:r>
      <w:r>
        <w:t xml:space="preserve">6 two-week sprints, squad of 7 (backend 3, frontend 2, risk domain analyst 1, QA 1).</w:t>
      </w:r>
    </w:p>
    <w:bookmarkStart w:id="54" w:name="objective-and-business-outcome-8"/>
    <w:p>
      <w:pPr>
        <w:pStyle w:val="Heading3"/>
      </w:pPr>
      <w:r>
        <w:t xml:space="preserve">Objective and business outcome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bookmarkEnd w:id="54"/>
    <w:bookmarkStart w:id="55" w:name="exit-gate-8"/>
    <w:p>
      <w:pPr>
        <w:pStyle w:val="Heading3"/>
      </w:pPr>
      <w:r>
        <w:t xml:space="preserve">Exit gate</w:t>
      </w:r>
    </w:p>
    <w:p>
      <w:pPr>
        <w:numPr>
          <w:ilvl w:val="0"/>
          <w:numId w:val="1015"/>
        </w:numPr>
        <w:pStyle w:val="Compact"/>
      </w:pPr>
      <w:r>
        <w:rPr>
          <w:rStyle w:val="VerbatimChar"/>
        </w:rPr>
        <w:t xml:space="preserve">erm</w:t>
      </w:r>
      <w:r>
        <w:t xml:space="preserve"> </w:t>
      </w:r>
      <w:r>
        <w:t xml:space="preserve">module, schema migrations (expand-contract, NN-11), OpenAPI and AsyncAPI specs, seed taxonomy packs (14) and KRI library (172), RAS templates per family, RCSA templates (enterprise, process, quick), RMC/ALCO/ITSC/ORC pack templates, Excel KRI-value template</w:t>
      </w:r>
      <w:r>
        <w:t xml:space="preserve"> </w:t>
      </w:r>
      <w:r>
        <w:rPr>
          <w:rStyle w:val="VerbatimChar"/>
        </w:rPr>
        <w:t xml:space="preserve">LDC-DT-KRI-v1.0</w:t>
      </w:r>
      <w:r>
        <w:t xml:space="preserve">.</w:t>
      </w:r>
    </w:p>
    <w:p>
      <w:pPr>
        <w:numPr>
          <w:ilvl w:val="0"/>
          <w:numId w:val="1015"/>
        </w:numPr>
        <w:pStyle w:val="Compact"/>
      </w:pPr>
      <w:r>
        <w:t xml:space="preserve">Screens SCR-ERM-01 to SCR-ERM-24 with empty/error states, "i" help keys and keyboard shortcuts; role templates for CRO, risk officer, risk owner, RMC member, Board member.</w:t>
      </w:r>
    </w:p>
    <w:p>
      <w:pPr>
        <w:numPr>
          <w:ilvl w:val="0"/>
          <w:numId w:val="1015"/>
        </w:numPr>
        <w:pStyle w:val="Compact"/>
      </w:pPr>
      <w:r>
        <w:t xml:space="preserve">Inbound Finbyx/Udofin risk-feed consumer certified against the Ecosystem Spec sandbox (P18), with reconciliation job.</w:t>
      </w:r>
    </w:p>
    <w:p>
      <w:pPr>
        <w:numPr>
          <w:ilvl w:val="0"/>
          <w:numId w:val="1015"/>
        </w:numPr>
        <w:pStyle w:val="Compact"/>
      </w:pPr>
      <w:r>
        <w:t xml:space="preserve">Documentation:</w:t>
      </w:r>
      <w:r>
        <w:t xml:space="preserve"> </w:t>
      </w:r>
      <w:r>
        <w:rPr>
          <w:rStyle w:val="VerbatimChar"/>
        </w:rPr>
        <w:t xml:space="preserve">docs/phases/P08-plan.md</w:t>
      </w:r>
      <w:r>
        <w:t xml:space="preserve"> </w:t>
      </w:r>
      <w:r>
        <w:t xml:space="preserve">(five inventories: settings, events, error codes, approval actions, export mapping), user guide and video script outlines for P23 (RAS setup, RCSA, KRI breach handling, RMC pack).</w:t>
      </w:r>
    </w:p>
    <w:p>
      <w:pPr>
        <w:numPr>
          <w:ilvl w:val="0"/>
          <w:numId w:val="1015"/>
        </w:numPr>
        <w:pStyle w:val="Compact"/>
      </w:pPr>
      <w:r>
        <w:rPr>
          <w:bCs/>
          <w:b/>
        </w:rPr>
        <w:t xml:space="preserve">Exit gate:</w:t>
      </w:r>
      <w:r>
        <w:t xml:space="preserve"> </w:t>
      </w:r>
      <w:r>
        <w:t xml:space="preserve">all §12 scenarios and NN tests green; pilot tenants (one NBFC-ML on Finbyx feed, one listed company without Finbyx, one credit co-operative society in quick mode) complete RAS setup, one RCSA campaign and one RMC pack end to end; WCAG 2.2 AA audit of SCR-ERM-01/04/08/11 passed; export of</w:t>
      </w:r>
      <w:r>
        <w:t xml:space="preserve"> </w:t>
      </w:r>
      <w:r>
        <w:rPr>
          <w:rStyle w:val="VerbatimChar"/>
        </w:rPr>
        <w:t xml:space="preserve">08 Risk Management</w:t>
      </w:r>
      <w:r>
        <w:t xml:space="preserve"> </w:t>
      </w:r>
      <w:r>
        <w:t xml:space="preserve">opens in Excel/Word/PDF readers without LDC.</w:t>
      </w:r>
    </w:p>
    <w:p>
      <w:r>
        <w:pict>
          <v:rect style="width:0;height:1.5pt" o:hralign="center" o:hrstd="t" o:hr="t"/>
        </w:pict>
      </w:r>
    </w:p>
    <w:bookmarkEnd w:id="55"/>
    <w:bookmarkStart w:id="56" w:name="integration-notes-8"/>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NN-38, NN-39; X-16 (</w:t>
      </w:r>
      <w:r>
        <w:rPr>
          <w:rStyle w:val="VerbatimChar"/>
          <w:bCs/>
          <w:b/>
        </w:rPr>
        <w:t xml:space="preserve">ral.icaap.host</w:t>
      </w:r>
      <w:r>
        <w:rPr>
          <w:bCs/>
          <w:b/>
        </w:rPr>
        <w:t xml:space="preserve">,</w:t>
      </w:r>
      <w:r>
        <w:rPr>
          <w:bCs/>
          <w:b/>
        </w:rPr>
        <w:t xml:space="preserve"> </w:t>
      </w:r>
      <w:r>
        <w:rPr>
          <w:rStyle w:val="VerbatimChar"/>
          <w:bCs/>
          <w:b/>
        </w:rPr>
        <w:t xml:space="preserve">ral.stress.fx_mode</w:t>
      </w:r>
      <w:r>
        <w:rPr>
          <w:bCs/>
          <w:b/>
        </w:rPr>
        <w:t xml:space="preserve">), X-25 (risk kernel, D-22), X-36 (people-risk aggregates k ≥ 5)</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56"/>
    <w:bookmarkEnd w:id="57"/>
    <w:bookmarkStart w:id="61" w:name="X98702cdb7cc86d9c2e51ad6e609aba62babc0f8"/>
    <w:p>
      <w:pPr>
        <w:pStyle w:val="Heading2"/>
      </w:pPr>
      <w:r>
        <w:t xml:space="preserve">Phase P09 — Risk Assessment Lab: ICAAP, Stress Testing, Capital and Ratios</w:t>
      </w:r>
    </w:p>
    <w:p>
      <w:pPr>
        <w:pStyle w:val="FirstParagraph"/>
      </w:pPr>
      <w:r>
        <w:rPr>
          <w:bCs/>
          <w:b/>
        </w:rPr>
        <w:t xml:space="preserve">Session prompt (type in Claude Code):</w:t>
      </w:r>
      <w:r>
        <w:t xml:space="preserve"> </w:t>
      </w:r>
      <w:r>
        <w:rPr>
          <w:iCs/>
          <w:i/>
        </w:rPr>
        <w:t xml:space="preserve">"Read docs/00-master-prompt.md, docs/01-decision-log.md and docs/phases/P09_Risk_Assessment_Lab_ICAAP_Stress_Testing_Capital_and_Ratios.md in full, plus the appendices it names as binding. Then write docs/phases/P09-plan.md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6"/>
        </w:numPr>
        <w:pStyle w:val="Compact"/>
      </w:pPr>
      <w:r>
        <w:rPr>
          <w:bCs/>
          <w:b/>
        </w:rPr>
        <w:t xml:space="preserve">P08</w:t>
      </w:r>
      <w:r>
        <w:t xml:space="preserve"> </w:t>
      </w:r>
      <w:r>
        <w:t xml:space="preserve">(taxonomy, RAS, KRI engine, breach episodes, committee packs, dashboard/widget shell — mandatory);</w:t>
      </w:r>
    </w:p>
    <w:p>
      <w:pPr>
        <w:numPr>
          <w:ilvl w:val="0"/>
          <w:numId w:val="1016"/>
        </w:numPr>
        <w:pStyle w:val="Compact"/>
      </w:pPr>
      <w:r>
        <w:rPr>
          <w:bCs/>
          <w:b/>
        </w:rPr>
        <w:t xml:space="preserve">P11</w:t>
      </w:r>
      <w:r>
        <w:t xml:space="preserve"> </w:t>
      </w:r>
      <w:r>
        <w:t xml:space="preserve">(accounting bridge: trial balance, Tally Prime/Excel import, Ind AS/AS mapping, financial statements; returns kernel client) — the Lab's non-Finbyx data path;</w:t>
      </w:r>
    </w:p>
    <w:p>
      <w:pPr>
        <w:numPr>
          <w:ilvl w:val="0"/>
          <w:numId w:val="1016"/>
        </w:numPr>
        <w:pStyle w:val="Compact"/>
      </w:pPr>
      <w:r>
        <w:rPr>
          <w:bCs/>
          <w:b/>
        </w:rPr>
        <w:t xml:space="preserve">P02</w:t>
      </w:r>
      <w:r>
        <w:t xml:space="preserve"> </w:t>
      </w:r>
      <w:r>
        <w:t xml:space="preserve">(rule packs: capital, ALM, PCA, ratio thresholds as effective-dated Governed packs);</w:t>
      </w:r>
    </w:p>
    <w:p>
      <w:pPr>
        <w:numPr>
          <w:ilvl w:val="0"/>
          <w:numId w:val="1016"/>
        </w:numPr>
        <w:pStyle w:val="Compact"/>
      </w:pPr>
      <w:r>
        <w:rPr>
          <w:bCs/>
          <w:b/>
        </w:rPr>
        <w:t xml:space="preserve">P07</w:t>
      </w:r>
      <w:r>
        <w:t xml:space="preserve"> </w:t>
      </w:r>
      <w:r>
        <w:t xml:space="preserve">(DMS and Word generation with tracked changes for the ICAAP document);</w:t>
      </w:r>
    </w:p>
    <w:p>
      <w:pPr>
        <w:numPr>
          <w:ilvl w:val="0"/>
          <w:numId w:val="1016"/>
        </w:numPr>
        <w:pStyle w:val="Compact"/>
      </w:pPr>
      <w:r>
        <w:rPr>
          <w:bCs/>
          <w:b/>
        </w:rPr>
        <w:t xml:space="preserve">P06</w:t>
      </w:r>
      <w:r>
        <w:t xml:space="preserve"> </w:t>
      </w:r>
      <w:r>
        <w:t xml:space="preserve">(Board/RMC/ALCO meetings, approvals and minute references);</w:t>
      </w:r>
    </w:p>
    <w:p>
      <w:pPr>
        <w:numPr>
          <w:ilvl w:val="0"/>
          <w:numId w:val="1016"/>
        </w:numPr>
        <w:pStyle w:val="Compact"/>
      </w:pPr>
      <w:r>
        <w:rPr>
          <w:bCs/>
          <w:b/>
        </w:rPr>
        <w:t xml:space="preserve">P18</w:t>
      </w:r>
      <w:r>
        <w:t xml:space="preserve"> </w:t>
      </w:r>
      <w:r>
        <w:t xml:space="preserve">(Finbyx/Udofin</w:t>
      </w:r>
      <w:r>
        <w:t xml:space="preserve"> </w:t>
      </w:r>
      <w:r>
        <w:rPr>
          <w:rStyle w:val="VerbatimChar"/>
        </w:rPr>
        <w:t xml:space="preserve">risk</w:t>
      </w:r>
      <w:r>
        <w:t xml:space="preserve"> </w:t>
      </w:r>
      <w:r>
        <w:t xml:space="preserve">events and the proposed stress-run API).</w:t>
      </w:r>
    </w:p>
    <w:p>
      <w:pPr>
        <w:pStyle w:val="BlockText"/>
      </w:pPr>
      <w:r>
        <w:rPr>
          <w:bCs/>
          <w:b/>
        </w:rPr>
        <w:t xml:space="preserve">Sequencing:</w:t>
      </w:r>
      <w:r>
        <w:t xml:space="preserve"> </w:t>
      </w:r>
      <w:r>
        <w:t xml:space="preserve">starts when P08 exits and P11's trial-balance import is available (P11 sprint 2). Capital and ratio engines first (sprints 1–3), ALM and liquidity (3–4), stress studio (4–6), ICAAP (6–7), KMP dashboards and exports (7–8). Banks' 1 April 2027 rule packs run in parallel mode from go-live (§4C.4).</w:t>
      </w:r>
    </w:p>
    <w:p>
      <w:pPr>
        <w:pStyle w:val="BlockText"/>
      </w:pPr>
      <w:r>
        <w:rPr>
          <w:bCs/>
          <w:b/>
        </w:rPr>
        <w:t xml:space="preserve">Binding appendices:</w:t>
      </w:r>
      <w:r>
        <w:t xml:space="preserve"> </w:t>
      </w:r>
      <w:r>
        <w:t xml:space="preserve">H (ratio library, scenario library, ICAAP outline, KRI library, Basel mapping), A (ICAAP, stress-run and certification state machines), I (return elements that share metrics, e.g., DNBS03/DNBS04A/B), J (Ind AS/AS and Schedule III mapping), U, L.</w:t>
      </w:r>
    </w:p>
    <w:p>
      <w:pPr>
        <w:pStyle w:val="BlockText"/>
      </w:pPr>
      <w:r>
        <w:rPr>
          <w:bCs/>
          <w:b/>
        </w:rPr>
        <w:t xml:space="preserve">Requirements covered:</w:t>
      </w:r>
      <w:r>
        <w:t xml:space="preserve"> </w:t>
      </w:r>
      <w:r>
        <w:t xml:space="preserve">R-010, R-011, R-012, R-052, R-058, R-059, R-060, R-061, R-064 (investment-entity ratios), R-065 (ARC capital), R-077, R-078, R-021 (exports), R-024, R-028, R-086.</w:t>
      </w:r>
    </w:p>
    <w:p>
      <w:pPr>
        <w:pStyle w:val="BlockText"/>
      </w:pPr>
      <w:r>
        <w:rPr>
          <w:bCs/>
          <w:b/>
        </w:rPr>
        <w:t xml:space="preserve">Estimated effort:</w:t>
      </w:r>
      <w:r>
        <w:t xml:space="preserve"> </w:t>
      </w:r>
      <w:r>
        <w:t xml:space="preserve">8 two-week sprints, squad of 8 (backend/quant engineers 3, frontend 2, risk/treasury domain analyst 1, chartered accountant/actuarial reviewer 0.5, QA 1.5).</w:t>
      </w:r>
    </w:p>
    <w:bookmarkStart w:id="58" w:name="objective-and-business-outcome-9"/>
    <w:p>
      <w:pPr>
        <w:pStyle w:val="Heading3"/>
      </w:pPr>
      <w:r>
        <w:t xml:space="preserve">Objective and business outcome</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bookmarkEnd w:id="58"/>
    <w:bookmarkStart w:id="59" w:name="exit-gate-9"/>
    <w:p>
      <w:pPr>
        <w:pStyle w:val="Heading3"/>
      </w:pPr>
      <w:r>
        <w:t xml:space="preserve">Exit gate</w:t>
      </w:r>
    </w:p>
    <w:p>
      <w:pPr>
        <w:numPr>
          <w:ilvl w:val="0"/>
          <w:numId w:val="1017"/>
        </w:numPr>
        <w:pStyle w:val="Compact"/>
      </w:pPr>
      <w:r>
        <w:rPr>
          <w:rStyle w:val="VerbatimChar"/>
        </w:rPr>
        <w:t xml:space="preserve">ral</w:t>
      </w:r>
      <w:r>
        <w:t xml:space="preserve"> </w:t>
      </w:r>
      <w:r>
        <w:t xml:space="preserve">module; kernel integration (</w:t>
      </w:r>
      <w:r>
        <w:rPr>
          <w:rStyle w:val="VerbatimChar"/>
        </w:rPr>
        <w:t xml:space="preserve">infrabyx-risk-kernel</w:t>
      </w:r>
      <w:r>
        <w:t xml:space="preserve"> </w:t>
      </w:r>
      <w:r>
        <w:t xml:space="preserve">pinned) with golden fixtures shared with Finbyx CI; rule packs: NBFC CAP 2025, UCB CAP 2025, Bank CAP 2025 (+ 2027 parallel pack), NBFC ALM 2025, NBFC CON 2025, NBFC MSD 2026 PCA, CIC, HFC, ARC, insurer solvency; Lab templates (11) with</w:t>
      </w:r>
      <w:r>
        <w:t xml:space="preserve"> </w:t>
      </w:r>
      <w:r>
        <w:rPr>
          <w:rStyle w:val="VerbatimChar"/>
        </w:rPr>
        <w:t xml:space="preserve">_Template_Info</w:t>
      </w:r>
      <w:r>
        <w:t xml:space="preserve">; ratio library of 125 metrics; scenario library of 46; ICAAP templates (NBFC nine-part, bank, light); 15 KMP role templates.</w:t>
      </w:r>
    </w:p>
    <w:p>
      <w:pPr>
        <w:numPr>
          <w:ilvl w:val="0"/>
          <w:numId w:val="1017"/>
        </w:numPr>
        <w:pStyle w:val="Compact"/>
      </w:pPr>
      <w:r>
        <w:t xml:space="preserve">Screens SCR-RAL-01 to SCR-RAL-22; user guides and P23 tutorial scripts ("Your first capital run", "Running a stress test", "ICAAP in 15 days", "Reading the ALM statement").</w:t>
      </w:r>
    </w:p>
    <w:p>
      <w:pPr>
        <w:numPr>
          <w:ilvl w:val="0"/>
          <w:numId w:val="1017"/>
        </w:numPr>
        <w:pStyle w:val="Compact"/>
      </w:pPr>
      <w:r>
        <w:rPr>
          <w:rStyle w:val="VerbatimChar"/>
        </w:rPr>
        <w:t xml:space="preserve">docs/phases/P09-plan.md</w:t>
      </w:r>
      <w:r>
        <w:t xml:space="preserve"> </w:t>
      </w:r>
      <w:r>
        <w:t xml:space="preserve">with inventories; model-validation file for each Lab model; reproducibility report.</w:t>
      </w:r>
    </w:p>
    <w:p>
      <w:pPr>
        <w:numPr>
          <w:ilvl w:val="0"/>
          <w:numId w:val="1017"/>
        </w:numPr>
        <w:pStyle w:val="Compact"/>
      </w:pPr>
      <w:r>
        <w:rPr>
          <w:bCs/>
          <w:b/>
        </w:rPr>
        <w:t xml:space="preserve">Exit gate:</w:t>
      </w:r>
      <w:r>
        <w:t xml:space="preserve"> </w:t>
      </w:r>
      <w:r>
        <w:t xml:space="preserve">§12 scenarios and NN tests green; three pilots end to end — (1) NBFC-ML on a third-party LMS: upload → certified CRAR, SLS, IRS, concentration, 40 ratios, stress (5 scenarios + reverse), ICAAP Board-approved DOCX/PDF; (2) Finbyx NBFC in</w:t>
      </w:r>
      <w:r>
        <w:t xml:space="preserve"> </w:t>
      </w:r>
      <w:r>
        <w:rPr>
          <w:rStyle w:val="VerbatimChar"/>
        </w:rPr>
        <w:t xml:space="preserve">LDC_EXTERNAL</w:t>
      </w:r>
      <w:r>
        <w:t xml:space="preserve">: values flow from events, ICAAP hosted in LDC, no recomputation; (3) listed corporate: Schedule III ratios and scenario analysis; ICAAP export opens in Word/Excel without LDC; reviewer (CA/actuarial) sign-off on engines.</w:t>
      </w:r>
    </w:p>
    <w:p>
      <w:r>
        <w:pict>
          <v:rect style="width:0;height:1.5pt" o:hralign="center" o:hrstd="t" o:hr="t"/>
        </w:pict>
      </w:r>
    </w:p>
    <w:bookmarkEnd w:id="59"/>
    <w:bookmarkStart w:id="60" w:name="integration-notes-9"/>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NN-37, NN-38, NN-39; X-16, X-25; MFI qualifying-asset value per OI-H-01 (master §7)</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60"/>
    <w:bookmarkEnd w:id="61"/>
    <w:bookmarkStart w:id="65" w:name="Xb5310c9d35d54bd91f434c45eed9bccf6c84b3a"/>
    <w:p>
      <w:pPr>
        <w:pStyle w:val="Heading2"/>
      </w:pPr>
      <w:r>
        <w:t xml:space="preserve">Phase P10 — Audit Management: Internal Audit, RBIA, Concurrent, IS/IT, Secretarial, Statutory-Audit Support and Specialised Audits</w:t>
      </w:r>
    </w:p>
    <w:p>
      <w:pPr>
        <w:pStyle w:val="FirstParagraph"/>
      </w:pPr>
      <w:r>
        <w:rPr>
          <w:bCs/>
          <w:b/>
        </w:rPr>
        <w:t xml:space="preserve">Session prompt (type in Claude Code):</w:t>
      </w:r>
      <w:r>
        <w:t xml:space="preserve"> </w:t>
      </w:r>
      <w:r>
        <w:rPr>
          <w:iCs/>
          <w:i/>
        </w:rPr>
        <w:t xml:space="preserve">"Read docs/00-master-prompt.md, docs/01-decision-log.md and docs/phases/P10_Audit_Management_Internal_RBIA_IS_Secretarial_Statutory.md in full, plus the appendices it names as binding. Then write docs/phases/P10-plan.md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8"/>
        </w:numPr>
        <w:pStyle w:val="Compact"/>
      </w:pPr>
      <w:r>
        <w:rPr>
          <w:bCs/>
          <w:b/>
        </w:rPr>
        <w:t xml:space="preserve">P00</w:t>
      </w:r>
      <w:r>
        <w:t xml:space="preserve"> </w:t>
      </w:r>
      <w:r>
        <w:t xml:space="preserve">(tenancy, RLS, hash-chained audit ledger and Correction Entries, object storage with Object Lock, outbox);</w:t>
      </w:r>
    </w:p>
    <w:p>
      <w:pPr>
        <w:numPr>
          <w:ilvl w:val="0"/>
          <w:numId w:val="1018"/>
        </w:numPr>
        <w:pStyle w:val="Compact"/>
      </w:pPr>
      <w:r>
        <w:rPr>
          <w:bCs/>
          <w:b/>
        </w:rPr>
        <w:t xml:space="preserve">P01</w:t>
      </w:r>
      <w:r>
        <w:t xml:space="preserve"> </w:t>
      </w:r>
      <w:r>
        <w:t xml:space="preserve">(identity, step-up MFA, roles</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external-access grants);</w:t>
      </w:r>
    </w:p>
    <w:p>
      <w:pPr>
        <w:numPr>
          <w:ilvl w:val="0"/>
          <w:numId w:val="1018"/>
        </w:numPr>
        <w:pStyle w:val="Compact"/>
      </w:pPr>
      <w:r>
        <w:rPr>
          <w:bCs/>
          <w:b/>
        </w:rPr>
        <w:t xml:space="preserve">P02</w:t>
      </w:r>
      <w:r>
        <w:t xml:space="preserve"> </w:t>
      </w:r>
      <w:r>
        <w:t xml:space="preserve">(settings registry, rule packs, terminology, Locked/Governed/Tenant tiers);</w:t>
      </w:r>
    </w:p>
    <w:p>
      <w:pPr>
        <w:numPr>
          <w:ilvl w:val="0"/>
          <w:numId w:val="1018"/>
        </w:numPr>
        <w:pStyle w:val="Compact"/>
      </w:pPr>
      <w:r>
        <w:rPr>
          <w:bCs/>
          <w:b/>
        </w:rPr>
        <w:t xml:space="preserve">P04</w:t>
      </w:r>
      <w:r>
        <w:t xml:space="preserve"> </w:t>
      </w:r>
      <w:r>
        <w:t xml:space="preserve">(obligations, control tests, evidence, tasks, calendar, notifications — audit consumes and writes these);</w:t>
      </w:r>
    </w:p>
    <w:p>
      <w:pPr>
        <w:numPr>
          <w:ilvl w:val="0"/>
          <w:numId w:val="1018"/>
        </w:numPr>
        <w:pStyle w:val="Compact"/>
      </w:pPr>
      <w:r>
        <w:rPr>
          <w:bCs/>
          <w:b/>
        </w:rPr>
        <w:t xml:space="preserve">P07</w:t>
      </w:r>
      <w:r>
        <w:t xml:space="preserve"> </w:t>
      </w:r>
      <w:r>
        <w:t xml:space="preserve">(DMS evidence vault, OCR, eSign envelopes, Word/PDF rendering);</w:t>
      </w:r>
    </w:p>
    <w:p>
      <w:pPr>
        <w:numPr>
          <w:ilvl w:val="0"/>
          <w:numId w:val="1018"/>
        </w:numPr>
        <w:pStyle w:val="Compact"/>
      </w:pPr>
      <w:r>
        <w:rPr>
          <w:bCs/>
          <w:b/>
        </w:rPr>
        <w:t xml:space="preserve">P08</w:t>
      </w:r>
      <w:r>
        <w:t xml:space="preserve"> </w:t>
      </w:r>
      <w:r>
        <w:t xml:space="preserve">(risk register, RCSA, KRIs, loss events, risk appetite — the second line that audit reads);</w:t>
      </w:r>
    </w:p>
    <w:p>
      <w:pPr>
        <w:numPr>
          <w:ilvl w:val="0"/>
          <w:numId w:val="1018"/>
        </w:numPr>
        <w:pStyle w:val="Compact"/>
      </w:pPr>
      <w:r>
        <w:rPr>
          <w:bCs/>
          <w:b/>
        </w:rPr>
        <w:t xml:space="preserve">P06</w:t>
      </w:r>
      <w:r>
        <w:t xml:space="preserve"> </w:t>
      </w:r>
      <w:r>
        <w:t xml:space="preserve">(Audit Committee, Board, meetings, minutes, resolutions — where audit reports are tabled; directors and KMP register).</w:t>
      </w:r>
    </w:p>
    <w:p>
      <w:pPr>
        <w:pStyle w:val="BlockText"/>
      </w:pPr>
      <w:r>
        <w:rPr>
          <w:bCs/>
          <w:b/>
        </w:rPr>
        <w:t xml:space="preserve">Sequencing:</w:t>
      </w:r>
      <w:r>
        <w:t xml:space="preserve"> </w:t>
      </w:r>
      <w:r>
        <w:t xml:space="preserve">P10 starts after P04 and P08 reach their sprint-2 freeze (obligation, control and risk read models). It runs in parallel with P11 (shared evidence and data-snapshot services) and P12 (IS audit consumes the P12 control library and VAPT register). P17 (Vidhi AI) adds the audit drafting agents; P10 ships the deterministic engine and the AI hooks behind flags.</w:t>
      </w:r>
    </w:p>
    <w:p>
      <w:pPr>
        <w:pStyle w:val="BlockText"/>
      </w:pPr>
      <w:r>
        <w:rPr>
          <w:bCs/>
          <w:b/>
        </w:rPr>
        <w:t xml:space="preserve">Binding appendices:</w:t>
      </w:r>
      <w:r>
        <w:t xml:space="preserve"> </w:t>
      </w:r>
      <w:r>
        <w:t xml:space="preserve">A (state machines), B (data model, events, error codes), C (screens), D (access matrix), G (legal rules register — LR-RBI-IAF, LR-RBI-SA, LR-RBI-AUD, LR-RBI-CYB, LR-MCA-138, LR-MCA-143, LR-MCA-204, LR-SEBI-24A, LR-ICAI, LR-ICSI), J (accounting, auditing and secretarial standards map), L (integration adapters: Finbyx Part 7D, Udofin RA2/RA4), M (export package), Q (security). Ecosystem: Infrabyx Ecosystem Integration Specification v1.1 §4.7 (external access) and §6.21 (</w:t>
      </w:r>
      <w:r>
        <w:rPr>
          <w:rStyle w:val="VerbatimChar"/>
        </w:rPr>
        <w:t xml:space="preserve">audit</w:t>
      </w:r>
      <w:r>
        <w:t xml:space="preserve"> </w:t>
      </w:r>
      <w:r>
        <w:t xml:space="preserve">events).</w:t>
      </w:r>
    </w:p>
    <w:p>
      <w:pPr>
        <w:pStyle w:val="BlockText"/>
      </w:pPr>
      <w:r>
        <w:rPr>
          <w:bCs/>
          <w:b/>
        </w:rPr>
        <w:t xml:space="preserve">Requirements covered:</w:t>
      </w:r>
      <w:r>
        <w:t xml:space="preserve"> </w:t>
      </w:r>
      <w:r>
        <w:t xml:space="preserve">R-055 (audit module), R-013 (complete compliance tool incl. reports and maker-checker), R-018 (auditor, external auditor, board, supervisor roles), R-057 (regulator read-only), R-052/R-053 (data from Finbyx and Udofin), R-075 (event audit trail), R-076/R-081 (download), R-097 (AI employee for audit drafting), R-054 (secretarial standards checks), R-012/R-059 (Internal Auditor and Audit Committee dashboards), R-021 (export folders).</w:t>
      </w:r>
    </w:p>
    <w:p>
      <w:pPr>
        <w:pStyle w:val="BlockText"/>
      </w:pPr>
      <w:r>
        <w:rPr>
          <w:bCs/>
          <w:b/>
        </w:rPr>
        <w:t xml:space="preserve">Estimated effort:</w:t>
      </w:r>
      <w:r>
        <w:t xml:space="preserve"> </w:t>
      </w:r>
      <w:r>
        <w:t xml:space="preserve">8 two-week sprints for a squad of 8 (audit core 3; programmes and type packs 2; workpapers, sampling and evidence 2; reports and dashboards 1), plus one domain analyst (CA with bank/NBFC audit experience) and one CS for the secretarial pack.</w:t>
      </w:r>
    </w:p>
    <w:bookmarkStart w:id="62" w:name="objective-and-business-outcome-10"/>
    <w:p>
      <w:pPr>
        <w:pStyle w:val="Heading3"/>
      </w:pPr>
      <w:r>
        <w:t xml:space="preserve">Objective and business outcome</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bookmarkEnd w:id="62"/>
    <w:bookmarkStart w:id="63" w:name="exit-gate-10"/>
    <w:p>
      <w:pPr>
        <w:pStyle w:val="Heading3"/>
      </w:pPr>
      <w:r>
        <w:t xml:space="preserve">Exit gate</w:t>
      </w:r>
    </w:p>
    <w:p>
      <w:pPr>
        <w:numPr>
          <w:ilvl w:val="0"/>
          <w:numId w:val="1019"/>
        </w:numPr>
        <w:pStyle w:val="Compact"/>
      </w:pPr>
      <w:r>
        <w:rPr>
          <w:rStyle w:val="VerbatimChar"/>
        </w:rPr>
        <w:t xml:space="preserve">aud</w:t>
      </w:r>
      <w:r>
        <w:t xml:space="preserve"> </w:t>
      </w:r>
      <w:r>
        <w:t xml:space="preserve">schema migrations (expand-contract), seed programme libraries (NBFC RBIA, bank RBIA/concurrent, UCB, co-operative, ARC, companies s.138, IS/ITGC, data protection, secretarial, statutory support), report base templates, CAAT library v1 (≥ 30 tests), methodology v1.</w:t>
      </w:r>
    </w:p>
    <w:p>
      <w:pPr>
        <w:numPr>
          <w:ilvl w:val="0"/>
          <w:numId w:val="1019"/>
        </w:numPr>
        <w:pStyle w:val="Compact"/>
      </w:pPr>
      <w:r>
        <w:t xml:space="preserve">All screens in §6 with empty/error states and</w:t>
      </w:r>
      <w:r>
        <w:t xml:space="preserve"> </w:t>
      </w:r>
      <w:r>
        <w:rPr>
          <w:rStyle w:val="VerbatimChar"/>
        </w:rPr>
        <w:t xml:space="preserve">help.aud.*</w:t>
      </w:r>
      <w:r>
        <w:t xml:space="preserve"> </w:t>
      </w:r>
      <w:r>
        <w:t xml:space="preserve">content.</w:t>
      </w:r>
    </w:p>
    <w:p>
      <w:pPr>
        <w:numPr>
          <w:ilvl w:val="0"/>
          <w:numId w:val="1019"/>
        </w:numPr>
        <w:pStyle w:val="Compact"/>
      </w:pPr>
      <w:r>
        <w:t xml:space="preserve">Applicability resolver with citations for all §4B types; decision log visible to CCO and HIA.</w:t>
      </w:r>
    </w:p>
    <w:p>
      <w:pPr>
        <w:numPr>
          <w:ilvl w:val="0"/>
          <w:numId w:val="1019"/>
        </w:numPr>
        <w:pStyle w:val="Compact"/>
      </w:pPr>
      <w:r>
        <w:t xml:space="preserve">Engagement, finding, plan, methodology, grant, VAPT state machines with Temporal timers.</w:t>
      </w:r>
    </w:p>
    <w:p>
      <w:pPr>
        <w:numPr>
          <w:ilvl w:val="0"/>
          <w:numId w:val="1019"/>
        </w:numPr>
        <w:pStyle w:val="Compact"/>
      </w:pPr>
      <w:r>
        <w:t xml:space="preserve">ACB pack builder integrated with P06 agenda and minutes write-back.</w:t>
      </w:r>
    </w:p>
    <w:p>
      <w:pPr>
        <w:numPr>
          <w:ilvl w:val="0"/>
          <w:numId w:val="1019"/>
        </w:numPr>
        <w:pStyle w:val="Compact"/>
      </w:pPr>
      <w:r>
        <w:t xml:space="preserve">Ecosystem mirror and publish for</w:t>
      </w:r>
      <w:r>
        <w:t xml:space="preserve"> </w:t>
      </w:r>
      <w:r>
        <w:rPr>
          <w:rStyle w:val="VerbatimChar"/>
        </w:rPr>
        <w:t xml:space="preserve">audit</w:t>
      </w:r>
      <w:r>
        <w:t xml:space="preserve"> </w:t>
      </w:r>
      <w:r>
        <w:t xml:space="preserve">events; evidence-request client.</w:t>
      </w:r>
    </w:p>
    <w:p>
      <w:pPr>
        <w:numPr>
          <w:ilvl w:val="0"/>
          <w:numId w:val="1019"/>
        </w:numPr>
        <w:pStyle w:val="Compact"/>
      </w:pPr>
      <w:r>
        <w:t xml:space="preserve">Export to</w:t>
      </w:r>
      <w:r>
        <w:t xml:space="preserve"> </w:t>
      </w:r>
      <w:r>
        <w:rPr>
          <w:rStyle w:val="VerbatimChar"/>
        </w:rPr>
        <w:t xml:space="preserve">LDC-EXPORT-1.0</w:t>
      </w:r>
      <w:r>
        <w:t xml:space="preserve"> </w:t>
      </w:r>
      <w:r>
        <w:t xml:space="preserve">(§4Q) with contract test.</w:t>
      </w:r>
    </w:p>
    <w:p>
      <w:pPr>
        <w:numPr>
          <w:ilvl w:val="0"/>
          <w:numId w:val="1019"/>
        </w:numPr>
        <w:pStyle w:val="Compact"/>
      </w:pPr>
      <w:r>
        <w:t xml:space="preserve">Gherkin suites (§12) green; NN tests green; WCAG 2.2 AA audit of audit screens.</w:t>
      </w:r>
    </w:p>
    <w:p>
      <w:pPr>
        <w:numPr>
          <w:ilvl w:val="0"/>
          <w:numId w:val="1019"/>
        </w:numPr>
        <w:pStyle w:val="Compact"/>
      </w:pPr>
      <w:r>
        <w:t xml:space="preserve">Documentation:</w:t>
      </w:r>
      <w:r>
        <w:t xml:space="preserve"> </w:t>
      </w:r>
      <w:r>
        <w:rPr>
          <w:rStyle w:val="VerbatimChar"/>
        </w:rPr>
        <w:t xml:space="preserve">docs/modules/aud.md</w:t>
      </w:r>
      <w:r>
        <w:t xml:space="preserve"> </w:t>
      </w:r>
      <w:r>
        <w:t xml:space="preserve">(domain model, events, settings), auditor user guide, ACB user guide, external-auditor onboarding guide.</w:t>
      </w:r>
    </w:p>
    <w:p>
      <w:pPr>
        <w:pStyle w:val="FirstParagraph"/>
      </w:pPr>
      <w:r>
        <w:t xml:space="preserve">Exit gate: a demo tenant (ML NBFC) completes universe seeding, risk assessment, ACB-approved plan, one RBIA engagement with sampled workpapers and three findings through retest, an ACB pack frozen and tabled, a statutory-audit PBC cycle with AUD checklist and DNBS10 timer, one secretarial audit with SS checks, and a VAPT import with an SLA breach — all exported and re-imported into a sandbox with matching hashes.</w:t>
      </w:r>
    </w:p>
    <w:bookmarkEnd w:id="63"/>
    <w:bookmarkStart w:id="64" w:name="integration-notes-10"/>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NN-37, NN-39; X-16 (</w:t>
      </w:r>
      <w:r>
        <w:rPr>
          <w:rStyle w:val="VerbatimChar"/>
          <w:bCs/>
          <w:b/>
        </w:rPr>
        <w:t xml:space="preserve">aud.host.mode</w:t>
      </w:r>
      <w:r>
        <w:rPr>
          <w:bCs/>
          <w:b/>
        </w:rPr>
        <w:t xml:space="preserve">), X-19 (</w:t>
      </w:r>
      <w:r>
        <w:rPr>
          <w:rStyle w:val="VerbatimChar"/>
          <w:bCs/>
          <w:b/>
        </w:rPr>
        <w:t xml:space="preserve">ia_contributor</w:t>
      </w:r>
      <w:r>
        <w:rPr>
          <w:bCs/>
          <w:b/>
        </w:rPr>
        <w:t xml:space="preserve">), X-30 (co-sourced IA only for RBIA-bound REs)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64"/>
    <w:bookmarkEnd w:id="65"/>
    <w:bookmarkStart w:id="69" w:name="X9bb6b332aae2dcdd43aa1f8a24fc7317ecf07db"/>
    <w:p>
      <w:pPr>
        <w:pStyle w:val="Heading2"/>
      </w:pPr>
      <w:r>
        <w:t xml:space="preserve">Phase P11 — Return Studio, Data Preparation and Accounting Bridge</w:t>
      </w:r>
    </w:p>
    <w:p>
      <w:pPr>
        <w:pStyle w:val="FirstParagraph"/>
      </w:pPr>
      <w:r>
        <w:rPr>
          <w:bCs/>
          <w:b/>
        </w:rPr>
        <w:t xml:space="preserve">Session prompt (type in Claude Code):</w:t>
      </w:r>
      <w:r>
        <w:t xml:space="preserve"> </w:t>
      </w:r>
      <w:r>
        <w:rPr>
          <w:iCs/>
          <w:i/>
        </w:rPr>
        <w:t xml:space="preserve">"Read docs/00-master-prompt.md, docs/01-decision-log.md and docs/phases/P11_Return_Studio_Data_Preparation_and_Accounting_Bridge.md in full, plus the appendices it names as binding. Then write docs/phases/P11-plan.md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0"/>
        </w:numPr>
        <w:pStyle w:val="Compact"/>
      </w:pPr>
      <w:r>
        <w:rPr>
          <w:bCs/>
          <w:b/>
        </w:rPr>
        <w:t xml:space="preserve">P00</w:t>
      </w:r>
      <w:r>
        <w:t xml:space="preserve"> </w:t>
      </w:r>
      <w:r>
        <w:t xml:space="preserve">(tenancy, ledger, object storage with Object Lock, outbox, Temporal);</w:t>
      </w:r>
    </w:p>
    <w:p>
      <w:pPr>
        <w:numPr>
          <w:ilvl w:val="0"/>
          <w:numId w:val="1020"/>
        </w:numPr>
        <w:pStyle w:val="Compact"/>
      </w:pPr>
      <w:r>
        <w:rPr>
          <w:bCs/>
          <w:b/>
        </w:rPr>
        <w:t xml:space="preserve">P01</w:t>
      </w:r>
      <w:r>
        <w:t xml:space="preserve"> </w:t>
      </w:r>
      <w:r>
        <w:t xml:space="preserve">(roles, step-up MFA, external-access grants);</w:t>
      </w:r>
    </w:p>
    <w:p>
      <w:pPr>
        <w:numPr>
          <w:ilvl w:val="0"/>
          <w:numId w:val="1020"/>
        </w:numPr>
        <w:pStyle w:val="Compact"/>
      </w:pPr>
      <w:r>
        <w:rPr>
          <w:bCs/>
          <w:b/>
        </w:rPr>
        <w:t xml:space="preserve">P02</w:t>
      </w:r>
      <w:r>
        <w:t xml:space="preserve"> </w:t>
      </w:r>
      <w:r>
        <w:t xml:space="preserve">(settings, rule packs, holiday calendars, delegation matrix);</w:t>
      </w:r>
    </w:p>
    <w:p>
      <w:pPr>
        <w:numPr>
          <w:ilvl w:val="0"/>
          <w:numId w:val="1020"/>
        </w:numPr>
        <w:pStyle w:val="Compact"/>
      </w:pPr>
      <w:r>
        <w:rPr>
          <w:bCs/>
          <w:b/>
        </w:rPr>
        <w:t xml:space="preserve">P03</w:t>
      </w:r>
      <w:r>
        <w:t xml:space="preserve"> </w:t>
      </w:r>
      <w:r>
        <w:t xml:space="preserve">(instrument catalogue — every return definition cites an instrument version);</w:t>
      </w:r>
    </w:p>
    <w:p>
      <w:pPr>
        <w:numPr>
          <w:ilvl w:val="0"/>
          <w:numId w:val="1020"/>
        </w:numPr>
        <w:pStyle w:val="Compact"/>
      </w:pPr>
      <w:r>
        <w:rPr>
          <w:bCs/>
          <w:b/>
        </w:rPr>
        <w:t xml:space="preserve">P04</w:t>
      </w:r>
      <w:r>
        <w:t xml:space="preserve"> </w:t>
      </w:r>
      <w:r>
        <w:t xml:space="preserve">(obligations, calendar, tasks, notifications, evidence — every return due instance is also a compliance obligation instance);</w:t>
      </w:r>
    </w:p>
    <w:p>
      <w:pPr>
        <w:numPr>
          <w:ilvl w:val="0"/>
          <w:numId w:val="1020"/>
        </w:numPr>
        <w:pStyle w:val="Compact"/>
      </w:pPr>
      <w:r>
        <w:rPr>
          <w:bCs/>
          <w:b/>
        </w:rPr>
        <w:t xml:space="preserve">P07</w:t>
      </w:r>
      <w:r>
        <w:t xml:space="preserve"> </w:t>
      </w:r>
      <w:r>
        <w:t xml:space="preserve">(DMS: evidence vault, OCR, PDF extraction);</w:t>
      </w:r>
    </w:p>
    <w:p>
      <w:pPr>
        <w:numPr>
          <w:ilvl w:val="0"/>
          <w:numId w:val="1020"/>
        </w:numPr>
        <w:pStyle w:val="Compact"/>
      </w:pPr>
      <w:r>
        <w:rPr>
          <w:bCs/>
          <w:b/>
        </w:rPr>
        <w:t xml:space="preserve">P18</w:t>
      </w:r>
      <w:r>
        <w:t xml:space="preserve"> </w:t>
      </w:r>
      <w:r>
        <w:t xml:space="preserve">(integration gateway: Finbyx and Udofin connectors, Tally agent channel, SFTP drop, API keys).</w:t>
      </w:r>
    </w:p>
    <w:p>
      <w:pPr>
        <w:pStyle w:val="BlockText"/>
      </w:pPr>
      <w:r>
        <w:rPr>
          <w:bCs/>
          <w:b/>
        </w:rPr>
        <w:t xml:space="preserve">Sequencing:</w:t>
      </w:r>
      <w:r>
        <w:t xml:space="preserve"> </w:t>
      </w:r>
      <w:r>
        <w:t xml:space="preserve">P11 starts with the</w:t>
      </w:r>
      <w:r>
        <w:t xml:space="preserve"> </w:t>
      </w:r>
      <w:r>
        <w:rPr>
          <w:bCs/>
          <w:b/>
        </w:rPr>
        <w:t xml:space="preserve">shared returns kernel</w:t>
      </w:r>
      <w:r>
        <w:t xml:space="preserve"> </w:t>
      </w:r>
      <w:r>
        <w:t xml:space="preserve">contract (D-05) agreed with the Finbyx team in sprint 1 (interface ADR, package</w:t>
      </w:r>
      <w:r>
        <w:t xml:space="preserve"> </w:t>
      </w:r>
      <w:r>
        <w:rPr>
          <w:rStyle w:val="VerbatimChar"/>
        </w:rPr>
        <w:t xml:space="preserve">@infrabyx/returns-kernel</w:t>
      </w:r>
      <w:r>
        <w:t xml:space="preserve"> </w:t>
      </w:r>
      <w:r>
        <w:t xml:space="preserve">and data packs</w:t>
      </w:r>
      <w:r>
        <w:t xml:space="preserve"> </w:t>
      </w:r>
      <w:r>
        <w:rPr>
          <w:rStyle w:val="VerbatimChar"/>
        </w:rPr>
        <w:t xml:space="preserve">infrabyx-returns-packs</w:t>
      </w:r>
      <w:r>
        <w:t xml:space="preserve">). P11 then runs in parallel with P10 (shared snapshot and evidence services) and feeds P09 (ratios, capital, ALM), P06 (annual report and board-pack financials), P10 (PBC items, CARO, AUD checklists, tax-audit packs) and P19 (export).</w:t>
      </w:r>
    </w:p>
    <w:p>
      <w:pPr>
        <w:pStyle w:val="BlockText"/>
      </w:pPr>
      <w:r>
        <w:rPr>
          <w:bCs/>
          <w:b/>
        </w:rPr>
        <w:t xml:space="preserve">Binding appendices:</w:t>
      </w:r>
      <w:r>
        <w:t xml:space="preserve"> </w:t>
      </w:r>
      <w:r>
        <w:t xml:space="preserve">I (returns, CIC and tax return catalogue), J (accounting, auditing and secretarial standards map), B (data model, events, errors), L (adapters and APIs incl. Tally, Finbyx, Udofin), M (export package —</w:t>
      </w:r>
      <w:r>
        <w:t xml:space="preserve"> </w:t>
      </w:r>
      <w:r>
        <w:rPr>
          <w:rStyle w:val="VerbatimChar"/>
        </w:rPr>
        <w:t xml:space="preserve">11 Returns and Regulatory Reporting</w:t>
      </w:r>
      <w:r>
        <w:t xml:space="preserve">,</w:t>
      </w:r>
      <w:r>
        <w:t xml:space="preserve"> </w:t>
      </w:r>
      <w:r>
        <w:rPr>
          <w:rStyle w:val="VerbatimChar"/>
        </w:rPr>
        <w:t xml:space="preserve">11 Returns and Regulatory Reporting/Credit Information Companies</w:t>
      </w:r>
      <w:r>
        <w:t xml:space="preserve">,</w:t>
      </w:r>
      <w:r>
        <w:t xml:space="preserve"> </w:t>
      </w:r>
      <w:r>
        <w:rPr>
          <w:rStyle w:val="VerbatimChar"/>
        </w:rPr>
        <w:t xml:space="preserve">11 Returns and Regulatory Reporting/Accounts and Tax</w:t>
      </w:r>
      <w:r>
        <w:t xml:space="preserve">), G (rules register — LR-RBI-SR, LR-RBI-CIR, LR-GST, LR-IT, LR-MCA). Ecosystem: Infrabyx Ecosystem Integration Specification v1.1 §§5.2 (entities 30–32), 6.18–6.20, 10.2, 12.1–12.3.</w:t>
      </w:r>
    </w:p>
    <w:p>
      <w:pPr>
        <w:pStyle w:val="BlockText"/>
      </w:pPr>
      <w:r>
        <w:rPr>
          <w:bCs/>
          <w:b/>
        </w:rPr>
        <w:t xml:space="preserve">Requirements covered:</w:t>
      </w:r>
      <w:r>
        <w:t xml:space="preserve"> </w:t>
      </w:r>
      <w:r>
        <w:t xml:space="preserve">R-048 (RBI returns, CIMS/DAKSH/PRAVAAH, data definitions, supervisory-return directions), R-049 (CIC submissions), R-050 (Tally/Excel import and transformation), R-051 (Ind AS/AS applicability; exports follow standards), R-052 (draw from Finbyx/Udofin/other LMS; export return-ready data), R-053 (data for annual reports and minutes), R-061 (CFO ratios from accounts and loan data), R-077 (return-ready data for RBI, SEBI, IFSCA, GST and tax portals with agentic AI), R-078 (import balance sheets, prior annual reports, books, data dumps, Tally), R-079 (GST/tax exports), R-081 (download), R-013 (maker-checker).</w:t>
      </w:r>
    </w:p>
    <w:p>
      <w:pPr>
        <w:pStyle w:val="BlockText"/>
      </w:pPr>
      <w:r>
        <w:rPr>
          <w:bCs/>
          <w:b/>
        </w:rPr>
        <w:t xml:space="preserve">Estimated effort:</w:t>
      </w:r>
      <w:r>
        <w:t xml:space="preserve"> </w:t>
      </w:r>
      <w:r>
        <w:t xml:space="preserve">10 two-week sprints for a squad of 9 (kernel client and registry 2; ingestion and mapping 3; validation, reconciliation and packaging 2; accounting bridge 1; CIC and tax packs 1), plus a regulatory-reporting analyst (ex-bank/NBFC MIS) and a CA for accounting and tax packs.</w:t>
      </w:r>
    </w:p>
    <w:bookmarkStart w:id="66" w:name="objective-and-business-outcome-11"/>
    <w:p>
      <w:pPr>
        <w:pStyle w:val="Heading3"/>
      </w:pPr>
      <w:r>
        <w:t xml:space="preserve">Objective and business outcome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21"/>
        </w:numPr>
        <w:pStyle w:val="Compact"/>
      </w:pP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21"/>
        </w:numPr>
        <w:pStyle w:val="Compact"/>
      </w:pP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21"/>
        </w:numPr>
        <w:pStyle w:val="Compact"/>
      </w:pP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 "Generate in LDC" 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bookmarkEnd w:id="66"/>
    <w:bookmarkStart w:id="67" w:name="exit-gate-11"/>
    <w:p>
      <w:pPr>
        <w:pStyle w:val="Heading3"/>
      </w:pPr>
      <w:r>
        <w:t xml:space="preserve">Exit gate</w:t>
      </w:r>
    </w:p>
    <w:p>
      <w:pPr>
        <w:numPr>
          <w:ilvl w:val="0"/>
          <w:numId w:val="1022"/>
        </w:numPr>
        <w:pStyle w:val="Compact"/>
      </w:pPr>
      <w:r>
        <w:t xml:space="preserve">Kernel interface ADR signed by Finbyx and LDC leads; kernel and packs consumed with pinned versions; golden-fixture CI.</w:t>
      </w:r>
    </w:p>
    <w:p>
      <w:pPr>
        <w:numPr>
          <w:ilvl w:val="0"/>
          <w:numId w:val="1022"/>
        </w:numPr>
        <w:pStyle w:val="Compact"/>
      </w:pP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w:t>
      </w:r>
      <w:r>
        <w:t xml:space="preserve">migrations; CFDM; LDC data templates (17 templates with</w:t>
      </w:r>
      <w:r>
        <w:t xml:space="preserve"> </w:t>
      </w:r>
      <w:r>
        <w:rPr>
          <w:rStyle w:val="VerbatimChar"/>
        </w:rPr>
        <w:t xml:space="preserve">_Template_Info</w:t>
      </w:r>
      <w:r>
        <w:t xml:space="preserve">); starter mapping profiles (Tally group names → Schedule III; three generic LMS exports).</w:t>
      </w:r>
    </w:p>
    <w:p>
      <w:pPr>
        <w:numPr>
          <w:ilvl w:val="0"/>
          <w:numId w:val="1022"/>
        </w:numPr>
        <w:pStyle w:val="Compact"/>
      </w:pPr>
      <w:r>
        <w:t xml:space="preserve">Data Room with all §4C adapters (Tally agent read path behind flag); malware and PII scanning.</w:t>
      </w:r>
    </w:p>
    <w:p>
      <w:pPr>
        <w:numPr>
          <w:ilvl w:val="0"/>
          <w:numId w:val="1022"/>
        </w:numPr>
        <w:pStyle w:val="Compact"/>
      </w:pPr>
      <w:r>
        <w:t xml:space="preserve">Return engine path for NBFC families (DNBS01–14, LEF, FMR family, Form A) on LDC-native data; mirror path for Finbyx; UCB, ARC, bank, SFB rows loaded</w:t>
      </w:r>
      <w:r>
        <w:t xml:space="preserve"> </w:t>
      </w:r>
      <w:r>
        <w:rPr>
          <w:rStyle w:val="VerbatimChar"/>
        </w:rPr>
        <w:t xml:space="preserve">ACTIVE_UNVERIFIED</w:t>
      </w:r>
      <w:r>
        <w:t xml:space="preserve"> </w:t>
      </w:r>
      <w:r>
        <w:t xml:space="preserve">with calendar and evidence.</w:t>
      </w:r>
    </w:p>
    <w:p>
      <w:pPr>
        <w:numPr>
          <w:ilvl w:val="0"/>
          <w:numId w:val="1022"/>
        </w:numPr>
        <w:pStyle w:val="Compact"/>
      </w:pPr>
      <w:r>
        <w:t xml:space="preserve">CIC builder (consumer, commercial, MFI) with golden files; GST and TDS packs; MCA AOC-4 payload; accounting bridge (framework resolver, statements, Schedule III datasets, ratio feed).</w:t>
      </w:r>
    </w:p>
    <w:p>
      <w:pPr>
        <w:numPr>
          <w:ilvl w:val="0"/>
          <w:numId w:val="1022"/>
        </w:numPr>
        <w:pStyle w:val="Compact"/>
      </w:pPr>
      <w:r>
        <w:t xml:space="preserve">Vidhi data-prep tools and guardrails; agentic run-book behind flag.</w:t>
      </w:r>
    </w:p>
    <w:p>
      <w:pPr>
        <w:numPr>
          <w:ilvl w:val="0"/>
          <w:numId w:val="1022"/>
        </w:numPr>
        <w:pStyle w:val="Compact"/>
      </w:pPr>
      <w:r>
        <w:t xml:space="preserve">Screens §6 with empty and error states and help content; dashboards §4O.</w:t>
      </w:r>
    </w:p>
    <w:p>
      <w:pPr>
        <w:numPr>
          <w:ilvl w:val="0"/>
          <w:numId w:val="1022"/>
        </w:numPr>
        <w:pStyle w:val="Compact"/>
      </w:pPr>
      <w:r>
        <w:t xml:space="preserve">Exports per §4P with contract tests.</w:t>
      </w:r>
    </w:p>
    <w:p>
      <w:pPr>
        <w:numPr>
          <w:ilvl w:val="0"/>
          <w:numId w:val="1022"/>
        </w:numPr>
        <w:pStyle w:val="Compact"/>
      </w:pPr>
      <w:r>
        <w:t xml:space="preserve">Documentation:</w:t>
      </w:r>
      <w:r>
        <w:t xml:space="preserve"> </w:t>
      </w:r>
      <w:r>
        <w:rPr>
          <w:rStyle w:val="VerbatimChar"/>
        </w:rPr>
        <w:t xml:space="preserve">docs/modules/ret.md</w:t>
      </w:r>
      <w:r>
        <w:t xml:space="preserve">,</w:t>
      </w:r>
      <w:r>
        <w:t xml:space="preserve"> </w:t>
      </w:r>
      <w:r>
        <w:rPr>
          <w:rStyle w:val="VerbatimChar"/>
        </w:rPr>
        <w:t xml:space="preserve">docs/modules/acc.md</w:t>
      </w:r>
      <w:r>
        <w:t xml:space="preserve">, data-template guide for clients, Tally agent installation guide, CIC onboarding checklist, filer's guide (guided upload).</w:t>
      </w:r>
    </w:p>
    <w:p>
      <w:pPr>
        <w:pStyle w:val="FirstParagraph"/>
      </w:pPr>
      <w:r>
        <w:t xml:space="preserve">Exit gate: (a) a non-Finbyx BL NBFC demo tenant produces reconciled, signed packages for DNBS02, DNBS04B and DNBS13 (NIL) for one quarter from Tally + Excel, records acknowledgements, and exports the evidence; (b) a Finbyx-linked demo tenant shows mirrored returns with no generate action; (c) a CIC month-end and one W-cycle build passes golden tests; (d) GSTR-1/3B and one Form 140 package pass schema/utility validation; (e) draft Division III statements tie to DNBS02 and the P09 CRAR; (f) all NN tests green.</w:t>
      </w:r>
    </w:p>
    <w:bookmarkEnd w:id="67"/>
    <w:bookmarkStart w:id="68" w:name="integration-notes-11"/>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NN-37, NN-39; X-09 (</w:t>
      </w:r>
      <w:r>
        <w:rPr>
          <w:rStyle w:val="VerbatimChar"/>
          <w:bCs/>
          <w:b/>
        </w:rPr>
        <w:t xml:space="preserve">LDC-DT-*</w:t>
      </w:r>
      <w:r>
        <w:rPr>
          <w:bCs/>
          <w:b/>
        </w:rPr>
        <w:t xml:space="preserve"> </w:t>
      </w:r>
      <w:r>
        <w:rPr>
          <w:bCs/>
          <w:b/>
        </w:rPr>
        <w:t xml:space="preserve">data templates), X-12, X-25, X-31, X-32 (return generation scope in v1), X-41 (Tally read-only)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68"/>
    <w:bookmarkEnd w:id="69"/>
    <w:bookmarkStart w:id="73" w:name="X16601c0b1e832e2e40c1de296e8c3c225f9e45c"/>
    <w:p>
      <w:pPr>
        <w:pStyle w:val="Heading2"/>
      </w:pPr>
      <w:r>
        <w:t xml:space="preserve">Phase P12 — Data Protection, Cyber Security, IT Governance and Third-Party Risk (TPRM)</w:t>
      </w:r>
    </w:p>
    <w:p>
      <w:pPr>
        <w:pStyle w:val="FirstParagraph"/>
      </w:pPr>
      <w:r>
        <w:rPr>
          <w:bCs/>
          <w:b/>
        </w:rPr>
        <w:t xml:space="preserve">Session prompt (type in Claude Code):</w:t>
      </w:r>
      <w:r>
        <w:t xml:space="preserve"> </w:t>
      </w:r>
      <w:r>
        <w:rPr>
          <w:iCs/>
          <w:i/>
        </w:rPr>
        <w:t xml:space="preserve">"Read docs/00-master-prompt.md, docs/01-decision-log.md and docs/phases/P12_Data_Protection_Cyber_Security_IT_Governance_and_TPRM.md in full, plus the appendices it names as binding. Then write docs/phases/P12-plan.md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Object Lock evidence store), P01 (identity, step-up MFA, grants), P02 (settings registry, rule packs, Locked/Governed/Tenant tiers), P03 (instrument and obligation library — the DPDP, GDPR, CCPA, CERT-In, RBI/SEBI/IRDAI/IFSCA cyber instruments are content packs), P04 (compliance instances, maker-checker, evidence, calendar, tasks), P07 (DMS, policy lifecycle — privacy notice, ISMS policies), P08 (risk register, KRIs, loss events).</w:t>
      </w:r>
    </w:p>
    <w:p>
      <w:pPr>
        <w:pStyle w:val="BlockText"/>
      </w:pPr>
      <w:r>
        <w:rPr>
          <w:bCs/>
          <w:b/>
        </w:rPr>
        <w:t xml:space="preserve">Sequencing:</w:t>
      </w:r>
      <w:r>
        <w:t xml:space="preserve"> </w:t>
      </w:r>
      <w:r>
        <w:t xml:space="preserve">starts after P04 exit. P12 sub-iterations: P12a Privacy Programme (§4A–§4F), P12b Cyber and IT Governance (§4G–§4K), P12c TPRM and Outsourcing (§4L–§4N), P12d AI Governance hooks (§4O). P12b can run in parallel with P12a using a second squad. P13 (HRMS) and P14 (grievance) consume the consent ledger, rights-request desk and breach workflow built here.</w:t>
      </w:r>
    </w:p>
    <w:p>
      <w:pPr>
        <w:pStyle w:val="BlockText"/>
      </w:pPr>
      <w:r>
        <w:rPr>
          <w:bCs/>
          <w:b/>
        </w:rPr>
        <w:t xml:space="preserve">Binding appendices:</w:t>
      </w:r>
      <w:r>
        <w:t xml:space="preserve"> </w:t>
      </w:r>
      <w:r>
        <w:t xml:space="preserve">A (state machines), B (data model, events, errors), D (roles and SoD), F (source register — DPDP, MeitY, CERT-In, sector cyber sources), G (legal rules</w:t>
      </w:r>
      <w:r>
        <w:t xml:space="preserve"> </w:t>
      </w:r>
      <w:r>
        <w:rPr>
          <w:rStyle w:val="VerbatimChar"/>
        </w:rPr>
        <w:t xml:space="preserve">LR-MEITY-*</w:t>
      </w:r>
      <w:r>
        <w:t xml:space="preserve">,</w:t>
      </w:r>
      <w:r>
        <w:t xml:space="preserve"> </w:t>
      </w:r>
      <w:r>
        <w:rPr>
          <w:rStyle w:val="VerbatimChar"/>
        </w:rPr>
        <w:t xml:space="preserve">LR-CERTIN-*</w:t>
      </w:r>
      <w:r>
        <w:t xml:space="preserve">,</w:t>
      </w:r>
      <w:r>
        <w:t xml:space="preserve"> </w:t>
      </w:r>
      <w:r>
        <w:rPr>
          <w:rStyle w:val="VerbatimChar"/>
        </w:rPr>
        <w:t xml:space="preserve">LR-EU-*</w:t>
      </w:r>
      <w:r>
        <w:t xml:space="preserve">,</w:t>
      </w:r>
      <w:r>
        <w:t xml:space="preserve"> </w:t>
      </w:r>
      <w:r>
        <w:rPr>
          <w:rStyle w:val="VerbatimChar"/>
        </w:rPr>
        <w:t xml:space="preserve">LR-US-*</w:t>
      </w:r>
      <w:r>
        <w:t xml:space="preserve">,</w:t>
      </w:r>
      <w:r>
        <w:t xml:space="preserve"> </w:t>
      </w:r>
      <w:r>
        <w:rPr>
          <w:rStyle w:val="VerbatimChar"/>
        </w:rPr>
        <w:t xml:space="preserve">LR-RBI-*</w:t>
      </w:r>
      <w:r>
        <w:t xml:space="preserve"> </w:t>
      </w:r>
      <w:r>
        <w:t xml:space="preserve">cyber/outsourcing), M (export package), Q (security and certification readiness of LDC itself — this phase is the</w:t>
      </w:r>
      <w:r>
        <w:t xml:space="preserve"> </w:t>
      </w:r>
      <w:r>
        <w:rPr>
          <w:iCs/>
          <w:i/>
        </w:rPr>
        <w:t xml:space="preserve">client's</w:t>
      </w:r>
      <w:r>
        <w:t xml:space="preserve"> </w:t>
      </w:r>
      <w:r>
        <w:t xml:space="preserve">programme), U (settings).</w:t>
      </w:r>
    </w:p>
    <w:p>
      <w:pPr>
        <w:pStyle w:val="BlockText"/>
      </w:pPr>
      <w:r>
        <w:rPr>
          <w:bCs/>
          <w:b/>
        </w:rPr>
        <w:t xml:space="preserve">Requirements covered:</w:t>
      </w:r>
      <w:r>
        <w:t xml:space="preserve"> </w:t>
      </w:r>
      <w:r>
        <w:t xml:space="preserve">R-005, R-010, R-013, R-021, R-031, R-033, R-038, R-039, R-046 (client side), R-058, R-086, R-088, R-102.</w:t>
      </w:r>
    </w:p>
    <w:p>
      <w:pPr>
        <w:pStyle w:val="BlockText"/>
      </w:pPr>
      <w:r>
        <w:rPr>
          <w:bCs/>
          <w:b/>
        </w:rPr>
        <w:t xml:space="preserve">Estimated effort:</w:t>
      </w:r>
      <w:r>
        <w:t xml:space="preserve"> </w:t>
      </w:r>
      <w:r>
        <w:t xml:space="preserve">8 two-week sprints for a squad of 8 (privacy 3, cyber/ISMS 3, TPRM 2); +2 sprints for the multi-law overlay content load with the content team.</w:t>
      </w:r>
    </w:p>
    <w:bookmarkStart w:id="70" w:name="objective-and-business-outcome-12"/>
    <w:p>
      <w:pPr>
        <w:pStyle w:val="Heading3"/>
      </w:pPr>
      <w:r>
        <w:t xml:space="preserve">Objective and business outcome</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 IT Governance MD 2023 (banks),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bookmarkEnd w:id="70"/>
    <w:bookmarkStart w:id="71" w:name="exit-gate-12"/>
    <w:p>
      <w:pPr>
        <w:pStyle w:val="Heading3"/>
      </w:pPr>
      <w:r>
        <w:t xml:space="preserve">Exit gate</w:t>
      </w:r>
    </w:p>
    <w:p>
      <w:pPr>
        <w:pStyle w:val="FirstParagraph"/>
      </w:pPr>
      <w:r>
        <w:t xml:space="preserve">Deliverables:</w:t>
      </w:r>
      <w:r>
        <w:t xml:space="preserve"> </w:t>
      </w:r>
      <w:r>
        <w:rPr>
          <w:rStyle w:val="VerbatimChar"/>
        </w:rPr>
        <w:t xml:space="preserve">dpc</w:t>
      </w:r>
      <w:r>
        <w:t xml:space="preserve"> </w:t>
      </w:r>
      <w:r>
        <w:t xml:space="preserve">and</w:t>
      </w:r>
      <w:r>
        <w:t xml:space="preserve"> </w:t>
      </w:r>
      <w:r>
        <w:rPr>
          <w:rStyle w:val="VerbatimChar"/>
        </w:rPr>
        <w:t xml:space="preserve">tpr</w:t>
      </w:r>
      <w:r>
        <w:t xml:space="preserve"> </w:t>
      </w:r>
      <w:r>
        <w:t xml:space="preserve">modules with migrations; seeded packs (DPDP + Rules + Schedules, IT Act/SPDI, CERT-In, GDPR, CCPA, RBI NBFC Cyber 2026, NBFC Outsourcing 2025, SEBI CSCRF, IRDAI ICS 2023, IFSCA Cyber 2025, ISO 27001:2022, ISO 22301, NIST CSF 2.0 mapping) with mapping to the common control library; 22 model policies (with P07); vendor portal; exports (ROPA, SoA, registers, breach reports, Board packs); Temporal workflows; dashboards; settings registered; acceptance and NN tests green; documentation</w:t>
      </w:r>
      <w:r>
        <w:t xml:space="preserve"> </w:t>
      </w:r>
      <w:r>
        <w:rPr>
          <w:rStyle w:val="VerbatimChar"/>
        </w:rPr>
        <w:t xml:space="preserve">docs/modules/dpc.md</w:t>
      </w:r>
      <w:r>
        <w:t xml:space="preserve">,</w:t>
      </w:r>
      <w:r>
        <w:t xml:space="preserve"> </w:t>
      </w:r>
      <w:r>
        <w:rPr>
          <w:rStyle w:val="VerbatimChar"/>
        </w:rPr>
        <w:t xml:space="preserve">docs/modules/tpr.md</w:t>
      </w:r>
      <w:r>
        <w:t xml:space="preserve">, runbook "Running a breach in LawDocsComply" for clients (P23 tutorial source).</w:t>
      </w:r>
    </w:p>
    <w:p>
      <w:pPr>
        <w:pStyle w:val="BodyText"/>
      </w:pPr>
      <w:r>
        <w:t xml:space="preserve">Exit gate: all §12 scenarios pass; demo of the §1 outcome script on seeded NBFC-ML, SEBI AIF manager (CSCRF small-size) and IRDAI broker tenants; content reviewer sign-off on each pack's clause mapping with [VERIFY] items listed in Appendix W; accessibility audit of SCR-DPC-07, -10, -11 (WCAG 2.2 AA, NN-21).</w:t>
      </w:r>
    </w:p>
    <w:p>
      <w:r>
        <w:pict>
          <v:rect style="width:0;height:1.5pt" o:hralign="center" o:hrstd="t" o:hr="t"/>
        </w:pict>
      </w:r>
    </w:p>
    <w:bookmarkEnd w:id="71"/>
    <w:bookmarkStart w:id="72" w:name="integration-notes-12"/>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NN-33 (incident clocks from earliest detection incl. service provider), X-33 (no Consent Manager registration)</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72"/>
    <w:bookmarkEnd w:id="73"/>
    <w:bookmarkStart w:id="77" w:name="X19cacee9c946fa219cf702df8171ee42553916f"/>
    <w:p>
      <w:pPr>
        <w:pStyle w:val="Heading2"/>
      </w:pPr>
      <w:r>
        <w:t xml:space="preserve">Phase P13 — HRMS, People and Labour Compliance Suite</w:t>
      </w:r>
    </w:p>
    <w:p>
      <w:pPr>
        <w:pStyle w:val="FirstParagraph"/>
      </w:pPr>
      <w:r>
        <w:rPr>
          <w:bCs/>
          <w:b/>
        </w:rPr>
        <w:t xml:space="preserve">Session prompt (type in Claude Code):</w:t>
      </w:r>
      <w:r>
        <w:t xml:space="preserve"> </w:t>
      </w:r>
      <w:r>
        <w:rPr>
          <w:iCs/>
          <w:i/>
        </w:rPr>
        <w:t xml:space="preserve">"Read docs/00-master-prompt.md, docs/01-decision-log.md and docs/phases/P13_HRMS_People_and_Labour_Compliance_Suite.md in full, plus the appendices it names as binding. Then write docs/phases/P13-plan.md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ledger, Object Lock), P01 (identity, SCIM, step-up), P02 (settings registry and rule-pack engine — payroll and labour parameters are rule packs, NN-26), P03/P04 (labour-law obligations as content packs and compliance instances), P06 (directors, KMP, committees — the people records are shared), P07 (DMS, eSign envelopes, policy acknowledgements).</w:t>
      </w:r>
    </w:p>
    <w:p>
      <w:pPr>
        <w:pStyle w:val="BlockText"/>
      </w:pPr>
      <w:r>
        <w:rPr>
          <w:bCs/>
          <w:b/>
        </w:rPr>
        <w:t xml:space="preserve">Sequencing:</w:t>
      </w:r>
      <w:r>
        <w:t xml:space="preserve"> </w:t>
      </w:r>
      <w:r>
        <w:t xml:space="preserve">P13 starts after P06 sprint 2 (shared people model). Sub-iterations:</w:t>
      </w:r>
      <w:r>
        <w:t xml:space="preserve"> </w:t>
      </w:r>
      <w:r>
        <w:rPr>
          <w:bCs/>
          <w:b/>
        </w:rPr>
        <w:t xml:space="preserve">P13a</w:t>
      </w:r>
      <w:r>
        <w:t xml:space="preserve"> </w:t>
      </w:r>
      <w:r>
        <w:t xml:space="preserve">People core (org, employees, KMP/director link, lifecycle, documents, user provisioning) →</w:t>
      </w:r>
      <w:r>
        <w:t xml:space="preserve"> </w:t>
      </w:r>
      <w:r>
        <w:rPr>
          <w:bCs/>
          <w:b/>
        </w:rPr>
        <w:t xml:space="preserve">P13b</w:t>
      </w:r>
      <w:r>
        <w:t xml:space="preserve"> </w:t>
      </w:r>
      <w:r>
        <w:t xml:space="preserve">Time, attendance and leave →</w:t>
      </w:r>
      <w:r>
        <w:t xml:space="preserve"> </w:t>
      </w:r>
      <w:r>
        <w:rPr>
          <w:bCs/>
          <w:b/>
        </w:rPr>
        <w:t xml:space="preserve">P13c</w:t>
      </w:r>
      <w:r>
        <w:t xml:space="preserve"> </w:t>
      </w:r>
      <w:r>
        <w:t xml:space="preserve">Payroll on rule packs and statutory outputs →</w:t>
      </w:r>
      <w:r>
        <w:t xml:space="preserve"> </w:t>
      </w:r>
      <w:r>
        <w:rPr>
          <w:bCs/>
          <w:b/>
        </w:rPr>
        <w:t xml:space="preserve">P13d</w:t>
      </w:r>
      <w:r>
        <w:t xml:space="preserve"> </w:t>
      </w:r>
      <w:r>
        <w:t xml:space="preserve">Labour compliance (registers, returns, committees, POSH sealed module, employment agreements) →</w:t>
      </w:r>
      <w:r>
        <w:t xml:space="preserve"> </w:t>
      </w:r>
      <w:r>
        <w:rPr>
          <w:bCs/>
          <w:b/>
        </w:rPr>
        <w:t xml:space="preserve">P13e</w:t>
      </w:r>
      <w:r>
        <w:t xml:space="preserve"> </w:t>
      </w:r>
      <w:r>
        <w:t xml:space="preserve">People-risk metrics and ecosystem sharing. P13a must precede P04's role-assignment UX finishing (roles are assigned to employees). The suite is sold as a</w:t>
      </w:r>
      <w:r>
        <w:t xml:space="preserve"> </w:t>
      </w:r>
      <w:r>
        <w:rPr>
          <w:bCs/>
          <w:b/>
        </w:rPr>
        <w:t xml:space="preserve">standalone SKU</w:t>
      </w:r>
      <w:r>
        <w:t xml:space="preserve"> </w:t>
      </w:r>
      <w:r>
        <w:t xml:space="preserve">("LawDocsComply People &amp; Labour") and as an add-on inside the GRC subscription (P20 entitlements).</w:t>
      </w:r>
    </w:p>
    <w:p>
      <w:pPr>
        <w:pStyle w:val="BlockText"/>
      </w:pPr>
      <w:r>
        <w:rPr>
          <w:bCs/>
          <w:b/>
        </w:rPr>
        <w:t xml:space="preserve">Binding appendices:</w:t>
      </w:r>
      <w:r>
        <w:t xml:space="preserve"> </w:t>
      </w:r>
      <w:r>
        <w:t xml:space="preserve">T (Labour Codes, registers, payroll parameters — the parameter seed), D (roles, SoD), A (state machines), B (data model), G (</w:t>
      </w:r>
      <w:r>
        <w:rPr>
          <w:rStyle w:val="VerbatimChar"/>
        </w:rPr>
        <w:t xml:space="preserve">LR-MOLE-*</w:t>
      </w:r>
      <w:r>
        <w:t xml:space="preserve"> </w:t>
      </w:r>
      <w:r>
        <w:t xml:space="preserve">rules), M (export), U (settings).</w:t>
      </w:r>
    </w:p>
    <w:p>
      <w:pPr>
        <w:pStyle w:val="BlockText"/>
      </w:pPr>
      <w:r>
        <w:rPr>
          <w:bCs/>
          <w:b/>
        </w:rPr>
        <w:t xml:space="preserve">Requirements covered:</w:t>
      </w:r>
      <w:r>
        <w:t xml:space="preserve"> </w:t>
      </w:r>
      <w:r>
        <w:t xml:space="preserve">R-014, R-015, R-018, R-024, R-025, R-030, R-043, R-056, R-082, R-086, R-094, R-095, R-102 (labour questionnaires as Part 2 content), and the client-side parts of R-041/R-042 (staff HRMS for LawDocs staff itself is in the Infrabyx Operations Hub OH10, D-03).</w:t>
      </w:r>
    </w:p>
    <w:p>
      <w:pPr>
        <w:pStyle w:val="BlockText"/>
      </w:pPr>
      <w:r>
        <w:rPr>
          <w:bCs/>
          <w:b/>
        </w:rPr>
        <w:t xml:space="preserve">Estimated effort:</w:t>
      </w:r>
      <w:r>
        <w:t xml:space="preserve"> </w:t>
      </w:r>
      <w:r>
        <w:t xml:space="preserve">12 two-week sprints, squad of 9 (people core 3, time &amp; leave 2, payroll 3, labour compliance 1 + content analyst). Payroll go-live for any tenant is gated on Appendix T parameter verification for that tenant's States.</w:t>
      </w:r>
    </w:p>
    <w:bookmarkStart w:id="74" w:name="objective-and-business-outcome-13"/>
    <w:p>
      <w:pPr>
        <w:pStyle w:val="Heading3"/>
      </w:pPr>
      <w:r>
        <w:t xml:space="preserve">Objective and business outcome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bookmarkEnd w:id="74"/>
    <w:bookmarkStart w:id="75" w:name="exit-gate-13"/>
    <w:p>
      <w:pPr>
        <w:pStyle w:val="Heading3"/>
      </w:pPr>
      <w:r>
        <w:t xml:space="preserve">Exit gate</w:t>
      </w:r>
    </w:p>
    <w:p>
      <w:pPr>
        <w:pStyle w:val="FirstParagraph"/>
      </w:pPr>
      <w:r>
        <w:t xml:space="preserve">Deliverables:</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lab_posh</w:t>
      </w:r>
      <w:r>
        <w:t xml:space="preserve"> </w:t>
      </w:r>
      <w:r>
        <w:t xml:space="preserve">modules; default structures for 8 entity families; rule-pack adapters pinned to</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r>
        <w:t xml:space="preserve">; registers and statutory files for Central sphere + 5 launch States (DL, UP, RJ, MH, KA) with verification status; POSH module; employment-agreement templates and clause library; self-service PWA; workspace provisioning (M365 first); KRI feed; standalone SKU entitlements (P20); documentation and tutorials (P23 sources).</w:t>
      </w:r>
    </w:p>
    <w:p>
      <w:pPr>
        <w:pStyle w:val="BodyText"/>
      </w:pPr>
      <w:r>
        <w:t xml:space="preserve">Exit gate: §12 scenarios green; payroll golden fixtures from the shared rule pack identical to OH10/Finbyx GV6 outputs; a pilot tenant's two parallel-run months reconcile to the tenant's existing payroll within ₹1 per employee per component (differences explained); every parameter used in pilot runs is</w:t>
      </w:r>
      <w:r>
        <w:t xml:space="preserve"> </w:t>
      </w:r>
      <w:r>
        <w:rPr>
          <w:rStyle w:val="VerbatimChar"/>
        </w:rPr>
        <w:t xml:space="preserve">VERIFIED</w:t>
      </w:r>
      <w:r>
        <w:t xml:space="preserve"> </w:t>
      </w:r>
      <w:r>
        <w:t xml:space="preserve">or acknowledged</w:t>
      </w:r>
      <w:r>
        <w:t xml:space="preserve"> </w:t>
      </w:r>
      <w:r>
        <w:rPr>
          <w:rStyle w:val="VerbatimChar"/>
        </w:rPr>
        <w:t xml:space="preserve">SECONDARY_ONLY</w:t>
      </w:r>
      <w:r>
        <w:t xml:space="preserve">; accessibility audit of self-service.</w:t>
      </w:r>
    </w:p>
    <w:p>
      <w:r>
        <w:pict>
          <v:rect style="width:0;height:1.5pt" o:hralign="center" o:hrstd="t" o:hr="t"/>
        </w:pict>
      </w:r>
    </w:p>
    <w:bookmarkEnd w:id="75"/>
    <w:bookmarkStart w:id="76" w:name="integration-notes-13"/>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NN-25, NN-26 (as before), X-10 (department codes), X-36 (aggregated people metrics); D-11 (no salary money held)</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76"/>
    <w:bookmarkEnd w:id="77"/>
    <w:bookmarkStart w:id="81" w:name="Xabf26cf24140f55dee99af95d50f4a942779042"/>
    <w:p>
      <w:pPr>
        <w:pStyle w:val="Heading2"/>
      </w:pPr>
      <w:r>
        <w:t xml:space="preserve">Phase P14 — Grievance Redressal and Customer Support Desk</w:t>
      </w:r>
    </w:p>
    <w:p>
      <w:pPr>
        <w:pStyle w:val="FirstParagraph"/>
      </w:pPr>
      <w:r>
        <w:rPr>
          <w:bCs/>
          <w:b/>
        </w:rPr>
        <w:t xml:space="preserve">Session prompt (type in Claude Code):</w:t>
      </w:r>
      <w:r>
        <w:t xml:space="preserve"> </w:t>
      </w:r>
      <w:r>
        <w:rPr>
          <w:iCs/>
          <w:i/>
        </w:rPr>
        <w:t xml:space="preserve">"Read docs/00-master-prompt.md, docs/01-decision-log.md and docs/phases/P14_Grievance_Redressal_and_Customer_Support_Desk.md in full, plus the appendices it names as binding. Then write docs/phases/P14-plan.md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P01 (identity, public intake realm, OTP), P02 (settings, rule packs for SLA clocks), P04 (tasks, notifications, calendar, maker-checker), P07 (DMS, OCR/translation for complaint attachments and letters), P12 (rights-request desk shares the intake widget; breach linkage), P13 (GRO/PNO/IO positions and support-team rosters), P18 (website/app/LMS integration, Ecosystem events).</w:t>
      </w:r>
    </w:p>
    <w:p>
      <w:pPr>
        <w:pStyle w:val="BlockText"/>
      </w:pPr>
      <w:r>
        <w:rPr>
          <w:bCs/>
          <w:b/>
        </w:rPr>
        <w:t xml:space="preserve">Sequencing:</w:t>
      </w:r>
      <w:r>
        <w:t xml:space="preserve"> </w:t>
      </w:r>
      <w:r>
        <w:t xml:space="preserve">after P04 exit; can run in parallel with P12. Sub-iterations:</w:t>
      </w:r>
      <w:r>
        <w:t xml:space="preserve"> </w:t>
      </w:r>
      <w:r>
        <w:rPr>
          <w:bCs/>
          <w:b/>
        </w:rPr>
        <w:t xml:space="preserve">P14a</w:t>
      </w:r>
      <w:r>
        <w:t xml:space="preserve"> </w:t>
      </w:r>
      <w:r>
        <w:t xml:space="preserve">Support desk (omnichannel ticketing, knowledge base, embeddable widget) →</w:t>
      </w:r>
      <w:r>
        <w:t xml:space="preserve"> </w:t>
      </w:r>
      <w:r>
        <w:rPr>
          <w:bCs/>
          <w:b/>
        </w:rPr>
        <w:t xml:space="preserve">P14b</w:t>
      </w:r>
      <w:r>
        <w:t xml:space="preserve"> </w:t>
      </w:r>
      <w:r>
        <w:t xml:space="preserve">Grievance redressal ladder (GRO → PNO/Internal Ombudsman → external signposting) with regulator clock packs →</w:t>
      </w:r>
      <w:r>
        <w:t xml:space="preserve"> </w:t>
      </w:r>
      <w:r>
        <w:rPr>
          <w:bCs/>
          <w:b/>
        </w:rPr>
        <w:t xml:space="preserve">P14c</w:t>
      </w:r>
      <w:r>
        <w:t xml:space="preserve"> </w:t>
      </w:r>
      <w:r>
        <w:t xml:space="preserve">MIS, regulatory reports and Board/Customer Service Committee packs →</w:t>
      </w:r>
      <w:r>
        <w:t xml:space="preserve"> </w:t>
      </w:r>
      <w:r>
        <w:rPr>
          <w:bCs/>
          <w:b/>
        </w:rPr>
        <w:t xml:space="preserve">P14d</w:t>
      </w:r>
      <w:r>
        <w:t xml:space="preserve"> </w:t>
      </w:r>
      <w:r>
        <w:t xml:space="preserve">Ecosystem (Finbyx/Udofin/Equator) and investor/member/policyholder variants.</w:t>
      </w:r>
    </w:p>
    <w:p>
      <w:pPr>
        <w:pStyle w:val="BlockText"/>
      </w:pPr>
      <w:r>
        <w:rPr>
          <w:bCs/>
          <w:b/>
        </w:rPr>
        <w:t xml:space="preserve">Binding appendices:</w:t>
      </w:r>
      <w:r>
        <w:t xml:space="preserve"> </w:t>
      </w:r>
      <w:r>
        <w:t xml:space="preserve">A (state machines), B (events</w:t>
      </w:r>
      <w:r>
        <w:t xml:space="preserve"> </w:t>
      </w:r>
      <w:r>
        <w:rPr>
          <w:rStyle w:val="VerbatimChar"/>
        </w:rPr>
        <w:t xml:space="preserve">grievance</w:t>
      </w:r>
      <w:r>
        <w:t xml:space="preserve"> </w:t>
      </w:r>
      <w:r>
        <w:t xml:space="preserve">scope reuse), D (roles), G (</w:t>
      </w:r>
      <w:r>
        <w:rPr>
          <w:rStyle w:val="VerbatimChar"/>
        </w:rPr>
        <w:t xml:space="preserve">LR-RBI-*</w:t>
      </w:r>
      <w:r>
        <w:t xml:space="preserve"> </w:t>
      </w:r>
      <w:r>
        <w:t xml:space="preserve">grievance and IO rules,</w:t>
      </w:r>
      <w:r>
        <w:t xml:space="preserve"> </w:t>
      </w:r>
      <w:r>
        <w:rPr>
          <w:rStyle w:val="VerbatimChar"/>
        </w:rPr>
        <w:t xml:space="preserve">LR-SEBI-*</w:t>
      </w:r>
      <w:r>
        <w:t xml:space="preserve"> </w:t>
      </w:r>
      <w:r>
        <w:t xml:space="preserve">SCORES/LODR,</w:t>
      </w:r>
      <w:r>
        <w:t xml:space="preserve"> </w:t>
      </w:r>
      <w:r>
        <w:rPr>
          <w:rStyle w:val="VerbatimChar"/>
        </w:rPr>
        <w:t xml:space="preserve">LR-IRDAI-*</w:t>
      </w:r>
      <w:r>
        <w:t xml:space="preserve"> </w:t>
      </w:r>
      <w:r>
        <w:t xml:space="preserve">PPHI,</w:t>
      </w:r>
      <w:r>
        <w:t xml:space="preserve"> </w:t>
      </w:r>
      <w:r>
        <w:rPr>
          <w:rStyle w:val="VerbatimChar"/>
        </w:rPr>
        <w:t xml:space="preserve">LR-IFSCA-*</w:t>
      </w:r>
      <w:r>
        <w:t xml:space="preserve">,</w:t>
      </w:r>
      <w:r>
        <w:t xml:space="preserve"> </w:t>
      </w:r>
      <w:r>
        <w:rPr>
          <w:rStyle w:val="VerbatimChar"/>
        </w:rPr>
        <w:t xml:space="preserve">LR-COOP-*</w:t>
      </w:r>
      <w:r>
        <w:t xml:space="preserve">), L (website/app widget SDK, Ecosystem adapters), U (settings).</w:t>
      </w:r>
    </w:p>
    <w:p>
      <w:pPr>
        <w:pStyle w:val="BlockText"/>
      </w:pPr>
      <w:r>
        <w:rPr>
          <w:bCs/>
          <w:b/>
        </w:rPr>
        <w:t xml:space="preserve">Requirements covered:</w:t>
      </w:r>
      <w:r>
        <w:t xml:space="preserve"> </w:t>
      </w:r>
      <w:r>
        <w:t xml:space="preserve">R-080, R-098, R-013, R-023, R-031, R-062, R-066, R-086, R-090 (grievance work items are Notifications; regulatory changes to grievance rules arrive as Updates), R-075.</w:t>
      </w:r>
    </w:p>
    <w:p>
      <w:pPr>
        <w:pStyle w:val="BlockText"/>
      </w:pPr>
      <w:r>
        <w:rPr>
          <w:bCs/>
          <w:b/>
        </w:rPr>
        <w:t xml:space="preserve">Estimated effort:</w:t>
      </w:r>
      <w:r>
        <w:t xml:space="preserve"> </w:t>
      </w:r>
      <w:r>
        <w:t xml:space="preserve">6 two-week sprints, squad of 7 (desk 3, ladder &amp; clocks 2, MIS &amp; reports 1, integrations 1).</w:t>
      </w:r>
    </w:p>
    <w:bookmarkStart w:id="78" w:name="objective-and-business-outcome-14"/>
    <w:p>
      <w:pPr>
        <w:pStyle w:val="Heading3"/>
      </w:pPr>
      <w:r>
        <w:t xml:space="preserve">Objective and business outcome</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bookmarkEnd w:id="78"/>
    <w:bookmarkStart w:id="79" w:name="exit-gate-14"/>
    <w:p>
      <w:pPr>
        <w:pStyle w:val="Heading3"/>
      </w:pPr>
      <w:r>
        <w:t xml:space="preserve">Exit gate</w:t>
      </w:r>
    </w:p>
    <w:p>
      <w:pPr>
        <w:pStyle w:val="FirstParagraph"/>
      </w:pPr>
      <w:r>
        <w:t xml:space="preserve">Deliverables:</w:t>
      </w:r>
      <w:r>
        <w:t xml:space="preserve"> </w:t>
      </w:r>
      <w:r>
        <w:rPr>
          <w:rStyle w:val="VerbatimChar"/>
        </w:rPr>
        <w:t xml:space="preserve">grv</w:t>
      </w:r>
      <w:r>
        <w:t xml:space="preserve"> </w:t>
      </w:r>
      <w:r>
        <w:t xml:space="preserve">module; ladder packs for 14 entity families (table §4B) with citations and verification status; widget, hosted portal, SDK wrappers; channel adapters (e-mail, WhatsApp BSP, CTI logging); GRO and IO desks; MIS and 10 regulatory/governance reports; KB; model Grievance Redressal Policies per entity type (P07); tutorials (P23); documentation.</w:t>
      </w:r>
    </w:p>
    <w:p>
      <w:pPr>
        <w:pStyle w:val="BodyText"/>
      </w:pPr>
      <w:r>
        <w:t xml:space="preserve">Exit gate: §12 scenarios green; pilot NBFC tenant runs 30 days of live complaints in parallel with existing process with no clock miss; accessibility audit of public form and tracker; content checker sign-off on each ladder pack (or pack remains DRAFT behind flag).</w:t>
      </w:r>
    </w:p>
    <w:p>
      <w:r>
        <w:pict>
          <v:rect style="width:0;height:1.5pt" o:hralign="center" o:hrstd="t" o:hr="t"/>
        </w:pict>
      </w:r>
    </w:p>
    <w:bookmarkEnd w:id="79"/>
    <w:bookmarkStart w:id="80" w:name="integration-notes-14"/>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NN-33, NN-40; X-01, X-23 (no WhatsApp for recovery or legal notices)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80"/>
    <w:bookmarkEnd w:id="81"/>
    <w:bookmarkStart w:id="85" w:name="phase-p15--sector-packs-and-entity-logic"/>
    <w:p>
      <w:pPr>
        <w:pStyle w:val="Heading2"/>
      </w:pPr>
      <w:r>
        <w:t xml:space="preserve">Phase P15 — Sector Packs and Entity Logic</w:t>
      </w:r>
    </w:p>
    <w:p>
      <w:pPr>
        <w:pStyle w:val="FirstParagraph"/>
      </w:pPr>
      <w:r>
        <w:rPr>
          <w:bCs/>
          <w:b/>
        </w:rPr>
        <w:t xml:space="preserve">Session prompt (type in Claude Code):</w:t>
      </w:r>
      <w:r>
        <w:t xml:space="preserve"> </w:t>
      </w:r>
      <w:r>
        <w:rPr>
          <w:iCs/>
          <w:i/>
        </w:rPr>
        <w:t xml:space="preserve">"Read docs/00-master-prompt.md, docs/01-decision-log.md and docs/phases/P15_Sector_Packs_and_Entity_Logic.md in full, plus the appendices it names as binding. Then write docs/phases/P15-plan.md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3"/>
        </w:numPr>
        <w:pStyle w:val="Compact"/>
      </w:pPr>
      <w:r>
        <w:rPr>
          <w:bCs/>
          <w:b/>
        </w:rPr>
        <w:t xml:space="preserve">P00</w:t>
      </w:r>
      <w:r>
        <w:t xml:space="preserve"> </w:t>
      </w:r>
      <w:r>
        <w:t xml:space="preserve">(tenancy, RLS, audit ledger, Correction Entries, feature flags, bitemporal conventions);</w:t>
      </w:r>
    </w:p>
    <w:p>
      <w:pPr>
        <w:numPr>
          <w:ilvl w:val="0"/>
          <w:numId w:val="1023"/>
        </w:numPr>
        <w:pStyle w:val="Compact"/>
      </w:pPr>
      <w:r>
        <w:rPr>
          <w:bCs/>
          <w:b/>
        </w:rPr>
        <w:t xml:space="preserve">P01</w:t>
      </w:r>
      <w:r>
        <w:t xml:space="preserve"> </w:t>
      </w:r>
      <w:r>
        <w:t xml:space="preserve">(onboarding wizard, PAN/CIN/GSTIN auto-fetch, legal-entity and group model, users and roles);</w:t>
      </w:r>
    </w:p>
    <w:p>
      <w:pPr>
        <w:numPr>
          <w:ilvl w:val="0"/>
          <w:numId w:val="1023"/>
        </w:numPr>
        <w:pStyle w:val="Compact"/>
      </w:pPr>
      <w:r>
        <w:rPr>
          <w:bCs/>
          <w:b/>
        </w:rPr>
        <w:t xml:space="preserve">P02</w:t>
      </w:r>
      <w:r>
        <w:t xml:space="preserve"> </w:t>
      </w:r>
      <w:r>
        <w:t xml:space="preserve">(settings registry, three-tier configurability L/G/T, rule-pack engine, terminology/vocabulary packs, menus);</w:t>
      </w:r>
    </w:p>
    <w:p>
      <w:pPr>
        <w:numPr>
          <w:ilvl w:val="0"/>
          <w:numId w:val="1023"/>
        </w:numPr>
        <w:pStyle w:val="Compact"/>
      </w:pPr>
      <w:r>
        <w:rPr>
          <w:bCs/>
          <w:b/>
        </w:rPr>
        <w:t xml:space="preserve">P03</w:t>
      </w:r>
      <w:r>
        <w:t xml:space="preserve"> </w:t>
      </w:r>
      <w:r>
        <w:t xml:space="preserve">(regulatory content library</w:t>
      </w:r>
      <w:r>
        <w:t xml:space="preserve"> </w:t>
      </w:r>
      <w:r>
        <w:rPr>
          <w:rStyle w:val="VerbatimChar"/>
        </w:rPr>
        <w:t xml:space="preserve">cnt</w:t>
      </w:r>
      <w:r>
        <w:t xml:space="preserve">, template registry</w:t>
      </w:r>
      <w:r>
        <w:t xml:space="preserve"> </w:t>
      </w:r>
      <w:r>
        <w:rPr>
          <w:rStyle w:val="VerbatimChar"/>
        </w:rPr>
        <w:t xml:space="preserve">tpl</w:t>
      </w:r>
      <w:r>
        <w:t xml:space="preserve">, Excel importer — columns C, D and S feed this phase);</w:t>
      </w:r>
    </w:p>
    <w:p>
      <w:pPr>
        <w:numPr>
          <w:ilvl w:val="0"/>
          <w:numId w:val="1023"/>
        </w:numPr>
        <w:pStyle w:val="Compact"/>
      </w:pPr>
      <w:r>
        <w:rPr>
          <w:bCs/>
          <w:b/>
        </w:rPr>
        <w:t xml:space="preserve">P04</w:t>
      </w:r>
      <w:r>
        <w:t xml:space="preserve"> </w:t>
      </w:r>
      <w:r>
        <w:t xml:space="preserve">(compliance instances and calendar consume applicability results).</w:t>
      </w:r>
    </w:p>
    <w:p>
      <w:pPr>
        <w:pStyle w:val="BlockText"/>
      </w:pPr>
      <w:r>
        <w:rPr>
          <w:bCs/>
          <w:b/>
        </w:rPr>
        <w:t xml:space="preserve">Sequencing:</w:t>
      </w:r>
      <w:r>
        <w:t xml:space="preserve"> </w:t>
      </w:r>
      <w:r>
        <w:t xml:space="preserve">P15 sprint 1 freezes the entity taxonomy, the</w:t>
      </w:r>
      <w:r>
        <w:t xml:space="preserve"> </w:t>
      </w:r>
      <w:r>
        <w:rPr>
          <w:rStyle w:val="VerbatimChar"/>
        </w:rPr>
        <w:t xml:space="preserve">pack.entity_profile</w:t>
      </w:r>
      <w:r>
        <w:t xml:space="preserve"> </w:t>
      </w:r>
      <w:r>
        <w:t xml:space="preserve">schema and the applicability-rule DSL, because P04–P14 and P16 read them. P15 runs in parallel with P05–P10; per-family default packs (§4F) are completed family by family as the corresponding content (Part 2 Excel sheets) arrives. P16 (co-operative suite) starts after P15 sprint 2.</w:t>
      </w:r>
    </w:p>
    <w:p>
      <w:pPr>
        <w:pStyle w:val="BlockText"/>
      </w:pPr>
      <w:r>
        <w:rPr>
          <w:bCs/>
          <w:b/>
        </w:rPr>
        <w:t xml:space="preserve">Binding appendices:</w:t>
      </w:r>
      <w:r>
        <w:t xml:space="preserve"> </w:t>
      </w:r>
      <w:r>
        <w:t xml:space="preserve">E (Excel template contract and entity-family vocabularies — the dropdown values for columns C/D are the taxonomy codes defined here), G (legal and regulatory rules register — every threshold below is an</w:t>
      </w:r>
      <w:r>
        <w:t xml:space="preserve"> </w:t>
      </w:r>
      <w:r>
        <w:rPr>
          <w:rStyle w:val="VerbatimChar"/>
        </w:rPr>
        <w:t xml:space="preserve">LR-*</w:t>
      </w:r>
      <w:r>
        <w:t xml:space="preserve"> </w:t>
      </w:r>
      <w:r>
        <w:t xml:space="preserve">row), H (risk taxonomy and ratio library), I (returns catalogue), S (co-operative law), U (settings catalogue).</w:t>
      </w:r>
    </w:p>
    <w:p>
      <w:pPr>
        <w:pStyle w:val="BlockText"/>
      </w:pPr>
      <w:r>
        <w:rPr>
          <w:bCs/>
          <w:b/>
        </w:rPr>
        <w:t xml:space="preserve">Requirements covered:</w:t>
      </w:r>
      <w:r>
        <w:t xml:space="preserve"> </w:t>
      </w:r>
      <w:r>
        <w:t xml:space="preserve">R-005, R-007, R-009, R-010, R-012, R-024, R-039, R-056, R-058, R-059, R-060, R-062 (with P16), R-064, R-065, R-066, R-084 (taxonomy side), R-086, R-087, R-093.</w:t>
      </w:r>
    </w:p>
    <w:p>
      <w:pPr>
        <w:pStyle w:val="BlockText"/>
      </w:pPr>
      <w:r>
        <w:rPr>
          <w:bCs/>
          <w:b/>
        </w:rPr>
        <w:t xml:space="preserve">Estimated effort:</w:t>
      </w:r>
      <w:r>
        <w:t xml:space="preserve"> </w:t>
      </w:r>
      <w:r>
        <w:t xml:space="preserve">7 two-week sprints for a squad of 8 (taxonomy and rule engine 3; family packs and defaults 3; investment/ARC/listed extensions and UX 2) plus a regulatory content analyst pair (CS + CA) for the family packs.</w:t>
      </w:r>
    </w:p>
    <w:bookmarkStart w:id="82" w:name="objective-and-business-outcome-15"/>
    <w:p>
      <w:pPr>
        <w:pStyle w:val="Heading3"/>
      </w:pPr>
      <w:r>
        <w:t xml:space="preserve">Objective and business outcome</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bookmarkEnd w:id="82"/>
    <w:bookmarkStart w:id="83" w:name="exit-gate-15"/>
    <w:p>
      <w:pPr>
        <w:pStyle w:val="Heading3"/>
      </w:pPr>
      <w:r>
        <w:t xml:space="preserve">Exit gate</w:t>
      </w:r>
    </w:p>
    <w:p>
      <w:pPr>
        <w:numPr>
          <w:ilvl w:val="0"/>
          <w:numId w:val="1024"/>
        </w:numPr>
        <w:pStyle w:val="Compact"/>
      </w:pPr>
      <w:r>
        <w:rPr>
          <w:rStyle w:val="VerbatimChar"/>
        </w:rPr>
        <w:t xml:space="preserve">pack</w:t>
      </w:r>
      <w:r>
        <w:t xml:space="preserve"> </w:t>
      </w:r>
      <w:r>
        <w:t xml:space="preserve">schema, migrations (expand-contract), RLS policies and seed taxonomy (all families, types, schemes, attribute dictionary, parameters with</w:t>
      </w:r>
      <w:r>
        <w:t xml:space="preserve"> </w:t>
      </w:r>
      <w:r>
        <w:rPr>
          <w:rStyle w:val="VerbatimChar"/>
        </w:rPr>
        <w:t xml:space="preserve">LR-*</w:t>
      </w:r>
      <w:r>
        <w:t xml:space="preserve"> </w:t>
      </w:r>
      <w:r>
        <w:t xml:space="preserve">citations).</w:t>
      </w:r>
    </w:p>
    <w:p>
      <w:pPr>
        <w:numPr>
          <w:ilvl w:val="0"/>
          <w:numId w:val="1024"/>
        </w:numPr>
        <w:pStyle w:val="Compact"/>
      </w:pPr>
      <w:r>
        <w:t xml:space="preserve">Applicability DSL, engine, explanation renderer, simulator; golden-profile test suite G1–G12 green with 100% precision/recall on seeded content.</w:t>
      </w:r>
    </w:p>
    <w:p>
      <w:pPr>
        <w:numPr>
          <w:ilvl w:val="0"/>
          <w:numId w:val="1024"/>
        </w:numPr>
        <w:pStyle w:val="Compact"/>
      </w:pPr>
      <w:r>
        <w:t xml:space="preserve">Profile-change detector and workflows; exemption and overlay workflows.</w:t>
      </w:r>
    </w:p>
    <w:p>
      <w:pPr>
        <w:numPr>
          <w:ilvl w:val="0"/>
          <w:numId w:val="1024"/>
        </w:numPr>
        <w:pStyle w:val="Compact"/>
      </w:pPr>
      <w:r>
        <w:t xml:space="preserve">Sector packs v1.0 for BANK, UCB, RCB, NBFC, ARC, CCS, COOP, IFSC (GEN, FCFU, FME), MF, AIF, LISTED, REIT_INVIT, SEBI_INT, INSURER, INS_INT, COMPANY, LLP, plus overlays (DATA, CYBER, LABOUR, TAX, AML, FEMA, ESG); stubs for AIFI, PAY, CIC_INFO, SOCIETY, PFRDA.</w:t>
      </w:r>
    </w:p>
    <w:p>
      <w:pPr>
        <w:numPr>
          <w:ilvl w:val="0"/>
          <w:numId w:val="1024"/>
        </w:numPr>
        <w:pStyle w:val="Compact"/>
      </w:pPr>
      <w:r>
        <w:t xml:space="preserve">Investment, ARC and listed-company extensions with Finbyx event consumers and the investment-register importer.</w:t>
      </w:r>
    </w:p>
    <w:p>
      <w:pPr>
        <w:numPr>
          <w:ilvl w:val="0"/>
          <w:numId w:val="1024"/>
        </w:numPr>
        <w:pStyle w:val="Compact"/>
      </w:pPr>
      <w:r>
        <w:t xml:space="preserve">Jurisdiction-pack framework with EU GDPR overlay as a pilot in</w:t>
      </w:r>
      <w:r>
        <w:t xml:space="preserve"> </w:t>
      </w:r>
      <w:r>
        <w:rPr>
          <w:rStyle w:val="VerbatimChar"/>
        </w:rPr>
        <w:t xml:space="preserve">IN_COUNTRY_REVIEW</w:t>
      </w:r>
      <w:r>
        <w:t xml:space="preserve"> </w:t>
      </w:r>
      <w:r>
        <w:t xml:space="preserve">(not enabled).</w:t>
      </w:r>
    </w:p>
    <w:p>
      <w:pPr>
        <w:numPr>
          <w:ilvl w:val="0"/>
          <w:numId w:val="1024"/>
        </w:numPr>
        <w:pStyle w:val="Compact"/>
      </w:pPr>
      <w:r>
        <w:t xml:space="preserve">Screens SCR-PACK-01–11 and console screens; "i" help keys registered (P23); settings registered (P02).</w:t>
      </w:r>
    </w:p>
    <w:p>
      <w:pPr>
        <w:numPr>
          <w:ilvl w:val="0"/>
          <w:numId w:val="1024"/>
        </w:numPr>
        <w:pStyle w:val="Compact"/>
      </w:pPr>
      <w:r>
        <w:t xml:space="preserve">Applicability statement export (DOCX/PDF/XLSX) included in LDC-EXPORT-1.0 (P19).</w:t>
      </w:r>
    </w:p>
    <w:p>
      <w:pPr>
        <w:numPr>
          <w:ilvl w:val="0"/>
          <w:numId w:val="1024"/>
        </w:numPr>
        <w:pStyle w:val="Compact"/>
      </w:pPr>
      <w:r>
        <w:t xml:space="preserve">Documentation:</w:t>
      </w:r>
      <w:r>
        <w:t xml:space="preserve"> </w:t>
      </w:r>
      <w:r>
        <w:rPr>
          <w:rStyle w:val="VerbatimChar"/>
        </w:rPr>
        <w:t xml:space="preserve">docs/packs/taxonomy.md</w:t>
      </w:r>
      <w:r>
        <w:t xml:space="preserve">,</w:t>
      </w:r>
      <w:r>
        <w:t xml:space="preserve"> </w:t>
      </w:r>
      <w:r>
        <w:rPr>
          <w:rStyle w:val="VerbatimChar"/>
        </w:rPr>
        <w:t xml:space="preserve">docs/packs/rule-dsl.md</w:t>
      </w:r>
      <w:r>
        <w:t xml:space="preserve">,</w:t>
      </w:r>
      <w:r>
        <w:t xml:space="preserve"> </w:t>
      </w:r>
      <w:r>
        <w:rPr>
          <w:rStyle w:val="VerbatimChar"/>
        </w:rPr>
        <w:t xml:space="preserve">docs/packs/&lt;family&gt;.md</w:t>
      </w:r>
      <w:r>
        <w:t xml:space="preserve"> </w:t>
      </w:r>
      <w:r>
        <w:t xml:space="preserve">per family,</w:t>
      </w:r>
      <w:r>
        <w:t xml:space="preserve"> </w:t>
      </w:r>
      <w:r>
        <w:rPr>
          <w:rStyle w:val="VerbatimChar"/>
        </w:rPr>
        <w:t xml:space="preserve">docs/regulations/errata.md</w:t>
      </w:r>
      <w:r>
        <w:t xml:space="preserve"> </w:t>
      </w:r>
      <w:r>
        <w:t xml:space="preserve">entries.</w:t>
      </w:r>
    </w:p>
    <w:p>
      <w:pPr>
        <w:pStyle w:val="FirstParagraph"/>
      </w:pPr>
      <w:r>
        <w:rPr>
          <w:bCs/>
          <w:b/>
        </w:rPr>
        <w:t xml:space="preserve">Exit gate:</w:t>
      </w:r>
      <w:r>
        <w:t xml:space="preserve"> </w:t>
      </w:r>
      <w:r>
        <w:t xml:space="preserve">§12 scenarios and NN tests pass; content team signs the seeded parameters against Appendix G; three pilot tenants (one NBFC, one credit society, one private company) activated end-to-end in staging within 60 minutes each.</w:t>
      </w:r>
    </w:p>
    <w:p>
      <w:r>
        <w:pict>
          <v:rect style="width:0;height:1.5pt" o:hralign="center" o:hrstd="t" o:hr="t"/>
        </w:pict>
      </w:r>
    </w:p>
    <w:bookmarkEnd w:id="83"/>
    <w:bookmarkStart w:id="84" w:name="integration-notes-15"/>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NN-38; X-09 (family → template code map, master §1.2), X-10, X-12; D-19 jurisdiction packs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84"/>
    <w:bookmarkEnd w:id="85"/>
    <w:bookmarkStart w:id="89" w:name="X4bdfee7ed6b18808b2f8ffedabd76bf0579617e"/>
    <w:p>
      <w:pPr>
        <w:pStyle w:val="Heading2"/>
      </w:pPr>
      <w:r>
        <w:t xml:space="preserve">Phase P16 — Co-operative Society Operations Suite</w:t>
      </w:r>
    </w:p>
    <w:p>
      <w:pPr>
        <w:pStyle w:val="FirstParagraph"/>
      </w:pPr>
      <w:r>
        <w:rPr>
          <w:bCs/>
          <w:b/>
        </w:rPr>
        <w:t xml:space="preserve">Session prompt (type in Claude Code):</w:t>
      </w:r>
      <w:r>
        <w:t xml:space="preserve"> </w:t>
      </w:r>
      <w:r>
        <w:rPr>
          <w:iCs/>
          <w:i/>
        </w:rPr>
        <w:t xml:space="preserve">"Read docs/00-master-prompt.md, docs/01-decision-log.md and docs/phases/P16_Cooperative_Society_Operations_Suite.md in full, plus the appendices it names as binding. Then write docs/phases/P16-plan.md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5"/>
        </w:numPr>
        <w:pStyle w:val="Compact"/>
      </w:pPr>
      <w:r>
        <w:rPr>
          <w:bCs/>
          <w:b/>
        </w:rPr>
        <w:t xml:space="preserve">P15</w:t>
      </w:r>
      <w:r>
        <w:t xml:space="preserve"> </w:t>
      </w:r>
      <w:r>
        <w:t xml:space="preserve">(families</w:t>
      </w:r>
      <w:r>
        <w:t xml:space="preserve"> </w:t>
      </w:r>
      <w:r>
        <w:rPr>
          <w:rStyle w:val="VerbatimChar"/>
        </w:rPr>
        <w:t xml:space="preserve">CCS</w:t>
      </w:r>
      <w:r>
        <w:t xml:space="preserve"> </w:t>
      </w:r>
      <w:r>
        <w:t xml:space="preserve">and</w:t>
      </w:r>
      <w:r>
        <w:t xml:space="preserve"> </w:t>
      </w:r>
      <w:r>
        <w:rPr>
          <w:rStyle w:val="VerbatimChar"/>
        </w:rPr>
        <w:t xml:space="preserve">COOP</w:t>
      </w:r>
      <w:r>
        <w:t xml:space="preserve">, entity profile, applicability engine, vocabulary pack</w:t>
      </w:r>
      <w:r>
        <w:t xml:space="preserve"> </w:t>
      </w:r>
      <w:r>
        <w:rPr>
          <w:rStyle w:val="VerbatimChar"/>
        </w:rPr>
        <w:t xml:space="preserve">COOP</w:t>
      </w:r>
      <w:r>
        <w:t xml:space="preserve">, State rule-pack framework);</w:t>
      </w:r>
    </w:p>
    <w:p>
      <w:pPr>
        <w:numPr>
          <w:ilvl w:val="0"/>
          <w:numId w:val="1025"/>
        </w:numPr>
        <w:pStyle w:val="Compact"/>
      </w:pPr>
      <w:r>
        <w:rPr>
          <w:bCs/>
          <w:b/>
        </w:rPr>
        <w:t xml:space="preserve">P04</w:t>
      </w:r>
      <w:r>
        <w:t xml:space="preserve"> </w:t>
      </w:r>
      <w:r>
        <w:t xml:space="preserve">(compliance instances, calendar, tasks, maker-checker);</w:t>
      </w:r>
    </w:p>
    <w:p>
      <w:pPr>
        <w:numPr>
          <w:ilvl w:val="0"/>
          <w:numId w:val="1025"/>
        </w:numPr>
        <w:pStyle w:val="Compact"/>
      </w:pPr>
      <w:r>
        <w:rPr>
          <w:bCs/>
          <w:b/>
        </w:rPr>
        <w:t xml:space="preserve">P06</w:t>
      </w:r>
      <w:r>
        <w:t xml:space="preserve"> </w:t>
      </w:r>
      <w:r>
        <w:t xml:space="preserve">(meetings, minutes, resolutions, statutory-register engine — reused with co-operative templates);</w:t>
      </w:r>
    </w:p>
    <w:p>
      <w:pPr>
        <w:numPr>
          <w:ilvl w:val="0"/>
          <w:numId w:val="1025"/>
        </w:numPr>
        <w:pStyle w:val="Compact"/>
      </w:pPr>
      <w:r>
        <w:rPr>
          <w:bCs/>
          <w:b/>
        </w:rPr>
        <w:t xml:space="preserve">P07</w:t>
      </w:r>
      <w:r>
        <w:t xml:space="preserve"> </w:t>
      </w:r>
      <w:r>
        <w:t xml:space="preserve">(bye-laws and policy versioning, DMS, eSign);</w:t>
      </w:r>
    </w:p>
    <w:p>
      <w:pPr>
        <w:numPr>
          <w:ilvl w:val="0"/>
          <w:numId w:val="1025"/>
        </w:numPr>
        <w:pStyle w:val="Compact"/>
      </w:pPr>
      <w:r>
        <w:rPr>
          <w:bCs/>
          <w:b/>
        </w:rPr>
        <w:t xml:space="preserve">P13</w:t>
      </w:r>
      <w:r>
        <w:t xml:space="preserve"> </w:t>
      </w:r>
      <w:r>
        <w:t xml:space="preserve">(staff HRMS for society employees),</w:t>
      </w:r>
      <w:r>
        <w:t xml:space="preserve"> </w:t>
      </w:r>
      <w:r>
        <w:rPr>
          <w:bCs/>
          <w:b/>
        </w:rPr>
        <w:t xml:space="preserve">P14</w:t>
      </w:r>
      <w:r>
        <w:t xml:space="preserve"> </w:t>
      </w:r>
      <w:r>
        <w:t xml:space="preserve">(complaints and grievance desk),</w:t>
      </w:r>
      <w:r>
        <w:t xml:space="preserve"> </w:t>
      </w:r>
      <w:r>
        <w:rPr>
          <w:bCs/>
          <w:b/>
        </w:rPr>
        <w:t xml:space="preserve">P18</w:t>
      </w:r>
      <w:r>
        <w:t xml:space="preserve"> </w:t>
      </w:r>
      <w:r>
        <w:t xml:space="preserve">(Finbyx/Udofin connectors),</w:t>
      </w:r>
      <w:r>
        <w:t xml:space="preserve"> </w:t>
      </w:r>
      <w:r>
        <w:rPr>
          <w:bCs/>
          <w:b/>
        </w:rPr>
        <w:t xml:space="preserve">P11</w:t>
      </w:r>
      <w:r>
        <w:t xml:space="preserve"> </w:t>
      </w:r>
      <w:r>
        <w:t xml:space="preserve">(Registrar/CRCS return preparation).</w:t>
      </w:r>
    </w:p>
    <w:p>
      <w:pPr>
        <w:pStyle w:val="BlockText"/>
      </w:pPr>
      <w:r>
        <w:rPr>
          <w:bCs/>
          <w:b/>
        </w:rPr>
        <w:t xml:space="preserve">Sequencing:</w:t>
      </w:r>
      <w:r>
        <w:t xml:space="preserve"> </w:t>
      </w:r>
      <w:r>
        <w:t xml:space="preserve">starts after P15 sprint 2 (taxonomy frozen). MSCS and Maharashtra packs ship complete; other States ship as STUB packs completed with counsel at each client's onboarding (P15 FR-P15-49).</w:t>
      </w:r>
    </w:p>
    <w:p>
      <w:pPr>
        <w:pStyle w:val="BlockText"/>
      </w:pPr>
      <w:r>
        <w:rPr>
          <w:bCs/>
          <w:b/>
        </w:rPr>
        <w:t xml:space="preserve">Binding appendices:</w:t>
      </w:r>
      <w:r>
        <w:t xml:space="preserve"> </w:t>
      </w:r>
      <w:r>
        <w:t xml:space="preserve">S (co-operative law and operations — the legal source for every rule here), G (rules register</w:t>
      </w:r>
      <w:r>
        <w:t xml:space="preserve"> </w:t>
      </w:r>
      <w:r>
        <w:rPr>
          <w:rStyle w:val="VerbatimChar"/>
        </w:rPr>
        <w:t xml:space="preserve">LR-COOP-*</w:t>
      </w:r>
      <w:r>
        <w:t xml:space="preserve">), E (template family</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I (Registrar/CRCS returns), M (export folder taxonomy — co-operative profile).</w:t>
      </w:r>
    </w:p>
    <w:p>
      <w:pPr>
        <w:pStyle w:val="BlockText"/>
      </w:pPr>
      <w:r>
        <w:rPr>
          <w:bCs/>
          <w:b/>
        </w:rPr>
        <w:t xml:space="preserve">Requirements covered:</w:t>
      </w:r>
      <w:r>
        <w:t xml:space="preserve"> </w:t>
      </w:r>
      <w:r>
        <w:t xml:space="preserve">R-062, R-093, R-096, R-009, R-056 (co-operative variant), R-080 (member grievance), R-081, R-007, R-086.</w:t>
      </w:r>
    </w:p>
    <w:p>
      <w:pPr>
        <w:pStyle w:val="BlockText"/>
      </w:pPr>
      <w:r>
        <w:rPr>
          <w:bCs/>
          <w:b/>
        </w:rPr>
        <w:t xml:space="preserve">Estimated effort:</w:t>
      </w:r>
      <w:r>
        <w:t xml:space="preserve"> </w:t>
      </w:r>
      <w:r>
        <w:t xml:space="preserve">6 two-week sprints for a squad of 7 (registers and members 2; general body, elections and governance 2; audit, returns and credit-society monitors 2; UX/vernacular 1) plus a co-operative law analyst.</w:t>
      </w:r>
    </w:p>
    <w:bookmarkStart w:id="86" w:name="objective-and-business-outcome-16"/>
    <w:p>
      <w:pPr>
        <w:pStyle w:val="Heading3"/>
      </w:pPr>
      <w:r>
        <w:t xml:space="preserve">Objective and business outcome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bookmarkEnd w:id="86"/>
    <w:bookmarkStart w:id="87" w:name="exit-gate-16"/>
    <w:p>
      <w:pPr>
        <w:pStyle w:val="Heading3"/>
      </w:pPr>
      <w:r>
        <w:t xml:space="preserve">Exit gate</w:t>
      </w:r>
    </w:p>
    <w:p>
      <w:pPr>
        <w:numPr>
          <w:ilvl w:val="0"/>
          <w:numId w:val="1026"/>
        </w:numPr>
        <w:pStyle w:val="Compact"/>
      </w:pPr>
      <w:r>
        <w:rPr>
          <w:rStyle w:val="VerbatimChar"/>
        </w:rPr>
        <w:t xml:space="preserve">coop</w:t>
      </w:r>
      <w:r>
        <w:t xml:space="preserve"> </w:t>
      </w:r>
      <w:r>
        <w:t xml:space="preserve">schema with RLS, registers engine, clocks, workflows and events above.</w:t>
      </w:r>
    </w:p>
    <w:p>
      <w:pPr>
        <w:numPr>
          <w:ilvl w:val="0"/>
          <w:numId w:val="1026"/>
        </w:numPr>
        <w:pStyle w:val="Compact"/>
      </w:pPr>
      <w:r>
        <w:t xml:space="preserve">MSCS and Maharashtra packs complete (variables, templates, notices, forms) and STUB packs for nine States.</w:t>
      </w:r>
    </w:p>
    <w:p>
      <w:pPr>
        <w:numPr>
          <w:ilvl w:val="0"/>
          <w:numId w:val="1026"/>
        </w:numPr>
        <w:pStyle w:val="Compact"/>
      </w:pPr>
      <w:r>
        <w:t xml:space="preserve">Member projection sync with Finbyx and membership APIs per Integration Spec §6.24 (contract tests).</w:t>
      </w:r>
    </w:p>
    <w:p>
      <w:pPr>
        <w:numPr>
          <w:ilvl w:val="0"/>
          <w:numId w:val="1026"/>
        </w:numPr>
        <w:pStyle w:val="Compact"/>
      </w:pPr>
      <w:r>
        <w:t xml:space="preserve">Screens SCR-COOP-01–17 with EN/HI/MR; member portal behind flag.</w:t>
      </w:r>
    </w:p>
    <w:p>
      <w:pPr>
        <w:numPr>
          <w:ilvl w:val="0"/>
          <w:numId w:val="1026"/>
        </w:numPr>
        <w:pStyle w:val="Compact"/>
      </w:pPr>
      <w:r>
        <w:t xml:space="preserve">Export profile for co-operatives in LDC-EXPORT-1.0 (top-level folder</w:t>
      </w:r>
      <w:r>
        <w:t xml:space="preserve"> </w:t>
      </w:r>
      <w:r>
        <w:rPr>
          <w:rStyle w:val="VerbatimChar"/>
        </w:rPr>
        <w:t xml:space="preserve">15 Co-operative Society Records/</w:t>
      </w:r>
      <w:r>
        <w:t xml:space="preserve"> </w:t>
      </w:r>
      <w:r>
        <w:t xml:space="preserve">with sub-folders</w:t>
      </w:r>
      <w:r>
        <w:t xml:space="preserve"> </w:t>
      </w:r>
      <w:r>
        <w:rPr>
          <w:rStyle w:val="VerbatimChar"/>
        </w:rPr>
        <w:t xml:space="preserve">Bye-laws</w:t>
      </w:r>
      <w:r>
        <w:t xml:space="preserve">,</w:t>
      </w:r>
      <w:r>
        <w:t xml:space="preserve"> </w:t>
      </w:r>
      <w:r>
        <w:rPr>
          <w:rStyle w:val="VerbatimChar"/>
        </w:rPr>
        <w:t xml:space="preserve">Members register and share capital</w:t>
      </w:r>
      <w:r>
        <w:t xml:space="preserve">,</w:t>
      </w:r>
      <w:r>
        <w:t xml:space="preserve"> </w:t>
      </w:r>
      <w:r>
        <w:rPr>
          <w:rStyle w:val="VerbatimChar"/>
        </w:rPr>
        <w:t xml:space="preserve">Managing Committee</w:t>
      </w:r>
      <w:r>
        <w:t xml:space="preserve">,</w:t>
      </w:r>
      <w:r>
        <w:t xml:space="preserve"> </w:t>
      </w:r>
      <w:r>
        <w:rPr>
          <w:rStyle w:val="VerbatimChar"/>
        </w:rPr>
        <w:t xml:space="preserve">General Body Meetings</w:t>
      </w:r>
      <w:r>
        <w:t xml:space="preserve">,</w:t>
      </w:r>
      <w:r>
        <w:t xml:space="preserve"> </w:t>
      </w:r>
      <w:r>
        <w:rPr>
          <w:rStyle w:val="VerbatimChar"/>
        </w:rPr>
        <w:t xml:space="preserve">Elections</w:t>
      </w:r>
      <w:r>
        <w:t xml:space="preserve">,</w:t>
      </w:r>
      <w:r>
        <w:t xml:space="preserve"> </w:t>
      </w:r>
      <w:r>
        <w:rPr>
          <w:rStyle w:val="VerbatimChar"/>
        </w:rPr>
        <w:t xml:space="preserve">Statutory audit by co-operative auditor</w:t>
      </w:r>
      <w:r>
        <w:t xml:space="preserve">,</w:t>
      </w:r>
      <w:r>
        <w:t xml:space="preserve"> </w:t>
      </w:r>
      <w:r>
        <w:rPr>
          <w:rStyle w:val="VerbatimChar"/>
        </w:rPr>
        <w:t xml:space="preserve">Returns to Registrar</w:t>
      </w:r>
      <w:r>
        <w:t xml:space="preserve">,</w:t>
      </w:r>
      <w:r>
        <w:t xml:space="preserve"> </w:t>
      </w:r>
      <w:r>
        <w:rPr>
          <w:rStyle w:val="VerbatimChar"/>
        </w:rPr>
        <w:t xml:space="preserve">Complaints and disputes</w:t>
      </w:r>
      <w:r>
        <w:t xml:space="preserve">; registers, compliance and other records sit in the standard top-level folders 03–24 — Appendix M §M.3 names are authoritative, X-27) (P19, Appendix M).</w:t>
      </w:r>
    </w:p>
    <w:p>
      <w:pPr>
        <w:numPr>
          <w:ilvl w:val="0"/>
          <w:numId w:val="1026"/>
        </w:numPr>
        <w:pStyle w:val="Compact"/>
      </w:pPr>
      <w:r>
        <w:t xml:space="preserve">Docs:</w:t>
      </w:r>
      <w:r>
        <w:t xml:space="preserve"> </w:t>
      </w:r>
      <w:r>
        <w:rPr>
          <w:rStyle w:val="VerbatimChar"/>
        </w:rPr>
        <w:t xml:space="preserve">docs/coop/state-pack-&lt;code&gt;.md</w:t>
      </w:r>
      <w:r>
        <w:t xml:space="preserve">,</w:t>
      </w:r>
      <w:r>
        <w:t xml:space="preserve"> </w:t>
      </w:r>
      <w:r>
        <w:rPr>
          <w:rStyle w:val="VerbatimChar"/>
        </w:rPr>
        <w:t xml:space="preserve">docs/coop/sor-switch.md</w:t>
      </w:r>
      <w:r>
        <w:t xml:space="preserve">.</w:t>
      </w:r>
    </w:p>
    <w:p>
      <w:pPr>
        <w:pStyle w:val="FirstParagraph"/>
      </w:pPr>
      <w:r>
        <w:rPr>
          <w:bCs/>
          <w:b/>
        </w:rPr>
        <w:t xml:space="preserve">Exit gate:</w:t>
      </w:r>
      <w:r>
        <w:t xml:space="preserve"> </w:t>
      </w:r>
      <w:r>
        <w:t xml:space="preserve">§12 scenarios and NN tests green; pilot MSCS and pilot Maharashtra credit society run one full annual cycle in staging (AGM, return, audit, rectification) with synthetic data; counsel sign-off on MSCS and MH packs.</w:t>
      </w:r>
    </w:p>
    <w:p>
      <w:r>
        <w:pict>
          <v:rect style="width:0;height:1.5pt" o:hralign="center" o:hrstd="t" o:hr="t"/>
        </w:pict>
      </w:r>
    </w:p>
    <w:bookmarkEnd w:id="87"/>
    <w:bookmarkStart w:id="88" w:name="integration-notes-16"/>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NN-38; X-16 (</w:t>
      </w:r>
      <w:r>
        <w:rPr>
          <w:rStyle w:val="VerbatimChar"/>
          <w:bCs/>
          <w:b/>
        </w:rPr>
        <w:t xml:space="preserve">coop.sor.members</w:t>
      </w:r>
      <w:r>
        <w:rPr>
          <w:bCs/>
          <w:b/>
        </w:rPr>
        <w:t xml:space="preserve">, D-23), X-34 (elections conducted by the authority)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88"/>
    <w:bookmarkEnd w:id="89"/>
    <w:bookmarkStart w:id="93" w:name="Xc865e2aead907fce988da9439582136ec8c8699"/>
    <w:p>
      <w:pPr>
        <w:pStyle w:val="Heading2"/>
      </w:pPr>
      <w:r>
        <w:t xml:space="preserve">Phase P17 — Vidhi AI Employee, Agents and Knowledge Notebooks</w:t>
      </w:r>
    </w:p>
    <w:p>
      <w:pPr>
        <w:pStyle w:val="FirstParagraph"/>
      </w:pPr>
      <w:r>
        <w:rPr>
          <w:bCs/>
          <w:b/>
        </w:rPr>
        <w:t xml:space="preserve">Session prompt (type in Claude Code):</w:t>
      </w:r>
      <w:r>
        <w:t xml:space="preserve"> </w:t>
      </w:r>
      <w:r>
        <w:rPr>
          <w:iCs/>
          <w:i/>
        </w:rPr>
        <w:t xml:space="preserve">"Read docs/00-master-prompt.md, docs/01-decision-log.md and docs/phases/P17_Vidhi_AI_Employee_Agents_and_Knowledge_Notebooks.md in full, plus the appendices it names as binding. Then write docs/phases/P17-plan.md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object storage), P01 (identity, roles, delegation, step-up), P02 (settings registry, rule packs), P03 (regulatory content library</w:t>
      </w:r>
      <w:r>
        <w:t xml:space="preserve"> </w:t>
      </w:r>
      <w:r>
        <w:rPr>
          <w:rStyle w:val="VerbatimChar"/>
        </w:rPr>
        <w:t xml:space="preserve">cnt</w:t>
      </w:r>
      <w:r>
        <w:t xml:space="preserve"> </w:t>
      </w:r>
      <w:r>
        <w:t xml:space="preserve">— the source corpus for platform notebooks), P04 (tasks, approvals, notifications, calendar — Vidhi's work queue), P07 (DMS, evidence vault, OCR pipeline, Word rendering). Consumes read models of P05, P06, P08–P11, P13, P14 when those exist; ships stated fallbacks when they do not.</w:t>
      </w:r>
    </w:p>
    <w:p>
      <w:pPr>
        <w:pStyle w:val="BlockText"/>
      </w:pPr>
      <w:r>
        <w:rPr>
          <w:bCs/>
          <w:b/>
        </w:rPr>
        <w:t xml:space="preserve">Sequencing:</w:t>
      </w:r>
      <w:r>
        <w:t xml:space="preserve"> </w:t>
      </w:r>
      <w:r>
        <w:t xml:space="preserve">A thin "Ask Vidhi" (regulatory Q&amp;A over platform notebooks, document summarise/translate) ships in sprint 1–3 so that P05, P06, P07, P09 and P10 can call the shared AI runtime (</w:t>
      </w:r>
      <w:r>
        <w:rPr>
          <w:rStyle w:val="VerbatimChar"/>
        </w:rPr>
        <w:t xml:space="preserve">packages/ai-runtime</w:t>
      </w:r>
      <w:r>
        <w:t xml:space="preserve">) as they are built. The agent layer (tasks, schedules, tools, approvals) ships in sprints 4–7. Notebook Studio outputs and the evaluation harness complete the phase.</w:t>
      </w:r>
    </w:p>
    <w:p>
      <w:pPr>
        <w:pStyle w:val="BlockText"/>
      </w:pPr>
      <w:r>
        <w:rPr>
          <w:bCs/>
          <w:b/>
        </w:rPr>
        <w:t xml:space="preserve">Binding appendices:</w:t>
      </w:r>
      <w:r>
        <w:t xml:space="preserve"> </w:t>
      </w:r>
      <w:r>
        <w:t xml:space="preserve">K (Vidhi AI Agent Specification — skills, tool registry, guardrails, evaluation, model cards), L (provider adapters, API catalogue), M (export of AI artefacts), Q (security and certification readiness), U (settings), D (roles), C (screens).</w:t>
      </w:r>
    </w:p>
    <w:p>
      <w:pPr>
        <w:pStyle w:val="BlockText"/>
      </w:pPr>
      <w:r>
        <w:rPr>
          <w:bCs/>
          <w:b/>
        </w:rPr>
        <w:t xml:space="preserve">Requirements covered:</w:t>
      </w:r>
      <w:r>
        <w:t xml:space="preserve"> </w:t>
      </w:r>
      <w:r>
        <w:t xml:space="preserve">R-019, R-026, R-027, R-038 (AI parts), R-053, R-063 (AI parts), R-077 (AI data preparation assist), R-085 (shared runtime for AI question authoring, built in P05), R-091 (policy drafting), R-092 (agenda and minutes), R-095 (tasks to Vidhi, scheduled tasks), R-097.</w:t>
      </w:r>
    </w:p>
    <w:p>
      <w:pPr>
        <w:pStyle w:val="BlockText"/>
      </w:pPr>
      <w:r>
        <w:rPr>
          <w:bCs/>
          <w:b/>
        </w:rPr>
        <w:t xml:space="preserve">Estimated effort:</w:t>
      </w:r>
      <w:r>
        <w:t xml:space="preserve"> </w:t>
      </w:r>
      <w:r>
        <w:t xml:space="preserve">8 two-week sprints, squad of 9 (AI platform 3, agents and tools 3, notebooks and document intelligence 2, evaluation and safety 1).</w:t>
      </w:r>
    </w:p>
    <w:bookmarkStart w:id="90" w:name="objective-and-business-outcome-17"/>
    <w:p>
      <w:pPr>
        <w:pStyle w:val="Heading3"/>
      </w:pPr>
      <w:r>
        <w:t xml:space="preserve">Objective and business outcome</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bookmarkEnd w:id="90"/>
    <w:bookmarkStart w:id="91" w:name="exit-gate-17"/>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packages/ai-runtime</w:t>
      </w:r>
      <w:r>
        <w:t xml:space="preserve"> </w:t>
      </w:r>
      <w:r>
        <w:t xml:space="preserve">(router, adapters, retrieval, validators, redaction, ledger client, cost meter);</w:t>
      </w:r>
      <w:r>
        <w:t xml:space="preserve"> </w:t>
      </w:r>
      <w:r>
        <w:rPr>
          <w:rStyle w:val="VerbatimChar"/>
        </w:rPr>
        <w:t xml:space="preserve">apps/api</w:t>
      </w:r>
      <w:r>
        <w:t xml:space="preserve"> </w:t>
      </w:r>
      <w:r>
        <w:rPr>
          <w:rStyle w:val="VerbatimChar"/>
        </w:rPr>
        <w:t xml:space="preserve">ai</w:t>
      </w:r>
      <w:r>
        <w:t xml:space="preserve"> </w:t>
      </w:r>
      <w:r>
        <w:t xml:space="preserve">module; Vidhi panel and screens SCR-AI-01…17 and console SCR-CON-AI-01…05; skills V-SK-01…25 with prompt templates, schemas and evaluation sets; tool registry with action classes; Temporal workflows (§7.5); platform notebooks for every pack enabled at launch with golden questions; type-copy, translation, WhatsApp/email importers; redline builder with Word comment citations; evaluation dashboard; red-team suite; model cards (</w:t>
      </w:r>
      <w:r>
        <w:rPr>
          <w:rStyle w:val="VerbatimChar"/>
        </w:rPr>
        <w:t xml:space="preserve">docs/ai/model-cards/</w:t>
      </w:r>
      <w:r>
        <w:t xml:space="preserve">); AI Use Statement (claims-registered); DPIA for AI processing (with P12); sub-processor entries; runbooks (</w:t>
      </w:r>
      <w:r>
        <w:rPr>
          <w:rStyle w:val="VerbatimChar"/>
        </w:rPr>
        <w:t xml:space="preserve">docs/runbooks/ai-provider-outage.md</w:t>
      </w:r>
      <w:r>
        <w:t xml:space="preserve">,</w:t>
      </w:r>
      <w:r>
        <w:t xml:space="preserve"> </w:t>
      </w:r>
      <w:r>
        <w:rPr>
          <w:rStyle w:val="VerbatimChar"/>
        </w:rPr>
        <w:t xml:space="preserve">ai-kill-switch.md</w:t>
      </w:r>
      <w:r>
        <w:t xml:space="preserve">,</w:t>
      </w:r>
      <w:r>
        <w:t xml:space="preserve"> </w:t>
      </w:r>
      <w:r>
        <w:rPr>
          <w:rStyle w:val="VerbatimChar"/>
        </w:rPr>
        <w:t xml:space="preserve">ai-incident.md</w:t>
      </w:r>
      <w:r>
        <w:t xml:space="preserve">); seeded schedule templates; tutorial scripts handed to P23.</w:t>
      </w:r>
    </w:p>
    <w:p>
      <w:pPr>
        <w:pStyle w:val="BodyText"/>
      </w:pPr>
      <w:r>
        <w:rPr>
          <w:bCs/>
          <w:b/>
        </w:rPr>
        <w:t xml:space="preserve">Exit gate</w:t>
      </w:r>
      <w:r>
        <w:t xml:space="preserve">: all §12 scenarios green; NN tests green; evaluation thresholds met for every skill enabled at launch (Appendix K §K.7); red-team suite passed with no open critical/high findings; India routing evidence captured for each regulated class; headless render of all golden drafts; load test: 200 concurrent interactive runs per region with p95 first-token ≤ 4 s and p95 Q&amp;A completion ≤ 20 s (excluding provider queueing); cost per median Q&amp;A run within the Pricing Catalogue assumption (Appendix N); accessibility audit of Vidhi screens (NN-21); documentation and hand-off per master §10.</w:t>
      </w:r>
    </w:p>
    <w:p>
      <w:r>
        <w:pict>
          <v:rect style="width:0;height:1.5pt" o:hralign="center" o:hrstd="t" o:hr="t"/>
        </w:pict>
      </w:r>
    </w:p>
    <w:bookmarkEnd w:id="91"/>
    <w:bookmarkStart w:id="92" w:name="integration-notes-17"/>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NN-37, NN-41; X-03 (Bedrock India default route), X-18 (Vidhi name)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92"/>
    <w:bookmarkEnd w:id="93"/>
    <w:bookmarkStart w:id="97" w:name="X1ed2b9b7245f79c07571b7996f11fa555246f08"/>
    <w:p>
      <w:pPr>
        <w:pStyle w:val="Heading2"/>
      </w:pPr>
      <w:r>
        <w:t xml:space="preserve">Phase P18 — Integration Gateway, Ecosystem Connectors and Developer Platform</w:t>
      </w:r>
    </w:p>
    <w:p>
      <w:pPr>
        <w:pStyle w:val="FirstParagraph"/>
      </w:pPr>
      <w:r>
        <w:rPr>
          <w:bCs/>
          <w:b/>
        </w:rPr>
        <w:t xml:space="preserve">Session prompt (type in Claude Code):</w:t>
      </w:r>
      <w:r>
        <w:t xml:space="preserve"> </w:t>
      </w:r>
      <w:r>
        <w:rPr>
          <w:iCs/>
          <w:i/>
        </w:rPr>
        <w:t xml:space="preserve">"Read docs/00-master-prompt.md, docs/01-decision-log.md and docs/phases/P18_Integration_Gateway_Ecosystem_Connectors_and_Developer_Platform.md in full, plus the appendices it names as binding. Then write docs/phases/P18-plan.md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(outbox, audit ledger, tenancy, KMS, Temporal), P01 (identity, SSO, SCIM, service accounts, step-up), P02 (settings registry, mapping-pack overrides), P04 (tasks, calendar, notifications — consumers of calendar and messaging connectors), P07 (DMS — consumer of storage and eSign connectors). Commit the</w:t>
      </w:r>
      <w:r>
        <w:t xml:space="preserve"> </w:t>
      </w:r>
      <w:r>
        <w:rPr>
          <w:bCs/>
          <w:b/>
        </w:rPr>
        <w:t xml:space="preserve">Infrabyx Ecosystem Integration Specification v1.1</w:t>
      </w:r>
      <w:r>
        <w:t xml:space="preserve"> </w:t>
      </w:r>
      <w:r>
        <w:t xml:space="preserve">unchanged as</w:t>
      </w:r>
      <w:r>
        <w:t xml:space="preserve"> </w:t>
      </w:r>
      <w:r>
        <w:rPr>
          <w:rStyle w:val="VerbatimChar"/>
        </w:rPr>
        <w:t xml:space="preserve">docs/ecosystem/infrabyx-integration-spec.md</w:t>
      </w:r>
      <w:r>
        <w:t xml:space="preserve"> </w:t>
      </w:r>
      <w:r>
        <w:t xml:space="preserve">(SHA-256 checked in CI; Spec §0 instruction 1) and the</w:t>
      </w:r>
      <w:r>
        <w:t xml:space="preserve"> </w:t>
      </w:r>
      <w:r>
        <w:rPr>
          <w:rStyle w:val="VerbatimChar"/>
        </w:rPr>
        <w:t xml:space="preserve">infrabyx-contracts</w:t>
      </w:r>
      <w:r>
        <w:t xml:space="preserve"> </w:t>
      </w:r>
      <w:r>
        <w:t xml:space="preserve">registry client.</w:t>
      </w:r>
    </w:p>
    <w:p>
      <w:pPr>
        <w:pStyle w:val="BlockText"/>
      </w:pPr>
      <w:r>
        <w:rPr>
          <w:bCs/>
          <w:b/>
        </w:rPr>
        <w:t xml:space="preserve">Sequencing:</w:t>
      </w:r>
      <w:r>
        <w:t xml:space="preserve"> </w:t>
      </w:r>
      <w:r>
        <w:t xml:space="preserve">Gateway, auth, error model, idempotency and outbox/webhook delivery ship in sprints 1–3 (every later phase publishes and consumes through them). Ecosystem connectors (Finbyx, Udofin, Ops Hub) in sprints 3–6; identity/KYB onboarding adapters in sprint 2 (needed by P01 self-onboarding and P23 health check); workplace/calendar connectors in sprints 4–6; communications and embeds in sprints 6–8; developer portal and certification in sprints 8–10. P19 (portability and storage targets) builds on the storage connector framework delivered here.</w:t>
      </w:r>
    </w:p>
    <w:p>
      <w:pPr>
        <w:pStyle w:val="BlockText"/>
      </w:pPr>
      <w:r>
        <w:rPr>
          <w:bCs/>
          <w:b/>
        </w:rPr>
        <w:t xml:space="preserve">Binding appendices:</w:t>
      </w:r>
      <w:r>
        <w:t xml:space="preserve"> </w:t>
      </w:r>
      <w:r>
        <w:t xml:space="preserve">L (adapter specifications and REST/API catalogue), B (data model, event and error registers), Q (security), U (settings), M (export formats where connectors exchange files). Ecosystem Spec v1.1 prevails over this file for any cross-product contract (NN-23).</w:t>
      </w:r>
    </w:p>
    <w:p>
      <w:pPr>
        <w:pStyle w:val="BlockText"/>
      </w:pPr>
      <w:r>
        <w:rPr>
          <w:bCs/>
          <w:b/>
        </w:rPr>
        <w:t xml:space="preserve">Requirements covered:</w:t>
      </w:r>
      <w:r>
        <w:t xml:space="preserve"> </w:t>
      </w:r>
      <w:r>
        <w:t xml:space="preserve">R-002, R-029, R-043 (integration parts), R-047 (group grants), R-049 and R-052 (data intake from Finbyx/Udofin/LMS), R-050 (Tally/Excel intake transport; transformation in P11), R-053, R-057 (federated external access), R-058, R-063 (Jio channels), R-082, R-094, R-098.</w:t>
      </w:r>
    </w:p>
    <w:p>
      <w:pPr>
        <w:pStyle w:val="BlockText"/>
      </w:pPr>
      <w:r>
        <w:rPr>
          <w:bCs/>
          <w:b/>
        </w:rPr>
        <w:t xml:space="preserve">Estimated effort:</w:t>
      </w:r>
      <w:r>
        <w:t xml:space="preserve"> </w:t>
      </w:r>
      <w:r>
        <w:t xml:space="preserve">10 two-week sprints, squad of 8 (gateway and platform 3, ecosystem connectors 2, third-party adapters 2, developer experience 1).</w:t>
      </w:r>
    </w:p>
    <w:bookmarkStart w:id="94" w:name="objective-and-business-outcome-18"/>
    <w:p>
      <w:pPr>
        <w:pStyle w:val="Heading3"/>
      </w:pPr>
      <w:r>
        <w:t xml:space="preserve">Objective and business outcome</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 "Grievance Redressal" 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bookmarkEnd w:id="94"/>
    <w:bookmarkStart w:id="95" w:name="exit-gate-18"/>
    <w:p>
      <w:pPr>
        <w:pStyle w:val="Heading3"/>
      </w:pPr>
      <w:r>
        <w:t xml:space="preserve">Exit gate</w:t>
      </w:r>
    </w:p>
    <w:p>
      <w:pPr>
        <w:pStyle w:val="FirstParagraph"/>
      </w:pPr>
      <w:r>
        <w:rPr>
          <w:bCs/>
          <w:b/>
        </w:rPr>
        <w:t xml:space="preserve">Deliverables</w:t>
      </w:r>
      <w:r>
        <w:t xml:space="preserve">: gateway configuration as code;</w:t>
      </w:r>
      <w:r>
        <w:t xml:space="preserve"> </w:t>
      </w:r>
      <w:r>
        <w:rPr>
          <w:rStyle w:val="VerbatimChar"/>
        </w:rPr>
        <w:t xml:space="preserve">int</w:t>
      </w:r>
      <w:r>
        <w:t xml:space="preserve"> </w:t>
      </w:r>
      <w:r>
        <w:t xml:space="preserve">module;</w:t>
      </w:r>
      <w:r>
        <w:t xml:space="preserve"> </w:t>
      </w:r>
      <w:r>
        <w:rPr>
          <w:rStyle w:val="VerbatimChar"/>
        </w:rPr>
        <w:t xml:space="preserve">packages/contracts</w:t>
      </w:r>
      <w:r>
        <w:t xml:space="preserve"> </w:t>
      </w:r>
      <w:r>
        <w:t xml:space="preserve">(OpenAPI 3.1, AsyncAPI 3.0, JSON Schemas); generated SDKs (TypeScript, Python, Java); connector host and SDK integration; Finbyx, Udofin, Ops Hub, Equator, LawDocs and Academy connectors; Fineract reference connector; generic CSV/SFTP layouts;</w:t>
      </w:r>
      <w:r>
        <w:t xml:space="preserve"> </w:t>
      </w:r>
      <w:r>
        <w:rPr>
          <w:rStyle w:val="VerbatimChar"/>
        </w:rPr>
        <w:t xml:space="preserve">ldc-agent</w:t>
      </w:r>
      <w:r>
        <w:t xml:space="preserve"> </w:t>
      </w:r>
      <w:r>
        <w:t xml:space="preserve">(Windows/Linux, signed) with Tally XML/JSON extractors; onboarding lookup adapters (at least one licensed company-data provider, GSTIN, GLEIF, PAN channel); Microsoft 365 adapter (SSO, SCIM, calendar, Teams meetings/transcripts, SharePoint</w:t>
      </w:r>
      <w:r>
        <w:t xml:space="preserve"> </w:t>
      </w:r>
      <w:r>
        <w:rPr>
          <w:rStyle w:val="VerbatimChar"/>
        </w:rPr>
        <w:t xml:space="preserve">Sites.Selected</w:t>
      </w:r>
      <w:r>
        <w:t xml:space="preserve">); ICS and CalDAV services; eSign adapters (at least two ESPs + DSC desktop signer); email/SMS/WhatsApp/voice adapters (at least JioCX for SMS and one alternate); embeds (script, hosted page, API) with accessibility audit; Razorpay adapter; developer portal and sandbox; certification workbench; integration monitor; runbooks (</w:t>
      </w:r>
      <w:r>
        <w:rPr>
          <w:rStyle w:val="VerbatimChar"/>
        </w:rPr>
        <w:t xml:space="preserve">docs/runbooks/integration-incident.md</w:t>
      </w:r>
      <w:r>
        <w:t xml:space="preserve">,</w:t>
      </w:r>
      <w:r>
        <w:t xml:space="preserve"> </w:t>
      </w:r>
      <w:r>
        <w:rPr>
          <w:rStyle w:val="VerbatimChar"/>
        </w:rPr>
        <w:t xml:space="preserve">dlq-replay.md</w:t>
      </w:r>
      <w:r>
        <w:t xml:space="preserve">,</w:t>
      </w:r>
      <w:r>
        <w:t xml:space="preserve"> </w:t>
      </w:r>
      <w:r>
        <w:rPr>
          <w:rStyle w:val="VerbatimChar"/>
        </w:rPr>
        <w:t xml:space="preserve">key-rotation.md</w:t>
      </w:r>
      <w:r>
        <w:t xml:space="preserve">,</w:t>
      </w:r>
      <w:r>
        <w:t xml:space="preserve"> </w:t>
      </w:r>
      <w:r>
        <w:rPr>
          <w:rStyle w:val="VerbatimChar"/>
        </w:rPr>
        <w:t xml:space="preserve">compliance-mode-switch.md</w:t>
      </w:r>
      <w:r>
        <w:t xml:space="preserve">,</w:t>
      </w:r>
      <w:r>
        <w:t xml:space="preserve"> </w:t>
      </w:r>
      <w:r>
        <w:rPr>
          <w:rStyle w:val="VerbatimChar"/>
        </w:rPr>
        <w:t xml:space="preserve">agent-install.md</w:t>
      </w:r>
      <w:r>
        <w:t xml:space="preserve">).</w:t>
      </w:r>
    </w:p>
    <w:p>
      <w:pPr>
        <w:pStyle w:val="BodyText"/>
      </w:pPr>
      <w:r>
        <w:rPr>
          <w:bCs/>
          <w:b/>
        </w:rPr>
        <w:t xml:space="preserve">Exit gate</w:t>
      </w:r>
      <w:r>
        <w:t xml:space="preserve">: §12 scenarios and NN tests green; Ecosystem Spec §14.3 suite groups relevant to LDC green in sandbox with</w:t>
      </w:r>
      <w:r>
        <w:t xml:space="preserve"> </w:t>
      </w:r>
      <w:r>
        <w:rPr>
          <w:rStyle w:val="VerbatimChar"/>
        </w:rPr>
        <w:t xml:space="preserve">ConnectorCertified</w:t>
      </w:r>
      <w:r>
        <w:t xml:space="preserve"> </w:t>
      </w:r>
      <w:r>
        <w:t xml:space="preserve">emitted for Finbyx↔LDC, Udofin↔LDC, OH↔LDC; Pact tests green with</w:t>
      </w:r>
      <w:r>
        <w:t xml:space="preserve"> </w:t>
      </w:r>
      <w:r>
        <w:rPr>
          <w:rStyle w:val="VerbatimChar"/>
        </w:rPr>
        <w:t xml:space="preserve">contracts.lock</w:t>
      </w:r>
      <w:r>
        <w:t xml:space="preserve"> </w:t>
      </w:r>
      <w:r>
        <w:t xml:space="preserve">pinned; penetration test of gateway, embeds and agent with no open critical/high; load: 500 req/s sustained per region on read APIs with p95 ≤ 800 ms excluding third parties; webhook fan-out 50,000 deliveries/hour with outbox lag p95 ≤ 30 s; documentation complete in the developer portal.</w:t>
      </w:r>
    </w:p>
    <w:p>
      <w:r>
        <w:pict>
          <v:rect style="width:0;height:1.5pt" o:hralign="center" o:hrstd="t" o:hr="t"/>
        </w:pict>
      </w:r>
    </w:p>
    <w:bookmarkEnd w:id="95"/>
    <w:bookmarkStart w:id="96" w:name="integration-notes-18"/>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X-01, X-03, X-04, X-07, X-23, X-24, X-41; implement the Ecosystem Spec v1.2 change requests of master §19 only after approval</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96"/>
    <w:bookmarkEnd w:id="97"/>
    <w:bookmarkStart w:id="101" w:name="X6b3afdc9fe65602d391003fea59aa42a13c6fa6"/>
    <w:p>
      <w:pPr>
        <w:pStyle w:val="Heading2"/>
      </w:pPr>
      <w:r>
        <w:t xml:space="preserve">Phase P19 — Data Preservation, Portability and Bring-Your-Own Storage</w:t>
      </w:r>
    </w:p>
    <w:p>
      <w:pPr>
        <w:pStyle w:val="FirstParagraph"/>
      </w:pPr>
      <w:r>
        <w:rPr>
          <w:bCs/>
          <w:b/>
        </w:rPr>
        <w:t xml:space="preserve">Session prompt (type in Claude Code):</w:t>
      </w:r>
      <w:r>
        <w:t xml:space="preserve"> </w:t>
      </w:r>
      <w:r>
        <w:rPr>
          <w:iCs/>
          <w:i/>
        </w:rPr>
        <w:t xml:space="preserve">"Read docs/00-master-prompt.md, docs/01-decision-log.md and docs/phases/P19_Data_Preservation_Portability_and_BYO_Storage.md in full, plus the appendices it names as binding. Then write docs/phases/P19-plan.md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(stable identifiers, audit ledger with daily anchors, object storage with Object Lock, migration framework), P01 (roles, step-up), P02 (settings, folder policy, terminology registry — department and function names), P07 (DMS: documents, versions, renditions, evidence vault), P18 (connector framework,</w:t>
      </w:r>
      <w:r>
        <w:t xml:space="preserve"> </w:t>
      </w:r>
      <w:r>
        <w:rPr>
          <w:rStyle w:val="VerbatimChar"/>
        </w:rPr>
        <w:t xml:space="preserve">StorageTarget</w:t>
      </w:r>
      <w:r>
        <w:t xml:space="preserve"> </w:t>
      </w:r>
      <w:r>
        <w:t xml:space="preserve">base, on-premises agent, Microsoft Graph and Google adapters). Every module that stores records (P03–P16, P17, P20–P22) must register its record types in the</w:t>
      </w:r>
      <w:r>
        <w:t xml:space="preserve"> </w:t>
      </w:r>
      <w:r>
        <w:rPr>
          <w:bCs/>
          <w:b/>
        </w:rPr>
        <w:t xml:space="preserve">export map</w:t>
      </w:r>
      <w:r>
        <w:t xml:space="preserve"> </w:t>
      </w:r>
      <w:r>
        <w:t xml:space="preserve">(§4E) before its exit gate — this is a cross-phase obligation enforced by CI (NN-10).</w:t>
      </w:r>
    </w:p>
    <w:p>
      <w:pPr>
        <w:pStyle w:val="BlockText"/>
      </w:pPr>
      <w:r>
        <w:rPr>
          <w:bCs/>
          <w:b/>
        </w:rPr>
        <w:t xml:space="preserve">Sequencing:</w:t>
      </w:r>
      <w:r>
        <w:t xml:space="preserve"> </w:t>
      </w:r>
      <w:r>
        <w:t xml:space="preserve">The export map registry, the export-mapping contract test and the storage key scheme ship in sprint 1 so that every module built after P00 is portable by construction. Full/partial exports and the verifier ship in sprints 2–4; BYO storage targets and scheduled backups in sprints 4–6; folder-tree intake in sprints 5–7; exit plan, rehydration tool and infrastructure-move runbooks in sprints 7–8.</w:t>
      </w:r>
    </w:p>
    <w:p>
      <w:pPr>
        <w:pStyle w:val="BlockText"/>
      </w:pPr>
      <w:r>
        <w:rPr>
          <w:bCs/>
          <w:b/>
        </w:rPr>
        <w:t xml:space="preserve">Binding appendices:</w:t>
      </w:r>
      <w:r>
        <w:t xml:space="preserve"> </w:t>
      </w:r>
      <w:r>
        <w:t xml:space="preserve">M (export package</w:t>
      </w:r>
      <w:r>
        <w:t xml:space="preserve"> </w:t>
      </w:r>
      <w:r>
        <w:rPr>
          <w:rStyle w:val="VerbatimChar"/>
        </w:rPr>
        <w:t xml:space="preserve">LDC-EXPORT-1.0</w:t>
      </w:r>
      <w:r>
        <w:t xml:space="preserve"> </w:t>
      </w:r>
      <w:r>
        <w:t xml:space="preserve">and folder taxonomy — binding for every path and file name), L (</w:t>
      </w:r>
      <w:r>
        <w:rPr>
          <w:rStyle w:val="VerbatimChar"/>
        </w:rPr>
        <w:t xml:space="preserve">StorageTarget</w:t>
      </w:r>
      <w:r>
        <w:t xml:space="preserve"> </w:t>
      </w:r>
      <w:r>
        <w:t xml:space="preserve">adapters), Q (security), U (settings), B (data model conventions). The</w:t>
      </w:r>
      <w:r>
        <w:t xml:space="preserve"> </w:t>
      </w:r>
      <w:r>
        <w:rPr>
          <w:bCs/>
          <w:b/>
        </w:rPr>
        <w:t xml:space="preserve">Infrabyx Ecosystem Integration Specification v1.1 §12.1 archive standard 1.0</w:t>
      </w:r>
      <w:r>
        <w:t xml:space="preserve"> </w:t>
      </w:r>
      <w:r>
        <w:t xml:space="preserve">and</w:t>
      </w:r>
      <w:r>
        <w:t xml:space="preserve"> </w:t>
      </w:r>
      <w:r>
        <w:rPr>
          <w:bCs/>
          <w:b/>
        </w:rPr>
        <w:t xml:space="preserve">§12.2 storage connector contract</w:t>
      </w:r>
      <w:r>
        <w:t xml:space="preserve"> </w:t>
      </w:r>
      <w:r>
        <w:t xml:space="preserve">prevail on any conflict (NN-23);</w:t>
      </w:r>
      <w:r>
        <w:t xml:space="preserve"> </w:t>
      </w:r>
      <w:r>
        <w:rPr>
          <w:rStyle w:val="VerbatimChar"/>
        </w:rPr>
        <w:t xml:space="preserve">LDC-EXPORT-1.0</w:t>
      </w:r>
      <w:r>
        <w:t xml:space="preserve"> </w:t>
      </w:r>
      <w:r>
        <w:t xml:space="preserve">is LDC's registered</w:t>
      </w:r>
      <w:r>
        <w:t xml:space="preserve"> </w:t>
      </w:r>
      <w:r>
        <w:rPr>
          <w:bCs/>
          <w:b/>
        </w:rPr>
        <w:t xml:space="preserve">folder profile</w:t>
      </w:r>
      <w:r>
        <w:t xml:space="preserve"> </w:t>
      </w:r>
      <w:r>
        <w:rPr>
          <w:rStyle w:val="VerbatimChar"/>
        </w:rPr>
        <w:t xml:space="preserve">ldc_tenant_v1</w:t>
      </w:r>
      <w:r>
        <w:t xml:space="preserve"> </w:t>
      </w:r>
      <w:r>
        <w:t xml:space="preserve">within that standard.</w:t>
      </w:r>
    </w:p>
    <w:p>
      <w:pPr>
        <w:pStyle w:val="BlockText"/>
      </w:pPr>
      <w:r>
        <w:rPr>
          <w:bCs/>
          <w:b/>
        </w:rPr>
        <w:t xml:space="preserve">Requirements covered:</w:t>
      </w:r>
      <w:r>
        <w:t xml:space="preserve"> </w:t>
      </w:r>
      <w:r>
        <w:t xml:space="preserve">R-021, R-043 (folder export, Office formats), R-076, R-081, R-082 (storage parts), R-046 (backups, restore tests — engineering parts in P24), R-047 (cross-product sharing of packages), R-055 (audit-readable exports), R-051 (exports follow accounting/audit/corporate practice — format rules), R-088 (audit trail export).</w:t>
      </w:r>
    </w:p>
    <w:p>
      <w:pPr>
        <w:pStyle w:val="BlockText"/>
      </w:pPr>
      <w:r>
        <w:rPr>
          <w:bCs/>
          <w:b/>
        </w:rPr>
        <w:t xml:space="preserve">Estimated effort:</w:t>
      </w:r>
      <w:r>
        <w:t xml:space="preserve"> </w:t>
      </w:r>
      <w:r>
        <w:t xml:space="preserve">8 two-week sprints, squad of 7 (portability core 3, storage connectors 2, intake 1, verification and tooling 1).</w:t>
      </w:r>
    </w:p>
    <w:bookmarkStart w:id="98" w:name="objective-and-business-outcome-19"/>
    <w:p>
      <w:pPr>
        <w:pStyle w:val="Heading3"/>
      </w:pPr>
      <w:r>
        <w:t xml:space="preserve">Objective and business outcome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bookmarkEnd w:id="98"/>
    <w:bookmarkStart w:id="99" w:name="exit-gate-19"/>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xpt</w:t>
      </w:r>
      <w:r>
        <w:t xml:space="preserve"> </w:t>
      </w:r>
      <w:r>
        <w:t xml:space="preserve">module; export map registry and registrations for all modules built so far (later phases add theirs before their exit gate); package builder; restricted-archive builder; BSA s.63 pre-fill generator and platform statement; offline viewer;</w:t>
      </w:r>
      <w:r>
        <w:t xml:space="preserve"> </w:t>
      </w:r>
      <w:r>
        <w:rPr>
          <w:rStyle w:val="VerbatimChar"/>
        </w:rPr>
        <w:t xml:space="preserve">ldc-verify</w:t>
      </w:r>
      <w:r>
        <w:t xml:space="preserve"> </w:t>
      </w:r>
      <w:r>
        <w:t xml:space="preserve">and</w:t>
      </w:r>
      <w:r>
        <w:t xml:space="preserve"> </w:t>
      </w:r>
      <w:r>
        <w:rPr>
          <w:rStyle w:val="VerbatimChar"/>
        </w:rPr>
        <w:t xml:space="preserve">ldc-load</w:t>
      </w:r>
      <w:r>
        <w:t xml:space="preserve"> </w:t>
      </w:r>
      <w:r>
        <w:t xml:space="preserve">(Apache-2.0, signed releases, Windows/macOS/Linux); storage adapters (S3, S3-compatible, Azure Blob, GCS, SharePoint/OneDrive, Google Drive, SFTP, on-prem agent jobs); scheduled copies and restore tests; folder intake with mapping wizard and review queue; exit and deletion workflows with certificate; CI gates (coverage, golden diff, render/PDF-A); runbooks (</w:t>
      </w:r>
      <w:r>
        <w:rPr>
          <w:rStyle w:val="VerbatimChar"/>
        </w:rPr>
        <w:t xml:space="preserve">docs/runbooks/export-failure.md</w:t>
      </w:r>
      <w:r>
        <w:t xml:space="preserve">,</w:t>
      </w:r>
      <w:r>
        <w:t xml:space="preserve"> </w:t>
      </w:r>
      <w:r>
        <w:rPr>
          <w:rStyle w:val="VerbatimChar"/>
        </w:rPr>
        <w:t xml:space="preserve">storage-target-incident.md</w:t>
      </w:r>
      <w:r>
        <w:t xml:space="preserve">,</w:t>
      </w:r>
      <w:r>
        <w:t xml:space="preserve"> </w:t>
      </w:r>
      <w:r>
        <w:rPr>
          <w:rStyle w:val="VerbatimChar"/>
        </w:rPr>
        <w:t xml:space="preserve">infra-move-database.md</w:t>
      </w:r>
      <w:r>
        <w:t xml:space="preserve">,</w:t>
      </w:r>
      <w:r>
        <w:t xml:space="preserve"> </w:t>
      </w:r>
      <w:r>
        <w:rPr>
          <w:rStyle w:val="VerbatimChar"/>
        </w:rPr>
        <w:t xml:space="preserve">infra-move-object-storage.md</w:t>
      </w:r>
      <w:r>
        <w:t xml:space="preserve">,</w:t>
      </w:r>
      <w:r>
        <w:t xml:space="preserve"> </w:t>
      </w:r>
      <w:r>
        <w:rPr>
          <w:rStyle w:val="VerbatimChar"/>
        </w:rPr>
        <w:t xml:space="preserve">region-move.md</w:t>
      </w:r>
      <w:r>
        <w:t xml:space="preserve">,</w:t>
      </w:r>
      <w:r>
        <w:t xml:space="preserve"> </w:t>
      </w:r>
      <w:r>
        <w:rPr>
          <w:rStyle w:val="VerbatimChar"/>
        </w:rPr>
        <w:t xml:space="preserve">tenant-exit.md</w:t>
      </w:r>
      <w:r>
        <w:t xml:space="preserve">,</w:t>
      </w:r>
      <w:r>
        <w:t xml:space="preserve"> </w:t>
      </w:r>
      <w:r>
        <w:rPr>
          <w:rStyle w:val="VerbatimChar"/>
        </w:rPr>
        <w:t xml:space="preserve">court-order-export.md</w:t>
      </w:r>
      <w:r>
        <w:t xml:space="preserve">); usability test report (§1 measure).</w:t>
      </w:r>
    </w:p>
    <w:p>
      <w:pPr>
        <w:pStyle w:val="BodyText"/>
      </w:pPr>
      <w:r>
        <w:rPr>
          <w:bCs/>
          <w:b/>
        </w:rPr>
        <w:t xml:space="preserve">Exit gate</w:t>
      </w:r>
      <w:r>
        <w:t xml:space="preserve">: §12 scenarios and NN tests green; Ecosystem Spec §14.3 "Archive and storage" group green; usability test passed; 500 GB synthetic tenant exit export ≤ 48 h; 50,000-document intake completes with rollback verified; infrastructure-move rehearsal (database provider and object-store move in staging) with empty golden diff and evidence pack.</w:t>
      </w:r>
    </w:p>
    <w:p>
      <w:r>
        <w:pict>
          <v:rect style="width:0;height:1.5pt" o:hralign="center" o:hrstd="t" o:hr="t"/>
        </w:pict>
      </w:r>
    </w:p>
    <w:bookmarkEnd w:id="99"/>
    <w:bookmarkStart w:id="100" w:name="integration-notes-19"/>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NN-42, NN-45; X-27 (Appendix M folder names authoritative)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100"/>
    <w:bookmarkEnd w:id="101"/>
    <w:bookmarkStart w:id="105" w:name="Xaf5c0879bfdd067f9672559e60057b287eafa84"/>
    <w:p>
      <w:pPr>
        <w:pStyle w:val="Heading2"/>
      </w:pPr>
      <w:r>
        <w:t xml:space="preserve">Phase P20 — Pricing, Plans, Subscriptions, Billing, Savings and Revenue Streams</w:t>
      </w:r>
    </w:p>
    <w:p>
      <w:pPr>
        <w:pStyle w:val="FirstParagraph"/>
      </w:pPr>
      <w:r>
        <w:rPr>
          <w:bCs/>
          <w:b/>
        </w:rPr>
        <w:t xml:space="preserve">Session prompt (type in Claude Code):</w:t>
      </w:r>
      <w:r>
        <w:t xml:space="preserve"> </w:t>
      </w:r>
      <w:r>
        <w:rPr>
          <w:iCs/>
          <w:i/>
        </w:rPr>
        <w:t xml:space="preserve">"Read docs/00-master-prompt.md, docs/01-decision-log.md and docs/phases/P20_Pricing_Plans_Subscriptions_Billing_Savings_and_Revenue_Streams.md in full, plus the appendices it names as binding. Then write docs/phases/P20-plan.md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7"/>
        </w:numPr>
        <w:pStyle w:val="Compact"/>
      </w:pPr>
      <w:r>
        <w:rPr>
          <w:bCs/>
          <w:b/>
        </w:rPr>
        <w:t xml:space="preserve">P00</w:t>
      </w:r>
      <w:r>
        <w:t xml:space="preserve"> </w:t>
      </w:r>
      <w:r>
        <w:t xml:space="preserve">(tenancy, RLS, audit ledger, Correction Entries, feature flags, outbox/inbox);</w:t>
      </w:r>
    </w:p>
    <w:p>
      <w:pPr>
        <w:numPr>
          <w:ilvl w:val="0"/>
          <w:numId w:val="1027"/>
        </w:numPr>
        <w:pStyle w:val="Compact"/>
      </w:pPr>
      <w:r>
        <w:rPr>
          <w:bCs/>
          <w:b/>
        </w:rPr>
        <w:t xml:space="preserve">P01</w:t>
      </w:r>
      <w:r>
        <w:t xml:space="preserve"> </w:t>
      </w:r>
      <w:r>
        <w:t xml:space="preserve">(identity, onboarding wizard, PAN/CIN/GSTIN fetch, trial tenant creation, step-up MFA);</w:t>
      </w:r>
    </w:p>
    <w:p>
      <w:pPr>
        <w:numPr>
          <w:ilvl w:val="0"/>
          <w:numId w:val="1027"/>
        </w:numPr>
        <w:pStyle w:val="Compact"/>
      </w:pPr>
      <w:r>
        <w:rPr>
          <w:bCs/>
          <w:b/>
        </w:rPr>
        <w:t xml:space="preserve">P02</w:t>
      </w:r>
      <w:r>
        <w:t xml:space="preserve"> </w:t>
      </w:r>
      <w:r>
        <w:t xml:space="preserve">(settings registry and Configuration Studio — every key in §9 is registered there before use, NN-28);</w:t>
      </w:r>
    </w:p>
    <w:p>
      <w:pPr>
        <w:numPr>
          <w:ilvl w:val="0"/>
          <w:numId w:val="1027"/>
        </w:numPr>
        <w:pStyle w:val="Compact"/>
      </w:pPr>
      <w:r>
        <w:rPr>
          <w:bCs/>
          <w:b/>
        </w:rPr>
        <w:t xml:space="preserve">P18</w:t>
      </w:r>
      <w:r>
        <w:t xml:space="preserve"> </w:t>
      </w:r>
      <w:r>
        <w:t xml:space="preserve">(integration gateway: signed-event inbox, JWS verification of OH catalogue and entitlements, webhook framework);</w:t>
      </w:r>
    </w:p>
    <w:p>
      <w:pPr>
        <w:numPr>
          <w:ilvl w:val="0"/>
          <w:numId w:val="1027"/>
        </w:numPr>
        <w:pStyle w:val="Compact"/>
      </w:pPr>
      <w:r>
        <w:rPr>
          <w:bCs/>
          <w:b/>
        </w:rPr>
        <w:t xml:space="preserve">P23</w:t>
      </w:r>
      <w:r>
        <w:t xml:space="preserve"> </w:t>
      </w:r>
      <w:r>
        <w:t xml:space="preserve">(public website shell, Free Compliance Health Check that seeds the configurator) — P20 ships the pricing page and configurator components that P23 mounts.</w:t>
      </w:r>
    </w:p>
    <w:p>
      <w:pPr>
        <w:numPr>
          <w:ilvl w:val="0"/>
          <w:numId w:val="1027"/>
        </w:numPr>
        <w:pStyle w:val="Compact"/>
      </w:pPr>
      <w:r>
        <w:rPr>
          <w:bCs/>
          <w:b/>
        </w:rPr>
        <w:t xml:space="preserve">External:</w:t>
      </w:r>
      <w:r>
        <w:t xml:space="preserve"> </w:t>
      </w:r>
      <w:r>
        <w:t xml:space="preserve">Infrabyx Operations Hub</w:t>
      </w:r>
      <w:r>
        <w:t xml:space="preserve"> </w:t>
      </w:r>
      <w:r>
        <w:rPr>
          <w:bCs/>
          <w:b/>
        </w:rPr>
        <w:t xml:space="preserve">OH8</w:t>
      </w:r>
      <w:r>
        <w:t xml:space="preserve"> </w:t>
      </w:r>
      <w:r>
        <w:t xml:space="preserve">(catalogue, quotes, orders, invoices, Razorpay, dunning) and</w:t>
      </w:r>
      <w:r>
        <w:t xml:space="preserve"> </w:t>
      </w:r>
      <w:r>
        <w:rPr>
          <w:bCs/>
          <w:b/>
        </w:rPr>
        <w:t xml:space="preserve">OH4</w:t>
      </w:r>
      <w:r>
        <w:t xml:space="preserve"> </w:t>
      </w:r>
      <w:r>
        <w:t xml:space="preserve">(provisioning) per Infrabyx Ecosystem Integration Specification v1.1 §6.27 and §6.29, and Appendix X of this pack.</w:t>
      </w:r>
    </w:p>
    <w:p>
      <w:pPr>
        <w:pStyle w:val="BlockText"/>
      </w:pPr>
      <w:r>
        <w:rPr>
          <w:bCs/>
          <w:b/>
        </w:rPr>
        <w:t xml:space="preserve">Sequencing:</w:t>
      </w:r>
      <w:r>
        <w:t xml:space="preserve"> </w:t>
      </w:r>
      <w:r>
        <w:t xml:space="preserve">Sprint 1 freezes</w:t>
      </w:r>
      <w:r>
        <w:t xml:space="preserve"> </w:t>
      </w:r>
      <w:r>
        <w:rPr>
          <w:rStyle w:val="VerbatimChar"/>
        </w:rPr>
        <w:t xml:space="preserve">BILLING_PORT</w:t>
      </w:r>
      <w:r>
        <w:t xml:space="preserve">, the presentation-catalogue schema and the entitlement SDK (</w:t>
      </w:r>
      <w:r>
        <w:rPr>
          <w:rStyle w:val="VerbatimChar"/>
        </w:rPr>
        <w:t xml:space="preserve">packages/entitlements</w:t>
      </w:r>
      <w:r>
        <w:t xml:space="preserve">) that every module from P04 onwards calls. P20 may start after P01 exits; its exit gate requires the OH8 adapter to pass contract tests against the OH8 sandbox</w:t>
      </w:r>
      <w:r>
        <w:t xml:space="preserve"> </w:t>
      </w:r>
      <w:r>
        <w:rPr>
          <w:bCs/>
          <w:b/>
        </w:rPr>
        <w:t xml:space="preserve">or</w:t>
      </w:r>
      <w:r>
        <w:t xml:space="preserve"> </w:t>
      </w:r>
      <w:r>
        <w:t xml:space="preserve">the interim</w:t>
      </w:r>
      <w:r>
        <w:t xml:space="preserve"> </w:t>
      </w:r>
      <w:r>
        <w:rPr>
          <w:rStyle w:val="VerbatimChar"/>
        </w:rPr>
        <w:t xml:space="preserve">LOCAL</w:t>
      </w:r>
      <w:r>
        <w:t xml:space="preserve"> </w:t>
      </w:r>
      <w:r>
        <w:t xml:space="preserve">adapter to be approved by the owner (D-21; OI-P20-01).</w:t>
      </w:r>
    </w:p>
    <w:p>
      <w:pPr>
        <w:pStyle w:val="BlockText"/>
      </w:pPr>
      <w:r>
        <w:rPr>
          <w:bCs/>
          <w:b/>
        </w:rPr>
        <w:t xml:space="preserve">Binding appendices:</w:t>
      </w:r>
      <w:r>
        <w:t xml:space="preserve"> </w:t>
      </w:r>
      <w:r>
        <w:t xml:space="preserve">N (Pricing, Plans, Add-ons, Revenue Streams and Savings Model), X (Operations Hub Addendum), U (settings catalogue), B (data model, events, errors), Q (PCI DSS SAQ A scope), P (pricing-page copy and SEO).</w:t>
      </w:r>
    </w:p>
    <w:p>
      <w:pPr>
        <w:pStyle w:val="BlockText"/>
      </w:pPr>
      <w:r>
        <w:rPr>
          <w:bCs/>
          <w:b/>
        </w:rPr>
        <w:t xml:space="preserve">Requirements covered:</w:t>
      </w:r>
      <w:r>
        <w:t xml:space="preserve"> </w:t>
      </w:r>
      <w:r>
        <w:t xml:space="preserve">R-016 (handoff from health check), R-024, R-034, R-037, R-044, R-067, R-069, R-070, R-071, R-074, R-076 (billing documents download), R-033 (payment security).</w:t>
      </w:r>
    </w:p>
    <w:p>
      <w:pPr>
        <w:pStyle w:val="BlockText"/>
      </w:pPr>
      <w:r>
        <w:rPr>
          <w:bCs/>
          <w:b/>
        </w:rPr>
        <w:t xml:space="preserve">Estimated effort:</w:t>
      </w:r>
      <w:r>
        <w:t xml:space="preserve"> </w:t>
      </w:r>
      <w:r>
        <w:t xml:space="preserve">6 two-week sprints, squad of 8 (commerce backend 3, frontend/configurator 3, QA 1, finance-domain analyst 1).</w:t>
      </w:r>
    </w:p>
    <w:bookmarkStart w:id="102" w:name="objective-and-business-outcome-20"/>
    <w:p>
      <w:pPr>
        <w:pStyle w:val="Heading3"/>
      </w:pPr>
      <w:r>
        <w:t xml:space="preserve">Objective and business outcome</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bookmarkEnd w:id="102"/>
    <w:bookmarkStart w:id="103" w:name="exit-gate-20"/>
    <w:p>
      <w:pPr>
        <w:pStyle w:val="Heading3"/>
      </w:pPr>
      <w:r>
        <w:t xml:space="preserve">Exit gate</w:t>
      </w:r>
    </w:p>
    <w:p>
      <w:pPr>
        <w:numPr>
          <w:ilvl w:val="0"/>
          <w:numId w:val="1028"/>
        </w:numPr>
        <w:pStyle w:val="Compact"/>
      </w:pPr>
      <w:r>
        <w:t xml:space="preserve">Presentation catalogue schema, Pricing Studio, public pricing page, configurator (public + embedded), self-serve trial flow, Billing &amp; Membership settings (SCR-BIL-11…28), entitlement SDK adopted by all modules built so far, usage meters, Savings Dashboard and Value Report, stream switches,</w:t>
      </w:r>
      <w:r>
        <w:t xml:space="preserve"> </w:t>
      </w:r>
      <w:r>
        <w:rPr>
          <w:rStyle w:val="VerbatimChar"/>
        </w:rPr>
        <w:t xml:space="preserve">BILLING_PORT</w:t>
      </w:r>
      <w:r>
        <w:t xml:space="preserve"> </w:t>
      </w:r>
      <w:r>
        <w:t xml:space="preserve">with OH8 adapter contract-tested (or LOCAL adapter approved, OI-P20-01).</w:t>
      </w:r>
    </w:p>
    <w:p>
      <w:pPr>
        <w:numPr>
          <w:ilvl w:val="0"/>
          <w:numId w:val="1028"/>
        </w:numPr>
        <w:pStyle w:val="Compact"/>
      </w:pPr>
      <w:r>
        <w:t xml:space="preserve">Seed data: Appendix N catalogue, feature rows, FAQs, savings methodology registry (baselines marked</w:t>
      </w:r>
      <w:r>
        <w:t xml:space="preserve"> </w:t>
      </w:r>
      <w:r>
        <w:rPr>
          <w:rStyle w:val="VerbatimChar"/>
        </w:rPr>
        <w:t xml:space="preserve">[OWNER TO SET]</w:t>
      </w:r>
      <w:r>
        <w:t xml:space="preserve"> </w:t>
      </w:r>
      <w:r>
        <w:t xml:space="preserve">until the time-and-motion study is done).</w:t>
      </w:r>
    </w:p>
    <w:p>
      <w:pPr>
        <w:numPr>
          <w:ilvl w:val="0"/>
          <w:numId w:val="1028"/>
        </w:numPr>
        <w:pStyle w:val="Compact"/>
      </w:pPr>
      <w:r>
        <w:t xml:space="preserve">Evidence: SAQ A scope note, dark-pattern self-audit v1, claims-gate PASS for all public copy, accessibility report, load test (pricing page p95 TTFB ≤ 300 ms at 200 rps), reconciliation dry run with OH8 sandbox.</w:t>
      </w:r>
    </w:p>
    <w:p>
      <w:pPr>
        <w:numPr>
          <w:ilvl w:val="0"/>
          <w:numId w:val="1028"/>
        </w:numPr>
        <w:pStyle w:val="Compact"/>
      </w:pPr>
      <w:r>
        <w:rPr>
          <w:bCs/>
          <w:b/>
        </w:rPr>
        <w:t xml:space="preserve">Exit gate:</w:t>
      </w:r>
      <w:r>
        <w:t xml:space="preserve"> </w:t>
      </w:r>
      <w:r>
        <w:t xml:space="preserve">all §12 scenarios and NN tests green; owner sign-off on seeded prices (Appendix N</w:t>
      </w:r>
      <w:r>
        <w:t xml:space="preserve"> </w:t>
      </w:r>
      <w:r>
        <w:rPr>
          <w:rStyle w:val="VerbatimChar"/>
        </w:rPr>
        <w:t xml:space="preserve">[OWNER TO SET]</w:t>
      </w:r>
      <w:r>
        <w:t xml:space="preserve"> </w:t>
      </w:r>
      <w:r>
        <w:t xml:space="preserve">resolved) and refund policy; legal sign-off on ToS, DPA, RE Addendum and click-wrap design (OI-P20-03); tax sign-off on SAC per SKU (OH8 tax review).</w:t>
      </w:r>
    </w:p>
    <w:p>
      <w:r>
        <w:pict>
          <v:rect style="width:0;height:1.5pt" o:hralign="center" o:hrstd="t" o:hr="t"/>
        </w:pict>
      </w:r>
    </w:p>
    <w:bookmarkEnd w:id="103"/>
    <w:bookmarkStart w:id="104" w:name="integration-notes-20"/>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NN-42, NN-44; X-02 (OH8 is the billing system of record;</w:t>
      </w:r>
      <w:r>
        <w:rPr>
          <w:bCs/>
          <w:b/>
        </w:rPr>
        <w:t xml:space="preserve"> </w:t>
      </w:r>
      <w:r>
        <w:rPr>
          <w:rStyle w:val="VerbatimChar"/>
          <w:bCs/>
          <w:b/>
        </w:rPr>
        <w:t xml:space="preserve">bil</w:t>
      </w:r>
      <w:r>
        <w:rPr>
          <w:bCs/>
          <w:b/>
        </w:rPr>
        <w:t xml:space="preserve"> </w:t>
      </w:r>
      <w:r>
        <w:rPr>
          <w:bCs/>
          <w:b/>
        </w:rPr>
        <w:t xml:space="preserve">scope per master §5.3), X-15, X-18; open owner decisions D-26, D-27, D-28</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104"/>
    <w:bookmarkEnd w:id="105"/>
    <w:bookmarkStart w:id="109" w:name="Xcc5ad4879a96c91774d16cbb0797f761fe030c6"/>
    <w:p>
      <w:pPr>
        <w:pStyle w:val="Heading2"/>
      </w:pPr>
      <w:r>
        <w:t xml:space="preserve">Phase P21 — Marketplace, Retainers and FinLegal Academy</w:t>
      </w:r>
    </w:p>
    <w:p>
      <w:pPr>
        <w:pStyle w:val="FirstParagraph"/>
      </w:pPr>
      <w:r>
        <w:rPr>
          <w:bCs/>
          <w:b/>
        </w:rPr>
        <w:t xml:space="preserve">Session prompt (type in Claude Code):</w:t>
      </w:r>
      <w:r>
        <w:t xml:space="preserve"> </w:t>
      </w:r>
      <w:r>
        <w:rPr>
          <w:iCs/>
          <w:i/>
        </w:rPr>
        <w:t xml:space="preserve">"Read docs/00-master-prompt.md, docs/01-decision-log.md and docs/phases/P21_Marketplace_Retainers_and_FinLegal_Academy.md in full, plus the appendices it names as binding. Then write docs/phases/P21-plan.md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9"/>
        </w:numPr>
        <w:pStyle w:val="Compact"/>
      </w:pPr>
      <w:r>
        <w:rPr>
          <w:bCs/>
          <w:b/>
        </w:rPr>
        <w:t xml:space="preserve">P00, P01</w:t>
      </w:r>
      <w:r>
        <w:t xml:space="preserve"> </w:t>
      </w:r>
      <w:r>
        <w:t xml:space="preserve">(tenancy, identity — including light-weight</w:t>
      </w:r>
      <w:r>
        <w:t xml:space="preserve"> </w:t>
      </w:r>
      <w:r>
        <w:rPr>
          <w:bCs/>
          <w:b/>
        </w:rPr>
        <w:t xml:space="preserve">buyer accounts</w:t>
      </w:r>
      <w:r>
        <w:t xml:space="preserve"> </w:t>
      </w:r>
      <w:r>
        <w:t xml:space="preserve">for organisations without a subscription),</w:t>
      </w:r>
      <w:r>
        <w:t xml:space="preserve"> </w:t>
      </w:r>
      <w:r>
        <w:rPr>
          <w:bCs/>
          <w:b/>
        </w:rPr>
        <w:t xml:space="preserve">P02</w:t>
      </w:r>
      <w:r>
        <w:t xml:space="preserve"> </w:t>
      </w:r>
      <w:r>
        <w:t xml:space="preserve">(settings),</w:t>
      </w:r>
      <w:r>
        <w:t xml:space="preserve"> </w:t>
      </w:r>
      <w:r>
        <w:rPr>
          <w:bCs/>
          <w:b/>
        </w:rPr>
        <w:t xml:space="preserve">P07</w:t>
      </w:r>
      <w:r>
        <w:t xml:space="preserve"> </w:t>
      </w:r>
      <w:r>
        <w:t xml:space="preserve">(DMS, eSign envelopes, engagement letters),</w:t>
      </w:r>
      <w:r>
        <w:t xml:space="preserve"> </w:t>
      </w:r>
      <w:r>
        <w:rPr>
          <w:bCs/>
          <w:b/>
        </w:rPr>
        <w:t xml:space="preserve">P04</w:t>
      </w:r>
      <w:r>
        <w:t xml:space="preserve"> </w:t>
      </w:r>
      <w:r>
        <w:t xml:space="preserve">(tasks, notifications, calendar),</w:t>
      </w:r>
      <w:r>
        <w:t xml:space="preserve"> </w:t>
      </w:r>
      <w:r>
        <w:rPr>
          <w:bCs/>
          <w:b/>
        </w:rPr>
        <w:t xml:space="preserve">P18</w:t>
      </w:r>
      <w:r>
        <w:t xml:space="preserve"> </w:t>
      </w:r>
      <w:r>
        <w:t xml:space="preserve">(integration gateway, Academy feed connector),</w:t>
      </w:r>
      <w:r>
        <w:t xml:space="preserve"> </w:t>
      </w:r>
      <w:r>
        <w:rPr>
          <w:bCs/>
          <w:b/>
        </w:rPr>
        <w:t xml:space="preserve">P20</w:t>
      </w:r>
      <w:r>
        <w:t xml:space="preserve"> </w:t>
      </w:r>
      <w:r>
        <w:t xml:space="preserve">(shared quote/order/invoice components,</w:t>
      </w:r>
      <w:r>
        <w:t xml:space="preserve"> </w:t>
      </w:r>
      <w:r>
        <w:rPr>
          <w:rStyle w:val="VerbatimChar"/>
        </w:rPr>
        <w:t xml:space="preserve">BILLING_PORT</w:t>
      </w:r>
      <w:r>
        <w:t xml:space="preserve">, entitlements, presentation catalogue patterns),</w:t>
      </w:r>
      <w:r>
        <w:t xml:space="preserve"> </w:t>
      </w:r>
      <w:r>
        <w:rPr>
          <w:bCs/>
          <w:b/>
        </w:rPr>
        <w:t xml:space="preserve">P23</w:t>
      </w:r>
      <w:r>
        <w:t xml:space="preserve"> </w:t>
      </w:r>
      <w:r>
        <w:t xml:space="preserve">(public site shell, SEO).</w:t>
      </w:r>
    </w:p>
    <w:p>
      <w:pPr>
        <w:numPr>
          <w:ilvl w:val="0"/>
          <w:numId w:val="1029"/>
        </w:numPr>
        <w:pStyle w:val="Compact"/>
      </w:pPr>
      <w:r>
        <w:rPr>
          <w:bCs/>
          <w:b/>
        </w:rPr>
        <w:t xml:space="preserve">External:</w:t>
      </w:r>
      <w:r>
        <w:t xml:space="preserve"> </w:t>
      </w:r>
      <w:r>
        <w:t xml:space="preserve">Operations Hub</w:t>
      </w:r>
      <w:r>
        <w:t xml:space="preserve"> </w:t>
      </w:r>
      <w:r>
        <w:rPr>
          <w:bCs/>
          <w:b/>
        </w:rPr>
        <w:t xml:space="preserve">OH8</w:t>
      </w:r>
      <w:r>
        <w:t xml:space="preserve"> </w:t>
      </w:r>
      <w:r>
        <w:t xml:space="preserve">(first-party service SKUs, quotes, orders, invoices, Razorpay),</w:t>
      </w:r>
      <w:r>
        <w:t xml:space="preserve"> </w:t>
      </w:r>
      <w:r>
        <w:rPr>
          <w:bCs/>
          <w:b/>
        </w:rPr>
        <w:t xml:space="preserve">OH9</w:t>
      </w:r>
      <w:r>
        <w:t xml:space="preserve"> </w:t>
      </w:r>
      <w:r>
        <w:t xml:space="preserve">(group professional directory: verification,</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bCs/>
          <w:b/>
        </w:rPr>
        <w:t xml:space="preserve">OH3</w:t>
      </w:r>
      <w:r>
        <w:t xml:space="preserve"> </w:t>
      </w:r>
      <w:r>
        <w:t xml:space="preserve">(leads),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 Trainings LMS (trainings.lawdocs.in).</w:t>
      </w:r>
    </w:p>
    <w:p>
      <w:pPr>
        <w:pStyle w:val="BlockText"/>
      </w:pPr>
      <w:r>
        <w:rPr>
          <w:bCs/>
          <w:b/>
        </w:rPr>
        <w:t xml:space="preserve">Sequencing:</w:t>
      </w:r>
      <w:r>
        <w:t xml:space="preserve"> </w:t>
      </w:r>
      <w:r>
        <w:t xml:space="preserve">Starts after P20 sprint 2 (shared commerce components frozen). Third-party provider commerce (Model M2/M3, §4C) ships behind flags that stay OFF until counsel clears each profession (D-06; OI-P21-02…05). First-party LawDocs services and the Academy listing ship first.</w:t>
      </w:r>
    </w:p>
    <w:p>
      <w:pPr>
        <w:pStyle w:val="BlockText"/>
      </w:pPr>
      <w:r>
        <w:rPr>
          <w:bCs/>
          <w:b/>
        </w:rPr>
        <w:t xml:space="preserve">Binding appendices:</w:t>
      </w:r>
      <w:r>
        <w:t xml:space="preserve"> </w:t>
      </w:r>
      <w:r>
        <w:t xml:space="preserve">O (Marketplace Services Catalogue and Professional Rules), N (streams RS-LDC-12…RS-LDC-22), X (OH addendum §X.8–§X.9), G (legal rules LR-BCI-</w:t>
      </w:r>
      <w:r>
        <w:rPr>
          <w:iCs/>
          <w:i/>
        </w:rPr>
        <w:t xml:space="preserve">, LR-ICAI-</w:t>
      </w:r>
      <w:r>
        <w:t xml:space="preserve">, LR-RBI outsourcing), M (export of engagement records).</w:t>
      </w:r>
    </w:p>
    <w:p>
      <w:pPr>
        <w:pStyle w:val="BlockText"/>
      </w:pPr>
      <w:r>
        <w:rPr>
          <w:bCs/>
          <w:b/>
        </w:rPr>
        <w:t xml:space="preserve">Requirements covered:</w:t>
      </w:r>
      <w:r>
        <w:t xml:space="preserve"> </w:t>
      </w:r>
      <w:r>
        <w:t xml:space="preserve">R-035, R-036, R-037, R-072 (retainer contract basis), R-100, R-020 (service explainers), R-038 (deliverable sharing), R-021 (engagement records in export).</w:t>
      </w:r>
    </w:p>
    <w:p>
      <w:pPr>
        <w:pStyle w:val="BlockText"/>
      </w:pPr>
      <w:r>
        <w:rPr>
          <w:bCs/>
          <w:b/>
        </w:rPr>
        <w:t xml:space="preserve">Estimated effort:</w:t>
      </w:r>
      <w:r>
        <w:t xml:space="preserve"> </w:t>
      </w:r>
      <w:r>
        <w:t xml:space="preserve">7 two-week sprints, squad of 9 (marketplace backend 3, frontend 3, Academy/integration 1, QA 1, legal-ops analyst 1).</w:t>
      </w:r>
    </w:p>
    <w:bookmarkStart w:id="106" w:name="objective-and-business-outcome-21"/>
    <w:p>
      <w:pPr>
        <w:pStyle w:val="Heading3"/>
      </w:pPr>
      <w:r>
        <w:t xml:space="preserve">Objective and business outcome</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bookmarkEnd w:id="106"/>
    <w:bookmarkStart w:id="107" w:name="exit-gate-21"/>
    <w:p>
      <w:pPr>
        <w:pStyle w:val="Heading3"/>
      </w:pPr>
      <w:r>
        <w:t xml:space="preserve">Exit gate</w:t>
      </w:r>
    </w:p>
    <w:p>
      <w:pPr>
        <w:numPr>
          <w:ilvl w:val="0"/>
          <w:numId w:val="1030"/>
        </w:numPr>
        <w:pStyle w:val="Compact"/>
      </w:pPr>
      <w:r>
        <w:t xml:space="preserve">Marketplace public and in-app surfaces, buyer accounts, Engagement Room, first-party offering studio, proposal builder, delivery pipeline, retainers with SLA engine, Academy feed, disputes, moderation, profession rules engine with seeded rules, 60+ seeded offerings (Appendix O §O.2), engagement-letter and SLA templates (Appendix O §O.6) approved by counsel.</w:t>
      </w:r>
    </w:p>
    <w:p>
      <w:pPr>
        <w:numPr>
          <w:ilvl w:val="0"/>
          <w:numId w:val="1030"/>
        </w:numPr>
        <w:pStyle w:val="Compact"/>
      </w:pPr>
      <w:r>
        <w:rPr>
          <w:bCs/>
          <w:b/>
        </w:rPr>
        <w:t xml:space="preserve">Exit gate:</w:t>
      </w:r>
      <w:r>
        <w:t xml:space="preserve"> </w:t>
      </w:r>
      <w:r>
        <w:t xml:space="preserve">§12 scenarios and NN tests green; counsel sign-off on engagement letter and marketplace terms; tax sign-off on SAC per service class and RCM statements; owner sign-off on retainer plans and prices; external provider flags remain OFF unless OI-P21-02…05 are closed with opinions recorded.</w:t>
      </w:r>
    </w:p>
    <w:p>
      <w:r>
        <w:pict>
          <v:rect style="width:0;height:1.5pt" o:hralign="center" o:hrstd="t" o:hr="t"/>
        </w:pict>
      </w:r>
    </w:p>
    <w:bookmarkEnd w:id="107"/>
    <w:bookmarkStart w:id="108" w:name="integration-notes-21"/>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NN-20 (render allow-lists), NN-43; X-02, X-18 (Academy name), X-30; D-32 (no reserved advocacy/attest services in LawDocs' own name)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108"/>
    <w:bookmarkEnd w:id="109"/>
    <w:bookmarkStart w:id="113" w:name="X9ed55c284240ab23724e353d87d739ae0dca692"/>
    <w:p>
      <w:pPr>
        <w:pStyle w:val="Heading2"/>
      </w:pPr>
      <w:r>
        <w:t xml:space="preserve">Phase P22 — Service Delivery Console and Operations Hub Interface</w:t>
      </w:r>
    </w:p>
    <w:p>
      <w:pPr>
        <w:pStyle w:val="FirstParagraph"/>
      </w:pPr>
      <w:r>
        <w:rPr>
          <w:bCs/>
          <w:b/>
        </w:rPr>
        <w:t xml:space="preserve">Session prompt (type in Claude Code):</w:t>
      </w:r>
      <w:r>
        <w:t xml:space="preserve"> </w:t>
      </w:r>
      <w:r>
        <w:rPr>
          <w:iCs/>
          <w:i/>
        </w:rPr>
        <w:t xml:space="preserve">"Read docs/00-master-prompt.md, docs/01-decision-log.md and docs/phases/P22_Service_Delivery_Console_and_Operations_Hub_Interface.md in full, plus the appendices it names as binding. Then write docs/phases/P22-plan.md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31"/>
        </w:numPr>
        <w:pStyle w:val="Compact"/>
      </w:pPr>
      <w:r>
        <w:rPr>
          <w:bCs/>
          <w:b/>
        </w:rPr>
        <w:t xml:space="preserve">P00</w:t>
      </w:r>
      <w:r>
        <w:t xml:space="preserve"> </w:t>
      </w:r>
      <w:r>
        <w:t xml:space="preserve">(tenancy, audit ledger, break-glass framework),</w:t>
      </w:r>
      <w:r>
        <w:t xml:space="preserve"> </w:t>
      </w:r>
      <w:r>
        <w:rPr>
          <w:bCs/>
          <w:b/>
        </w:rPr>
        <w:t xml:space="preserve">P01</w:t>
      </w:r>
      <w:r>
        <w:t xml:space="preserve"> </w:t>
      </w:r>
      <w:r>
        <w:t xml:space="preserve">(Keycloak realms, staff identities, step-up MFA, grants),</w:t>
      </w:r>
      <w:r>
        <w:t xml:space="preserve"> </w:t>
      </w:r>
      <w:r>
        <w:rPr>
          <w:bCs/>
          <w:b/>
        </w:rPr>
        <w:t xml:space="preserve">P02</w:t>
      </w:r>
      <w:r>
        <w:t xml:space="preserve"> </w:t>
      </w:r>
      <w:r>
        <w:t xml:space="preserve">(settings),</w:t>
      </w:r>
      <w:r>
        <w:t xml:space="preserve"> </w:t>
      </w:r>
      <w:r>
        <w:rPr>
          <w:bCs/>
          <w:b/>
        </w:rPr>
        <w:t xml:space="preserve">P04</w:t>
      </w:r>
      <w:r>
        <w:t xml:space="preserve"> </w:t>
      </w:r>
      <w:r>
        <w:t xml:space="preserve">(tasks, maker-checker, calendar, notifications),</w:t>
      </w:r>
      <w:r>
        <w:t xml:space="preserve"> </w:t>
      </w:r>
      <w:r>
        <w:rPr>
          <w:bCs/>
          <w:b/>
        </w:rPr>
        <w:t xml:space="preserve">P07</w:t>
      </w:r>
      <w:r>
        <w:t xml:space="preserve"> </w:t>
      </w:r>
      <w:r>
        <w:t xml:space="preserve">(DMS, deliverables, sharing, eSign),</w:t>
      </w:r>
      <w:r>
        <w:t xml:space="preserve"> </w:t>
      </w:r>
      <w:r>
        <w:rPr>
          <w:bCs/>
          <w:b/>
        </w:rPr>
        <w:t xml:space="preserve">P18</w:t>
      </w:r>
      <w:r>
        <w:t xml:space="preserve"> </w:t>
      </w:r>
      <w:r>
        <w:t xml:space="preserve">(integration gateway,</w:t>
      </w:r>
      <w:r>
        <w:t xml:space="preserve"> </w:t>
      </w:r>
      <w:r>
        <w:rPr>
          <w:rStyle w:val="VerbatimChar"/>
        </w:rPr>
        <w:t xml:space="preserve">WORKSPACE_PORT</w:t>
      </w:r>
      <w:r>
        <w:t xml:space="preserve">, OH events),</w:t>
      </w:r>
      <w:r>
        <w:t xml:space="preserve"> </w:t>
      </w:r>
      <w:r>
        <w:rPr>
          <w:bCs/>
          <w:b/>
        </w:rPr>
        <w:t xml:space="preserve">P20</w:t>
      </w:r>
      <w:r>
        <w:t xml:space="preserve"> </w:t>
      </w:r>
      <w:r>
        <w:t xml:space="preserve">(billing views, entitlements),</w:t>
      </w:r>
      <w:r>
        <w:t xml:space="preserve"> </w:t>
      </w:r>
      <w:r>
        <w:rPr>
          <w:bCs/>
          <w:b/>
        </w:rPr>
        <w:t xml:space="preserve">P21</w:t>
      </w:r>
      <w:r>
        <w:t xml:space="preserve"> </w:t>
      </w:r>
      <w:r>
        <w:t xml:space="preserve">(engagements and retainers that create delivery work).</w:t>
      </w:r>
    </w:p>
    <w:p>
      <w:pPr>
        <w:numPr>
          <w:ilvl w:val="0"/>
          <w:numId w:val="1031"/>
        </w:numPr>
        <w:pStyle w:val="Compact"/>
      </w:pPr>
      <w:r>
        <w:rPr>
          <w:bCs/>
          <w:b/>
        </w:rPr>
        <w:t xml:space="preserve">External:</w:t>
      </w:r>
      <w:r>
        <w:t xml:space="preserve"> </w:t>
      </w:r>
      <w:r>
        <w:t xml:space="preserve">Infrabyx Operations Hub (OH1 group identity and grants, OH3 CRM, OH4 onboarding, OH5 customer success, OH6 support desk, OH8 billing, OH10 staff HRMS, OH11 internal controls/timesheets/utilisation, OH12 workplace suites) — Appendix X lists what OH must add.</w:t>
      </w:r>
    </w:p>
    <w:p>
      <w:pPr>
        <w:pStyle w:val="BlockText"/>
      </w:pPr>
      <w:r>
        <w:rPr>
          <w:bCs/>
          <w:b/>
        </w:rPr>
        <w:t xml:space="preserve">Sequencing:</w:t>
      </w:r>
      <w:r>
        <w:t xml:space="preserve"> </w:t>
      </w:r>
      <w:r>
        <w:t xml:space="preserve">Can start after P04 and P07 exit; the tenant-grant mechanics (§4C) must be built with P01's grant engine. P22 must exit before any retainer goes live (P21 FR-P21-30).</w:t>
      </w:r>
    </w:p>
    <w:p>
      <w:pPr>
        <w:pStyle w:val="BlockText"/>
      </w:pPr>
      <w:r>
        <w:rPr>
          <w:bCs/>
          <w:b/>
        </w:rPr>
        <w:t xml:space="preserve">Binding appendices:</w:t>
      </w:r>
      <w:r>
        <w:t xml:space="preserve"> </w:t>
      </w:r>
      <w:r>
        <w:t xml:space="preserve">X (Operations Hub Addendum), D (roles and access matrix), Q (credential vault controls), L (WORKSPACE_PORT adapters), A (maker-checker and grant state machines), M (export of delivery records).</w:t>
      </w:r>
    </w:p>
    <w:p>
      <w:pPr>
        <w:pStyle w:val="BlockText"/>
      </w:pPr>
      <w:r>
        <w:rPr>
          <w:bCs/>
          <w:b/>
        </w:rPr>
        <w:t xml:space="preserve">Requirements covered:</w:t>
      </w:r>
      <w:r>
        <w:t xml:space="preserve"> </w:t>
      </w:r>
      <w:r>
        <w:t xml:space="preserve">R-025, R-040 (via OH, interface here), R-043, R-047, R-072, R-073, R-074, R-083, R-030 (role dashboards for delivery staff), R-075.</w:t>
      </w:r>
    </w:p>
    <w:p>
      <w:pPr>
        <w:pStyle w:val="BlockText"/>
      </w:pPr>
      <w:r>
        <w:rPr>
          <w:bCs/>
          <w:b/>
        </w:rPr>
        <w:t xml:space="preserve">Decisions applied:</w:t>
      </w:r>
      <w:r>
        <w:t xml:space="preserve"> </w:t>
      </w:r>
      <w:r>
        <w:t xml:space="preserve">D-03 (group Hub + LDC delivery console), D-04 (encrypted credential vault in the client tenant), D-02 (correction entries), D-10 (suite-neutral workspace).</w:t>
      </w:r>
    </w:p>
    <w:p>
      <w:pPr>
        <w:pStyle w:val="BlockText"/>
      </w:pPr>
      <w:r>
        <w:rPr>
          <w:bCs/>
          <w:b/>
        </w:rPr>
        <w:t xml:space="preserve">Estimated effort:</w:t>
      </w:r>
      <w:r>
        <w:t xml:space="preserve"> </w:t>
      </w:r>
      <w:r>
        <w:t xml:space="preserve">6 two-week sprints, squad of 8 (backend 3, frontend 3, security engineer 1, QA 1).</w:t>
      </w:r>
    </w:p>
    <w:bookmarkStart w:id="110" w:name="objective-and-business-outcome-22"/>
    <w:p>
      <w:pPr>
        <w:pStyle w:val="Heading3"/>
      </w:pPr>
      <w:r>
        <w:t xml:space="preserve">Objective and business outcome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bookmarkEnd w:id="110"/>
    <w:bookmarkStart w:id="111" w:name="exit-gate-22"/>
    <w:p>
      <w:pPr>
        <w:pStyle w:val="Heading3"/>
      </w:pPr>
      <w:r>
        <w:t xml:space="preserve">Exit gate</w:t>
      </w:r>
    </w:p>
    <w:p>
      <w:pPr>
        <w:numPr>
          <w:ilvl w:val="0"/>
          <w:numId w:val="1032"/>
        </w:numPr>
        <w:pStyle w:val="Compact"/>
      </w:pPr>
      <w:r>
        <w:rPr>
          <w:rStyle w:val="VerbatimChar"/>
        </w:rPr>
        <w:t xml:space="preserve">apps/delivery</w:t>
      </w:r>
      <w:r>
        <w:t xml:space="preserve"> </w:t>
      </w:r>
      <w:r>
        <w:t xml:space="preserve">with SCR-SDC-01…25, tenant-side SCR-SDC-30…34, grant engine extension, act-in-tenant sessions, credential vault (with security review and pen-test of the reveal service), messaging and e-mail bridge, drive links, deliverables register, SLA/health/report views, OH integrations (tickets, CRM, CS signals, timesheets, milestones) contract-tested against OH sandbox, runbooks (leaver sweep, vault anomaly response, emergency revocation).</w:t>
      </w:r>
    </w:p>
    <w:p>
      <w:pPr>
        <w:numPr>
          <w:ilvl w:val="0"/>
          <w:numId w:val="1032"/>
        </w:numPr>
        <w:pStyle w:val="Compact"/>
      </w:pPr>
      <w:r>
        <w:rPr>
          <w:bCs/>
          <w:b/>
        </w:rPr>
        <w:t xml:space="preserve">Exit gate:</w:t>
      </w:r>
      <w:r>
        <w:t xml:space="preserve"> </w:t>
      </w:r>
      <w:r>
        <w:t xml:space="preserve">§12 scenarios and NN tests green; external penetration test of vault and session token exchange with no high findings open; legal sign-off on delivery terms, RE notice and RBI-portal acknowledgement wording; OH addendum (Appendix X) items X.2, X.5, X.10 implemented in OH or stubbed with fallbacks recorded.</w:t>
      </w:r>
    </w:p>
    <w:p>
      <w:r>
        <w:pict>
          <v:rect style="width:0;height:1.5pt" o:hralign="center" o:hrstd="t" o:hr="t"/>
        </w:pict>
      </w:r>
    </w:p>
    <w:bookmarkEnd w:id="111"/>
    <w:bookmarkStart w:id="112" w:name="integration-notes-22"/>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NN-17, NN-43; X-02, X-17</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112"/>
    <w:bookmarkEnd w:id="113"/>
    <w:bookmarkStart w:id="117" w:name="Xf17acd2f767d45e0798306973c33200f6034a21"/>
    <w:p>
      <w:pPr>
        <w:pStyle w:val="Heading2"/>
      </w:pPr>
      <w:r>
        <w:t xml:space="preserve">Phase P23 — Public Website, Free Compliance Health Check, Help Centre, Tutorials and Accessibility</w:t>
      </w:r>
    </w:p>
    <w:p>
      <w:pPr>
        <w:pStyle w:val="FirstParagraph"/>
      </w:pPr>
      <w:r>
        <w:rPr>
          <w:bCs/>
          <w:b/>
        </w:rPr>
        <w:t xml:space="preserve">Session prompt (type in Claude Code):</w:t>
      </w:r>
      <w:r>
        <w:t xml:space="preserve"> </w:t>
      </w:r>
      <w:r>
        <w:rPr>
          <w:iCs/>
          <w:i/>
        </w:rPr>
        <w:t xml:space="preserve">"Read docs/00-master-prompt.md, docs/01-decision-log.md and docs/phases/P23_Public_Website_Health_Check_Help_Centre_Tutorials_and_Accessibility.md in full, plus the appendices it names as binding. Then write docs/phases/P23-plan.md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33"/>
        </w:numPr>
        <w:pStyle w:val="Compact"/>
      </w:pPr>
      <w:r>
        <w:rPr>
          <w:bCs/>
          <w:b/>
        </w:rPr>
        <w:t xml:space="preserve">P00</w:t>
      </w:r>
      <w:r>
        <w:t xml:space="preserve"> </w:t>
      </w:r>
      <w:r>
        <w:t xml:space="preserve">(monorepo,</w:t>
      </w:r>
      <w:r>
        <w:t xml:space="preserve"> </w:t>
      </w:r>
      <w:r>
        <w:rPr>
          <w:rStyle w:val="VerbatimChar"/>
        </w:rPr>
        <w:t xml:space="preserve">apps/public</w:t>
      </w:r>
      <w:r>
        <w:t xml:space="preserve"> </w:t>
      </w:r>
      <w:r>
        <w:t xml:space="preserve">scaffold, audit ledger, object storage, observability);</w:t>
      </w:r>
    </w:p>
    <w:p>
      <w:pPr>
        <w:numPr>
          <w:ilvl w:val="0"/>
          <w:numId w:val="1033"/>
        </w:numPr>
        <w:pStyle w:val="Compact"/>
      </w:pPr>
      <w:r>
        <w:rPr>
          <w:bCs/>
          <w:b/>
        </w:rPr>
        <w:t xml:space="preserve">P01</w:t>
      </w:r>
      <w:r>
        <w:t xml:space="preserve"> </w:t>
      </w:r>
      <w:r>
        <w:t xml:space="preserve">(identity, consent ledger, company lookup through PAN/CIN adapters, trial tenant provisioning);</w:t>
      </w:r>
    </w:p>
    <w:p>
      <w:pPr>
        <w:numPr>
          <w:ilvl w:val="0"/>
          <w:numId w:val="1033"/>
        </w:numPr>
        <w:pStyle w:val="Compact"/>
      </w:pPr>
      <w:r>
        <w:rPr>
          <w:bCs/>
          <w:b/>
        </w:rPr>
        <w:t xml:space="preserve">P02</w:t>
      </w:r>
      <w:r>
        <w:t xml:space="preserve"> </w:t>
      </w:r>
      <w:r>
        <w:t xml:space="preserve">(settings registry, terminology overrides, menu registry — the "i" keys and help keys are registered there);</w:t>
      </w:r>
    </w:p>
    <w:p>
      <w:pPr>
        <w:numPr>
          <w:ilvl w:val="0"/>
          <w:numId w:val="1033"/>
        </w:numPr>
        <w:pStyle w:val="Compact"/>
      </w:pPr>
      <w:r>
        <w:rPr>
          <w:bCs/>
          <w:b/>
        </w:rPr>
        <w:t xml:space="preserve">P03/P05</w:t>
      </w:r>
      <w:r>
        <w:t xml:space="preserve"> </w:t>
      </w:r>
      <w:r>
        <w:t xml:space="preserve">(regulatory content library and Updates feed — the public Regulatory Updates hub reads a published, human-summarised subset);</w:t>
      </w:r>
    </w:p>
    <w:p>
      <w:pPr>
        <w:numPr>
          <w:ilvl w:val="0"/>
          <w:numId w:val="1033"/>
        </w:numPr>
        <w:pStyle w:val="Compact"/>
      </w:pPr>
      <w:r>
        <w:rPr>
          <w:bCs/>
          <w:b/>
        </w:rPr>
        <w:t xml:space="preserve">P15</w:t>
      </w:r>
      <w:r>
        <w:t xml:space="preserve"> </w:t>
      </w:r>
      <w:r>
        <w:t xml:space="preserve">(entity families and applicability — the health check selects its question set per family);</w:t>
      </w:r>
    </w:p>
    <w:p>
      <w:pPr>
        <w:numPr>
          <w:ilvl w:val="0"/>
          <w:numId w:val="1033"/>
        </w:numPr>
        <w:pStyle w:val="Compact"/>
      </w:pPr>
      <w:r>
        <w:rPr>
          <w:bCs/>
          <w:b/>
        </w:rPr>
        <w:t xml:space="preserve">P18</w:t>
      </w:r>
      <w:r>
        <w:t xml:space="preserve"> </w:t>
      </w:r>
      <w:r>
        <w:t xml:space="preserve">(integration gateway: MCA/PAN lookup adapters, Operations Hub CRM events, Brevo through the Hub);</w:t>
      </w:r>
    </w:p>
    <w:p>
      <w:pPr>
        <w:numPr>
          <w:ilvl w:val="0"/>
          <w:numId w:val="1033"/>
        </w:numPr>
        <w:pStyle w:val="Compact"/>
      </w:pPr>
      <w:r>
        <w:rPr>
          <w:bCs/>
          <w:b/>
        </w:rPr>
        <w:t xml:space="preserve">P20</w:t>
      </w:r>
      <w:r>
        <w:t xml:space="preserve"> </w:t>
      </w:r>
      <w:r>
        <w:t xml:space="preserve">(pricing catalogue and configurator — this phase renders the public pricing page; P20 owns its data and checkout);</w:t>
      </w:r>
    </w:p>
    <w:p>
      <w:pPr>
        <w:numPr>
          <w:ilvl w:val="0"/>
          <w:numId w:val="1033"/>
        </w:numPr>
        <w:pStyle w:val="Compact"/>
      </w:pPr>
      <w:r>
        <w:rPr>
          <w:bCs/>
          <w:b/>
        </w:rPr>
        <w:t xml:space="preserve">P21</w:t>
      </w:r>
      <w:r>
        <w:t xml:space="preserve"> </w:t>
      </w:r>
      <w:r>
        <w:t xml:space="preserve">(public marketplace and FinLegal Academy listings — this phase renders the public entry points and SEO for them).</w:t>
      </w:r>
    </w:p>
    <w:p>
      <w:pPr>
        <w:pStyle w:val="BlockText"/>
      </w:pPr>
      <w:r>
        <w:rPr>
          <w:bCs/>
          <w:b/>
        </w:rPr>
        <w:t xml:space="preserve">Sequencing:</w:t>
      </w:r>
      <w:r>
        <w:t xml:space="preserve"> </w:t>
      </w:r>
      <w:r>
        <w:t xml:space="preserve">the marketing site shell, CMS, claims register and accessibility foundation (§4A–4D, §4L) start as soon as P00/P01 exit and can run in parallel with P03–P10 on a growth squad. The health check (§4E) needs P15's entity taxonomy and P01's lookup adapters. Tutorials (§4K) start once the first tenant modules (P03–P04) are stable and are refreshed every release thereafter. The accessibility release gate (NN-21) applies to</w:t>
      </w:r>
      <w:r>
        <w:t xml:space="preserve"> </w:t>
      </w:r>
      <w:r>
        <w:rPr>
          <w:bCs/>
          <w:b/>
        </w:rPr>
        <w:t xml:space="preserve">every</w:t>
      </w:r>
      <w:r>
        <w:t xml:space="preserve"> </w:t>
      </w:r>
      <w:r>
        <w:t xml:space="preserve">phase from P01 onwards; this phase owns the standard, the tooling and the conformance report.</w:t>
      </w:r>
    </w:p>
    <w:p>
      <w:pPr>
        <w:pStyle w:val="BlockText"/>
      </w:pPr>
      <w:r>
        <w:rPr>
          <w:bCs/>
          <w:b/>
        </w:rPr>
        <w:t xml:space="preserve">Binding appendices:</w:t>
      </w:r>
      <w:r>
        <w:t xml:space="preserve"> </w:t>
      </w:r>
      <w:r>
        <w:t xml:space="preserve">Appendix P (copy deck, health-check question bank, tutorial and video catalogue, SEO/GEO clusters and schema), Appendix R (competitive research), Appendix C (information architecture of the authenticated apps), Appendix N (pricing data), Appendix O (marketplace catalogue), Appendix Q (security and privacy), Appendix U (settings catalogue).</w:t>
      </w:r>
    </w:p>
    <w:p>
      <w:pPr>
        <w:pStyle w:val="BlockText"/>
      </w:pPr>
      <w:r>
        <w:rPr>
          <w:bCs/>
          <w:b/>
        </w:rPr>
        <w:t xml:space="preserve">Requirements covered:</w:t>
      </w:r>
      <w:r>
        <w:t xml:space="preserve"> </w:t>
      </w:r>
      <w:r>
        <w:t xml:space="preserve">R-016, R-020, R-022, R-028, R-030 (public surfaces), R-032, R-034 (pricing presentation), R-036 (public marketplace and academy entry), R-037 (benefit explanation), R-045 (marketing funnel surfaces, with the Hub as system of record), R-069 (health check → trial entry), R-070 (pricing page rendering), R-100 (memorable client experience), R-101 (verification of published claims).</w:t>
      </w:r>
    </w:p>
    <w:p>
      <w:pPr>
        <w:pStyle w:val="BlockText"/>
      </w:pPr>
      <w:r>
        <w:rPr>
          <w:bCs/>
          <w:b/>
        </w:rPr>
        <w:t xml:space="preserve">Estimated effort:</w:t>
      </w:r>
      <w:r>
        <w:t xml:space="preserve"> </w:t>
      </w:r>
      <w:r>
        <w:t xml:space="preserve">7 two-week sprints for a growth squad of 7 (2 front-end, 1 back-end, 1 content engineer, 1 accessibility specialist (IAAP CPACC/WAS), 1 designer, 1 QA), plus a content team of 3 (regulatory writer, technical writer, video producer) that continues after the phase as a standing function.</w:t>
      </w:r>
    </w:p>
    <w:bookmarkStart w:id="114" w:name="objective-and-business-outcome-23"/>
    <w:p>
      <w:pPr>
        <w:pStyle w:val="Heading3"/>
      </w:pPr>
      <w:r>
        <w:t xml:space="preserve">Objective and business outcome</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bookmarkEnd w:id="114"/>
    <w:bookmarkStart w:id="115" w:name="exit-gate-23"/>
    <w:p>
      <w:pPr>
        <w:pStyle w:val="Heading3"/>
      </w:pPr>
      <w:r>
        <w:t xml:space="preserve">Exit gate</w:t>
      </w:r>
    </w:p>
    <w:p>
      <w:pPr>
        <w:numPr>
          <w:ilvl w:val="0"/>
          <w:numId w:val="1034"/>
        </w:numPr>
        <w:pStyle w:val="Compact"/>
      </w:pPr>
      <w:r>
        <w:rPr>
          <w:rStyle w:val="VerbatimChar"/>
        </w:rPr>
        <w:t xml:space="preserve">apps/public</w:t>
      </w:r>
      <w:r>
        <w:t xml:space="preserve"> </w:t>
      </w:r>
      <w:r>
        <w:t xml:space="preserve">with all page types, server-rendered, on the CDN, with the legacy redirect map applied.</w:t>
      </w:r>
    </w:p>
    <w:p>
      <w:pPr>
        <w:numPr>
          <w:ilvl w:val="0"/>
          <w:numId w:val="1034"/>
        </w:numPr>
        <w:pStyle w:val="Compact"/>
      </w:pPr>
      <w:r>
        <w:rPr>
          <w:rStyle w:val="VerbatimChar"/>
        </w:rPr>
        <w:t xml:space="preserve">web</w:t>
      </w:r>
      <w:r>
        <w:t xml:space="preserve"> </w:t>
      </w:r>
      <w:r>
        <w:t xml:space="preserve">and</w:t>
      </w:r>
      <w:r>
        <w:t xml:space="preserve"> </w:t>
      </w:r>
      <w:r>
        <w:rPr>
          <w:rStyle w:val="VerbatimChar"/>
        </w:rPr>
        <w:t xml:space="preserve">hlp</w:t>
      </w:r>
      <w:r>
        <w:t xml:space="preserve"> </w:t>
      </w:r>
      <w:r>
        <w:t xml:space="preserve">modules with console screens (SCR-WEB-30…35, SCR-HLP-10…15), APIs, events and jobs.</w:t>
      </w:r>
    </w:p>
    <w:p>
      <w:pPr>
        <w:numPr>
          <w:ilvl w:val="0"/>
          <w:numId w:val="1034"/>
        </w:numPr>
        <w:pStyle w:val="Compact"/>
      </w:pPr>
      <w:r>
        <w:t xml:space="preserve">Health check live for 12 families with published banks and scoring model v1.0 (Appendix P §P.3), PDF and share links, Hub hand-off, trial pre-fill.</w:t>
      </w:r>
    </w:p>
    <w:p>
      <w:pPr>
        <w:numPr>
          <w:ilvl w:val="0"/>
          <w:numId w:val="1034"/>
        </w:numPr>
        <w:pStyle w:val="Compact"/>
      </w:pPr>
      <w:r>
        <w:t xml:space="preserve">Claims Register populated for every live claim; prohibited-phrase lint.</w:t>
      </w:r>
    </w:p>
    <w:p>
      <w:pPr>
        <w:numPr>
          <w:ilvl w:val="0"/>
          <w:numId w:val="1034"/>
        </w:numPr>
        <w:pStyle w:val="Compact"/>
      </w:pPr>
      <w:r>
        <w:t xml:space="preserve">Glossary ≥ 400 published terms (first 152 per Appendix P §P.4 reviewed by a regulatory reviewer), coverage check = 100%.</w:t>
      </w:r>
    </w:p>
    <w:p>
      <w:pPr>
        <w:numPr>
          <w:ilvl w:val="0"/>
          <w:numId w:val="1034"/>
        </w:numPr>
        <w:pStyle w:val="Compact"/>
      </w:pPr>
      <w:r>
        <w:t xml:space="preserve">Help centre with ≥ 120 articles mapped to help keys; help panel on every shipped screen.</w:t>
      </w:r>
    </w:p>
    <w:p>
      <w:pPr>
        <w:numPr>
          <w:ilvl w:val="0"/>
          <w:numId w:val="1034"/>
        </w:numPr>
        <w:pStyle w:val="Compact"/>
      </w:pPr>
      <w:r>
        <w:t xml:space="preserve">≥ 40 tutorial videos with corrected captions, transcripts and quick cards; ISL renditions for the 12 getting-started videos; social derivatives handed to the Hub.</w:t>
      </w:r>
    </w:p>
    <w:p>
      <w:pPr>
        <w:numPr>
          <w:ilvl w:val="0"/>
          <w:numId w:val="1034"/>
        </w:numPr>
        <w:pStyle w:val="Compact"/>
      </w:pPr>
      <w:r>
        <w:t xml:space="preserve">Accessibility: token corrections merged; component contract; preferences page; CI gates; manual AT matrix signed; independent IAAP audit report; ACR (VPAT 2.5 INT + IS 17802 map) and Accessibility Statement published; grievance channel live.</w:t>
      </w:r>
    </w:p>
    <w:p>
      <w:pPr>
        <w:numPr>
          <w:ilvl w:val="0"/>
          <w:numId w:val="1034"/>
        </w:numPr>
        <w:pStyle w:val="Compact"/>
      </w:pPr>
      <w:r>
        <w:t xml:space="preserve">SEO/GEO: structured data per page type, sitemaps, robots/AI-crawler policy approved by the owner, llms.txt, Search Console/Bing verified, AI answer panel baseline recorded.</w:t>
      </w:r>
    </w:p>
    <w:p>
      <w:pPr>
        <w:numPr>
          <w:ilvl w:val="0"/>
          <w:numId w:val="1034"/>
        </w:numPr>
        <w:pStyle w:val="Compact"/>
      </w:pPr>
      <w:r>
        <w:t xml:space="preserve">Trust Centre and security.txt.</w:t>
      </w:r>
    </w:p>
    <w:p>
      <w:pPr>
        <w:numPr>
          <w:ilvl w:val="0"/>
          <w:numId w:val="1034"/>
        </w:numPr>
        <w:pStyle w:val="Compact"/>
      </w:pPr>
      <w:r>
        <w:t xml:space="preserve">Documentation:</w:t>
      </w:r>
      <w:r>
        <w:t xml:space="preserve"> </w:t>
      </w:r>
      <w:r>
        <w:rPr>
          <w:rStyle w:val="VerbatimChar"/>
        </w:rPr>
        <w:t xml:space="preserve">docs/phases/P23-plan.md</w:t>
      </w:r>
      <w:r>
        <w:t xml:space="preserve">, content style guide, accessibility playbook, tutorial production guide, health-check methodology note (public).</w:t>
      </w:r>
    </w:p>
    <w:p>
      <w:pPr>
        <w:pStyle w:val="FirstParagraph"/>
      </w:pPr>
      <w:r>
        <w:rPr>
          <w:bCs/>
          <w:b/>
        </w:rPr>
        <w:t xml:space="preserve">Exit gate:</w:t>
      </w:r>
      <w:r>
        <w:t xml:space="preserve"> </w:t>
      </w:r>
      <w:r>
        <w:t xml:space="preserve">all §12 scenarios and NN tests green; Core Web Vitals and Lighthouse budgets met; no serious/critical accessibility defects open; owner sign-off on health-check methodology, band texts and disclaimer; DPO sign-off on the health-check notice and retention; claims reviewed by the Company Secretary.</w:t>
      </w:r>
    </w:p>
    <w:p>
      <w:r>
        <w:pict>
          <v:rect style="width:0;height:1.5pt" o:hralign="center" o:hrstd="t" o:hr="t"/>
        </w:pict>
      </w:r>
    </w:p>
    <w:bookmarkEnd w:id="115"/>
    <w:bookmarkStart w:id="116" w:name="integration-notes-23"/>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NN-44; X-07 (no bureau pulls in the health check), X-18, X-20 (corrected tokens), X-21, X-22, X-39 (Hindi), X-40 (AI-crawler default)</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pict>
          <v:rect style="width:0;height:1.5pt" o:hralign="center" o:hrstd="t" o:hr="t"/>
        </w:pict>
      </w:r>
    </w:p>
    <w:bookmarkEnd w:id="116"/>
    <w:bookmarkEnd w:id="117"/>
    <w:bookmarkStart w:id="124" w:name="X91ea47c9db09ac064330a8569ac7ebe56f7f0d2"/>
    <w:p>
      <w:pPr>
        <w:pStyle w:val="Heading2"/>
      </w:pPr>
      <w:r>
        <w:t xml:space="preserve">Phase P24 — Engineering Governance, Hardening, Certification Readiness and Go-Live</w:t>
      </w:r>
    </w:p>
    <w:p>
      <w:pPr>
        <w:pStyle w:val="FirstParagraph"/>
      </w:pPr>
      <w:r>
        <w:rPr>
          <w:bCs/>
          <w:b/>
        </w:rPr>
        <w:t xml:space="preserve">Session prompt (type in Claude Code):</w:t>
      </w:r>
      <w:r>
        <w:t xml:space="preserve"> </w:t>
      </w:r>
      <w:r>
        <w:rPr>
          <w:iCs/>
          <w:i/>
        </w:rPr>
        <w:t xml:space="preserve">"Read docs/00-master-prompt.md, docs/01-decision-log.md and docs/phases/P24_Engineering_Governance_Hardening_Certification_Readiness_and_GoLive.md in full, plus the appendices it names as binding. Then write docs/phases/P24-plan.md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(CI/CD skeleton, audit ledger, buckets, infrastructure), P01 (identity, grants, break-glass), P02 (settings registry), and every functional phase whose scope is being released. The</w:t>
      </w:r>
      <w:r>
        <w:t xml:space="preserve"> </w:t>
      </w:r>
      <w:r>
        <w:rPr>
          <w:bCs/>
          <w:b/>
        </w:rPr>
        <w:t xml:space="preserve">first P24 run</w:t>
      </w:r>
      <w:r>
        <w:t xml:space="preserve"> </w:t>
      </w:r>
      <w:r>
        <w:t xml:space="preserve">(general-availability go-live) needs P00–P07, P15 (at least the RBI-NBFC, MCA-CO and DATA-PRIV families), P18 (integration gateway core), P19 (export package) and P20 (billing). Later phases released after go-live each</w:t>
      </w:r>
      <w:r>
        <w:t xml:space="preserve"> </w:t>
      </w:r>
      <w:r>
        <w:rPr>
          <w:bCs/>
          <w:b/>
        </w:rPr>
        <w:t xml:space="preserve">re-run the P24 checklist for their scope</w:t>
      </w:r>
      <w:r>
        <w:t xml:space="preserve"> </w:t>
      </w:r>
      <w:r>
        <w:t xml:space="preserve">(§13.3).</w:t>
      </w:r>
    </w:p>
    <w:p>
      <w:pPr>
        <w:pStyle w:val="BlockText"/>
      </w:pPr>
      <w:r>
        <w:rPr>
          <w:bCs/>
          <w:b/>
        </w:rPr>
        <w:t xml:space="preserve">Sequencing:</w:t>
      </w:r>
      <w:r>
        <w:t xml:space="preserve"> </w:t>
      </w:r>
      <w:r>
        <w:t xml:space="preserve">the engineering-governance part (§4A–§4E) starts in parallel with P02 (sprint 3 of the programme) so that every later phase is built under the final controls; hardening, certification evidence and go-live (§4F–§4K) run before general availability.</w:t>
      </w:r>
    </w:p>
    <w:p>
      <w:pPr>
        <w:pStyle w:val="BlockText"/>
      </w:pPr>
      <w:r>
        <w:rPr>
          <w:bCs/>
          <w:b/>
        </w:rPr>
        <w:t xml:space="preserve">Binding appendices:</w:t>
      </w:r>
      <w:r>
        <w:t xml:space="preserve"> </w:t>
      </w:r>
      <w:r>
        <w:t xml:space="preserve">Q (security, privacy and certification readiness — control set and evidence catalogue), B (eng tables, error codes), A (change, release, incident, vulnerability state machines), U (settings), V (acceptance catalogue — the go-live regression suite), X (Operations Hub addendum — OH13/OH14 interfaces).</w:t>
      </w:r>
    </w:p>
    <w:p>
      <w:pPr>
        <w:pStyle w:val="BlockText"/>
      </w:pPr>
      <w:r>
        <w:rPr>
          <w:bCs/>
          <w:b/>
        </w:rPr>
        <w:t xml:space="preserve">Requirements covered:</w:t>
      </w:r>
      <w:r>
        <w:t xml:space="preserve"> </w:t>
      </w:r>
      <w:r>
        <w:t xml:space="preserve">R-033, R-046, R-047 (engineering staff across group repositories), R-031, R-021 (preservation across releases and infrastructure moves), R-075, R-081 (backups and BYO storage evidence), R-101 (final review discipline).</w:t>
      </w:r>
    </w:p>
    <w:p>
      <w:pPr>
        <w:pStyle w:val="BlockText"/>
      </w:pPr>
      <w:r>
        <w:rPr>
          <w:bCs/>
          <w:b/>
        </w:rPr>
        <w:t xml:space="preserve">Decisions applied:</w:t>
      </w:r>
      <w:r>
        <w:t xml:space="preserve"> </w:t>
      </w:r>
      <w:r>
        <w:t xml:space="preserve">D-01, D-02, D-03 (OH13/OH14 own the group console and provider-assurance room), D-13, D-14, D-21.</w:t>
      </w:r>
    </w:p>
    <w:p>
      <w:pPr>
        <w:pStyle w:val="BlockText"/>
      </w:pPr>
      <w:r>
        <w:rPr>
          <w:bCs/>
          <w:b/>
        </w:rPr>
        <w:t xml:space="preserve">Estimated effort:</w:t>
      </w:r>
      <w:r>
        <w:t xml:space="preserve"> </w:t>
      </w:r>
      <w:r>
        <w:t xml:space="preserve">governance track 3 sprints (platform squad of 4) running alongside P02–P05; hardening and go-live track 4 sprints (squad of 7: SRE, 2 security engineers, QA lead, 2 backend, compliance analyst) before GA; each later re-run 1 sprint.</w:t>
      </w:r>
    </w:p>
    <w:bookmarkStart w:id="118" w:name="objective-and-business-outcome-24"/>
    <w:p>
      <w:pPr>
        <w:pStyle w:val="Heading3"/>
      </w:pPr>
      <w:r>
        <w:t xml:space="preserve">Objective and business outcome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bookmarkEnd w:id="118"/>
    <w:bookmarkStart w:id="119" w:name="exit-gate-24"/>
    <w:p>
      <w:pPr>
        <w:pStyle w:val="Heading3"/>
      </w:pPr>
      <w:r>
        <w:t xml:space="preserve">Exit gate</w:t>
      </w:r>
    </w:p>
    <w:bookmarkEnd w:id="119"/>
    <w:bookmarkStart w:id="120" w:name="Xec4fd4eb64a3af5eef23a93903d26830a0f4130"/>
    <w:p>
      <w:pPr>
        <w:pStyle w:val="Heading3"/>
      </w:pPr>
      <w:r>
        <w:t xml:space="preserve">13.1 Governance track (before P05 ends)</w:t>
      </w:r>
    </w:p>
    <w:p>
      <w:pPr>
        <w:numPr>
          <w:ilvl w:val="0"/>
          <w:numId w:val="1035"/>
        </w:numPr>
        <w:pStyle w:val="Compact"/>
      </w:pPr>
      <w:r>
        <w:t xml:space="preserve">☐ GitHub plan decision recorded; rulesets, CODEOWNERS, required checks, merge queue, signed commits live on all repositories; drift export running.</w:t>
      </w:r>
    </w:p>
    <w:p>
      <w:pPr>
        <w:numPr>
          <w:ilvl w:val="0"/>
          <w:numId w:val="1035"/>
        </w:numPr>
        <w:pStyle w:val="Compact"/>
      </w:pPr>
      <w:r>
        <w:t xml:space="preserve">☐ Change classes, change record, OH13 integration (</w:t>
      </w:r>
      <w:r>
        <w:rPr>
          <w:rStyle w:val="VerbatimChar"/>
        </w:rPr>
        <w:t xml:space="preserve">ChangeApproved</w:t>
      </w:r>
      <w:r>
        <w:t xml:space="preserve"> </w:t>
      </w:r>
      <w:r>
        <w:t xml:space="preserve">gate,</w:t>
      </w:r>
      <w:r>
        <w:t xml:space="preserve"> </w:t>
      </w:r>
      <w:r>
        <w:rPr>
          <w:rStyle w:val="VerbatimChar"/>
        </w:rPr>
        <w:t xml:space="preserve">ReleasePublished</w:t>
      </w:r>
      <w:r>
        <w:t xml:space="preserve">), freeze windows, release trains and rings in operation.</w:t>
      </w:r>
    </w:p>
    <w:p>
      <w:pPr>
        <w:numPr>
          <w:ilvl w:val="0"/>
          <w:numId w:val="1035"/>
        </w:numPr>
        <w:pStyle w:val="Compact"/>
      </w:pPr>
      <w:r>
        <w:t xml:space="preserve">☐ Expand-contract checker, golden export test, content-untouched test as required checks.</w:t>
      </w:r>
    </w:p>
    <w:p>
      <w:pPr>
        <w:numPr>
          <w:ilvl w:val="0"/>
          <w:numId w:val="1035"/>
        </w:numPr>
        <w:pStyle w:val="Compact"/>
      </w:pPr>
      <w:r>
        <w:t xml:space="preserve">☐ Vulnerability intake and SLA monitoring live; EOS register populated.</w:t>
      </w:r>
    </w:p>
    <w:bookmarkEnd w:id="120"/>
    <w:bookmarkStart w:id="121" w:name="X32d83421a04ea894619446af39e4f09e0d51db9"/>
    <w:p>
      <w:pPr>
        <w:pStyle w:val="Heading3"/>
      </w:pPr>
      <w:r>
        <w:t xml:space="preserve">13.2 Go-live track (before GA)</w:t>
      </w:r>
    </w:p>
    <w:p>
      <w:pPr>
        <w:numPr>
          <w:ilvl w:val="0"/>
          <w:numId w:val="1036"/>
        </w:numPr>
        <w:pStyle w:val="Compact"/>
      </w:pPr>
      <w:r>
        <w:t xml:space="preserve">☐ Production on AWS ap-south-1 with DR in ap-south-2; RPO/RTO verified by drill.</w:t>
      </w:r>
    </w:p>
    <w:p>
      <w:pPr>
        <w:numPr>
          <w:ilvl w:val="0"/>
          <w:numId w:val="1036"/>
        </w:numPr>
        <w:pStyle w:val="Compact"/>
      </w:pPr>
      <w:r>
        <w:t xml:space="preserve">☐ Restore tests green for 4 consecutive weeks.</w:t>
      </w:r>
    </w:p>
    <w:p>
      <w:pPr>
        <w:numPr>
          <w:ilvl w:val="0"/>
          <w:numId w:val="1036"/>
        </w:numPr>
        <w:pStyle w:val="Compact"/>
      </w:pPr>
      <w:r>
        <w:t xml:space="preserve">☐ Hardening checklist 100% with evidence.</w:t>
      </w:r>
    </w:p>
    <w:p>
      <w:pPr>
        <w:numPr>
          <w:ilvl w:val="0"/>
          <w:numId w:val="1036"/>
        </w:numPr>
        <w:pStyle w:val="Compact"/>
      </w:pPr>
      <w:r>
        <w:t xml:space="preserve">☐ CERT-In empanelled VAPT closed (Critical/High = 0) with retest; DAST/API fuzzing clean of High.</w:t>
      </w:r>
    </w:p>
    <w:p>
      <w:pPr>
        <w:numPr>
          <w:ilvl w:val="0"/>
          <w:numId w:val="1036"/>
        </w:numPr>
        <w:pStyle w:val="Compact"/>
      </w:pPr>
      <w:r>
        <w:t xml:space="preserve">☐ Performance suites within budgets; chaos tests passed with documented fallbacks.</w:t>
      </w:r>
    </w:p>
    <w:p>
      <w:pPr>
        <w:numPr>
          <w:ilvl w:val="0"/>
          <w:numId w:val="1036"/>
        </w:numPr>
        <w:pStyle w:val="Compact"/>
      </w:pPr>
      <w:r>
        <w:t xml:space="preserve">☐ Incident process rehearsed (tabletop) including CERT-In 6-hour and client 2-hour clocks.</w:t>
      </w:r>
    </w:p>
    <w:p>
      <w:pPr>
        <w:numPr>
          <w:ilvl w:val="0"/>
          <w:numId w:val="1036"/>
        </w:numPr>
        <w:pStyle w:val="Compact"/>
      </w:pPr>
      <w:r>
        <w:t xml:space="preserve">☐ Evidence collectors running for ≥ 80% of Appendix Q controls; policy set approved by the Board; readiness assessment completed; SOC 2 Type 1 engagement scheduled.</w:t>
      </w:r>
    </w:p>
    <w:p>
      <w:pPr>
        <w:numPr>
          <w:ilvl w:val="0"/>
          <w:numId w:val="1036"/>
        </w:numPr>
        <w:pStyle w:val="Compact"/>
      </w:pPr>
      <w:r>
        <w:t xml:space="preserve">☐ Trust centre content approved through the claims register.</w:t>
      </w:r>
    </w:p>
    <w:p>
      <w:pPr>
        <w:numPr>
          <w:ilvl w:val="0"/>
          <w:numId w:val="1036"/>
        </w:numPr>
        <w:pStyle w:val="Compact"/>
      </w:pPr>
      <w:r>
        <w:t xml:space="preserve">☐ Go-live checklist signed (CTO, CISO, Company Secretary, product owner); hypercare roster.</w:t>
      </w:r>
    </w:p>
    <w:bookmarkEnd w:id="121"/>
    <w:bookmarkStart w:id="122" w:name="Xae629c7a92f90ec98a9089ab6ee871d73366aa1"/>
    <w:p>
      <w:pPr>
        <w:pStyle w:val="Heading3"/>
      </w:pPr>
      <w:r>
        <w:t xml:space="preserve">13.3 Re-run for later phases</w:t>
      </w:r>
    </w:p>
    <w:p>
      <w:pPr>
        <w:pStyle w:val="FirstParagraph"/>
      </w:pPr>
      <w:r>
        <w:t xml:space="preserve">Each phase released after GA runs: threat model update, VAPT scope delta (major-release VAPT if applicable), performance test of its heavy paths, export-mapping and golden export update, evidence collector additions, release notes and tenant notice, and the §13.2 items relevant to its scope. Deferred items are recorded in</w:t>
      </w:r>
      <w:r>
        <w:t xml:space="preserve"> </w:t>
      </w:r>
      <w:r>
        <w:rPr>
          <w:rStyle w:val="VerbatimChar"/>
        </w:rPr>
        <w:t xml:space="preserve">docs/phases/P24-deferred.md</w:t>
      </w:r>
      <w:r>
        <w:t xml:space="preserve"> </w:t>
      </w:r>
      <w:r>
        <w:t xml:space="preserve">and close at the exit of the phase that builds them.</w:t>
      </w:r>
    </w:p>
    <w:p>
      <w:r>
        <w:pict>
          <v:rect style="width:0;height:1.5pt" o:hralign="center" o:hrstd="t" o:hr="t"/>
        </w:pict>
      </w:r>
    </w:p>
    <w:bookmarkEnd w:id="122"/>
    <w:bookmarkStart w:id="123" w:name="integration-notes-24"/>
    <w:p>
      <w:pPr>
        <w:pStyle w:val="Heading3"/>
      </w:pPr>
      <w:r>
        <w:t xml:space="preserve">Integration notes</w:t>
      </w:r>
    </w:p>
    <w:p>
      <w:pPr>
        <w:pStyle w:val="FirstParagraph"/>
      </w:pPr>
      <w:r>
        <w:t xml:space="preserve">This phase is bound by the following master-prompt rules and cross-file resolutions added at integration:</w:t>
      </w:r>
      <w:r>
        <w:t xml:space="preserve"> </w:t>
      </w:r>
      <w:r>
        <w:rPr>
          <w:bCs/>
          <w:b/>
        </w:rPr>
        <w:t xml:space="preserve">NN-34, NN-45; X-05, X-22; track the master §19 change requests and companion addenda to closure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bookmarkEnd w:id="123"/>
    <w:bookmarkEnd w:id="124"/>
    <w:bookmarkEnd w:id="125"/>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2026-10-25T09:18:42Z</dcterms:created>
  <dcterms:modified xsi:type="dcterms:W3CDTF">2026-10-25T09:18:42Z</dcterms:modified>
</cp:coreProperties>
</file>

<file path=docProps/custom.xml><?xml version="1.0" encoding="utf-8"?>
<Properties xmlns="http://schemas.openxmlformats.org/officeDocument/2006/custom-properties" xmlns:vt="http://schemas.openxmlformats.org/officeDocument/2006/docPropsVTypes"/>
</file>