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67F45" w14:textId="117CBFDE" w:rsidR="00D40F51" w:rsidRPr="004F783A" w:rsidRDefault="00D40F51" w:rsidP="004F783A">
      <w:pPr>
        <w:spacing w:line="240" w:lineRule="auto"/>
        <w:jc w:val="both"/>
        <w:rPr>
          <w:rFonts w:ascii="Georgia" w:hAnsi="Georgia"/>
          <w:b/>
          <w:i/>
          <w:sz w:val="24"/>
          <w:szCs w:val="24"/>
          <w:lang w:val="en-US"/>
        </w:rPr>
      </w:pPr>
      <w:r w:rsidRPr="004F783A">
        <w:rPr>
          <w:rFonts w:ascii="Georgia" w:hAnsi="Georgia"/>
          <w:b/>
          <w:i/>
          <w:sz w:val="24"/>
          <w:szCs w:val="24"/>
          <w:lang w:val="en-US"/>
        </w:rPr>
        <w:t xml:space="preserve">Is </w:t>
      </w:r>
      <w:r w:rsidRPr="004F783A">
        <w:rPr>
          <w:rFonts w:ascii="Georgia" w:hAnsi="Georgia"/>
          <w:b/>
          <w:i/>
          <w:sz w:val="24"/>
          <w:szCs w:val="24"/>
        </w:rPr>
        <w:t>Management Fee Withholding Tax applicable to payments made by</w:t>
      </w:r>
      <w:r w:rsidRPr="004F783A">
        <w:rPr>
          <w:rFonts w:ascii="Georgia" w:hAnsi="Georgia"/>
          <w:b/>
          <w:i/>
          <w:sz w:val="24"/>
          <w:szCs w:val="24"/>
          <w:lang w:val="en-US"/>
        </w:rPr>
        <w:t xml:space="preserve"> an entity belonging to the same group in Papua New Guinea to a foreign bank ‘s branch situated outside Papua New Guinea?</w:t>
      </w:r>
    </w:p>
    <w:p w14:paraId="510F2A3D" w14:textId="77777777" w:rsidR="00D40F51" w:rsidRPr="004F783A" w:rsidRDefault="00D40F51" w:rsidP="004F783A">
      <w:pPr>
        <w:pStyle w:val="ListParagraph"/>
        <w:numPr>
          <w:ilvl w:val="0"/>
          <w:numId w:val="2"/>
        </w:numPr>
        <w:spacing w:line="240" w:lineRule="auto"/>
        <w:ind w:left="426" w:hanging="426"/>
        <w:jc w:val="both"/>
        <w:rPr>
          <w:rFonts w:ascii="Georgia" w:hAnsi="Georgia"/>
          <w:sz w:val="24"/>
          <w:szCs w:val="24"/>
        </w:rPr>
      </w:pPr>
      <w:r w:rsidRPr="004F783A">
        <w:rPr>
          <w:rFonts w:ascii="Georgia" w:hAnsi="Georgia"/>
          <w:b/>
          <w:bCs/>
          <w:sz w:val="24"/>
          <w:szCs w:val="24"/>
        </w:rPr>
        <w:t xml:space="preserve">“Management fee” </w:t>
      </w:r>
      <w:r w:rsidRPr="004F783A">
        <w:rPr>
          <w:rFonts w:ascii="Georgia" w:hAnsi="Georgia"/>
          <w:sz w:val="24"/>
          <w:szCs w:val="24"/>
        </w:rPr>
        <w:t>means a payment of any kind to any person, other than to an employee of the person making the payment and other than in the way of royalty, in consideration for any services of a technical or managerial nature and includes payments for consultancy services, to the extent the Commissioner is satisfied those consultancy services are of a managerial nature;</w:t>
      </w:r>
    </w:p>
    <w:p w14:paraId="4DD44B2A" w14:textId="77777777" w:rsidR="00D40F51" w:rsidRPr="004F783A" w:rsidRDefault="00D40F51" w:rsidP="004F783A">
      <w:pPr>
        <w:pStyle w:val="Default"/>
        <w:numPr>
          <w:ilvl w:val="0"/>
          <w:numId w:val="2"/>
        </w:numPr>
        <w:ind w:left="426" w:hanging="426"/>
        <w:jc w:val="both"/>
        <w:rPr>
          <w:rFonts w:ascii="Georgia" w:hAnsi="Georgia" w:cs="Calibri"/>
          <w:b/>
          <w:bCs/>
          <w:color w:val="auto"/>
        </w:rPr>
      </w:pPr>
      <w:r w:rsidRPr="004F783A">
        <w:rPr>
          <w:rFonts w:ascii="Georgia" w:hAnsi="Georgia" w:cs="Calibri"/>
          <w:b/>
          <w:bCs/>
          <w:color w:val="auto"/>
        </w:rPr>
        <w:t>196Q. Application. –Division 14C of The Income Tax Act is extracted below :</w:t>
      </w:r>
    </w:p>
    <w:p w14:paraId="64545E67" w14:textId="77777777" w:rsidR="00D40F51" w:rsidRPr="004F783A" w:rsidRDefault="00D40F51" w:rsidP="004F783A">
      <w:pPr>
        <w:pStyle w:val="Default"/>
        <w:ind w:left="426" w:hanging="426"/>
        <w:jc w:val="both"/>
        <w:rPr>
          <w:rFonts w:ascii="Georgia" w:hAnsi="Georgia" w:cs="Calibri"/>
          <w:b/>
          <w:bCs/>
          <w:color w:val="auto"/>
        </w:rPr>
      </w:pPr>
    </w:p>
    <w:p w14:paraId="13B66E96" w14:textId="77777777" w:rsidR="00D40F51" w:rsidRPr="004F783A" w:rsidRDefault="00D40F51" w:rsidP="004F783A">
      <w:pPr>
        <w:pStyle w:val="Default"/>
        <w:ind w:left="426"/>
        <w:jc w:val="both"/>
        <w:rPr>
          <w:rFonts w:ascii="Georgia" w:hAnsi="Georgia" w:cs="Calibri"/>
          <w:b/>
          <w:bCs/>
          <w:color w:val="auto"/>
        </w:rPr>
      </w:pPr>
      <w:r w:rsidRPr="004F783A">
        <w:rPr>
          <w:rFonts w:ascii="Georgia" w:hAnsi="Georgia" w:cs="Calibri"/>
          <w:color w:val="auto"/>
        </w:rPr>
        <w:t xml:space="preserve">This Division applies to a taxable management fee that is paid to a non-resident after 8 November 1989 and that— </w:t>
      </w:r>
    </w:p>
    <w:p w14:paraId="58BD29D0" w14:textId="77777777" w:rsidR="00D40F51" w:rsidRPr="004F783A" w:rsidRDefault="00D40F51" w:rsidP="004F783A">
      <w:pPr>
        <w:pStyle w:val="Default"/>
        <w:ind w:left="426"/>
        <w:jc w:val="both"/>
        <w:rPr>
          <w:rFonts w:ascii="Georgia" w:hAnsi="Georgia" w:cs="Calibri"/>
          <w:b/>
          <w:bCs/>
          <w:color w:val="auto"/>
        </w:rPr>
      </w:pPr>
      <w:r w:rsidRPr="004F783A">
        <w:rPr>
          <w:rFonts w:ascii="Georgia" w:hAnsi="Georgia" w:cs="Calibri"/>
          <w:color w:val="auto"/>
        </w:rPr>
        <w:t xml:space="preserve">(a) is paid by a resident; or </w:t>
      </w:r>
    </w:p>
    <w:p w14:paraId="6BF9E8AD" w14:textId="77777777" w:rsidR="00D40F51" w:rsidRPr="004F783A" w:rsidRDefault="00D40F51" w:rsidP="004F783A">
      <w:pPr>
        <w:pStyle w:val="Default"/>
        <w:ind w:left="426"/>
        <w:jc w:val="both"/>
        <w:rPr>
          <w:rFonts w:ascii="Georgia" w:hAnsi="Georgia" w:cs="Calibri"/>
          <w:b/>
          <w:bCs/>
          <w:color w:val="auto"/>
        </w:rPr>
      </w:pPr>
      <w:r w:rsidRPr="004F783A">
        <w:rPr>
          <w:rFonts w:ascii="Georgia" w:hAnsi="Georgia" w:cs="Calibri"/>
          <w:color w:val="auto"/>
        </w:rPr>
        <w:t xml:space="preserve">(b) is paid by a non-resident, and— </w:t>
      </w:r>
    </w:p>
    <w:p w14:paraId="6D602610" w14:textId="77777777" w:rsidR="00D40F51" w:rsidRPr="004F783A" w:rsidRDefault="00D40F51" w:rsidP="004F783A">
      <w:pPr>
        <w:pStyle w:val="Default"/>
        <w:ind w:left="426"/>
        <w:jc w:val="both"/>
        <w:rPr>
          <w:rFonts w:ascii="Georgia" w:hAnsi="Georgia" w:cs="Calibri"/>
          <w:b/>
          <w:bCs/>
          <w:color w:val="auto"/>
        </w:rPr>
      </w:pPr>
      <w:r w:rsidRPr="004F783A">
        <w:rPr>
          <w:rFonts w:ascii="Georgia" w:hAnsi="Georgia" w:cs="Calibri"/>
          <w:color w:val="auto"/>
        </w:rPr>
        <w:t>(</w:t>
      </w:r>
      <w:proofErr w:type="spellStart"/>
      <w:r w:rsidRPr="004F783A">
        <w:rPr>
          <w:rFonts w:ascii="Georgia" w:hAnsi="Georgia" w:cs="Calibri"/>
          <w:color w:val="auto"/>
        </w:rPr>
        <w:t>i</w:t>
      </w:r>
      <w:proofErr w:type="spellEnd"/>
      <w:r w:rsidRPr="004F783A">
        <w:rPr>
          <w:rFonts w:ascii="Georgia" w:hAnsi="Georgia" w:cs="Calibri"/>
          <w:color w:val="auto"/>
        </w:rPr>
        <w:t xml:space="preserve">) is, or is in part, an outgoing incurred by that person in carrying on business in Papua New Guinea at or through a permanent establishment in Papua New Guinea; or xxviii </w:t>
      </w:r>
    </w:p>
    <w:p w14:paraId="1CA11F56" w14:textId="77777777" w:rsidR="00D40F51" w:rsidRPr="004F783A" w:rsidRDefault="00D40F51" w:rsidP="004F783A">
      <w:pPr>
        <w:pStyle w:val="Default"/>
        <w:ind w:left="426"/>
        <w:jc w:val="both"/>
        <w:rPr>
          <w:rFonts w:ascii="Georgia" w:hAnsi="Georgia" w:cs="Calibri"/>
          <w:b/>
          <w:bCs/>
          <w:color w:val="auto"/>
        </w:rPr>
      </w:pPr>
      <w:r w:rsidRPr="004F783A">
        <w:rPr>
          <w:rFonts w:ascii="Georgia" w:hAnsi="Georgia" w:cs="Calibri"/>
          <w:color w:val="auto"/>
        </w:rPr>
        <w:t xml:space="preserve">(ii) is not an outgoing incurred by that person in carrying on business in another country at or through a permanent establishment in that other country, </w:t>
      </w:r>
    </w:p>
    <w:p w14:paraId="6C3BF2E4" w14:textId="77777777" w:rsidR="00D40F51" w:rsidRPr="004F783A" w:rsidRDefault="00D40F51" w:rsidP="004F783A">
      <w:pPr>
        <w:pStyle w:val="Default"/>
        <w:ind w:left="426"/>
        <w:jc w:val="both"/>
        <w:rPr>
          <w:rFonts w:ascii="Georgia" w:hAnsi="Georgia" w:cs="Calibri"/>
          <w:color w:val="auto"/>
        </w:rPr>
      </w:pPr>
      <w:r w:rsidRPr="004F783A">
        <w:rPr>
          <w:rFonts w:ascii="Georgia" w:hAnsi="Georgia" w:cs="Calibri"/>
          <w:color w:val="auto"/>
        </w:rPr>
        <w:t>but does not apply to a taxable management fee that is paid to a non-resident to the extent that it is derived by the non-resident in carrying on a business in Papua New Guinea at or through a permanent establishment in Papua New Guinea.</w:t>
      </w:r>
    </w:p>
    <w:p w14:paraId="52E20E10" w14:textId="77777777" w:rsidR="00D40F51" w:rsidRPr="004F783A" w:rsidRDefault="00D40F51" w:rsidP="004F783A">
      <w:pPr>
        <w:pStyle w:val="Default"/>
        <w:ind w:left="426" w:hanging="426"/>
        <w:jc w:val="both"/>
        <w:rPr>
          <w:rFonts w:ascii="Georgia" w:hAnsi="Georgia" w:cs="Calibri"/>
          <w:color w:val="auto"/>
        </w:rPr>
      </w:pPr>
    </w:p>
    <w:p w14:paraId="454251C1" w14:textId="77777777" w:rsidR="00D40F51" w:rsidRPr="004F783A" w:rsidRDefault="00D40F51" w:rsidP="004F783A">
      <w:pPr>
        <w:pStyle w:val="Default"/>
        <w:numPr>
          <w:ilvl w:val="0"/>
          <w:numId w:val="2"/>
        </w:numPr>
        <w:ind w:left="426" w:hanging="426"/>
        <w:jc w:val="both"/>
        <w:rPr>
          <w:rFonts w:ascii="Georgia" w:hAnsi="Georgia" w:cstheme="minorHAnsi"/>
          <w:b/>
          <w:bCs/>
          <w:color w:val="auto"/>
        </w:rPr>
      </w:pPr>
      <w:r w:rsidRPr="004F783A">
        <w:rPr>
          <w:rFonts w:ascii="Georgia" w:hAnsi="Georgia" w:cstheme="minorHAnsi"/>
          <w:b/>
          <w:bCs/>
          <w:color w:val="auto"/>
        </w:rPr>
        <w:t xml:space="preserve">Income Tax Act defines non-resident as </w:t>
      </w:r>
      <w:r w:rsidRPr="004F783A">
        <w:rPr>
          <w:rFonts w:ascii="Georgia" w:hAnsi="Georgia" w:cstheme="minorHAnsi"/>
        </w:rPr>
        <w:t xml:space="preserve">“non-resident” means a person who is not a resident of Papua New Guinea; The term resident of Papua New Guinea has been defined as : </w:t>
      </w:r>
    </w:p>
    <w:p w14:paraId="1C474011" w14:textId="77777777" w:rsidR="00D40F51" w:rsidRPr="004F783A" w:rsidRDefault="00D40F51" w:rsidP="004F783A">
      <w:pPr>
        <w:pStyle w:val="Default"/>
        <w:ind w:left="426" w:hanging="426"/>
        <w:jc w:val="both"/>
        <w:rPr>
          <w:rFonts w:ascii="Georgia" w:hAnsi="Georgia" w:cstheme="minorHAnsi"/>
          <w:b/>
          <w:bCs/>
          <w:color w:val="auto"/>
        </w:rPr>
      </w:pPr>
    </w:p>
    <w:p w14:paraId="747195AD" w14:textId="77777777" w:rsidR="00D40F51" w:rsidRPr="004F783A" w:rsidRDefault="00D40F51" w:rsidP="004F783A">
      <w:pPr>
        <w:pStyle w:val="Default"/>
        <w:ind w:left="426" w:hanging="426"/>
        <w:jc w:val="both"/>
        <w:rPr>
          <w:rFonts w:ascii="Georgia" w:hAnsi="Georgia" w:cstheme="minorHAnsi"/>
          <w:color w:val="auto"/>
        </w:rPr>
      </w:pPr>
      <w:r w:rsidRPr="004F783A">
        <w:rPr>
          <w:rFonts w:ascii="Georgia" w:hAnsi="Georgia" w:cstheme="minorHAnsi"/>
          <w:b/>
          <w:bCs/>
          <w:color w:val="16365D"/>
        </w:rPr>
        <w:t>“</w:t>
      </w:r>
      <w:r w:rsidRPr="004F783A">
        <w:rPr>
          <w:rFonts w:ascii="Georgia" w:hAnsi="Georgia" w:cstheme="minorHAnsi"/>
          <w:b/>
          <w:bCs/>
          <w:color w:val="auto"/>
        </w:rPr>
        <w:t xml:space="preserve">resident” </w:t>
      </w:r>
      <w:r w:rsidRPr="004F783A">
        <w:rPr>
          <w:rFonts w:ascii="Georgia" w:hAnsi="Georgia" w:cstheme="minorHAnsi"/>
          <w:color w:val="auto"/>
        </w:rPr>
        <w:t xml:space="preserve">or </w:t>
      </w:r>
      <w:r w:rsidRPr="004F783A">
        <w:rPr>
          <w:rFonts w:ascii="Georgia" w:hAnsi="Georgia" w:cstheme="minorHAnsi"/>
          <w:b/>
          <w:bCs/>
          <w:color w:val="auto"/>
        </w:rPr>
        <w:t>“resident of Papua New Guinea”</w:t>
      </w:r>
      <w:r w:rsidRPr="004F783A">
        <w:rPr>
          <w:rFonts w:ascii="Georgia" w:hAnsi="Georgia" w:cstheme="minorHAnsi"/>
          <w:color w:val="auto"/>
        </w:rPr>
        <w:t>—</w:t>
      </w:r>
    </w:p>
    <w:p w14:paraId="44881551" w14:textId="77777777" w:rsidR="00D40F51" w:rsidRPr="004F783A" w:rsidRDefault="00D40F51" w:rsidP="004F783A">
      <w:pPr>
        <w:pStyle w:val="Default"/>
        <w:ind w:left="426" w:hanging="426"/>
        <w:jc w:val="both"/>
        <w:rPr>
          <w:rFonts w:ascii="Georgia" w:hAnsi="Georgia" w:cstheme="minorHAnsi"/>
          <w:color w:val="auto"/>
        </w:rPr>
      </w:pPr>
    </w:p>
    <w:p w14:paraId="33A6ADDA" w14:textId="77777777" w:rsidR="00D40F51" w:rsidRPr="004F783A" w:rsidRDefault="00D40F51" w:rsidP="004F783A">
      <w:pPr>
        <w:pStyle w:val="Default"/>
        <w:ind w:left="426" w:hanging="426"/>
        <w:jc w:val="both"/>
        <w:rPr>
          <w:rFonts w:ascii="Georgia" w:hAnsi="Georgia" w:cstheme="minorHAnsi"/>
          <w:color w:val="auto"/>
        </w:rPr>
      </w:pPr>
      <w:r w:rsidRPr="004F783A">
        <w:rPr>
          <w:rFonts w:ascii="Georgia" w:hAnsi="Georgia" w:cstheme="minorHAnsi"/>
          <w:color w:val="auto"/>
        </w:rPr>
        <w:t>(b) in relation to a company other than a superannuation fund, means a company which is incorporated in Papua New Guinea, or which, not being incorporated in Papua New Guinea, carries on business in Papua New Guinea, and has either its central management and control in Papua New Guinea, or its voting power controlled by shareholders who are residents of Papua New Guinea;</w:t>
      </w:r>
    </w:p>
    <w:p w14:paraId="1C684D7A" w14:textId="77777777" w:rsidR="00D40F51" w:rsidRPr="004F783A" w:rsidRDefault="00D40F51" w:rsidP="004F783A">
      <w:pPr>
        <w:pStyle w:val="Default"/>
        <w:ind w:left="426" w:hanging="426"/>
        <w:jc w:val="both"/>
        <w:rPr>
          <w:rFonts w:ascii="Georgia" w:hAnsi="Georgia" w:cstheme="minorHAnsi"/>
          <w:color w:val="auto"/>
        </w:rPr>
      </w:pPr>
    </w:p>
    <w:p w14:paraId="68710D85" w14:textId="77777777" w:rsidR="00D40F51" w:rsidRPr="004F783A" w:rsidRDefault="00D40F51" w:rsidP="004F783A">
      <w:pPr>
        <w:pStyle w:val="Default"/>
        <w:numPr>
          <w:ilvl w:val="0"/>
          <w:numId w:val="2"/>
        </w:numPr>
        <w:ind w:left="426" w:hanging="426"/>
        <w:jc w:val="both"/>
        <w:rPr>
          <w:rFonts w:ascii="Georgia" w:hAnsi="Georgia" w:cstheme="minorHAnsi"/>
          <w:color w:val="auto"/>
        </w:rPr>
      </w:pPr>
      <w:r w:rsidRPr="004F783A">
        <w:rPr>
          <w:rFonts w:ascii="Georgia" w:hAnsi="Georgia" w:cstheme="minorHAnsi"/>
          <w:color w:val="auto"/>
        </w:rPr>
        <w:t xml:space="preserve">The only exception as regards applicability of management fees withholding tax provided by Section 196Q is that this does not apply to a taxable management fee </w:t>
      </w:r>
      <w:r w:rsidRPr="004F783A">
        <w:rPr>
          <w:rFonts w:ascii="Georgia" w:hAnsi="Georgia" w:cstheme="minorHAnsi"/>
          <w:b/>
          <w:color w:val="auto"/>
          <w:u w:val="single"/>
        </w:rPr>
        <w:t>that is paid to a non-resident to the extent that it is derived by the non-resident</w:t>
      </w:r>
      <w:r w:rsidRPr="004F783A">
        <w:rPr>
          <w:rFonts w:ascii="Georgia" w:hAnsi="Georgia" w:cstheme="minorHAnsi"/>
          <w:color w:val="auto"/>
        </w:rPr>
        <w:t xml:space="preserve"> in carrying on a business in Papua New Guinea at or through </w:t>
      </w:r>
      <w:r w:rsidRPr="004F783A">
        <w:rPr>
          <w:rFonts w:ascii="Georgia" w:hAnsi="Georgia" w:cstheme="minorHAnsi"/>
          <w:b/>
          <w:color w:val="auto"/>
          <w:u w:val="single"/>
        </w:rPr>
        <w:t xml:space="preserve">a permanent establishment </w:t>
      </w:r>
      <w:r w:rsidRPr="004F783A">
        <w:rPr>
          <w:rFonts w:ascii="Georgia" w:hAnsi="Georgia" w:cstheme="minorHAnsi"/>
          <w:color w:val="auto"/>
        </w:rPr>
        <w:t>in Papua New Guinea.</w:t>
      </w:r>
    </w:p>
    <w:p w14:paraId="54209D1A" w14:textId="77777777" w:rsidR="00D40F51" w:rsidRPr="004F783A" w:rsidRDefault="00D40F51" w:rsidP="004F783A">
      <w:pPr>
        <w:pStyle w:val="Default"/>
        <w:ind w:left="426" w:hanging="426"/>
        <w:jc w:val="both"/>
        <w:rPr>
          <w:rFonts w:ascii="Georgia" w:hAnsi="Georgia" w:cstheme="minorHAnsi"/>
          <w:color w:val="auto"/>
        </w:rPr>
      </w:pPr>
      <w:r w:rsidRPr="004F783A">
        <w:rPr>
          <w:rFonts w:ascii="Georgia" w:hAnsi="Georgia" w:cstheme="minorHAnsi"/>
          <w:color w:val="auto"/>
        </w:rPr>
        <w:t xml:space="preserve">The term permanent establishment is defined under the Income Tax Act as </w:t>
      </w:r>
      <w:r w:rsidRPr="004F783A">
        <w:rPr>
          <w:rFonts w:ascii="Georgia" w:hAnsi="Georgia" w:cstheme="minorHAnsi"/>
          <w:b/>
          <w:bCs/>
          <w:color w:val="auto"/>
        </w:rPr>
        <w:t>“permanent establishment”</w:t>
      </w:r>
      <w:r w:rsidRPr="004F783A">
        <w:rPr>
          <w:rFonts w:ascii="Georgia" w:hAnsi="Georgia" w:cstheme="minorHAnsi"/>
          <w:color w:val="auto"/>
        </w:rPr>
        <w:t>, in relation to a taxpayer, means—</w:t>
      </w:r>
    </w:p>
    <w:p w14:paraId="0237DCF8" w14:textId="77777777" w:rsidR="00D40F51" w:rsidRPr="004F783A" w:rsidRDefault="00D40F51" w:rsidP="004F783A">
      <w:pPr>
        <w:pStyle w:val="Default"/>
        <w:ind w:left="426" w:hanging="426"/>
        <w:jc w:val="both"/>
        <w:rPr>
          <w:rFonts w:ascii="Georgia" w:hAnsi="Georgia" w:cstheme="minorHAnsi"/>
          <w:color w:val="auto"/>
        </w:rPr>
      </w:pPr>
      <w:r w:rsidRPr="004F783A">
        <w:rPr>
          <w:rFonts w:ascii="Georgia" w:hAnsi="Georgia" w:cstheme="minorHAnsi"/>
          <w:color w:val="auto"/>
        </w:rPr>
        <w:t xml:space="preserve">(a) a place that is a permanent establishment of the taxpayer by virtue of the definition </w:t>
      </w:r>
      <w:r w:rsidRPr="004F783A">
        <w:rPr>
          <w:rFonts w:ascii="Georgia" w:hAnsi="Georgia" w:cstheme="minorHAnsi"/>
          <w:b/>
          <w:bCs/>
          <w:color w:val="auto"/>
        </w:rPr>
        <w:t xml:space="preserve">“permanent establishment” </w:t>
      </w:r>
      <w:r w:rsidRPr="004F783A">
        <w:rPr>
          <w:rFonts w:ascii="Georgia" w:hAnsi="Georgia" w:cstheme="minorHAnsi"/>
          <w:color w:val="auto"/>
        </w:rPr>
        <w:t xml:space="preserve">in Section 4; or </w:t>
      </w:r>
    </w:p>
    <w:p w14:paraId="3424C680" w14:textId="77777777" w:rsidR="00D40F51" w:rsidRPr="004F783A" w:rsidRDefault="00D40F51" w:rsidP="004F783A">
      <w:pPr>
        <w:pStyle w:val="Default"/>
        <w:ind w:left="426" w:hanging="426"/>
        <w:jc w:val="both"/>
        <w:rPr>
          <w:rFonts w:ascii="Georgia" w:hAnsi="Georgia" w:cstheme="minorHAnsi"/>
          <w:color w:val="auto"/>
        </w:rPr>
      </w:pPr>
      <w:r w:rsidRPr="004F783A">
        <w:rPr>
          <w:rFonts w:ascii="Georgia" w:hAnsi="Georgia" w:cstheme="minorHAnsi"/>
          <w:color w:val="auto"/>
        </w:rPr>
        <w:t>(b) a place at which any property of the taxpayer is manufactured or processed for the taxpayer, whether by the taxpayer or another person;</w:t>
      </w:r>
    </w:p>
    <w:p w14:paraId="01DFDD05" w14:textId="77777777" w:rsidR="00D40F51" w:rsidRPr="004F783A" w:rsidRDefault="00D40F51" w:rsidP="004F783A">
      <w:pPr>
        <w:pStyle w:val="Default"/>
        <w:ind w:left="426" w:hanging="426"/>
        <w:jc w:val="both"/>
        <w:rPr>
          <w:rFonts w:ascii="Georgia" w:hAnsi="Georgia" w:cstheme="minorHAnsi"/>
          <w:color w:val="auto"/>
        </w:rPr>
      </w:pPr>
    </w:p>
    <w:p w14:paraId="1A435C94" w14:textId="5FA6FE68" w:rsidR="00D40F51" w:rsidRPr="004F783A" w:rsidRDefault="00D40F51" w:rsidP="004F783A">
      <w:pPr>
        <w:pStyle w:val="Default"/>
        <w:ind w:left="426" w:hanging="426"/>
        <w:jc w:val="both"/>
        <w:rPr>
          <w:rFonts w:ascii="Georgia" w:hAnsi="Georgia" w:cstheme="minorHAnsi"/>
          <w:b/>
          <w:color w:val="auto"/>
        </w:rPr>
      </w:pPr>
      <w:r w:rsidRPr="004F783A">
        <w:rPr>
          <w:rFonts w:ascii="Georgia" w:hAnsi="Georgia" w:cstheme="minorHAnsi"/>
          <w:color w:val="auto"/>
        </w:rPr>
        <w:t xml:space="preserve">Unless this </w:t>
      </w:r>
      <w:r w:rsidR="004F783A" w:rsidRPr="004F783A">
        <w:rPr>
          <w:rFonts w:ascii="Georgia" w:hAnsi="Georgia" w:cstheme="minorHAnsi"/>
          <w:color w:val="auto"/>
        </w:rPr>
        <w:t>exception is</w:t>
      </w:r>
      <w:r w:rsidRPr="004F783A">
        <w:rPr>
          <w:rFonts w:ascii="Georgia" w:hAnsi="Georgia" w:cstheme="minorHAnsi"/>
          <w:color w:val="auto"/>
        </w:rPr>
        <w:t xml:space="preserve"> available,</w:t>
      </w:r>
      <w:r w:rsidRPr="004F783A">
        <w:rPr>
          <w:rFonts w:ascii="Georgia" w:hAnsi="Georgia" w:cstheme="minorHAnsi"/>
          <w:b/>
        </w:rPr>
        <w:t xml:space="preserve"> </w:t>
      </w:r>
      <w:r w:rsidRPr="004F783A">
        <w:rPr>
          <w:rFonts w:ascii="Georgia" w:hAnsi="Georgia" w:cstheme="minorHAnsi"/>
          <w:b/>
          <w:color w:val="auto"/>
        </w:rPr>
        <w:t xml:space="preserve">withholding taxes would be applicable as mandated under Division14 C of The Income Tax Act. </w:t>
      </w:r>
    </w:p>
    <w:sectPr w:rsidR="00D40F51" w:rsidRPr="004F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3107"/>
    <w:multiLevelType w:val="hybridMultilevel"/>
    <w:tmpl w:val="E0885D16"/>
    <w:lvl w:ilvl="0" w:tplc="A6021C80">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 w15:restartNumberingAfterBreak="0">
    <w:nsid w:val="4A5D169D"/>
    <w:multiLevelType w:val="hybridMultilevel"/>
    <w:tmpl w:val="85FC7B1A"/>
    <w:lvl w:ilvl="0" w:tplc="2FA08D56">
      <w:start w:val="1"/>
      <w:numFmt w:val="lowerRoman"/>
      <w:lvlText w:val="%1)"/>
      <w:lvlJc w:val="left"/>
      <w:pPr>
        <w:ind w:left="1080" w:hanging="720"/>
      </w:pPr>
      <w:rPr>
        <w:rFonts w:asciiTheme="minorHAnsi" w:eastAsiaTheme="minorHAnsi" w:hAnsiTheme="minorHAnsi" w:cstheme="minorHAns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B02B8"/>
    <w:multiLevelType w:val="hybridMultilevel"/>
    <w:tmpl w:val="6C8A6CC4"/>
    <w:lvl w:ilvl="0" w:tplc="AC1C448E">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15:restartNumberingAfterBreak="0">
    <w:nsid w:val="70413900"/>
    <w:multiLevelType w:val="hybridMultilevel"/>
    <w:tmpl w:val="CE1CA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9867AC"/>
    <w:multiLevelType w:val="hybridMultilevel"/>
    <w:tmpl w:val="D48EFE22"/>
    <w:lvl w:ilvl="0" w:tplc="3716A9A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321859">
    <w:abstractNumId w:val="3"/>
  </w:num>
  <w:num w:numId="2" w16cid:durableId="751853636">
    <w:abstractNumId w:val="4"/>
  </w:num>
  <w:num w:numId="3" w16cid:durableId="859660613">
    <w:abstractNumId w:val="1"/>
  </w:num>
  <w:num w:numId="4" w16cid:durableId="1698771245">
    <w:abstractNumId w:val="0"/>
  </w:num>
  <w:num w:numId="5" w16cid:durableId="1056247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51"/>
    <w:rsid w:val="001D0D9F"/>
    <w:rsid w:val="004F783A"/>
    <w:rsid w:val="00A35929"/>
    <w:rsid w:val="00CA747F"/>
    <w:rsid w:val="00D40F51"/>
    <w:rsid w:val="00D47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88A7"/>
  <w15:chartTrackingRefBased/>
  <w15:docId w15:val="{46AFA073-4DBF-4E91-8891-B8199CE1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51"/>
    <w:pPr>
      <w:ind w:left="720"/>
      <w:contextualSpacing/>
    </w:pPr>
  </w:style>
  <w:style w:type="paragraph" w:customStyle="1" w:styleId="Default">
    <w:name w:val="Default"/>
    <w:rsid w:val="00D40F51"/>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Anirban Chaudhuri</cp:lastModifiedBy>
  <cp:revision>2</cp:revision>
  <dcterms:created xsi:type="dcterms:W3CDTF">2025-07-07T05:29:00Z</dcterms:created>
  <dcterms:modified xsi:type="dcterms:W3CDTF">2025-07-07T05:29:00Z</dcterms:modified>
</cp:coreProperties>
</file>