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color w:val="0A2540"/>
          <w:spacing w:val="30"/>
          <w:sz w:val="24"/>
          <w:szCs w:val="24"/>
        </w:rPr>
        <w:t xml:space="preserve">QUANTVESTRIX</w:t>
      </w: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	QvtXpress Provenance</w:t>
      </w:r>
    </w:p>
    <w:p>
      <w:pPr>
        <w:pBdr>
          <w:bottom w:val="single" w:color="F5A623" w:sz="18" w:space="1"/>
        </w:pBdr>
        <w:spacing w:after="14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Verifying a QvtXpress provenance record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A guide for compliance, audit, and financial-crime teams</w:t>
      </w:r>
    </w:p>
    <w:p>
      <w:pPr>
        <w:spacing w:after="150" w:line="272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Every transaction processed through QvtXpress carries an immutable, independently verifiable provenance record. This is how your team confirms a record is authentic and unaltered — without relying on us to vouch for it.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you receive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5A623" w:sz="24"/>
              <w:bottom w:val="single" w:color="F4F6F8" w:sz="1"/>
              <w:right w:val="single" w:color="F4F6F8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For each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ByteID — the unique identifier for the event/entity.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record hash — a cryptographic fingerprint of the transaction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on-chain anchor reference — where the ByteID and hash are recorded.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verify (4 steps)</w:t>
      </w:r>
    </w:p>
    <w:p>
      <w:pPr>
        <w:spacing w:after="60" w:line="264"/>
        <w:ind w:left="420" w:hanging="420"/>
      </w:pP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1 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Obtain the record. </w:t>
      </w:r>
      <w:r>
        <w:rPr>
          <w:rFonts w:ascii="Arial" w:cs="Arial" w:eastAsia="Arial" w:hAnsi="Arial"/>
          <w:sz w:val="20"/>
          <w:szCs w:val="20"/>
        </w:rPr>
        <w:t xml:space="preserve">Request the transaction record and its ByteID, hash, and anchor reference from QUANTVESTRIX.</w:t>
      </w:r>
    </w:p>
    <w:p>
      <w:pPr>
        <w:spacing w:after="60" w:line="264"/>
        <w:ind w:left="420" w:hanging="420"/>
      </w:pP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2 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Recompute the hash. </w:t>
      </w:r>
      <w:r>
        <w:rPr>
          <w:rFonts w:ascii="Arial" w:cs="Arial" w:eastAsia="Arial" w:hAnsi="Arial"/>
          <w:sz w:val="20"/>
          <w:szCs w:val="20"/>
        </w:rPr>
        <w:t xml:space="preserve">Run the same hash function over the record's canonical fields. It must match the supplied hash.</w:t>
      </w:r>
    </w:p>
    <w:p>
      <w:pPr>
        <w:spacing w:after="60" w:line="264"/>
        <w:ind w:left="420" w:hanging="420"/>
      </w:pP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3 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Check the anchor. </w:t>
      </w:r>
      <w:r>
        <w:rPr>
          <w:rFonts w:ascii="Arial" w:cs="Arial" w:eastAsia="Arial" w:hAnsi="Arial"/>
          <w:sz w:val="20"/>
          <w:szCs w:val="20"/>
        </w:rPr>
        <w:t xml:space="preserve">Look up the ByteID and hash on the QVTX chain at the anchor reference. The on-chain value must equal your recomputed hash.</w:t>
      </w:r>
    </w:p>
    <w:p>
      <w:pPr>
        <w:spacing w:after="60" w:line="264"/>
        <w:ind w:left="420" w:hanging="420"/>
      </w:pP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4 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 timing. </w:t>
      </w:r>
      <w:r>
        <w:rPr>
          <w:rFonts w:ascii="Arial" w:cs="Arial" w:eastAsia="Arial" w:hAnsi="Arial"/>
          <w:sz w:val="20"/>
          <w:szCs w:val="20"/>
        </w:rPr>
        <w:t xml:space="preserve">The anchor's block timestamp shows when the record was committed — evidence it existed and was unchanged from that point.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5A623" w:sz="24"/>
              <w:bottom w:val="single" w:color="F4F6F8" w:sz="1"/>
              <w:right w:val="single" w:color="F4F6F8" w:sz="1"/>
            </w:tcBorders>
            <w:shd w:fill="F4F6F8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What a match proves — and what it does not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Proves: </w:t>
            </w: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the record has not been altered since it was anchored, and it is uniquely identified and non-duplicatable.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2E2E"/>
                <w:sz w:val="19"/>
                <w:szCs w:val="19"/>
              </w:rPr>
              <w:t xml:space="preserve">Does not assert: </w:t>
            </w: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that funds moved or settled — settlement remains on the bank/rail of record. QvtXpress proves the provenance of the record; it does not move or create funds.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Privacy</w:t>
      </w:r>
    </w:p>
    <w:p>
      <w:pPr>
        <w:spacing w:after="120" w:line="27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Only the ByteID and hash are on-chain. Personal and financial data stay off-chain in secured systems; the on-chain anchor reveals no personal information, so verification does not expose the underlying data.</w:t>
      </w:r>
    </w:p>
    <w:p>
      <w:pPr>
        <w:pBdr>
          <w:top w:val="single" w:color="D9DEE5" w:sz="4" w:space="1"/>
        </w:pBdr>
        <w:spacing w:before="100"/>
      </w:pPr>
    </w:p>
    <w:p>
      <w:r>
        <w:rPr>
          <w:rFonts w:ascii="Arial" w:cs="Arial" w:eastAsia="Arial" w:hAnsi="Arial"/>
          <w:i/>
          <w:iCs/>
          <w:color w:val="6B7280"/>
          <w:sz w:val="14"/>
          <w:szCs w:val="14"/>
        </w:rPr>
        <w:t xml:space="preserve">For verification support or to request a record, contact QUANTVESTRIX compliance. This overview is informational and not a substitute for your own audit procedures.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F5A62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2026-06-15T19:46:29.994Z</dcterms:created>
  <dcterms:modified xsi:type="dcterms:W3CDTF">2026-06-15T19:46:29.995Z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