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rPr>
          <w:rFonts w:ascii="Arial" w:cs="Arial" w:eastAsia="Arial" w:hAnsi="Arial"/>
          <w:b/>
          <w:bCs/>
          <w:color w:val="0A2540"/>
          <w:spacing w:val="30"/>
          <w:sz w:val="24"/>
          <w:szCs w:val="24"/>
        </w:rPr>
        <w:t xml:space="preserve">QUANTVESTRIX  ·  QvtXpress</w:t>
      </w:r>
    </w:p>
    <w:p>
      <w:pPr>
        <w:pBdr>
          <w:bottom w:val="single" w:color="F5A623" w:sz="18" w:space="2"/>
        </w:pBd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QvtXpress Pay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5A623"/>
          <w:sz w:val="27"/>
          <w:szCs w:val="27"/>
        </w:rPr>
        <w:t xml:space="preserve">Architecture, Derivation &amp; Provenance</w:t>
      </w:r>
    </w:p>
    <w:p>
      <w:pPr>
        <w:spacing w:after="120" w:line="276"/>
      </w:pPr>
      <w:r>
        <w:rPr>
          <w:rFonts w:ascii="Arial" w:cs="Arial" w:eastAsia="Arial" w:hAnsi="Arial"/>
          <w:color w:val="2E2E2E"/>
        </w:rPr>
        <w:t xml:space="preserve">How QvtXpress represents every transaction in quaternary-native form, derives a unique finite fingerprint for each event and entity, and secures it with an on-chain provenance record — while authenticating to each external counterparty through that counterparty’s own protocol.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0A2540" w:sz="28"/>
              <w:bottom w:val="single" w:color="F4F6F8" w:sz="1"/>
              <w:right w:val="single" w:color="F4F6F8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The claim, stated precisely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A2540"/>
              </w:rPr>
              <w:t xml:space="preserve">QvtXpress natively creates the shapes and secures them; it represents, secures, and proves transactions. It does not alter the underlying funds or the bank’s ledger, and it does not generate value — derivation produces the record and its provenance, not the money.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Bdr>
          <w:bottom w:val="single" w:color="0A2540" w:sz="6" w:space="1"/>
        </w:pBdr>
        <w:spacing w:after="80"/>
      </w:pPr>
    </w:p>
    <w:p>
      <w:pPr>
        <w:spacing w:after="120" w:line="276"/>
      </w:pPr>
      <w:r>
        <w:t xml:space="preserve">QvtXpress is a three-tier system: standard protocol adapters at the edge, a quaternary-native canonical layer at the core, and a provenance layer that anchors an immutable record. Value moves on each counterparty’s existing rails; QvtXpress represents and proves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60"/>
        <w:gridCol w:w="2700"/>
      </w:tblGrid>
      <w:tr>
        <w:trPr>
          <w:tblHeader/>
        </w:trPr>
        <w:tc>
          <w:tcPr>
            <w:tcW w:type="dxa" w:w="2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A25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A25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A25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Speaks</w:t>
            </w:r>
          </w:p>
        </w:tc>
      </w:tr>
      <w:tr>
        <w:tc>
          <w:tcPr>
            <w:tcW w:type="dxa" w:w="2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Edge — adapters</w:t>
            </w:r>
          </w:p>
        </w:tc>
        <w:tc>
          <w:tcPr>
            <w:tcW w:type="dxa" w:w="45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Authenticate and exchange with each counterparty using their protocol and credentials, like any other participant. One certified adapter per rail.</w:t>
            </w:r>
          </w:p>
        </w:tc>
        <w:tc>
          <w:tcPr>
            <w:tcW w:type="dxa" w:w="2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ISO 20022 / SWIFT (banks), ACH, on-chain RPC, partner XSD</w:t>
            </w:r>
          </w:p>
        </w:tc>
      </w:tr>
      <w:tr>
        <w:tc>
          <w:tcPr>
            <w:tcW w:type="dxa" w:w="2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Core — QvtXpress</w:t>
            </w:r>
          </w:p>
        </w:tc>
        <w:tc>
          <w:tcPr>
            <w:tcW w:type="dxa" w:w="45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Natively represents every transaction and entity as a canonical quaternary shape, independent of the inbound rail.</w:t>
            </w:r>
          </w:p>
        </w:tc>
        <w:tc>
          <w:tcPr>
            <w:tcW w:type="dxa" w:w="2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QvtXpress quaternary form</w:t>
            </w:r>
          </w:p>
        </w:tc>
      </w:tr>
      <w:tr>
        <w:tc>
          <w:tcPr>
            <w:tcW w:type="dxa" w:w="2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Provenance</w:t>
            </w:r>
          </w:p>
        </w:tc>
        <w:tc>
          <w:tcPr>
            <w:tcW w:type="dxa" w:w="45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Derives a unique finite fingerprint per event, mints a ByteID + hash, anchors it on-chain. PII stays off-chain.</w:t>
            </w:r>
          </w:p>
        </w:tc>
        <w:tc>
          <w:tcPr>
            <w:tcW w:type="dxa" w:w="2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8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ByteID, record hash, chain anchor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2" w:sz="1"/>
              <w:left w:val="single" w:color="F5A623" w:sz="28"/>
              <w:bottom w:val="single" w:color="FDF3E2" w:sz="1"/>
              <w:right w:val="single" w:color="FDF3E2" w:sz="1"/>
            </w:tcBorders>
            <w:shd w:fill="FD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Edge principle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2E2E2E"/>
              </w:rPr>
              <w:t xml:space="preserve">For access to a bank, partner, or chain, QvtXpress uses that counterparty’s protocol and authentication — the same way everyone else does. The native layer does not bypass external protocols; it sits behind them.</w:t>
            </w:r>
          </w:p>
        </w:tc>
      </w:tr>
    </w:tbl>
    <w:p>
      <w:pPr>
        <w:pStyle w:val="Heading1"/>
      </w:pPr>
      <w:r>
        <w:t xml:space="preserve">2. Native shapes &amp; derivation</w:t>
      </w:r>
    </w:p>
    <w:p>
      <w:pPr>
        <w:pBdr>
          <w:bottom w:val="single" w:color="0A2540" w:sz="6" w:space="1"/>
        </w:pBdr>
        <w:spacing w:after="80"/>
      </w:pPr>
    </w:p>
    <w:p>
      <w:pPr>
        <w:spacing w:after="120" w:line="276"/>
      </w:pPr>
      <w:r>
        <w:t xml:space="preserve">Every event and entity is represented natively in QvtXpress quaternary form (“the shape”). From the properties of that specific event, the system derives a unique, finite fingerprint: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Capture event inputs. </w:t>
      </w:r>
      <w:r>
        <w:rPr>
          <w:rFonts w:ascii="Arial" w:cs="Arial" w:eastAsia="Arial" w:hAnsi="Arial"/>
        </w:rPr>
        <w:t xml:space="preserve">The defining properties of the event — parties, amount, rail, timestamp, and a nonce — are assembled into the canonical shape.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Derive the fingerprint. </w:t>
      </w:r>
      <w:r>
        <w:rPr>
          <w:rFonts w:ascii="Arial" w:cs="Arial" w:eastAsia="Arial" w:hAnsi="Arial"/>
        </w:rPr>
        <w:t xml:space="preserve">The shape is reduced to a finite fingerprint via the QvtXpress quaternary derivation, then bound to a collision-resistant hash of the canonical inputs.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Mint the ByteID. </w:t>
      </w:r>
      <w:r>
        <w:rPr>
          <w:rFonts w:ascii="Arial" w:cs="Arial" w:eastAsia="Arial" w:hAnsi="Arial"/>
        </w:rPr>
        <w:t xml:space="preserve">A ByteID is issued for the event/entity and stored on the off-chain record.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Anchor. </w:t>
      </w:r>
      <w:r>
        <w:rPr>
          <w:rFonts w:ascii="Arial" w:cs="Arial" w:eastAsia="Arial" w:hAnsi="Arial"/>
        </w:rPr>
        <w:t xml:space="preserve">The ByteID and hash — never the personal data — are anchored on-chain, producing an immutable, independently verifiable provenance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0A2540" w:sz="28"/>
              <w:bottom w:val="single" w:color="F4F6F8" w:sz="1"/>
              <w:right w:val="single" w:color="F4F6F8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Why it is not duplicatable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2E2E2E"/>
              </w:rPr>
              <w:t xml:space="preserve">The fingerprint derives from inputs unique to the event plus a collision-resistant hash; a nonce guarantees that even events sharing all business properties produce distinct fingerprints. Any change to the event changes the hash, so tampering is detectable — the record cannot be silently altered or forged within the system. The fingerprint identifies and proves; it confers no value of its own.</w:t>
            </w:r>
          </w:p>
        </w:tc>
      </w:tr>
    </w:tbl>
    <w:p>
      <w:pPr>
        <w:pStyle w:val="Heading1"/>
      </w:pPr>
      <w:r>
        <w:t xml:space="preserve">3. Relationship to the bank and the funds</w:t>
      </w:r>
    </w:p>
    <w:p>
      <w:pPr>
        <w:pBdr>
          <w:bottom w:val="single" w:color="0A2540" w:sz="6" w:space="1"/>
        </w:pBdr>
        <w:spacing w:after="80"/>
      </w:pPr>
    </w:p>
    <w:p>
      <w:pPr>
        <w:spacing w:after="120" w:line="276"/>
      </w:pPr>
      <w:r>
        <w:t xml:space="preserve">Two boundaries define what QvtXpress does and does not do, and both are what make it acceptable to a regulated counterparty: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The funds move on the counterparty’s rails, under their control and the law. </w:t>
      </w:r>
      <w:r>
        <w:rPr>
          <w:rFonts w:ascii="Arial" w:cs="Arial" w:eastAsia="Arial" w:hAnsi="Arial"/>
        </w:rPr>
        <w:t xml:space="preserve">QvtXpress does not move, create, or override funds or the bank’s ledger.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The provenance record is QvtXpress’s immutable ledger of the activity — alongside the bank, not replacing it. </w:t>
      </w:r>
      <w:r>
        <w:rPr>
          <w:rFonts w:ascii="Arial" w:cs="Arial" w:eastAsia="Arial" w:hAnsi="Arial"/>
        </w:rPr>
        <w:t xml:space="preserve">It is a verifiable mirror of what happened, reconcilable against the bank’s own records.</w:t>
      </w:r>
    </w:p>
    <w:p>
      <w:pPr>
        <w:pStyle w:val="Heading1"/>
      </w:pPr>
      <w:r>
        <w:t xml:space="preserve">4. Why this drives institutional adoption</w:t>
      </w:r>
    </w:p>
    <w:p>
      <w:pPr>
        <w:pBdr>
          <w:bottom w:val="single" w:color="0A2540" w:sz="6" w:space="1"/>
        </w:pBdr>
        <w:spacing w:after="80"/>
      </w:pPr>
    </w:p>
    <w:p>
      <w:pPr>
        <w:spacing w:after="120" w:line="276"/>
      </w:pPr>
      <w:r>
        <w:t xml:space="preserve">The barrier to institutional digital-asset adoption is not the assets — it is the missing audit trail. QvtXpress supplies exactly the artifact compliance and audit functions require: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Every transaction carries an immutable, independently verifiable provenance record.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Auditors and financial-crime units can confirm a record has not been altered, and trace it to its event.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Digital-asset activity becomes as auditable as — or more auditable than — the wire it replaces, reconcilable against bank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2" w:sz="1"/>
              <w:left w:val="single" w:color="F5A623" w:sz="28"/>
              <w:bottom w:val="single" w:color="FDF3E2" w:sz="1"/>
              <w:right w:val="single" w:color="FDF3E2" w:sz="1"/>
            </w:tcBorders>
            <w:shd w:fill="FD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Positioning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2E2E2E"/>
              </w:rPr>
              <w:t xml:space="preserve">This is a partnership with the bank, not a turf contest: their rails move value, QvtXpress proves provenance, the two reconcile. That is what makes crypto legible — and adoptable — for institutions that otherwise stay out.</w:t>
            </w:r>
          </w:p>
        </w:tc>
      </w:tr>
    </w:tbl>
    <w:p>
      <w:pPr>
        <w:spacing w:before="200"/>
      </w:pPr>
    </w:p>
    <w:p>
      <w:pPr>
        <w:pBdr>
          <w:bottom w:val="single" w:color="F5A623" w:sz="18" w:space="1"/>
        </w:pBd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A2540"/>
        </w:rPr>
        <w:t xml:space="preserve">Wording standard for all QvtXpress materials. </w:t>
      </w:r>
      <w:r>
        <w:rPr>
          <w:rFonts w:ascii="Arial" w:cs="Arial" w:eastAsia="Arial" w:hAnsi="Arial"/>
        </w:rPr>
        <w:t xml:space="preserve">“Derive” and “generate” refer to the shape, the record, and its provenance — never to funds. “Immutable chain” refers to the QvtXpress provenance ledger — alongside the bank, not replacing it. “Interoperates with the major access protocols” — listing those actually live — rather than “all protocols.”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1"/>
      </w:pBdr>
      <w:spacing w:after="40" w:before="0"/>
    </w:pPr>
  </w:p>
  <w:p>
    <w:pPr>
      <w:tabs>
        <w:tab w:val="right" w:pos="9360"/>
      </w:tabs>
    </w:pPr>
    <w:r>
      <w:rPr>
        <w:rFonts w:ascii="Arial" w:cs="Arial" w:eastAsia="Arial" w:hAnsi="Arial"/>
        <w:color w:val="6B7280"/>
        <w:sz w:val="15"/>
        <w:szCs w:val="15"/>
      </w:rPr>
      <w:t xml:space="preserve">QvtXpress Pay — Architecture, Derivation &amp; Provenance v0.1</w:t>
    </w:r>
    <w:r>
      <w:rPr>
        <w:rFonts w:ascii="Arial" w:cs="Arial" w:eastAsia="Arial" w:hAnsi="Arial"/>
        <w:color w:val="6B7280"/>
        <w:sz w:val="15"/>
        <w:szCs w:val="15"/>
      </w:rPr>
      <w:t xml:space="preserve">	Page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Arial" w:cs="Arial" w:eastAsia="Arial" w:hAnsi="Arial"/>
        <w:b/>
        <w:bCs/>
        <w:color w:val="0A2540"/>
        <w:spacing w:val="20"/>
        <w:sz w:val="16"/>
        <w:szCs w:val="16"/>
      </w:rPr>
      <w:t xml:space="preserve">QUANTVESTRIX</w:t>
    </w: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	QVTXPRESS PAY — ARCHITECTURE &amp; PROVENANCE</w:t>
    </w:r>
  </w:p>
  <w:p>
    <w:pPr>
      <w:pBdr>
        <w:bottom w:val="single" w:color="F5A623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F5A62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2026-06-15T19:45:52.710Z</dcterms:created>
  <dcterms:modified xsi:type="dcterms:W3CDTF">2026-06-15T19:45:52.728Z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