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4E4F92" w14:textId="714E5689" w:rsidR="002A3F4E" w:rsidRPr="002A3F4E" w:rsidRDefault="002A3F4E" w:rsidP="00A21C82">
      <w:pPr>
        <w:spacing w:line="480" w:lineRule="auto"/>
        <w:rPr>
          <w:b/>
        </w:rPr>
      </w:pPr>
      <w:r>
        <w:rPr>
          <w:b/>
        </w:rPr>
        <w:t>Breakpoints</w:t>
      </w:r>
    </w:p>
    <w:p w14:paraId="61C89549" w14:textId="5FB289A0" w:rsidR="00B7672F" w:rsidRDefault="00B7672F" w:rsidP="00677838">
      <w:pPr>
        <w:spacing w:line="480" w:lineRule="auto"/>
        <w:ind w:firstLine="720"/>
      </w:pPr>
      <w:r>
        <w:t xml:space="preserve">We used continuous segmented regression models to calculate the location of a change in the slope of ice dates for Tornio and </w:t>
      </w:r>
      <w:proofErr w:type="spellStart"/>
      <w:r>
        <w:t>Suwa</w:t>
      </w:r>
      <w:proofErr w:type="spellEnd"/>
      <w:r>
        <w:t>. In general, a continuous segmented regression</w:t>
      </w:r>
      <w:r w:rsidR="00A21C82">
        <w:t xml:space="preserve"> (CSR)</w:t>
      </w:r>
      <w:r>
        <w:t xml:space="preserve"> takes the form</w:t>
      </w:r>
    </w:p>
    <w:p w14:paraId="1FD2B624" w14:textId="782D396E" w:rsidR="00B7672F" w:rsidRDefault="00B7672F" w:rsidP="00975731">
      <w:pPr>
        <w:pStyle w:val="MTDisplayEquation"/>
        <w:spacing w:line="480" w:lineRule="auto"/>
      </w:pPr>
      <w:r>
        <w:tab/>
      </w:r>
      <w:r w:rsidR="0085404E" w:rsidRPr="00B7672F">
        <w:rPr>
          <w:position w:val="-10"/>
        </w:rPr>
        <w:object w:dxaOrig="7800" w:dyaOrig="360" w14:anchorId="42DCC5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390pt;height:18pt" o:ole="">
            <v:imagedata r:id="rId5" o:title=""/>
          </v:shape>
          <o:OLEObject Type="Embed" ProgID="Equation.DSMT4" ShapeID="_x0000_i1063" DrawAspect="Content" ObjectID="_1354002709" r:id="rId6"/>
        </w:object>
      </w:r>
      <w:r>
        <w:t xml:space="preserve"> </w:t>
      </w:r>
    </w:p>
    <w:p w14:paraId="0F932611" w14:textId="273C9782" w:rsidR="00A21C82" w:rsidRDefault="00D83FD3" w:rsidP="00A21C82">
      <w:pPr>
        <w:spacing w:line="480" w:lineRule="auto"/>
        <w:rPr>
          <w:lang w:eastAsia="ja-JP"/>
        </w:rPr>
      </w:pPr>
      <w:proofErr w:type="gramStart"/>
      <w:r>
        <w:t>where</w:t>
      </w:r>
      <w:proofErr w:type="gramEnd"/>
      <w:r w:rsidR="00062FF2">
        <w:t xml:space="preserve"> </w:t>
      </w:r>
      <w:proofErr w:type="spellStart"/>
      <w:r w:rsidR="00062FF2">
        <w:t>y</w:t>
      </w:r>
      <w:r w:rsidR="00062FF2">
        <w:rPr>
          <w:vertAlign w:val="subscript"/>
        </w:rPr>
        <w:t>i</w:t>
      </w:r>
      <w:proofErr w:type="spellEnd"/>
      <w:r w:rsidR="00062FF2">
        <w:t xml:space="preserve"> are observations of ice date,</w:t>
      </w:r>
      <w:r>
        <w:t xml:space="preserve"> </w:t>
      </w:r>
      <w:r w:rsidR="00062FF2" w:rsidRPr="00062FF2">
        <w:rPr>
          <w:position w:val="-10"/>
        </w:rPr>
        <w:object w:dxaOrig="260" w:dyaOrig="360" w14:anchorId="615D5769">
          <v:shape id="_x0000_i1055" type="#_x0000_t75" style="width:13pt;height:18pt" o:ole="">
            <v:imagedata r:id="rId7" o:title=""/>
          </v:shape>
          <o:OLEObject Type="Embed" ProgID="Equation.DSMT4" ShapeID="_x0000_i1055" DrawAspect="Content" ObjectID="_1354002710" r:id="rId8"/>
        </w:object>
      </w:r>
      <w:r w:rsidR="00062FF2">
        <w:t xml:space="preserve"> is a latent variable representing potentially unobserved ice dates (</w:t>
      </w:r>
      <w:r w:rsidR="00062FF2" w:rsidRPr="00062FF2">
        <w:rPr>
          <w:position w:val="-10"/>
        </w:rPr>
        <w:object w:dxaOrig="260" w:dyaOrig="360" w14:anchorId="3B6D4317">
          <v:shape id="_x0000_i1056" type="#_x0000_t75" style="width:13pt;height:18pt" o:ole="">
            <v:imagedata r:id="rId9" o:title=""/>
          </v:shape>
          <o:OLEObject Type="Embed" ProgID="Equation.DSMT4" ShapeID="_x0000_i1056" DrawAspect="Content" ObjectID="_1354002711" r:id="rId10"/>
        </w:object>
      </w:r>
      <w:r w:rsidR="00062FF2">
        <w:t xml:space="preserve"> and </w:t>
      </w:r>
      <w:proofErr w:type="spellStart"/>
      <w:r w:rsidR="00062FF2">
        <w:t>y</w:t>
      </w:r>
      <w:r w:rsidR="00062FF2">
        <w:rPr>
          <w:vertAlign w:val="subscript"/>
        </w:rPr>
        <w:t>i</w:t>
      </w:r>
      <w:proofErr w:type="spellEnd"/>
      <w:r w:rsidR="00247C61">
        <w:t xml:space="preserve"> only differ</w:t>
      </w:r>
      <w:r w:rsidR="00062FF2">
        <w:t xml:space="preserve"> in </w:t>
      </w:r>
      <w:proofErr w:type="spellStart"/>
      <w:r w:rsidR="00062FF2">
        <w:t>Tobit</w:t>
      </w:r>
      <w:proofErr w:type="spellEnd"/>
      <w:r w:rsidR="00062FF2">
        <w:t xml:space="preserve"> model, described below)</w:t>
      </w:r>
      <w:r>
        <w:t>, x</w:t>
      </w:r>
      <w:r>
        <w:softHyphen/>
      </w:r>
      <w:r>
        <w:rPr>
          <w:vertAlign w:val="subscript"/>
        </w:rPr>
        <w:t>i</w:t>
      </w:r>
      <w:r>
        <w:t xml:space="preserve"> are the years of the time series, </w:t>
      </w:r>
      <w:r>
        <w:rPr>
          <w:lang w:val="el-GR" w:eastAsia="ja-JP"/>
        </w:rPr>
        <w:t>β</w:t>
      </w:r>
      <w:r w:rsidRPr="00D83FD3">
        <w:rPr>
          <w:vertAlign w:val="subscript"/>
          <w:lang w:eastAsia="ja-JP"/>
        </w:rPr>
        <w:t>0</w:t>
      </w:r>
      <w:r>
        <w:rPr>
          <w:lang w:eastAsia="ja-JP"/>
        </w:rPr>
        <w:t xml:space="preserve"> is the intercept of the regression (ice date on year 0), </w:t>
      </w:r>
      <w:r>
        <w:rPr>
          <w:lang w:val="el-GR" w:eastAsia="ja-JP"/>
        </w:rPr>
        <w:t>β</w:t>
      </w:r>
      <w:r>
        <w:rPr>
          <w:vertAlign w:val="subscript"/>
          <w:lang w:eastAsia="ja-JP"/>
        </w:rPr>
        <w:t>1</w:t>
      </w:r>
      <w:r>
        <w:rPr>
          <w:lang w:eastAsia="ja-JP"/>
        </w:rPr>
        <w:t xml:space="preserve"> is the temporal trend in ice date (change in ice date per change in year), the </w:t>
      </w:r>
      <w:proofErr w:type="spellStart"/>
      <w:r>
        <w:rPr>
          <w:lang w:eastAsia="ja-JP"/>
        </w:rPr>
        <w:t>a</w:t>
      </w:r>
      <w:r>
        <w:rPr>
          <w:vertAlign w:val="subscript"/>
          <w:lang w:eastAsia="ja-JP"/>
        </w:rPr>
        <w:t>k</w:t>
      </w:r>
      <w:proofErr w:type="spellEnd"/>
      <w:r>
        <w:rPr>
          <w:lang w:eastAsia="ja-JP"/>
        </w:rPr>
        <w:t xml:space="preserve"> are the breakpoints (k was either 1 or 2), the </w:t>
      </w:r>
      <w:r>
        <w:rPr>
          <w:lang w:val="el-GR" w:eastAsia="ja-JP"/>
        </w:rPr>
        <w:t>β</w:t>
      </w:r>
      <w:r>
        <w:rPr>
          <w:vertAlign w:val="subscript"/>
          <w:lang w:eastAsia="ja-JP"/>
        </w:rPr>
        <w:t>k+1</w:t>
      </w:r>
      <w:r>
        <w:rPr>
          <w:lang w:eastAsia="ja-JP"/>
        </w:rPr>
        <w:t xml:space="preserve"> are the changes in the temporal </w:t>
      </w:r>
      <w:r w:rsidR="00A21C82">
        <w:rPr>
          <w:lang w:eastAsia="ja-JP"/>
        </w:rPr>
        <w:t xml:space="preserve">trend at each of the k breakpoints, and the </w:t>
      </w:r>
      <w:r w:rsidR="00A21C82">
        <w:rPr>
          <w:lang w:val="el-GR" w:eastAsia="ja-JP"/>
        </w:rPr>
        <w:t>ε</w:t>
      </w:r>
      <w:r w:rsidR="00A21C82">
        <w:rPr>
          <w:vertAlign w:val="subscript"/>
          <w:lang w:val="el-GR" w:eastAsia="ja-JP"/>
        </w:rPr>
        <w:t>i</w:t>
      </w:r>
      <w:r w:rsidR="00A21C82">
        <w:rPr>
          <w:lang w:eastAsia="ja-JP"/>
        </w:rPr>
        <w:t xml:space="preserve"> are the errors.</w:t>
      </w:r>
      <w:r w:rsidR="00AA019B">
        <w:rPr>
          <w:lang w:eastAsia="ja-JP"/>
        </w:rPr>
        <w:t xml:space="preserve"> Note that the </w:t>
      </w:r>
      <w:r w:rsidR="00AA019B">
        <w:rPr>
          <w:lang w:val="el-GR" w:eastAsia="ja-JP"/>
        </w:rPr>
        <w:t>β</w:t>
      </w:r>
      <w:r w:rsidR="00AA019B">
        <w:rPr>
          <w:vertAlign w:val="subscript"/>
          <w:lang w:eastAsia="ja-JP"/>
        </w:rPr>
        <w:t>k+1</w:t>
      </w:r>
      <w:r w:rsidR="00AA019B">
        <w:rPr>
          <w:lang w:eastAsia="ja-JP"/>
        </w:rPr>
        <w:t xml:space="preserve"> parameters indicate the effect of years elapsed since the breakpoint once the breakpoint has passed on ice date.</w:t>
      </w:r>
    </w:p>
    <w:p w14:paraId="1E6B5E7F" w14:textId="25564A4E" w:rsidR="00C56EEC" w:rsidRDefault="00A21C82" w:rsidP="00975731">
      <w:pPr>
        <w:spacing w:line="480" w:lineRule="auto"/>
        <w:ind w:firstLine="720"/>
        <w:rPr>
          <w:lang w:eastAsia="ja-JP"/>
        </w:rPr>
      </w:pPr>
      <w:r>
        <w:rPr>
          <w:lang w:eastAsia="ja-JP"/>
        </w:rPr>
        <w:t xml:space="preserve">The Tornio time series began in 1693 and ended in 2013, thus x = </w:t>
      </w:r>
      <w:r w:rsidR="00C56EEC">
        <w:rPr>
          <w:lang w:eastAsia="ja-JP"/>
        </w:rPr>
        <w:t>1, 2, … 321. Ice breakup dates for the River Torn ranged from day 117 to day 160, and the ice melted each year of the time series.</w:t>
      </w:r>
      <w:r w:rsidR="00C56EEC" w:rsidRPr="00C56EEC">
        <w:rPr>
          <w:lang w:eastAsia="ja-JP"/>
        </w:rPr>
        <w:t xml:space="preserve"> </w:t>
      </w:r>
      <w:r w:rsidR="00C56EEC">
        <w:rPr>
          <w:lang w:eastAsia="ja-JP"/>
        </w:rPr>
        <w:t xml:space="preserve">For Tornio, we fit CSR parameters using ordinary least squares using the </w:t>
      </w:r>
      <w:proofErr w:type="gramStart"/>
      <w:r w:rsidR="00C56EEC">
        <w:rPr>
          <w:lang w:eastAsia="ja-JP"/>
        </w:rPr>
        <w:t>lm(</w:t>
      </w:r>
      <w:proofErr w:type="gramEnd"/>
      <w:r w:rsidR="00C56EEC">
        <w:rPr>
          <w:lang w:eastAsia="ja-JP"/>
        </w:rPr>
        <w:t>) function in the statistical programming language R.</w:t>
      </w:r>
    </w:p>
    <w:p w14:paraId="754DD56F" w14:textId="651D0405" w:rsidR="0071007A" w:rsidRDefault="00C56EEC" w:rsidP="00975731">
      <w:pPr>
        <w:spacing w:line="480" w:lineRule="auto"/>
        <w:ind w:firstLine="720"/>
        <w:rPr>
          <w:lang w:eastAsia="ja-JP"/>
        </w:rPr>
      </w:pPr>
      <w:r>
        <w:rPr>
          <w:lang w:eastAsia="ja-JP"/>
        </w:rPr>
        <w:t xml:space="preserve">The </w:t>
      </w:r>
      <w:proofErr w:type="spellStart"/>
      <w:r>
        <w:rPr>
          <w:lang w:eastAsia="ja-JP"/>
        </w:rPr>
        <w:t>Suwa</w:t>
      </w:r>
      <w:proofErr w:type="spellEnd"/>
      <w:r>
        <w:rPr>
          <w:lang w:eastAsia="ja-JP"/>
        </w:rPr>
        <w:t xml:space="preserve"> time series began in 1443 and ended in 2004 (x = 1, 2, … 562), and ice observations were made for 427 of the 562 years (See Fig X in Main Text). The day that Lake </w:t>
      </w:r>
      <w:proofErr w:type="spellStart"/>
      <w:r>
        <w:rPr>
          <w:lang w:eastAsia="ja-JP"/>
        </w:rPr>
        <w:t>Suwa</w:t>
      </w:r>
      <w:proofErr w:type="spellEnd"/>
      <w:r>
        <w:rPr>
          <w:lang w:eastAsia="ja-JP"/>
        </w:rPr>
        <w:t xml:space="preserve"> froze ranged from</w:t>
      </w:r>
      <w:r w:rsidRPr="00C56EEC">
        <w:rPr>
          <w:lang w:eastAsia="ja-JP"/>
        </w:rPr>
        <w:t xml:space="preserve"> </w:t>
      </w:r>
      <w:r>
        <w:rPr>
          <w:lang w:eastAsia="ja-JP"/>
        </w:rPr>
        <w:t>day -54 to day 41 (negative values indicate freezing before January 1</w:t>
      </w:r>
      <w:r w:rsidRPr="00C56EEC">
        <w:rPr>
          <w:vertAlign w:val="superscript"/>
          <w:lang w:eastAsia="ja-JP"/>
        </w:rPr>
        <w:t>st</w:t>
      </w:r>
      <w:r>
        <w:rPr>
          <w:lang w:eastAsia="ja-JP"/>
        </w:rPr>
        <w:t xml:space="preserve"> of the designated “year”); however, there were 37 years when the lake did not freeze. </w:t>
      </w:r>
      <w:r w:rsidR="005F26DF">
        <w:rPr>
          <w:lang w:eastAsia="ja-JP"/>
        </w:rPr>
        <w:t>If</w:t>
      </w:r>
      <w:r w:rsidR="00A47B2A">
        <w:rPr>
          <w:lang w:eastAsia="ja-JP"/>
        </w:rPr>
        <w:t xml:space="preserve"> </w:t>
      </w:r>
      <w:r w:rsidR="00365B8C">
        <w:rPr>
          <w:lang w:eastAsia="ja-JP"/>
        </w:rPr>
        <w:t xml:space="preserve">the lake is considered as an instrument that measures </w:t>
      </w:r>
      <w:r w:rsidR="00A47B2A">
        <w:rPr>
          <w:lang w:eastAsia="ja-JP"/>
        </w:rPr>
        <w:t xml:space="preserve">a </w:t>
      </w:r>
      <w:r w:rsidR="00365B8C">
        <w:rPr>
          <w:lang w:eastAsia="ja-JP"/>
        </w:rPr>
        <w:t>value, which we call ice date,</w:t>
      </w:r>
      <w:r w:rsidR="00A47B2A">
        <w:rPr>
          <w:lang w:eastAsia="ja-JP"/>
        </w:rPr>
        <w:t xml:space="preserve"> </w:t>
      </w:r>
      <w:r w:rsidR="00365B8C">
        <w:rPr>
          <w:lang w:eastAsia="ja-JP"/>
        </w:rPr>
        <w:t>that indicates the favorability of conditions</w:t>
      </w:r>
      <w:r w:rsidR="00A47B2A">
        <w:rPr>
          <w:lang w:eastAsia="ja-JP"/>
        </w:rPr>
        <w:t xml:space="preserve"> for ice formation,</w:t>
      </w:r>
      <w:r w:rsidR="00365B8C">
        <w:rPr>
          <w:lang w:eastAsia="ja-JP"/>
        </w:rPr>
        <w:t xml:space="preserve"> and if we understand the lake instrument to censor these measurements at 41, then </w:t>
      </w:r>
      <w:r w:rsidR="00A47B2A">
        <w:rPr>
          <w:lang w:eastAsia="ja-JP"/>
        </w:rPr>
        <w:t>the no-fre</w:t>
      </w:r>
      <w:r w:rsidR="005F26DF">
        <w:rPr>
          <w:lang w:eastAsia="ja-JP"/>
        </w:rPr>
        <w:t xml:space="preserve">eze years </w:t>
      </w:r>
      <w:r w:rsidR="00365B8C">
        <w:rPr>
          <w:lang w:eastAsia="ja-JP"/>
        </w:rPr>
        <w:t>can be encoded as ice dates of 41</w:t>
      </w:r>
      <w:r w:rsidR="005F26DF">
        <w:rPr>
          <w:lang w:eastAsia="ja-JP"/>
        </w:rPr>
        <w:t>.</w:t>
      </w:r>
      <w:r w:rsidR="00484BB8">
        <w:rPr>
          <w:lang w:eastAsia="ja-JP"/>
        </w:rPr>
        <w:t xml:space="preserve"> </w:t>
      </w:r>
      <w:r w:rsidR="00BF2DA9">
        <w:rPr>
          <w:lang w:eastAsia="ja-JP"/>
        </w:rPr>
        <w:t>We</w:t>
      </w:r>
      <w:r w:rsidR="00484BB8">
        <w:rPr>
          <w:lang w:eastAsia="ja-JP"/>
        </w:rPr>
        <w:t xml:space="preserve"> </w:t>
      </w:r>
      <w:r w:rsidR="00484BB8">
        <w:rPr>
          <w:lang w:eastAsia="ja-JP"/>
        </w:rPr>
        <w:lastRenderedPageBreak/>
        <w:t xml:space="preserve">consider Lake </w:t>
      </w:r>
      <w:proofErr w:type="spellStart"/>
      <w:r w:rsidR="00484BB8">
        <w:rPr>
          <w:lang w:eastAsia="ja-JP"/>
        </w:rPr>
        <w:t>Suwa</w:t>
      </w:r>
      <w:proofErr w:type="spellEnd"/>
      <w:r w:rsidR="00484BB8">
        <w:rPr>
          <w:lang w:eastAsia="ja-JP"/>
        </w:rPr>
        <w:t xml:space="preserve"> as an instrument with output of ice </w:t>
      </w:r>
      <w:r w:rsidR="00BF2DA9">
        <w:rPr>
          <w:lang w:eastAsia="ja-JP"/>
        </w:rPr>
        <w:t>date</w:t>
      </w:r>
      <w:r w:rsidR="00484BB8">
        <w:rPr>
          <w:lang w:eastAsia="ja-JP"/>
        </w:rPr>
        <w:t xml:space="preserve"> that is censored at an upper limit, L </w:t>
      </w:r>
      <w:r w:rsidR="009357D4">
        <w:rPr>
          <w:lang w:eastAsia="ja-JP"/>
        </w:rPr>
        <w:t>=</w:t>
      </w:r>
      <w:r w:rsidR="00484BB8">
        <w:rPr>
          <w:lang w:eastAsia="ja-JP"/>
        </w:rPr>
        <w:t xml:space="preserve"> 41. As such,</w:t>
      </w:r>
      <w:r w:rsidR="00BF2DA9">
        <w:rPr>
          <w:lang w:eastAsia="ja-JP"/>
        </w:rPr>
        <w:t xml:space="preserve"> the observed </w:t>
      </w:r>
      <w:proofErr w:type="spellStart"/>
      <w:r w:rsidR="00BF2DA9">
        <w:rPr>
          <w:lang w:eastAsia="ja-JP"/>
        </w:rPr>
        <w:t>y</w:t>
      </w:r>
      <w:r w:rsidR="00BF2DA9">
        <w:rPr>
          <w:vertAlign w:val="subscript"/>
          <w:lang w:eastAsia="ja-JP"/>
        </w:rPr>
        <w:t>i</w:t>
      </w:r>
      <w:proofErr w:type="spellEnd"/>
      <w:r w:rsidR="00BF2DA9">
        <w:rPr>
          <w:lang w:eastAsia="ja-JP"/>
        </w:rPr>
        <w:t xml:space="preserve"> are related L and the latent variable </w:t>
      </w:r>
      <w:r w:rsidR="00BF2DA9" w:rsidRPr="00062FF2">
        <w:rPr>
          <w:position w:val="-10"/>
        </w:rPr>
        <w:object w:dxaOrig="260" w:dyaOrig="360" w14:anchorId="740E8D3C">
          <v:shape id="_x0000_i1057" type="#_x0000_t75" style="width:13pt;height:18pt" o:ole="">
            <v:imagedata r:id="rId11" o:title=""/>
          </v:shape>
          <o:OLEObject Type="Embed" ProgID="Equation.DSMT4" ShapeID="_x0000_i1057" DrawAspect="Content" ObjectID="_1354002712" r:id="rId12"/>
        </w:object>
      </w:r>
      <w:r w:rsidR="00BF2DA9">
        <w:t>in the following manner</w:t>
      </w:r>
      <w:r w:rsidR="00484BB8">
        <w:rPr>
          <w:lang w:eastAsia="ja-JP"/>
        </w:rPr>
        <w:t>:</w:t>
      </w:r>
    </w:p>
    <w:p w14:paraId="08A98167" w14:textId="05DF97C6" w:rsidR="00484BB8" w:rsidRDefault="0071007A" w:rsidP="00975731">
      <w:pPr>
        <w:pStyle w:val="MTDisplayEquation"/>
        <w:rPr>
          <w:lang w:eastAsia="ja-JP"/>
        </w:rPr>
      </w:pPr>
      <w:r>
        <w:rPr>
          <w:lang w:eastAsia="ja-JP"/>
        </w:rPr>
        <w:tab/>
      </w:r>
      <w:r w:rsidR="00062FF2" w:rsidRPr="0071007A">
        <w:rPr>
          <w:position w:val="-42"/>
          <w:lang w:eastAsia="ja-JP"/>
        </w:rPr>
        <w:object w:dxaOrig="2520" w:dyaOrig="960" w14:anchorId="2320C2D5">
          <v:shape id="_x0000_i1046" type="#_x0000_t75" style="width:126pt;height:48pt" o:ole="">
            <v:imagedata r:id="rId13" o:title=""/>
          </v:shape>
          <o:OLEObject Type="Embed" ProgID="Equation.DSMT4" ShapeID="_x0000_i1046" DrawAspect="Content" ObjectID="_1354002713" r:id="rId14"/>
        </w:object>
      </w:r>
      <w:r>
        <w:rPr>
          <w:lang w:eastAsia="ja-JP"/>
        </w:rPr>
        <w:t xml:space="preserve"> </w:t>
      </w:r>
    </w:p>
    <w:p w14:paraId="475C0958" w14:textId="1C8C4A17" w:rsidR="009357D4" w:rsidRDefault="00360730" w:rsidP="00975731">
      <w:pPr>
        <w:spacing w:line="480" w:lineRule="auto"/>
        <w:ind w:firstLine="720"/>
        <w:rPr>
          <w:lang w:eastAsia="ja-JP"/>
        </w:rPr>
      </w:pPr>
      <w:r>
        <w:rPr>
          <w:lang w:eastAsia="ja-JP"/>
        </w:rPr>
        <w:t>To address this censoring</w:t>
      </w:r>
      <w:r w:rsidR="0085404E">
        <w:rPr>
          <w:lang w:eastAsia="ja-JP"/>
        </w:rPr>
        <w:t xml:space="preserve"> of Lake </w:t>
      </w:r>
      <w:proofErr w:type="spellStart"/>
      <w:r w:rsidR="0085404E">
        <w:rPr>
          <w:lang w:eastAsia="ja-JP"/>
        </w:rPr>
        <w:t>Suwa</w:t>
      </w:r>
      <w:proofErr w:type="spellEnd"/>
      <w:r w:rsidR="0085404E">
        <w:rPr>
          <w:lang w:eastAsia="ja-JP"/>
        </w:rPr>
        <w:t xml:space="preserve"> ice dates</w:t>
      </w:r>
      <w:r>
        <w:rPr>
          <w:lang w:eastAsia="ja-JP"/>
        </w:rPr>
        <w:t xml:space="preserve"> while fitting the parameters in Eq. 1, we used a </w:t>
      </w:r>
      <w:proofErr w:type="spellStart"/>
      <w:r>
        <w:rPr>
          <w:lang w:eastAsia="ja-JP"/>
        </w:rPr>
        <w:t>Tobit</w:t>
      </w:r>
      <w:proofErr w:type="spellEnd"/>
      <w:r>
        <w:rPr>
          <w:lang w:eastAsia="ja-JP"/>
        </w:rPr>
        <w:t xml:space="preserve"> regression model. For a </w:t>
      </w:r>
      <w:proofErr w:type="spellStart"/>
      <w:r>
        <w:rPr>
          <w:lang w:eastAsia="ja-JP"/>
        </w:rPr>
        <w:t>Tobit</w:t>
      </w:r>
      <w:proofErr w:type="spellEnd"/>
      <w:r>
        <w:rPr>
          <w:lang w:eastAsia="ja-JP"/>
        </w:rPr>
        <w:t xml:space="preserve"> regression model for which observations have an upper limit, the</w:t>
      </w:r>
      <w:r w:rsidR="00BF2DA9">
        <w:rPr>
          <w:lang w:eastAsia="ja-JP"/>
        </w:rPr>
        <w:t xml:space="preserve"> log</w:t>
      </w:r>
      <w:r w:rsidR="009357D4">
        <w:rPr>
          <w:lang w:eastAsia="ja-JP"/>
        </w:rPr>
        <w:t xml:space="preserve"> likelihood of observing data given the parameters </w:t>
      </w:r>
      <w:r w:rsidR="009357D4">
        <w:rPr>
          <w:lang w:val="el-GR" w:eastAsia="ja-JP"/>
        </w:rPr>
        <w:t>β</w:t>
      </w:r>
      <w:r w:rsidR="009357D4">
        <w:rPr>
          <w:lang w:eastAsia="ja-JP"/>
        </w:rPr>
        <w:t xml:space="preserve"> (as in </w:t>
      </w:r>
      <w:proofErr w:type="spellStart"/>
      <w:r w:rsidR="009357D4">
        <w:rPr>
          <w:lang w:eastAsia="ja-JP"/>
        </w:rPr>
        <w:t>Eq</w:t>
      </w:r>
      <w:proofErr w:type="spellEnd"/>
      <w:r w:rsidR="009357D4">
        <w:rPr>
          <w:lang w:eastAsia="ja-JP"/>
        </w:rPr>
        <w:t xml:space="preserve"> 1) and </w:t>
      </w:r>
      <w:r w:rsidR="009357D4">
        <w:rPr>
          <w:lang w:val="el-GR" w:eastAsia="ja-JP"/>
        </w:rPr>
        <w:t>σ</w:t>
      </w:r>
      <w:r w:rsidR="009357D4">
        <w:rPr>
          <w:vertAlign w:val="superscript"/>
          <w:lang w:val="el-GR" w:eastAsia="ja-JP"/>
        </w:rPr>
        <w:t>2</w:t>
      </w:r>
      <w:r w:rsidR="009357D4">
        <w:rPr>
          <w:lang w:eastAsia="ja-JP"/>
        </w:rPr>
        <w:t xml:space="preserve"> (the variance of </w:t>
      </w:r>
      <w:r w:rsidR="009357D4">
        <w:rPr>
          <w:lang w:val="el-GR" w:eastAsia="ja-JP"/>
        </w:rPr>
        <w:t>ε</w:t>
      </w:r>
      <w:r w:rsidR="009357D4">
        <w:rPr>
          <w:lang w:eastAsia="ja-JP"/>
        </w:rPr>
        <w:t xml:space="preserve"> in </w:t>
      </w:r>
      <w:proofErr w:type="spellStart"/>
      <w:r w:rsidR="009357D4">
        <w:rPr>
          <w:lang w:eastAsia="ja-JP"/>
        </w:rPr>
        <w:t>Eq</w:t>
      </w:r>
      <w:proofErr w:type="spellEnd"/>
      <w:r w:rsidR="009357D4">
        <w:rPr>
          <w:lang w:eastAsia="ja-JP"/>
        </w:rPr>
        <w:t xml:space="preserve"> 1), can be calculated as:</w:t>
      </w:r>
    </w:p>
    <w:p w14:paraId="495E4A7B" w14:textId="0084DB93" w:rsidR="009357D4" w:rsidRDefault="009357D4" w:rsidP="009357D4">
      <w:pPr>
        <w:pStyle w:val="MTDisplayEquation"/>
        <w:rPr>
          <w:lang w:eastAsia="ja-JP"/>
        </w:rPr>
      </w:pPr>
      <w:r>
        <w:rPr>
          <w:lang w:eastAsia="ja-JP"/>
        </w:rPr>
        <w:tab/>
      </w:r>
      <w:r w:rsidR="00417D90" w:rsidRPr="009357D4">
        <w:rPr>
          <w:position w:val="-32"/>
          <w:lang w:eastAsia="ja-JP"/>
        </w:rPr>
        <w:object w:dxaOrig="5480" w:dyaOrig="760" w14:anchorId="51706483">
          <v:shape id="_x0000_i1061" type="#_x0000_t75" style="width:274pt;height:38pt" o:ole="">
            <v:imagedata r:id="rId15" o:title=""/>
          </v:shape>
          <o:OLEObject Type="Embed" ProgID="Equation.DSMT4" ShapeID="_x0000_i1061" DrawAspect="Content" ObjectID="_1354002714" r:id="rId16"/>
        </w:object>
      </w:r>
      <w:r>
        <w:rPr>
          <w:lang w:eastAsia="ja-JP"/>
        </w:rPr>
        <w:t xml:space="preserve"> </w:t>
      </w:r>
    </w:p>
    <w:p w14:paraId="3A954B52" w14:textId="77777777" w:rsidR="009357D4" w:rsidRDefault="009357D4" w:rsidP="00484BB8">
      <w:pPr>
        <w:spacing w:line="480" w:lineRule="auto"/>
        <w:rPr>
          <w:lang w:eastAsia="ja-JP"/>
        </w:rPr>
      </w:pPr>
    </w:p>
    <w:p w14:paraId="7C18B473" w14:textId="64D70D91" w:rsidR="00B7672F" w:rsidRDefault="009357D4" w:rsidP="00A21C82">
      <w:pPr>
        <w:spacing w:line="480" w:lineRule="auto"/>
        <w:rPr>
          <w:lang w:eastAsia="ja-JP"/>
        </w:rPr>
      </w:pPr>
      <w:proofErr w:type="gramStart"/>
      <w:r>
        <w:rPr>
          <w:lang w:eastAsia="ja-JP"/>
        </w:rPr>
        <w:t>where</w:t>
      </w:r>
      <w:proofErr w:type="gramEnd"/>
      <w:r>
        <w:rPr>
          <w:lang w:eastAsia="ja-JP"/>
        </w:rPr>
        <w:t xml:space="preserve"> </w:t>
      </w:r>
      <w:r>
        <w:rPr>
          <w:lang w:val="el-GR" w:eastAsia="ja-JP"/>
        </w:rPr>
        <w:t>φ(.)</w:t>
      </w:r>
      <w:r>
        <w:rPr>
          <w:lang w:eastAsia="ja-JP"/>
        </w:rPr>
        <w:t xml:space="preserve"> and </w:t>
      </w:r>
      <w:r>
        <w:rPr>
          <w:lang w:val="el-GR" w:eastAsia="ja-JP"/>
        </w:rPr>
        <w:t>Φ</w:t>
      </w:r>
      <w:r>
        <w:rPr>
          <w:lang w:eastAsia="ja-JP"/>
        </w:rPr>
        <w:t>(.) are the probability and cumulative density functions of the normal distribution, respectively.</w:t>
      </w:r>
      <w:r w:rsidR="001C792F">
        <w:rPr>
          <w:lang w:eastAsia="ja-JP"/>
        </w:rPr>
        <w:t xml:space="preserve"> The first term is the standard normal likelihood, and applies to observations for which an ice date was observed. The second ter</w:t>
      </w:r>
      <w:r w:rsidR="00E97ECE">
        <w:rPr>
          <w:lang w:eastAsia="ja-JP"/>
        </w:rPr>
        <w:t>m reflects the probability of the observation being censored, and applies to no-freeze years. Given parameter values, the equation reflects the probabilities of observing the ice dates (</w:t>
      </w:r>
      <w:proofErr w:type="spellStart"/>
      <w:r w:rsidR="00E97ECE">
        <w:rPr>
          <w:lang w:eastAsia="ja-JP"/>
        </w:rPr>
        <w:t>y</w:t>
      </w:r>
      <w:r w:rsidR="00E97ECE">
        <w:rPr>
          <w:vertAlign w:val="subscript"/>
          <w:lang w:eastAsia="ja-JP"/>
        </w:rPr>
        <w:t>i</w:t>
      </w:r>
      <w:proofErr w:type="spellEnd"/>
      <w:r w:rsidR="00E97ECE">
        <w:rPr>
          <w:lang w:eastAsia="ja-JP"/>
        </w:rPr>
        <w:t xml:space="preserve">) during freeze years, as well as the probabilities that ice date was censored (unobserved) during no-freeze years. Thus, the </w:t>
      </w:r>
      <w:r w:rsidR="00E97ECE">
        <w:rPr>
          <w:lang w:val="el-GR" w:eastAsia="ja-JP"/>
        </w:rPr>
        <w:t>β</w:t>
      </w:r>
      <w:r w:rsidR="00E97ECE">
        <w:rPr>
          <w:lang w:eastAsia="ja-JP"/>
        </w:rPr>
        <w:t xml:space="preserve"> in the </w:t>
      </w:r>
      <w:proofErr w:type="spellStart"/>
      <w:r w:rsidR="00E97ECE">
        <w:rPr>
          <w:lang w:eastAsia="ja-JP"/>
        </w:rPr>
        <w:t>Tobit</w:t>
      </w:r>
      <w:proofErr w:type="spellEnd"/>
      <w:r w:rsidR="00E97ECE">
        <w:rPr>
          <w:lang w:eastAsia="ja-JP"/>
        </w:rPr>
        <w:t xml:space="preserve"> regression model indicate the effect of unit change in X on the latent variable, </w:t>
      </w:r>
      <w:r w:rsidR="00E97ECE" w:rsidRPr="00062FF2">
        <w:rPr>
          <w:position w:val="-10"/>
        </w:rPr>
        <w:object w:dxaOrig="260" w:dyaOrig="360" w14:anchorId="75322327">
          <v:shape id="_x0000_i1062" type="#_x0000_t75" style="width:13pt;height:18pt" o:ole="">
            <v:imagedata r:id="rId17" o:title=""/>
          </v:shape>
          <o:OLEObject Type="Embed" ProgID="Equation.DSMT4" ShapeID="_x0000_i1062" DrawAspect="Content" ObjectID="_1354002715" r:id="rId18"/>
        </w:object>
      </w:r>
      <w:r w:rsidR="00E97ECE">
        <w:t>.</w:t>
      </w:r>
      <w:r w:rsidR="003859EF">
        <w:t xml:space="preserve"> We used </w:t>
      </w:r>
      <w:proofErr w:type="spellStart"/>
      <w:r w:rsidR="003859EF">
        <w:t>Tobit</w:t>
      </w:r>
      <w:proofErr w:type="spellEnd"/>
      <w:r w:rsidR="003859EF">
        <w:t xml:space="preserve"> regression models as implemented by the </w:t>
      </w:r>
      <w:proofErr w:type="spellStart"/>
      <w:proofErr w:type="gramStart"/>
      <w:r w:rsidR="003859EF">
        <w:t>vglm</w:t>
      </w:r>
      <w:proofErr w:type="spellEnd"/>
      <w:r w:rsidR="003859EF">
        <w:t>(</w:t>
      </w:r>
      <w:proofErr w:type="gramEnd"/>
      <w:r w:rsidR="003859EF">
        <w:t xml:space="preserve">) function in the R package VGAM to fit parameters in Eq. 1 to Lake </w:t>
      </w:r>
      <w:proofErr w:type="spellStart"/>
      <w:r w:rsidR="003859EF">
        <w:t>Suwa</w:t>
      </w:r>
      <w:proofErr w:type="spellEnd"/>
      <w:r w:rsidR="003859EF">
        <w:t xml:space="preserve"> data.</w:t>
      </w:r>
    </w:p>
    <w:p w14:paraId="68B24384" w14:textId="2FFBD633" w:rsidR="00B7672F" w:rsidRDefault="00B7672F" w:rsidP="00975731">
      <w:pPr>
        <w:spacing w:line="480" w:lineRule="auto"/>
        <w:ind w:firstLine="720"/>
      </w:pPr>
      <w:r>
        <w:t xml:space="preserve">We compared AIC values from </w:t>
      </w:r>
      <w:r w:rsidR="00C56BC0">
        <w:t>CSR</w:t>
      </w:r>
      <w:r>
        <w:t xml:space="preserve"> models containing one or two breakpoints to multiple regression models containing only</w:t>
      </w:r>
      <w:r w:rsidR="0085404E">
        <w:t xml:space="preserve"> year or only year and year</w:t>
      </w:r>
      <w:r w:rsidR="0085404E">
        <w:rPr>
          <w:vertAlign w:val="superscript"/>
        </w:rPr>
        <w:t>2</w:t>
      </w:r>
      <w:r w:rsidR="0085404E">
        <w:t xml:space="preserve"> as predictor variables. </w:t>
      </w:r>
      <w:r w:rsidR="00C56BC0">
        <w:t xml:space="preserve">We </w:t>
      </w:r>
      <w:r w:rsidR="0085404E">
        <w:t xml:space="preserve">fit </w:t>
      </w:r>
      <w:r w:rsidR="00C56BC0">
        <w:t xml:space="preserve">models </w:t>
      </w:r>
      <w:r w:rsidR="0085404E">
        <w:t xml:space="preserve">either by OLS (River Tornio) or by maximum likelihood of the corresponding </w:t>
      </w:r>
      <w:proofErr w:type="spellStart"/>
      <w:r w:rsidR="0085404E">
        <w:t>Tobit</w:t>
      </w:r>
      <w:proofErr w:type="spellEnd"/>
      <w:r w:rsidR="0085404E">
        <w:t xml:space="preserve"> regress</w:t>
      </w:r>
      <w:r w:rsidR="00C56BC0">
        <w:t xml:space="preserve">ion (Lake </w:t>
      </w:r>
      <w:proofErr w:type="spellStart"/>
      <w:r w:rsidR="00C56BC0">
        <w:t>Suwa</w:t>
      </w:r>
      <w:proofErr w:type="spellEnd"/>
      <w:r w:rsidR="00C56BC0">
        <w:t>) (Table 1).</w:t>
      </w:r>
    </w:p>
    <w:p w14:paraId="2BF58186" w14:textId="77777777" w:rsidR="006A6907" w:rsidRDefault="006A6907" w:rsidP="00A21C82">
      <w:pPr>
        <w:spacing w:line="480" w:lineRule="auto"/>
      </w:pPr>
    </w:p>
    <w:p w14:paraId="3E72C569" w14:textId="037F2E86" w:rsidR="00C56BC0" w:rsidRPr="00C56BC0" w:rsidRDefault="00C56BC0" w:rsidP="00A21C82">
      <w:pPr>
        <w:spacing w:line="480" w:lineRule="auto"/>
      </w:pPr>
      <w:r w:rsidRPr="00B95896">
        <w:rPr>
          <w:b/>
        </w:rPr>
        <w:t>Table 1.</w:t>
      </w:r>
      <w:r>
        <w:t xml:space="preserve"> AIC values of regression models relating ice date (</w:t>
      </w:r>
      <w:r w:rsidRPr="00062FF2">
        <w:rPr>
          <w:position w:val="-10"/>
        </w:rPr>
        <w:object w:dxaOrig="260" w:dyaOrig="360" w14:anchorId="35368426">
          <v:shape id="_x0000_i1112" type="#_x0000_t75" style="width:13pt;height:18pt" o:ole="">
            <v:imagedata r:id="rId19" o:title=""/>
          </v:shape>
          <o:OLEObject Type="Embed" ProgID="Equation.DSMT4" ShapeID="_x0000_i1112" DrawAspect="Content" ObjectID="_1354002716" r:id="rId20"/>
        </w:object>
      </w:r>
      <w:r>
        <w:t>) to years elapsed (x</w:t>
      </w:r>
      <w:r>
        <w:rPr>
          <w:vertAlign w:val="subscript"/>
        </w:rPr>
        <w:t>i</w:t>
      </w:r>
      <w: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868"/>
        <w:gridCol w:w="1664"/>
        <w:gridCol w:w="1486"/>
      </w:tblGrid>
      <w:tr w:rsidR="001B029E" w14:paraId="51685815" w14:textId="77777777" w:rsidTr="001B029E">
        <w:trPr>
          <w:trHeight w:val="526"/>
        </w:trPr>
        <w:tc>
          <w:tcPr>
            <w:tcW w:w="5868" w:type="dxa"/>
          </w:tcPr>
          <w:p w14:paraId="6F656937" w14:textId="14D3CC70" w:rsidR="006A6907" w:rsidRDefault="001B029E" w:rsidP="001B029E">
            <w:pPr>
              <w:spacing w:line="480" w:lineRule="auto"/>
              <w:jc w:val="center"/>
            </w:pPr>
            <w:r>
              <w:t>Model</w:t>
            </w:r>
          </w:p>
        </w:tc>
        <w:tc>
          <w:tcPr>
            <w:tcW w:w="1664" w:type="dxa"/>
          </w:tcPr>
          <w:p w14:paraId="208262E3" w14:textId="061E447D" w:rsidR="006A6907" w:rsidRDefault="006A6907" w:rsidP="001B029E">
            <w:pPr>
              <w:spacing w:line="480" w:lineRule="auto"/>
              <w:jc w:val="center"/>
            </w:pPr>
            <w:r>
              <w:t>Tornio AIC</w:t>
            </w:r>
          </w:p>
        </w:tc>
        <w:tc>
          <w:tcPr>
            <w:tcW w:w="1486" w:type="dxa"/>
          </w:tcPr>
          <w:p w14:paraId="45185457" w14:textId="4BB585F4" w:rsidR="006A6907" w:rsidRDefault="006A6907" w:rsidP="001B029E">
            <w:pPr>
              <w:spacing w:line="480" w:lineRule="auto"/>
              <w:jc w:val="center"/>
            </w:pPr>
            <w:proofErr w:type="spellStart"/>
            <w:r>
              <w:t>Suwa</w:t>
            </w:r>
            <w:proofErr w:type="spellEnd"/>
            <w:r>
              <w:t xml:space="preserve"> AIC</w:t>
            </w:r>
          </w:p>
        </w:tc>
      </w:tr>
      <w:tr w:rsidR="001B029E" w14:paraId="20A32A34" w14:textId="77777777" w:rsidTr="001B029E">
        <w:trPr>
          <w:trHeight w:val="526"/>
        </w:trPr>
        <w:tc>
          <w:tcPr>
            <w:tcW w:w="5868" w:type="dxa"/>
          </w:tcPr>
          <w:p w14:paraId="2B080C99" w14:textId="6AEEE8AE" w:rsidR="006A6907" w:rsidRDefault="001B029E" w:rsidP="00A21C82">
            <w:pPr>
              <w:spacing w:line="480" w:lineRule="auto"/>
            </w:pPr>
            <w:r w:rsidRPr="001B029E">
              <w:rPr>
                <w:position w:val="-10"/>
              </w:rPr>
              <w:object w:dxaOrig="1680" w:dyaOrig="360" w14:anchorId="2C76F703">
                <v:shape id="_x0000_i1072" type="#_x0000_t75" style="width:84pt;height:18pt" o:ole="">
                  <v:imagedata r:id="rId21" o:title=""/>
                </v:shape>
                <o:OLEObject Type="Embed" ProgID="Equation.DSMT4" ShapeID="_x0000_i1072" DrawAspect="Content" ObjectID="_1354002717" r:id="rId22"/>
              </w:object>
            </w:r>
            <w:r>
              <w:t xml:space="preserve"> </w:t>
            </w:r>
          </w:p>
        </w:tc>
        <w:tc>
          <w:tcPr>
            <w:tcW w:w="1664" w:type="dxa"/>
          </w:tcPr>
          <w:p w14:paraId="6ED823CB" w14:textId="4480CB56" w:rsidR="006A6907" w:rsidRDefault="006A6907" w:rsidP="001B029E">
            <w:pPr>
              <w:spacing w:line="480" w:lineRule="auto"/>
              <w:jc w:val="center"/>
            </w:pPr>
            <w:r>
              <w:t>2155.825</w:t>
            </w:r>
          </w:p>
        </w:tc>
        <w:tc>
          <w:tcPr>
            <w:tcW w:w="1486" w:type="dxa"/>
          </w:tcPr>
          <w:p w14:paraId="74E21742" w14:textId="4AF06EE6" w:rsidR="006A6907" w:rsidRDefault="006A6907" w:rsidP="001B029E">
            <w:pPr>
              <w:spacing w:line="480" w:lineRule="auto"/>
              <w:jc w:val="center"/>
            </w:pPr>
            <w:r>
              <w:t>3536.38</w:t>
            </w:r>
          </w:p>
        </w:tc>
      </w:tr>
      <w:tr w:rsidR="001B029E" w14:paraId="04272624" w14:textId="77777777" w:rsidTr="001B029E">
        <w:trPr>
          <w:trHeight w:val="526"/>
        </w:trPr>
        <w:tc>
          <w:tcPr>
            <w:tcW w:w="5868" w:type="dxa"/>
          </w:tcPr>
          <w:p w14:paraId="2E96BDAC" w14:textId="359B1E56" w:rsidR="006A6907" w:rsidRPr="001B029E" w:rsidRDefault="001B029E" w:rsidP="00A21C82">
            <w:pPr>
              <w:spacing w:line="480" w:lineRule="auto"/>
            </w:pPr>
            <w:r w:rsidRPr="001B029E">
              <w:rPr>
                <w:position w:val="-14"/>
              </w:rPr>
              <w:object w:dxaOrig="2360" w:dyaOrig="400" w14:anchorId="1BB97A72">
                <v:shape id="_x0000_i1079" type="#_x0000_t75" style="width:118pt;height:20pt" o:ole="">
                  <v:imagedata r:id="rId23" o:title=""/>
                </v:shape>
                <o:OLEObject Type="Embed" ProgID="Equation.DSMT4" ShapeID="_x0000_i1079" DrawAspect="Content" ObjectID="_1354002718" r:id="rId24"/>
              </w:object>
            </w:r>
            <w:r>
              <w:t xml:space="preserve"> </w:t>
            </w:r>
          </w:p>
        </w:tc>
        <w:tc>
          <w:tcPr>
            <w:tcW w:w="1664" w:type="dxa"/>
          </w:tcPr>
          <w:p w14:paraId="67F72C79" w14:textId="35BF4248" w:rsidR="006A6907" w:rsidRDefault="006A6907" w:rsidP="001B029E">
            <w:pPr>
              <w:spacing w:line="480" w:lineRule="auto"/>
              <w:jc w:val="center"/>
            </w:pPr>
            <w:r>
              <w:t>2154.881</w:t>
            </w:r>
          </w:p>
        </w:tc>
        <w:tc>
          <w:tcPr>
            <w:tcW w:w="1486" w:type="dxa"/>
          </w:tcPr>
          <w:p w14:paraId="1072189E" w14:textId="005C93AC" w:rsidR="006A6907" w:rsidRDefault="006A6907" w:rsidP="001B029E">
            <w:pPr>
              <w:spacing w:line="480" w:lineRule="auto"/>
              <w:jc w:val="center"/>
            </w:pPr>
            <w:r>
              <w:t>3515.407</w:t>
            </w:r>
          </w:p>
        </w:tc>
      </w:tr>
      <w:tr w:rsidR="001B029E" w14:paraId="607C65A0" w14:textId="77777777" w:rsidTr="001B029E">
        <w:trPr>
          <w:trHeight w:val="513"/>
        </w:trPr>
        <w:tc>
          <w:tcPr>
            <w:tcW w:w="5868" w:type="dxa"/>
          </w:tcPr>
          <w:p w14:paraId="6CEEE427" w14:textId="6746AA6A" w:rsidR="006A6907" w:rsidRDefault="001B029E" w:rsidP="00A21C82">
            <w:pPr>
              <w:spacing w:line="480" w:lineRule="auto"/>
            </w:pPr>
            <w:r w:rsidRPr="001B029E">
              <w:rPr>
                <w:position w:val="-10"/>
              </w:rPr>
              <w:object w:dxaOrig="3520" w:dyaOrig="360" w14:anchorId="5325AC0F">
                <v:shape id="_x0000_i1082" type="#_x0000_t75" style="width:176pt;height:18pt" o:ole="">
                  <v:imagedata r:id="rId25" o:title=""/>
                </v:shape>
                <o:OLEObject Type="Embed" ProgID="Equation.DSMT4" ShapeID="_x0000_i1082" DrawAspect="Content" ObjectID="_1354002719" r:id="rId26"/>
              </w:object>
            </w:r>
            <w:r>
              <w:t xml:space="preserve"> </w:t>
            </w:r>
          </w:p>
        </w:tc>
        <w:tc>
          <w:tcPr>
            <w:tcW w:w="1664" w:type="dxa"/>
          </w:tcPr>
          <w:p w14:paraId="23B3AB66" w14:textId="20121DDE" w:rsidR="006A6907" w:rsidRDefault="006A6907" w:rsidP="001B029E">
            <w:pPr>
              <w:spacing w:line="480" w:lineRule="auto"/>
              <w:jc w:val="center"/>
            </w:pPr>
            <w:r>
              <w:t>1240.113</w:t>
            </w:r>
          </w:p>
        </w:tc>
        <w:tc>
          <w:tcPr>
            <w:tcW w:w="1486" w:type="dxa"/>
          </w:tcPr>
          <w:p w14:paraId="3EC32C04" w14:textId="2AA75618" w:rsidR="006A6907" w:rsidRDefault="00987CA4" w:rsidP="001B029E">
            <w:pPr>
              <w:spacing w:line="480" w:lineRule="auto"/>
              <w:jc w:val="center"/>
            </w:pPr>
            <w:r>
              <w:t>3513.241</w:t>
            </w:r>
          </w:p>
        </w:tc>
      </w:tr>
      <w:tr w:rsidR="001B029E" w14:paraId="3685D154" w14:textId="77777777" w:rsidTr="001B029E">
        <w:trPr>
          <w:trHeight w:val="538"/>
        </w:trPr>
        <w:tc>
          <w:tcPr>
            <w:tcW w:w="5868" w:type="dxa"/>
          </w:tcPr>
          <w:p w14:paraId="1F53929A" w14:textId="6EC16D9A" w:rsidR="006A6907" w:rsidRDefault="001B029E" w:rsidP="00A21C82">
            <w:pPr>
              <w:spacing w:line="480" w:lineRule="auto"/>
            </w:pPr>
            <w:r w:rsidRPr="001B029E">
              <w:rPr>
                <w:position w:val="-10"/>
              </w:rPr>
              <w:object w:dxaOrig="5380" w:dyaOrig="360" w14:anchorId="00AF3FBB">
                <v:shape id="_x0000_i1087" type="#_x0000_t75" style="width:269pt;height:18pt" o:ole="">
                  <v:imagedata r:id="rId27" o:title=""/>
                </v:shape>
                <o:OLEObject Type="Embed" ProgID="Equation.DSMT4" ShapeID="_x0000_i1087" DrawAspect="Content" ObjectID="_1354002720" r:id="rId28"/>
              </w:object>
            </w:r>
            <w:r>
              <w:t xml:space="preserve"> </w:t>
            </w:r>
          </w:p>
        </w:tc>
        <w:tc>
          <w:tcPr>
            <w:tcW w:w="1664" w:type="dxa"/>
          </w:tcPr>
          <w:p w14:paraId="642BF1DD" w14:textId="05FF93B2" w:rsidR="006A6907" w:rsidRPr="006A6907" w:rsidRDefault="006A6907" w:rsidP="001B029E">
            <w:pPr>
              <w:spacing w:line="480" w:lineRule="auto"/>
              <w:jc w:val="center"/>
              <w:rPr>
                <w:vertAlign w:val="superscript"/>
              </w:rPr>
            </w:pPr>
            <w:r>
              <w:t>1239.815</w:t>
            </w:r>
            <w:r>
              <w:rPr>
                <w:vertAlign w:val="superscript"/>
              </w:rPr>
              <w:t>*</w:t>
            </w:r>
          </w:p>
        </w:tc>
        <w:tc>
          <w:tcPr>
            <w:tcW w:w="1486" w:type="dxa"/>
          </w:tcPr>
          <w:p w14:paraId="04EA95E9" w14:textId="2DDB5A59" w:rsidR="006A6907" w:rsidRPr="00987CA4" w:rsidRDefault="00987CA4" w:rsidP="001B029E">
            <w:pPr>
              <w:spacing w:line="480" w:lineRule="auto"/>
              <w:jc w:val="center"/>
              <w:rPr>
                <w:vertAlign w:val="superscript"/>
              </w:rPr>
            </w:pPr>
            <w:r>
              <w:t>3511.682</w:t>
            </w:r>
            <w:r>
              <w:rPr>
                <w:vertAlign w:val="superscript"/>
              </w:rPr>
              <w:t>**</w:t>
            </w:r>
          </w:p>
        </w:tc>
      </w:tr>
    </w:tbl>
    <w:p w14:paraId="55C5BEF5" w14:textId="521B3C76" w:rsidR="006A6907" w:rsidRDefault="006A6907" w:rsidP="00A21C82">
      <w:pPr>
        <w:spacing w:line="480" w:lineRule="auto"/>
      </w:pPr>
      <w:r>
        <w:rPr>
          <w:vertAlign w:val="superscript"/>
        </w:rPr>
        <w:t>*</w:t>
      </w:r>
      <w:r>
        <w:t xml:space="preserve">Breakpoints restricted to being at least </w:t>
      </w:r>
      <w:r w:rsidR="00987CA4">
        <w:t>50</w:t>
      </w:r>
      <w:r>
        <w:t xml:space="preserve"> years apart; See Figure</w:t>
      </w:r>
      <w:r w:rsidR="003859EF">
        <w:t xml:space="preserve"> S1.</w:t>
      </w:r>
    </w:p>
    <w:p w14:paraId="2C681F4F" w14:textId="36B280A6" w:rsidR="006A6907" w:rsidRDefault="00987CA4" w:rsidP="00A21C82">
      <w:pPr>
        <w:spacing w:line="480" w:lineRule="auto"/>
      </w:pPr>
      <w:r>
        <w:rPr>
          <w:vertAlign w:val="superscript"/>
        </w:rPr>
        <w:t>**</w:t>
      </w:r>
      <w:r>
        <w:t>Breakpoints restricted to being at least 50 years apart; if restricted to 25 years, AIC = 3510.898.</w:t>
      </w:r>
    </w:p>
    <w:p w14:paraId="1ED441D2" w14:textId="030CE72E" w:rsidR="00B7672F" w:rsidRDefault="009E24B2" w:rsidP="00975731">
      <w:pPr>
        <w:spacing w:line="480" w:lineRule="auto"/>
        <w:ind w:firstLine="720"/>
      </w:pPr>
      <w:r>
        <w:t xml:space="preserve">For both systems, a regression model with a single breakpoint was more parsimonious </w:t>
      </w:r>
      <w:proofErr w:type="gramStart"/>
      <w:r>
        <w:t>than</w:t>
      </w:r>
      <w:proofErr w:type="gramEnd"/>
      <w:r>
        <w:t xml:space="preserve"> either of the models not containing breakpoints. </w:t>
      </w:r>
      <w:r w:rsidR="00CF5E93">
        <w:t>The slight difference in AIC between the breakpoint models did not warrant further consideratio</w:t>
      </w:r>
      <w:r w:rsidR="00467901">
        <w:t>n of the more complicated model.</w:t>
      </w:r>
    </w:p>
    <w:p w14:paraId="4FEDCDA2" w14:textId="77777777" w:rsidR="00B7672F" w:rsidRDefault="00B7672F" w:rsidP="00A21C82">
      <w:pPr>
        <w:spacing w:line="480" w:lineRule="auto"/>
      </w:pPr>
    </w:p>
    <w:p w14:paraId="70F6B077" w14:textId="346381CE" w:rsidR="002A3F4E" w:rsidRDefault="002A3F4E">
      <w:r>
        <w:br w:type="page"/>
      </w:r>
    </w:p>
    <w:p w14:paraId="68778ABC" w14:textId="77777777" w:rsidR="00B7672F" w:rsidRDefault="00B7672F" w:rsidP="00A21C82">
      <w:pPr>
        <w:spacing w:line="480" w:lineRule="auto"/>
      </w:pPr>
    </w:p>
    <w:p w14:paraId="73C05C7B" w14:textId="3FB5A5C5" w:rsidR="002A3F4E" w:rsidRDefault="002A3F4E" w:rsidP="00A21C82">
      <w:pPr>
        <w:spacing w:line="480" w:lineRule="auto"/>
      </w:pPr>
      <w:r>
        <w:rPr>
          <w:noProof/>
        </w:rPr>
        <w:drawing>
          <wp:inline distT="0" distB="0" distL="0" distR="0" wp14:anchorId="07085659" wp14:editId="09774599">
            <wp:extent cx="4572000" cy="4572000"/>
            <wp:effectExtent l="0" t="0" r="0" b="0"/>
            <wp:docPr id="2" name="Picture 2" descr="Macintosh HD:Users:Battrd:Documents:School&amp;Work:WiscResearch:AncientIce:Figures:tornio.2BP.su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Macintosh HD:Users:Battrd:Documents:School&amp;Work:WiscResearch:AncientIce:Figures:tornio.2BP.surface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29ED4" w14:textId="513FBFD3" w:rsidR="0036365F" w:rsidRDefault="002A3F4E" w:rsidP="00A21C82">
      <w:pPr>
        <w:spacing w:line="480" w:lineRule="auto"/>
      </w:pPr>
      <w:r w:rsidRPr="00B95896">
        <w:rPr>
          <w:b/>
        </w:rPr>
        <w:t>Figure S1.</w:t>
      </w:r>
      <w:r>
        <w:t xml:space="preserve"> Changes in AIC of </w:t>
      </w:r>
      <w:proofErr w:type="gramStart"/>
      <w:r>
        <w:t>two breakpoint</w:t>
      </w:r>
      <w:proofErr w:type="gramEnd"/>
      <w:r>
        <w:t xml:space="preserve"> model relative to the one breakpoint model (Table S1) corresponding to year of first and second breakpoint.</w:t>
      </w:r>
    </w:p>
    <w:p w14:paraId="15AEDA5F" w14:textId="77777777" w:rsidR="0036365F" w:rsidRDefault="0036365F">
      <w:r>
        <w:br w:type="page"/>
      </w:r>
      <w:bookmarkStart w:id="0" w:name="_GoBack"/>
      <w:bookmarkEnd w:id="0"/>
    </w:p>
    <w:p w14:paraId="0F231DED" w14:textId="162CB1FF" w:rsidR="002A3F4E" w:rsidRDefault="0036365F" w:rsidP="00A21C82">
      <w:pPr>
        <w:spacing w:line="480" w:lineRule="auto"/>
      </w:pPr>
      <w:r>
        <w:rPr>
          <w:b/>
        </w:rPr>
        <w:t>Changing drivers</w:t>
      </w:r>
    </w:p>
    <w:p w14:paraId="05C1DAAA" w14:textId="29BEA1A6" w:rsidR="0036365F" w:rsidRDefault="0036365F" w:rsidP="00A21C82">
      <w:pPr>
        <w:spacing w:line="480" w:lineRule="auto"/>
      </w:pPr>
      <w:r>
        <w:t>Models</w:t>
      </w:r>
    </w:p>
    <w:p w14:paraId="1C3EA14C" w14:textId="199CB51C" w:rsidR="0036365F" w:rsidRPr="0036365F" w:rsidRDefault="0036365F" w:rsidP="00A21C82">
      <w:pPr>
        <w:spacing w:line="480" w:lineRule="auto"/>
      </w:pPr>
      <w:proofErr w:type="gramStart"/>
      <w:r>
        <w:t>p</w:t>
      </w:r>
      <w:proofErr w:type="gramEnd"/>
      <w:r>
        <w:t>-values and bootstrapping</w:t>
      </w:r>
    </w:p>
    <w:sectPr w:rsidR="0036365F" w:rsidRPr="0036365F" w:rsidSect="00A21C8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986"/>
    <w:rsid w:val="00062FF2"/>
    <w:rsid w:val="00092A8F"/>
    <w:rsid w:val="001B029E"/>
    <w:rsid w:val="001C792F"/>
    <w:rsid w:val="00247C61"/>
    <w:rsid w:val="00251986"/>
    <w:rsid w:val="0029399C"/>
    <w:rsid w:val="002A3F4E"/>
    <w:rsid w:val="00360730"/>
    <w:rsid w:val="0036365F"/>
    <w:rsid w:val="00365B8C"/>
    <w:rsid w:val="003859EF"/>
    <w:rsid w:val="00417D90"/>
    <w:rsid w:val="00467901"/>
    <w:rsid w:val="00484BB8"/>
    <w:rsid w:val="005F26DF"/>
    <w:rsid w:val="00677838"/>
    <w:rsid w:val="006A6907"/>
    <w:rsid w:val="0071007A"/>
    <w:rsid w:val="0085404E"/>
    <w:rsid w:val="009357D4"/>
    <w:rsid w:val="00975731"/>
    <w:rsid w:val="00987CA4"/>
    <w:rsid w:val="009E24B2"/>
    <w:rsid w:val="00A21C82"/>
    <w:rsid w:val="00A40A93"/>
    <w:rsid w:val="00A47B2A"/>
    <w:rsid w:val="00AA019B"/>
    <w:rsid w:val="00B7672F"/>
    <w:rsid w:val="00B95896"/>
    <w:rsid w:val="00BF2DA9"/>
    <w:rsid w:val="00C52489"/>
    <w:rsid w:val="00C56BC0"/>
    <w:rsid w:val="00C56EEC"/>
    <w:rsid w:val="00CB6571"/>
    <w:rsid w:val="00CF5E93"/>
    <w:rsid w:val="00D234CD"/>
    <w:rsid w:val="00D83FD3"/>
    <w:rsid w:val="00E2069E"/>
    <w:rsid w:val="00E97ECE"/>
    <w:rsid w:val="00F02D43"/>
    <w:rsid w:val="00F9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9881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rsid w:val="00B7672F"/>
    <w:pPr>
      <w:tabs>
        <w:tab w:val="center" w:pos="4680"/>
        <w:tab w:val="right" w:pos="9360"/>
      </w:tabs>
    </w:pPr>
  </w:style>
  <w:style w:type="character" w:styleId="LineNumber">
    <w:name w:val="line number"/>
    <w:basedOn w:val="DefaultParagraphFont"/>
    <w:uiPriority w:val="99"/>
    <w:semiHidden/>
    <w:unhideWhenUsed/>
    <w:rsid w:val="00A21C82"/>
  </w:style>
  <w:style w:type="character" w:styleId="CommentReference">
    <w:name w:val="annotation reference"/>
    <w:basedOn w:val="DefaultParagraphFont"/>
    <w:uiPriority w:val="99"/>
    <w:semiHidden/>
    <w:unhideWhenUsed/>
    <w:rsid w:val="009357D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57D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57D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57D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57D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57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7D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792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A69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rsid w:val="00B7672F"/>
    <w:pPr>
      <w:tabs>
        <w:tab w:val="center" w:pos="4680"/>
        <w:tab w:val="right" w:pos="9360"/>
      </w:tabs>
    </w:pPr>
  </w:style>
  <w:style w:type="character" w:styleId="LineNumber">
    <w:name w:val="line number"/>
    <w:basedOn w:val="DefaultParagraphFont"/>
    <w:uiPriority w:val="99"/>
    <w:semiHidden/>
    <w:unhideWhenUsed/>
    <w:rsid w:val="00A21C82"/>
  </w:style>
  <w:style w:type="character" w:styleId="CommentReference">
    <w:name w:val="annotation reference"/>
    <w:basedOn w:val="DefaultParagraphFont"/>
    <w:uiPriority w:val="99"/>
    <w:semiHidden/>
    <w:unhideWhenUsed/>
    <w:rsid w:val="009357D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57D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57D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57D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57D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57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7D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792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A69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3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20" Type="http://schemas.openxmlformats.org/officeDocument/2006/relationships/oleObject" Target="embeddings/oleObject8.bin"/><Relationship Id="rId21" Type="http://schemas.openxmlformats.org/officeDocument/2006/relationships/image" Target="media/image9.emf"/><Relationship Id="rId22" Type="http://schemas.openxmlformats.org/officeDocument/2006/relationships/oleObject" Target="embeddings/oleObject9.bin"/><Relationship Id="rId23" Type="http://schemas.openxmlformats.org/officeDocument/2006/relationships/image" Target="media/image10.emf"/><Relationship Id="rId24" Type="http://schemas.openxmlformats.org/officeDocument/2006/relationships/oleObject" Target="embeddings/oleObject10.bin"/><Relationship Id="rId25" Type="http://schemas.openxmlformats.org/officeDocument/2006/relationships/image" Target="media/image11.emf"/><Relationship Id="rId26" Type="http://schemas.openxmlformats.org/officeDocument/2006/relationships/oleObject" Target="embeddings/oleObject11.bin"/><Relationship Id="rId27" Type="http://schemas.openxmlformats.org/officeDocument/2006/relationships/image" Target="media/image12.emf"/><Relationship Id="rId28" Type="http://schemas.openxmlformats.org/officeDocument/2006/relationships/oleObject" Target="embeddings/oleObject12.bin"/><Relationship Id="rId29" Type="http://schemas.openxmlformats.org/officeDocument/2006/relationships/image" Target="media/image13.png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oleObject" Target="embeddings/oleObject3.bin"/><Relationship Id="rId11" Type="http://schemas.openxmlformats.org/officeDocument/2006/relationships/image" Target="media/image4.emf"/><Relationship Id="rId12" Type="http://schemas.openxmlformats.org/officeDocument/2006/relationships/oleObject" Target="embeddings/oleObject4.bin"/><Relationship Id="rId13" Type="http://schemas.openxmlformats.org/officeDocument/2006/relationships/image" Target="media/image5.emf"/><Relationship Id="rId14" Type="http://schemas.openxmlformats.org/officeDocument/2006/relationships/oleObject" Target="embeddings/oleObject5.bin"/><Relationship Id="rId15" Type="http://schemas.openxmlformats.org/officeDocument/2006/relationships/image" Target="media/image6.emf"/><Relationship Id="rId16" Type="http://schemas.openxmlformats.org/officeDocument/2006/relationships/oleObject" Target="embeddings/oleObject6.bin"/><Relationship Id="rId17" Type="http://schemas.openxmlformats.org/officeDocument/2006/relationships/image" Target="media/image7.emf"/><Relationship Id="rId18" Type="http://schemas.openxmlformats.org/officeDocument/2006/relationships/oleObject" Target="embeddings/oleObject7.bin"/><Relationship Id="rId19" Type="http://schemas.openxmlformats.org/officeDocument/2006/relationships/image" Target="media/image8.emf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oleObject1.bin"/><Relationship Id="rId7" Type="http://schemas.openxmlformats.org/officeDocument/2006/relationships/image" Target="media/image2.emf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687</Words>
  <Characters>3917</Characters>
  <Application>Microsoft Macintosh Word</Application>
  <DocSecurity>0</DocSecurity>
  <Lines>32</Lines>
  <Paragraphs>9</Paragraphs>
  <ScaleCrop>false</ScaleCrop>
  <Company/>
  <LinksUpToDate>false</LinksUpToDate>
  <CharactersWithSpaces>4595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Batt</dc:creator>
  <cp:keywords/>
  <dc:description/>
  <cp:lastModifiedBy>Ryan Batt</cp:lastModifiedBy>
  <cp:revision>21</cp:revision>
  <dcterms:created xsi:type="dcterms:W3CDTF">2014-12-15T02:42:00Z</dcterms:created>
  <dcterms:modified xsi:type="dcterms:W3CDTF">2014-12-15T16:02:00Z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