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agreement</w:t>
      </w:r>
    </w:p>
    <w:p>
      <w:r>
        <w:rPr>
          <w:i/>
        </w:rPr>
        <w:t>Without prejudice and subject to contract</w:t>
      </w:r>
    </w:p>
    <w:p>
      <w:r>
        <w:rPr>
          <w:b/>
        </w:rPr>
        <w:t>Claim number:</w:t>
      </w:r>
      <w:r>
        <w:t xml:space="preserve"> 6001842/2026 (Employment Tribunal, Bristol)</w:t>
      </w:r>
    </w:p>
    <w:p>
      <w:pPr>
        <w:pStyle w:val="Heading1"/>
      </w:pPr>
      <w:r>
        <w:t>Parties</w:t>
      </w:r>
    </w:p>
    <w:p>
      <w:pPr>
        <w:ind w:left="432" w:hanging="432"/>
      </w:pPr>
      <w:r>
        <w:t>1.</w:t>
        <w:tab/>
      </w:r>
      <w:r>
        <w:rPr>
          <w:b/>
        </w:rPr>
        <w:t>Harrow &amp; Finch Ltd</w:t>
      </w:r>
      <w:r>
        <w:t>, of 7 Coopers Yard, Bristol BS1 9ZX (the Employer).</w:t>
      </w:r>
    </w:p>
    <w:p>
      <w:pPr>
        <w:ind w:left="432" w:hanging="432"/>
      </w:pPr>
      <w:r>
        <w:t>2.</w:t>
        <w:tab/>
      </w:r>
      <w:r>
        <w:rPr>
          <w:b/>
        </w:rPr>
        <w:t>Ms Maya Bennett</w:t>
      </w:r>
      <w:r>
        <w:t>, of Flat 3, 41 Larch Road, Bristol BS6 9ZY, born 14 March 1988, National Insurance number QQ 12 34 56 C (the Employee).</w:t>
      </w:r>
    </w:p>
    <w:p>
      <w:pPr>
        <w:pStyle w:val="Heading1"/>
      </w:pPr>
      <w:r>
        <w:t>Background</w:t>
      </w:r>
    </w:p>
    <w:p>
      <w:r>
        <w:t>Ms Bennett, known to colleagues as Mia, was employed by Harrow &amp; Finch Ltd as a Senior Analyst from 2 May 2019 until 30 September 2026. Maya brought the claim above, alleging unfair dismissal. Harrow &amp; Finch Ltd denies the claim. The parties have agreed to settle it on the terms below.</w:t>
      </w:r>
    </w:p>
    <w:p>
      <w:pPr>
        <w:pStyle w:val="Heading1"/>
      </w:pPr>
      <w:r>
        <w:t>Terms</w:t>
      </w:r>
    </w:p>
    <w:p>
      <w:pPr>
        <w:ind w:left="432" w:hanging="432"/>
      </w:pPr>
      <w:r>
        <w:t>1.</w:t>
        <w:tab/>
      </w:r>
      <w:r>
        <w:rPr>
          <w:b/>
        </w:rPr>
        <w:t>Payment.</w:t>
      </w:r>
      <w:r>
        <w:t xml:space="preserve"> Harrow &amp; Finch Ltd will pay Ms Bennett £18,500 as compensation for loss of employment within 14 days of receiving this agreement signed by her and her adviser.</w:t>
      </w:r>
    </w:p>
    <w:p>
      <w:pPr>
        <w:ind w:left="432" w:hanging="432"/>
      </w:pPr>
      <w:r>
        <w:t>2.</w:t>
        <w:tab/>
      </w:r>
      <w:r>
        <w:rPr>
          <w:b/>
        </w:rPr>
        <w:t>Reference.</w:t>
      </w:r>
      <w:r>
        <w:t xml:space="preserve"> The Employer will provide a reference in agreed wording on request.</w:t>
      </w:r>
    </w:p>
    <w:p>
      <w:pPr>
        <w:ind w:left="432" w:hanging="432"/>
      </w:pPr>
      <w:r>
        <w:t>3.</w:t>
        <w:tab/>
      </w:r>
      <w:r>
        <w:rPr>
          <w:b/>
        </w:rPr>
        <w:t>Withdrawal.</w:t>
      </w:r>
      <w:r>
        <w:t xml:space="preserve"> Ms Bennett will withdraw the claim within seven days of receiving the payment.</w:t>
      </w:r>
    </w:p>
    <w:p>
      <w:pPr>
        <w:ind w:left="432" w:hanging="432"/>
      </w:pPr>
      <w:r>
        <w:t>4.</w:t>
        <w:tab/>
      </w:r>
      <w:r>
        <w:rPr>
          <w:b/>
        </w:rPr>
        <w:t>Confidentiality.</w:t>
      </w:r>
      <w:r>
        <w:t xml:space="preserve"> Ms Bennett will keep the terms of this agreement confidential, except that she may disclose them to her husband, Daniel Bennett, to her professional advisers and as required by law.</w:t>
      </w:r>
    </w:p>
    <w:p>
      <w:pPr>
        <w:ind w:left="432" w:hanging="432"/>
      </w:pPr>
      <w:r>
        <w:t>5.</w:t>
        <w:tab/>
      </w:r>
      <w:r>
        <w:rPr>
          <w:b/>
        </w:rPr>
        <w:t>Return of property.</w:t>
      </w:r>
      <w:r>
        <w:t xml:space="preserve"> Ms Bennett's laptop, security pass and any documents belonging to the Employer will be returned by 31 October 2026.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Item</w:t>
            </w:r>
          </w:p>
        </w:tc>
        <w:tc>
          <w:tcPr>
            <w:tcW w:type="dxa" w:w="3264"/>
          </w:tcPr>
          <w:p>
            <w:r>
              <w:t>Amount</w:t>
            </w:r>
          </w:p>
        </w:tc>
        <w:tc>
          <w:tcPr>
            <w:tcW w:type="dxa" w:w="3264"/>
          </w:tcPr>
          <w:p>
            <w:r>
              <w:t>Due</w:t>
            </w:r>
          </w:p>
        </w:tc>
      </w:tr>
      <w:tr>
        <w:tc>
          <w:tcPr>
            <w:tcW w:type="dxa" w:w="3264"/>
          </w:tcPr>
          <w:p>
            <w:r>
              <w:t>Compensation</w:t>
            </w:r>
          </w:p>
        </w:tc>
        <w:tc>
          <w:tcPr>
            <w:tcW w:type="dxa" w:w="3264"/>
          </w:tcPr>
          <w:p>
            <w:r>
              <w:t>£18,500</w:t>
            </w:r>
          </w:p>
        </w:tc>
        <w:tc>
          <w:tcPr>
            <w:tcW w:type="dxa" w:w="3264"/>
          </w:tcPr>
          <w:p>
            <w:r>
              <w:t>14 days after signature</w:t>
            </w:r>
          </w:p>
        </w:tc>
      </w:tr>
      <w:tr>
        <w:tc>
          <w:tcPr>
            <w:tcW w:type="dxa" w:w="3264"/>
          </w:tcPr>
          <w:p>
            <w:r>
              <w:t>Legal fees contribution</w:t>
            </w:r>
          </w:p>
        </w:tc>
        <w:tc>
          <w:tcPr>
            <w:tcW w:type="dxa" w:w="3264"/>
          </w:tcPr>
          <w:p>
            <w:r>
              <w:t>£750</w:t>
            </w:r>
          </w:p>
        </w:tc>
        <w:tc>
          <w:tcPr>
            <w:tcW w:type="dxa" w:w="3264"/>
          </w:tcPr>
          <w:p>
            <w:r>
              <w:t>14 days after signature</w:t>
            </w:r>
          </w:p>
        </w:tc>
      </w:tr>
    </w:tbl>
    <w:p>
      <w:pPr>
        <w:pStyle w:val="Heading1"/>
      </w:pPr>
      <w:r>
        <w:t>Independent advice</w:t>
      </w:r>
    </w:p>
    <w:p>
      <w:r>
        <w:t>Ms Bennett has received advice from Priya Shah of Elm Row Legal LLP on the terms and effect of this agreement.</w:t>
      </w:r>
    </w:p>
    <w:p>
      <w:pPr>
        <w:pStyle w:val="Heading1"/>
      </w:pPr>
      <w:r>
        <w:t>Contact</w:t>
      </w:r>
    </w:p>
    <w:p>
      <w:r>
        <w:t>Correspondence about this agreement should be sent to maya.bennett@example.com or 07700 900461.</w:t>
      </w:r>
    </w:p>
    <w:p>
      <w:r>
        <w:rPr>
          <w:i/>
        </w:rPr>
        <w:t>Fictional agreement for demonstration. People, companies, addresses and numbers are invented; the phone number is in Ofcom's drama range and the email uses the reserved example.com domain.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AGREEMENT  ·  PRODUCT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E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agreement — fictional demonstration</dc:title>
  <dc:subject/>
  <dc:creator>Lawkitt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