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Marsh &amp; Cole LLP</w:t>
      </w:r>
    </w:p>
    <w:p>
      <w:r>
        <w:t xml:space="preserve">Solicitors, 14 Harbour Row, Bristol BS1 4QA</w:t>
      </w:r>
    </w:p>
    <w:p>
      <w:r>
        <w:t xml:space="preserve">Our ref: MC/2026/0417 · Your ref: NL-CR-883 · 3 November 2026</w:t>
      </w:r>
    </w:p>
    <w:p>
      <w:r>
        <w:t xml:space="preserve">Daniel Okafor, Head of Legal, Northgate Logistics Ltd, Unit 9, Ferry Lane Industrial Estate, Southampton SO14 3TL. By email: d.okafor@northgate-logistics.example</w:t>
      </w:r>
    </w:p>
    <w:p>
      <w:pPr>
        <w:pStyle w:val="Heading1"/>
      </w:pPr>
      <w:r>
        <w:t xml:space="preserve">Letter before claim</w:t>
      </w:r>
    </w:p>
    <w:p>
      <w:r>
        <w:t xml:space="preserve">We act for Brightwater Foods Ltd (company no. 08812345) in connection with the haulage agreement dated 12 March 2026 between our client and Northgate Logistics Ltd (the “Agreement”).</w:t>
      </w:r>
    </w:p>
    <w:p>
      <w:r>
        <w:t xml:space="preserve">On 22 September 2026 a refrigerated consignment collected from our client’s depot was delivered two days late and at an unsafe temperature. Our client’s quality manager, Priya Raman, rejected the load on arrival and recorded the reasons the same day. Northgate Logistics Ltd has since invoiced our client in full and has not responded to her complaint of 25 September 2026.</w:t>
      </w:r>
    </w:p>
    <w:p>
      <w:pPr>
        <w:pStyle w:val="Heading2"/>
      </w:pPr>
      <w:r>
        <w:t xml:space="preserve">Sums claimed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000"/>
        <w:gridCol w:w="3000"/>
        <w:gridCol w:w="3000"/>
      </w:tblGrid>
      <w:tr>
        <w:tc>
          <w:tcPr>
            <w:tcW w:w="3000" w:type="dxa"/>
          </w:tcPr>
          <w:p>
            <w:r>
              <w:rPr>
                <w:b/>
              </w:rPr>
              <w:t xml:space="preserve">Item</w:t>
            </w:r>
          </w:p>
        </w:tc>
        <w:tc>
          <w:tcPr>
            <w:tcW w:w="3000" w:type="dxa"/>
          </w:tcPr>
          <w:p>
            <w:r>
              <w:rPr>
                <w:b/>
              </w:rPr>
              <w:t xml:space="preserve">Reference</w:t>
            </w:r>
          </w:p>
        </w:tc>
        <w:tc>
          <w:tcPr>
            <w:tcW w:w="3000" w:type="dxa"/>
          </w:tcPr>
          <w:p>
            <w:r>
              <w:rPr>
                <w:b/>
              </w:rPr>
              <w:t xml:space="preserve">Amount</w:t>
            </w:r>
          </w:p>
        </w:tc>
      </w:tr>
      <w:tr>
        <w:tc>
          <w:tcPr>
            <w:tcW w:w="3000" w:type="dxa"/>
          </w:tcPr>
          <w:p>
            <w:r>
              <w:t xml:space="preserve">Rejected consignment</w:t>
            </w:r>
          </w:p>
        </w:tc>
        <w:tc>
          <w:tcPr>
            <w:tcW w:w="3000" w:type="dxa"/>
          </w:tcPr>
          <w:p>
            <w:r>
              <w:t xml:space="preserve">PO-55120</w:t>
            </w:r>
          </w:p>
        </w:tc>
        <w:tc>
          <w:tcPr>
            <w:tcW w:w="3000" w:type="dxa"/>
          </w:tcPr>
          <w:p>
            <w:r>
              <w:t xml:space="preserve">£18,420.00</w:t>
            </w:r>
          </w:p>
        </w:tc>
      </w:tr>
      <w:tr>
        <w:tc>
          <w:tcPr>
            <w:tcW w:w="3000" w:type="dxa"/>
          </w:tcPr>
          <w:p>
            <w:r>
              <w:t xml:space="preserve">Disposal and re-delivery</w:t>
            </w:r>
          </w:p>
        </w:tc>
        <w:tc>
          <w:tcPr>
            <w:tcW w:w="3000" w:type="dxa"/>
          </w:tcPr>
          <w:p>
            <w:r>
              <w:t xml:space="preserve">INV-7731</w:t>
            </w:r>
          </w:p>
        </w:tc>
        <w:tc>
          <w:tcPr>
            <w:tcW w:w="3000" w:type="dxa"/>
          </w:tcPr>
          <w:p>
            <w:r>
              <w:t xml:space="preserve">£2,915.50</w:t>
            </w:r>
          </w:p>
        </w:tc>
      </w:tr>
      <w:tr>
        <w:tc>
          <w:tcPr>
            <w:tcW w:w="3000" w:type="dxa"/>
          </w:tcPr>
          <w:p>
            <w:r>
              <w:t xml:space="preserve">Overpaid freight charges</w:t>
            </w:r>
          </w:p>
        </w:tc>
        <w:tc>
          <w:tcPr>
            <w:tcW w:w="3000" w:type="dxa"/>
          </w:tcPr>
          <w:p>
            <w:r>
              <w:t xml:space="preserve">INV-7698</w:t>
            </w:r>
          </w:p>
        </w:tc>
        <w:tc>
          <w:tcPr>
            <w:tcW w:w="3000" w:type="dxa"/>
          </w:tcPr>
          <w:p>
            <w:r>
              <w:t xml:space="preserve">£1,240.00</w:t>
            </w:r>
          </w:p>
        </w:tc>
      </w:tr>
    </w:tbl>
    <w:p>
      <w:r>
        <w:t xml:space="preserve">Our client therefore claims £22,575.50, together with interest under the Late Payment of Commercial Debts (Interest) Act 1998.</w:t>
      </w:r>
    </w:p>
    <w:p>
      <w:pPr>
        <w:pStyle w:val="Heading2"/>
      </w:pPr>
      <w:r>
        <w:t xml:space="preserve">What we ask you to do</w:t>
      </w:r>
    </w:p>
    <w:p>
      <w:r>
        <w:t xml:space="preserve">Please pay £22,575.50 by 17 November 2026 to our client account at Harbour Bank plc, IBAN GB33 BUKB 2020 1555 5555 55, quoting reference MC/2026/0417.</w:t>
      </w:r>
    </w:p>
    <w:p>
      <w:r>
        <w:t xml:space="preserve">If you dispute the claim, please send a full written response by the same date. Your driver’s delivery log for vehicle WX71 KLM and the temperature records for 22 September 2026 should be preserved.</w:t>
      </w:r>
    </w:p>
    <w:p>
      <w:pPr>
        <w:pStyle w:val="Heading2"/>
      </w:pPr>
      <w:r>
        <w:t xml:space="preserve">Next steps</w:t>
      </w:r>
    </w:p>
    <w:p>
      <w:r>
        <w:t xml:space="preserve">If we do not receive payment or a substantive response by 17 November 2026, our client intends to issue proceedings in the Business and Property Courts in Bristol. Our client remains open to mediation.</w:t>
      </w:r>
    </w:p>
    <w:p>
      <w:r>
        <w:t xml:space="preserve">Please direct all correspondence to Helen Marsh on 0117 496 0832 or at h.marsh@marshcole.example.</w:t>
      </w:r>
    </w:p>
    <w:p>
      <w:r>
        <w:t xml:space="preserve">Yours sincerely,</w:t>
      </w:r>
    </w:p>
    <w:p>
      <w:r>
        <w:t xml:space="preserve">Helen Marsh, Partner, Marsh &amp; Cole LLP</w:t>
      </w:r>
    </w:p>
    <w:p>
      <w:r>
        <w:t xml:space="preserve">cc: Priya Raman, Brightwater Foods Ltd, 41 Mill Street, Bath BA1 2JN</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Georgia" w:hAnsi="Georgia"/>
        <w:sz w:val="22"/>
      </w:rPr>
    </w:rPrDefault>
    <w:pPrDefault>
      <w:pPr>
        <w:spacing w:after="160" w:line="276" w:lineRule="auto"/>
      </w:pPr>
    </w:pPrDefault>
  </w:docDefaults>
  <w:style w:type="paragraph" w:default="1" w:styleId="Normal">
    <w:name w:val="Normal"/>
  </w:style>
  <w:style w:type="paragraph" w:styleId="Heading1">
    <w:name w:val="heading 1"/>
    <w:basedOn w:val="Normal"/>
    <w:next w:val="Normal"/>
    <w:pPr>
      <w:keepNext/>
      <w:spacing w:before="360" w:after="160"/>
      <w:outlineLvl w:val="0"/>
    </w:pPr>
    <w:rPr>
      <w:b/>
      <w:sz w:val="32"/>
    </w:rPr>
  </w:style>
  <w:style w:type="paragraph" w:styleId="Heading2">
    <w:name w:val="heading 2"/>
    <w:basedOn w:val="Normal"/>
    <w:next w:val="Normal"/>
    <w:pPr>
      <w:keepNext/>
      <w:spacing w:before="280" w:after="120"/>
      <w:outlineLvl w:val="1"/>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