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>SYNTHETIC DEMONSTRATION · No real people or client data</w:t>
      </w:r>
    </w:p>
    <w:p>
      <w:r>
        <w:t>Between Northbridge Studio Ltd. (Client) and Cedar Legal Services Ltd. (Provider). Effective date: 15 October 2026.</w:t>
      </w:r>
    </w:p>
    <w:p>
      <w:pPr>
        <w:pStyle w:val="Heading1"/>
      </w:pPr>
      <w:r>
        <w:t>1. Scope of services</w:t>
      </w:r>
    </w:p>
    <w:p>
      <w:r>
        <w:t>The Provider will review the Client’s standard services agreement and deliver a written summary of material contractual risks.</w:t>
      </w:r>
    </w:p>
    <w:p>
      <w:pPr>
        <w:pStyle w:val="Heading1"/>
      </w:pPr>
      <w:r>
        <w:t>2. Fees and delivery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Agreed term</w:t>
            </w:r>
          </w:p>
        </w:tc>
      </w:tr>
      <w:tr>
        <w:tc>
          <w:tcPr>
            <w:tcW w:type="dxa" w:w="4320"/>
          </w:tcPr>
          <w:p>
            <w:r>
              <w:t>Fixed fee</w:t>
            </w:r>
          </w:p>
        </w:tc>
        <w:tc>
          <w:tcPr>
            <w:tcW w:type="dxa" w:w="4320"/>
          </w:tcPr>
          <w:p>
            <w:r>
              <w:t>USD 2,400</w:t>
            </w:r>
          </w:p>
        </w:tc>
      </w:tr>
      <w:tr>
        <w:tc>
          <w:tcPr>
            <w:tcW w:type="dxa" w:w="4320"/>
          </w:tcPr>
          <w:p>
            <w:r>
              <w:t>Delivery date</w:t>
            </w:r>
          </w:p>
        </w:tc>
        <w:tc>
          <w:tcPr>
            <w:tcW w:type="dxa" w:w="4320"/>
          </w:tcPr>
          <w:p>
            <w:r>
              <w:t>30 October 2026</w:t>
            </w:r>
          </w:p>
        </w:tc>
      </w:tr>
      <w:tr>
        <w:tc>
          <w:tcPr>
            <w:tcW w:type="dxa" w:w="4320"/>
          </w:tcPr>
          <w:p>
            <w:r>
              <w:t>Payment</w:t>
            </w:r>
          </w:p>
        </w:tc>
        <w:tc>
          <w:tcPr>
            <w:tcW w:type="dxa" w:w="4320"/>
          </w:tcPr>
          <w:p>
            <w:r>
              <w:t>Within 14 days of invoice</w:t>
            </w:r>
          </w:p>
        </w:tc>
      </w:tr>
    </w:tbl>
    <w:p>
      <w:pPr>
        <w:pStyle w:val="Heading1"/>
      </w:pPr>
      <w:r>
        <w:t>3. Confidentiality</w:t>
      </w:r>
    </w:p>
    <w:p>
      <w:r>
        <w:t>Each party must keep confidential information received under this agreement confidential and use it only to perform its obligations.</w:t>
      </w:r>
    </w:p>
    <w:p>
      <w:pPr>
        <w:pStyle w:val="Heading1"/>
      </w:pPr>
      <w:r>
        <w:t>4. Termination</w:t>
      </w:r>
    </w:p>
    <w:p>
      <w:r>
        <w:t>Either party may terminate with 14 days’ written notice. Fees remain payable for services completed before termination.</w:t>
      </w:r>
    </w:p>
    <w:p>
      <w:pPr>
        <w:pStyle w:val="Heading1"/>
      </w:pPr>
      <w:r>
        <w:t>Review notes</w:t>
      </w:r>
    </w:p>
    <w:p>
      <w:r>
        <w:t>Confirm the scope, notice period and payment trigger before sharing the prepared Markdown with an external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