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2"/>
        </w:rPr>
        <w:t>太原理工大学毕业设计（论文）中期检查表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学生姓名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陶可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班级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计算机z2204班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指导教师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李爱萍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设计（论文）题目</w:t>
            </w:r>
          </w:p>
        </w:tc>
        <w:tc>
          <w:tcPr>
            <w:tcW w:type="dxa" w:w="7840"/>
            <w:gridSpan w:val="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基于知识蒸馏的轻量化多模态感知模型</w:t>
            </w:r>
          </w:p>
        </w:tc>
      </w:tr>
      <w:tr>
        <w:tc>
          <w:tcPr>
            <w:tcW w:type="dxa" w:w="9408"/>
            <w:gridSpan w:val="6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目前已完成的任务</w:t>
            </w:r>
          </w:p>
        </w:tc>
      </w:tr>
      <w:tr>
        <w:tc>
          <w:tcPr>
            <w:tcW w:type="dxa" w:w="9408"/>
            <w:gridSpan w:val="6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2"/>
              </w:rPr>
              <w:t>（1）文献查阅与综述撰写：广泛查阅国内外知识蒸馏、多模态感知模型及轻量化方法相关文献共20篇，完成文献综述，系统梳理了研究现状与技术挑战。</w:t>
            </w:r>
          </w:p>
          <w:p>
            <w:r>
              <w:t>（2）教师模型分析与理解：深入研究DPFT（Dual Perspective Fusion Transformer）多模态感知模型的网络结构与实现细节，包括双视角特征提取模块、IMPFusion跨模态融合机制及匈牙利匹配输出头，掌握了教师模型的知识蒸馏接口设计。</w:t>
            </w:r>
          </w:p>
          <w:p>
            <w:r>
              <w:t>（3）知识蒸馏框架设计与实现：在DPFT代码库中，实现了完整的输出层知识蒸馏训练框架，主要包括：</w:t>
            </w:r>
          </w:p>
          <w:p>
            <w:r>
              <w:t xml:space="preserve">    ①DistillationLoss类：支持分类logits（KL散度）和边界框回归（L1损失）的联合蒸馏，引入温度参数T和四种蒸馏模式（matched/all/top_k/weighted）；</w:t>
            </w:r>
          </w:p>
          <w:p>
            <w:r>
              <w:t xml:space="preserve">    ②KDLoss类：将标准检测损失与蒸馏损失通过权重α组合，实现端到端联合训练；</w:t>
            </w:r>
          </w:p>
          <w:p>
            <w:r>
              <w:t xml:space="preserve">    ③基于匹配的蒸馏模式（matched distillation）：结合匈牙利匹配算法，仅对与GT匹配的查询计算蒸馏损失，有效聚焦有意义的预测框，避免大量背景框稀释蒸馏效果；</w:t>
            </w:r>
          </w:p>
          <w:p>
            <w:r>
              <w:t xml:space="preserve">    ④top_k蒸馏模式：按教师模型置信度选取前k个查询与学生侧对应索引进行知识迁移，在无需GT标注约束下实现高置信度区域的聚焦蒸馏；</w:t>
            </w:r>
          </w:p>
          <w:p>
            <w:r>
              <w:t xml:space="preserve">    ⑤weighted蒸馏模式：对各查询蒸馏损失按教师置信度进行加权，使高置信度预测对蒸馏梯度贡献更大，进一步提升有效知识的传递效率。</w:t>
            </w:r>
          </w:p>
          <w:p>
            <w:r>
              <w:t>（4）学生模型配置设计：设计了两种不同压缩程度的学生模型配置（轻量级/中等压缩），分别从骨干网络降级（ResNet101→ResNet50/ResNet34）、融合迭代次数减少（4→3）等维度实现模型轻量化，对应参数量分别约为85M/65M。重度压缩配置（low_memory）将查询数量nq从400降至100，实验发现无论采用何种蒸馏方法，检测精度均显著下降，已排除在实验对比范围之外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9408"/>
            <w:gridSpan w:val="6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是否符合任务书要求进度</w:t>
            </w:r>
          </w:p>
        </w:tc>
      </w:tr>
      <w:tr>
        <w:tc>
          <w:tcPr>
            <w:tcW w:type="dxa" w:w="9408"/>
            <w:gridSpan w:val="6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2"/>
              </w:rPr>
              <w:t>符合。根据任务书要求进度安排，2026年3月15日至4月5日应完成算法分析与设计，2026年4月5日至4月15日准备中期检查相关材料。目前已完成文献综述、教师模型分析、知识蒸馏框架设计与实现、学生模型配置设计等核心工作，进度符合任务书要求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9408"/>
            <w:gridSpan w:val="6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存在的问题和解决办法</w:t>
            </w:r>
          </w:p>
        </w:tc>
      </w:tr>
      <w:tr>
        <w:tc>
          <w:tcPr>
            <w:tcW w:type="dxa" w:w="9408"/>
            <w:gridSpan w:val="6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存在的问题</w:t>
            </w:r>
          </w:p>
        </w:tc>
      </w:tr>
      <w:tr>
        <w:tc>
          <w:tcPr>
            <w:tcW w:type="dxa" w:w="9408"/>
            <w:gridSpan w:val="6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2"/>
              </w:rPr>
              <w:t>（1）跨模态知识迁移精度衰减问题：在输出层蒸馏过程中，学生模型仅能模仿教师模型的最终预测分布，无法直接获取教师在多模态特征融合过程中形成的中间语义表示，导致跨模态知识迁移存在一定的信息损失，学生模型在复杂多目标场景下的检测精度与教师模型仍有差距。</w:t>
              <w:br/>
              <w:t>（2）蒸馏超参数与top_k参数敏感性问题：温度参数T、蒸馏权重α及top_k中k值的取值对最终检测精度影响显著，目前尚未完成系统性的参数搜索实验，最优配置方案有待进一步实验验证。</w:t>
              <w:br/>
              <w:t>（3）实验验证条件受限：由于K-Radar完整数据集体量较大且训练周期较长（约200个epoch），目前尚未完成完整的对比实验，暂缺乏学生模型在蒸馏前后的量化性能数据支撑。</w:t>
            </w:r>
          </w:p>
        </w:tc>
      </w:tr>
      <w:tr>
        <w:tc>
          <w:tcPr>
            <w:tcW w:type="dxa" w:w="9408"/>
            <w:gridSpan w:val="6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拟采取的办法</w:t>
            </w:r>
          </w:p>
        </w:tc>
      </w:tr>
      <w:tr>
        <w:tc>
          <w:tcPr>
            <w:tcW w:type="dxa" w:w="9408"/>
            <w:gridSpan w:val="6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2"/>
              </w:rPr>
              <w:t>（1）针对跨模态知识迁移精度衰减：在现有输出层蒸馏框架内，重点比较matched、all与top_k等蒸馏模式，并通过查询级匹配与置信度筛选策略提升知识迁移质量，在保证计算效率的前提下减少信息损失。</w:t>
              <w:br/>
              <w:t>（2）针对参数敏感性：制定系统性参数搜索方案，采用控制变量法分别对温度T（取值范围：2.0、4.0、6.0、8.0）、权重α（取值范围：0.3、0.5、0.7、0.9）以及top_k中的k（取值范围：50、100、200）进行消融实验，基于验证集mAP指标确定最优配置。</w:t>
              <w:br/>
              <w:t>（3）针对实验验证条件受限：利用K-Radar子集（前10个序列，约占完整数据集15%）进行快速验证实验，对比蒸馏前后学生模型的mAP、推理速度和模型参数量；待超参数确定后，在完整数据集上进行最终对比实验，确保实验结论的可靠性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9408"/>
            <w:gridSpan w:val="6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指导教师意见</w:t>
            </w:r>
          </w:p>
        </w:tc>
      </w:tr>
      <w:tr>
        <w:tc>
          <w:tcPr>
            <w:tcW w:type="dxa" w:w="9408"/>
            <w:gridSpan w:val="6"/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sz w:val="22"/>
              </w:rPr>
              <w:br/>
              <w:br/>
              <w:br/>
              <w:br/>
              <w:br/>
              <w:br/>
              <w:br/>
              <w:br/>
              <w:t xml:space="preserve">                              签 字：                                                      2026年04月15日</w:t>
            </w:r>
          </w:p>
        </w:tc>
      </w:tr>
    </w:tbl>
    <w:p>
      <w:pPr>
        <w:spacing w:before="120" w:after="0"/>
      </w:pPr>
      <w:r>
        <w:rPr>
          <w:rFonts w:ascii="宋体" w:hAnsi="宋体" w:eastAsia="宋体"/>
          <w:b w:val="0"/>
          <w:sz w:val="20"/>
        </w:rPr>
        <w:t>注：学院应对毕业设计（论文）进行抽查，并给出具体意见。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