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71008D">
      <w:pPr>
        <w:spacing w:before="0" w:after="0" w:line="360" w:lineRule="auto"/>
        <w:jc w:val="center"/>
        <w:rPr>
          <w:rFonts w:hint="eastAsia" w:eastAsia="黑体"/>
          <w:lang w:val="en-US" w:eastAsia="zh-CN"/>
        </w:rPr>
      </w:pPr>
      <w:r>
        <w:rPr>
          <w:rFonts w:ascii="黑体" w:hAnsi="黑体" w:eastAsia="黑体"/>
          <w:b/>
          <w:sz w:val="44"/>
        </w:rPr>
        <w:t>外文文献</w:t>
      </w:r>
      <w:r>
        <w:rPr>
          <w:rFonts w:hint="eastAsia" w:ascii="黑体" w:hAnsi="黑体" w:eastAsia="黑体"/>
          <w:b/>
          <w:sz w:val="44"/>
          <w:lang w:val="en-US" w:eastAsia="zh-CN"/>
        </w:rPr>
        <w:t>翻译</w:t>
      </w:r>
    </w:p>
    <w:p w14:paraId="70C0D8E5">
      <w:pPr>
        <w:spacing w:before="0" w:after="0" w:line="360" w:lineRule="auto"/>
        <w:jc w:val="center"/>
        <w:rPr>
          <w:rFonts w:hint="eastAsia" w:ascii="宋体" w:hAnsi="宋体" w:eastAsia="宋体"/>
          <w:b w:val="0"/>
          <w:sz w:val="24"/>
          <w:lang w:val="en-US" w:eastAsia="zh-CN"/>
        </w:rPr>
      </w:pPr>
      <w:r>
        <w:rPr>
          <w:rFonts w:ascii="宋体" w:hAnsi="宋体" w:eastAsia="宋体"/>
          <w:b w:val="0"/>
          <w:sz w:val="24"/>
        </w:rPr>
        <w:t>学生：陶可</w:t>
      </w:r>
      <w:r>
        <w:rPr>
          <w:rFonts w:hint="eastAsia" w:ascii="宋体" w:hAnsi="宋体" w:eastAsia="宋体"/>
          <w:b w:val="0"/>
          <w:sz w:val="24"/>
          <w:lang w:val="en-US" w:eastAsia="zh-CN"/>
        </w:rPr>
        <w:t>学号：2022001118</w:t>
      </w:r>
    </w:p>
    <w:p w14:paraId="549F3F4F">
      <w:pPr>
        <w:spacing w:before="0" w:after="0" w:line="360" w:lineRule="auto"/>
        <w:jc w:val="center"/>
        <w:rPr>
          <w:rFonts w:ascii="宋体" w:hAnsi="宋体" w:eastAsia="宋体"/>
          <w:sz w:val="24"/>
        </w:rPr>
      </w:pPr>
      <w:r>
        <w:rPr>
          <w:rFonts w:hint="eastAsia" w:ascii="宋体" w:hAnsi="宋体" w:eastAsia="宋体"/>
          <w:b w:val="0"/>
          <w:sz w:val="24"/>
          <w:lang w:val="en-US" w:eastAsia="zh-CN"/>
        </w:rPr>
        <w:t>题目</w:t>
      </w:r>
      <w:r>
        <w:rPr>
          <w:rFonts w:hint="eastAsia" w:ascii="宋体" w:hAnsi="宋体" w:eastAsia="宋体"/>
          <w:sz w:val="24"/>
          <w:lang w:val="en-US" w:eastAsia="zh-CN"/>
        </w:rPr>
        <w:t>：</w:t>
      </w:r>
      <w:r>
        <w:rPr>
          <w:rFonts w:ascii="宋体" w:hAnsi="宋体" w:eastAsia="宋体"/>
          <w:sz w:val="24"/>
        </w:rPr>
        <w:t>DPFT:用于相机</w:t>
      </w:r>
      <w:r>
        <w:rPr>
          <w:rFonts w:hint="eastAsia" w:ascii="宋体" w:hAnsi="宋体" w:eastAsia="宋体"/>
          <w:sz w:val="24"/>
          <w:lang w:val="en-US" w:eastAsia="zh-CN"/>
        </w:rPr>
        <w:t>-</w:t>
      </w:r>
      <w:bookmarkStart w:id="79" w:name="_GoBack"/>
      <w:bookmarkEnd w:id="79"/>
      <w:r>
        <w:rPr>
          <w:rFonts w:ascii="宋体" w:hAnsi="宋体" w:eastAsia="宋体"/>
          <w:sz w:val="24"/>
        </w:rPr>
        <w:t>雷达目标检测的双视角融合变压器</w:t>
      </w:r>
    </w:p>
    <w:p w14:paraId="0430697E">
      <w:pPr>
        <w:spacing w:before="0" w:after="0" w:line="360" w:lineRule="auto"/>
        <w:jc w:val="center"/>
      </w:pPr>
      <w:r>
        <w:rPr>
          <w:rFonts w:hint="eastAsia" w:ascii="宋体" w:hAnsi="宋体" w:eastAsia="宋体"/>
          <w:sz w:val="24"/>
          <w:lang w:val="en-US" w:eastAsia="zh-CN"/>
        </w:rPr>
        <w:t>作者：</w:t>
      </w:r>
      <w:r>
        <w:rPr>
          <w:rFonts w:ascii="宋体" w:hAnsi="宋体" w:eastAsia="宋体"/>
          <w:sz w:val="24"/>
        </w:rPr>
        <w:t>Felix Fent, Andras Palffy, Holger Caesar</w:t>
      </w:r>
    </w:p>
    <w:p w14:paraId="0C9C160B">
      <w:pPr>
        <w:keepNext w:val="0"/>
        <w:keepLines w:val="0"/>
        <w:pageBreakBefore w:val="0"/>
        <w:widowControl/>
        <w:kinsoku/>
        <w:wordWrap/>
        <w:overflowPunct/>
        <w:topLinePunct w:val="0"/>
        <w:autoSpaceDE/>
        <w:autoSpaceDN/>
        <w:bidi w:val="0"/>
        <w:adjustRightInd/>
        <w:snapToGrid/>
        <w:spacing w:before="0" w:after="0" w:line="360" w:lineRule="auto"/>
        <w:jc w:val="left"/>
        <w:textAlignment w:val="auto"/>
        <w:outlineLvl w:val="0"/>
      </w:pPr>
      <w:bookmarkStart w:id="0" w:name="_Toc28829"/>
      <w:bookmarkStart w:id="1" w:name="_Toc6199"/>
      <w:bookmarkStart w:id="2" w:name="_Toc19438"/>
      <w:bookmarkStart w:id="3" w:name="_Toc27946"/>
      <w:r>
        <w:rPr>
          <w:rFonts w:ascii="黑体" w:hAnsi="黑体" w:eastAsia="黑体"/>
          <w:b/>
          <w:sz w:val="30"/>
        </w:rPr>
        <w:t>摘要</w:t>
      </w:r>
      <w:bookmarkEnd w:id="0"/>
      <w:bookmarkEnd w:id="1"/>
      <w:bookmarkEnd w:id="2"/>
      <w:bookmarkEnd w:id="3"/>
    </w:p>
    <w:p w14:paraId="7DCE710E">
      <w:pPr>
        <w:spacing w:before="0" w:after="0" w:line="360" w:lineRule="auto"/>
        <w:jc w:val="both"/>
      </w:pPr>
    </w:p>
    <w:p w14:paraId="74C89CBE">
      <w:pPr>
        <w:spacing w:before="0" w:after="0" w:line="360" w:lineRule="auto"/>
        <w:ind w:firstLine="482"/>
        <w:jc w:val="both"/>
      </w:pPr>
      <w:r>
        <w:rPr>
          <w:rFonts w:ascii="Times New Roman" w:hAnsi="Times New Roman" w:eastAsia="宋体"/>
          <w:b w:val="0"/>
          <w:sz w:val="24"/>
        </w:rPr>
        <w:t>自动驾驶汽车的感知必须是高效的、鲁棒的和具有成本效益的。然而，摄像头在恶劣天气条件下的鲁棒性并不强，激光雷达传感器价格昂贵，基于雷达的感知性能仍然不如其他。为了解决这一问题，已经提出了摄像头-雷达融合方法，但这些方法受到雷达点云典型稀疏性的限制，通常是为没有高程信息的雷达设计的。我们提出了一种新的相机-雷达融合方法，称为双视角融合变压器(DPFT)，旨在克服这些限制。我们的方法利用低层雷达数据(雷达立方体)而不是处理过的点云来保留尽可能多的信息，并在相机和地面平面中使用投影来有效地使用具有高程信息的雷达，并简化与相机数据的融合。因此，DPFT在</w:t>
      </w:r>
      <w:r>
        <w:rPr>
          <w:rFonts w:hint="eastAsia" w:eastAsia="宋体"/>
          <w:b w:val="0"/>
          <w:sz w:val="24"/>
          <w:lang w:val="en-US" w:eastAsia="zh-CN"/>
        </w:rPr>
        <w:t>K-</w:t>
      </w:r>
      <w:r>
        <w:rPr>
          <w:rFonts w:ascii="Times New Roman" w:hAnsi="Times New Roman" w:eastAsia="宋体"/>
          <w:b w:val="0"/>
          <w:sz w:val="24"/>
        </w:rPr>
        <w:t>Radar数据集上展示了最先进的性能，同时显示出对恶劣天气条件的显著鲁棒性，并保持较低的推理时间。该代码作为开源软件在https://github.com/TUMFTM/DPFT上提供。</w:t>
      </w:r>
    </w:p>
    <w:p w14:paraId="2F38C53D">
      <w:pPr>
        <w:keepNext w:val="0"/>
        <w:keepLines w:val="0"/>
        <w:pageBreakBefore w:val="0"/>
        <w:widowControl/>
        <w:kinsoku/>
        <w:wordWrap/>
        <w:overflowPunct/>
        <w:topLinePunct w:val="0"/>
        <w:autoSpaceDE/>
        <w:autoSpaceDN/>
        <w:bidi w:val="0"/>
        <w:adjustRightInd/>
        <w:snapToGrid/>
        <w:spacing w:before="0" w:after="0" w:line="360" w:lineRule="auto"/>
        <w:ind w:firstLine="482"/>
        <w:jc w:val="both"/>
        <w:textAlignment w:val="auto"/>
        <w:outlineLvl w:val="9"/>
        <w:rPr>
          <w:rFonts w:ascii="Times New Roman" w:hAnsi="Times New Roman" w:eastAsia="宋体"/>
          <w:b w:val="0"/>
          <w:sz w:val="24"/>
        </w:rPr>
      </w:pPr>
      <w:bookmarkStart w:id="4" w:name="_Toc9270"/>
      <w:bookmarkStart w:id="5" w:name="_Toc28186"/>
      <w:r>
        <w:rPr>
          <w:rFonts w:ascii="Times New Roman" w:hAnsi="Times New Roman" w:eastAsia="宋体"/>
          <w:b w:val="0"/>
          <w:sz w:val="24"/>
        </w:rPr>
        <w:t>索引术语-感知，目标检测，传感器融合，雷达，摄像头，自动驾驶</w:t>
      </w:r>
    </w:p>
    <w:p w14:paraId="4D29CF7E">
      <w:pPr>
        <w:keepNext w:val="0"/>
        <w:keepLines w:val="0"/>
        <w:pageBreakBefore w:val="0"/>
        <w:widowControl/>
        <w:kinsoku/>
        <w:wordWrap/>
        <w:overflowPunct/>
        <w:topLinePunct w:val="0"/>
        <w:autoSpaceDE/>
        <w:autoSpaceDN/>
        <w:bidi w:val="0"/>
        <w:adjustRightInd/>
        <w:snapToGrid/>
        <w:spacing w:before="0" w:after="0" w:line="360" w:lineRule="auto"/>
        <w:ind w:firstLine="482"/>
        <w:jc w:val="both"/>
        <w:textAlignment w:val="auto"/>
        <w:outlineLvl w:val="0"/>
        <w:rPr>
          <w:rFonts w:ascii="Times New Roman" w:hAnsi="Times New Roman" w:eastAsia="宋体"/>
          <w:b w:val="0"/>
          <w:sz w:val="24"/>
        </w:rPr>
      </w:pPr>
    </w:p>
    <w:p w14:paraId="1E0E50EE">
      <w:pPr>
        <w:keepNext w:val="0"/>
        <w:keepLines w:val="0"/>
        <w:pageBreakBefore w:val="0"/>
        <w:widowControl/>
        <w:kinsoku/>
        <w:wordWrap/>
        <w:overflowPunct/>
        <w:topLinePunct w:val="0"/>
        <w:autoSpaceDE/>
        <w:autoSpaceDN/>
        <w:bidi w:val="0"/>
        <w:adjustRightInd/>
        <w:snapToGrid/>
        <w:spacing w:before="0" w:after="0" w:line="360" w:lineRule="auto"/>
        <w:ind w:firstLine="482"/>
        <w:jc w:val="both"/>
        <w:textAlignment w:val="auto"/>
        <w:outlineLvl w:val="0"/>
        <w:rPr>
          <w:rFonts w:ascii="Times New Roman" w:hAnsi="Times New Roman" w:eastAsia="宋体"/>
          <w:b w:val="0"/>
          <w:sz w:val="24"/>
        </w:rPr>
      </w:pPr>
    </w:p>
    <w:p w14:paraId="269E0B51">
      <w:pPr>
        <w:keepNext w:val="0"/>
        <w:keepLines w:val="0"/>
        <w:pageBreakBefore w:val="0"/>
        <w:widowControl/>
        <w:kinsoku/>
        <w:wordWrap/>
        <w:overflowPunct/>
        <w:topLinePunct w:val="0"/>
        <w:autoSpaceDE/>
        <w:autoSpaceDN/>
        <w:bidi w:val="0"/>
        <w:adjustRightInd/>
        <w:snapToGrid/>
        <w:spacing w:before="0" w:after="0" w:line="360" w:lineRule="auto"/>
        <w:jc w:val="both"/>
        <w:textAlignment w:val="auto"/>
        <w:outlineLvl w:val="0"/>
        <w:rPr>
          <w:rFonts w:ascii="黑体" w:hAnsi="黑体" w:eastAsia="黑体"/>
          <w:b/>
          <w:sz w:val="30"/>
        </w:rPr>
      </w:pPr>
      <w:r>
        <w:rPr>
          <w:rFonts w:ascii="黑体" w:hAnsi="黑体" w:eastAsia="黑体"/>
          <w:b/>
          <w:sz w:val="30"/>
        </w:rPr>
        <w:br w:type="page"/>
      </w:r>
      <w:bookmarkStart w:id="6" w:name="_Toc24349"/>
      <w:r>
        <w:rPr>
          <w:rFonts w:hint="eastAsia" w:ascii="黑体" w:hAnsi="黑体" w:eastAsia="黑体"/>
          <w:b/>
          <w:sz w:val="30"/>
          <w:lang w:val="en-US" w:eastAsia="zh-CN"/>
        </w:rPr>
        <w:t>目录</w:t>
      </w:r>
      <w:bookmarkEnd w:id="4"/>
      <w:bookmarkEnd w:id="5"/>
      <w:bookmarkEnd w:id="6"/>
    </w:p>
    <w:p w14:paraId="3D337C65">
      <w:pPr>
        <w:pStyle w:val="26"/>
        <w:tabs>
          <w:tab w:val="right" w:leader="dot" w:pos="8788"/>
        </w:tabs>
      </w:pPr>
      <w:r>
        <w:rPr>
          <w:rFonts w:ascii="黑体" w:hAnsi="黑体" w:eastAsia="黑体"/>
          <w:b/>
          <w:sz w:val="30"/>
        </w:rPr>
        <w:fldChar w:fldCharType="begin"/>
      </w:r>
      <w:r>
        <w:rPr>
          <w:rFonts w:ascii="黑体" w:hAnsi="黑体" w:eastAsia="黑体"/>
          <w:b/>
          <w:sz w:val="30"/>
        </w:rPr>
        <w:instrText xml:space="preserve">TOC \o "1-3" \h \u </w:instrText>
      </w:r>
      <w:r>
        <w:rPr>
          <w:rFonts w:ascii="黑体" w:hAnsi="黑体" w:eastAsia="黑体"/>
          <w:b/>
          <w:sz w:val="30"/>
        </w:rPr>
        <w:fldChar w:fldCharType="separate"/>
      </w:r>
      <w:r>
        <w:rPr>
          <w:rFonts w:ascii="黑体" w:hAnsi="黑体" w:eastAsia="黑体"/>
        </w:rPr>
        <w:fldChar w:fldCharType="begin"/>
      </w:r>
      <w:r>
        <w:rPr>
          <w:rFonts w:ascii="黑体" w:hAnsi="黑体" w:eastAsia="黑体"/>
        </w:rPr>
        <w:instrText xml:space="preserve"> HYPERLINK \l _Toc27946 </w:instrText>
      </w:r>
      <w:r>
        <w:rPr>
          <w:rFonts w:ascii="黑体" w:hAnsi="黑体" w:eastAsia="黑体"/>
        </w:rPr>
        <w:fldChar w:fldCharType="separate"/>
      </w:r>
      <w:r>
        <w:rPr>
          <w:rFonts w:ascii="黑体" w:hAnsi="黑体" w:eastAsia="黑体"/>
        </w:rPr>
        <w:t>摘要</w:t>
      </w:r>
      <w:r>
        <w:tab/>
      </w:r>
      <w:r>
        <w:fldChar w:fldCharType="begin"/>
      </w:r>
      <w:r>
        <w:instrText xml:space="preserve"> PAGEREF _Toc27946 \h </w:instrText>
      </w:r>
      <w:r>
        <w:fldChar w:fldCharType="separate"/>
      </w:r>
      <w:r>
        <w:t>1</w:t>
      </w:r>
      <w:r>
        <w:fldChar w:fldCharType="end"/>
      </w:r>
      <w:r>
        <w:rPr>
          <w:rFonts w:ascii="黑体" w:hAnsi="黑体" w:eastAsia="黑体"/>
        </w:rPr>
        <w:fldChar w:fldCharType="end"/>
      </w:r>
    </w:p>
    <w:p w14:paraId="5A295BE7">
      <w:pPr>
        <w:pStyle w:val="26"/>
        <w:tabs>
          <w:tab w:val="right" w:leader="dot" w:pos="8788"/>
        </w:tabs>
      </w:pPr>
      <w:r>
        <w:rPr>
          <w:rFonts w:ascii="黑体" w:hAnsi="黑体" w:eastAsia="黑体"/>
        </w:rPr>
        <w:fldChar w:fldCharType="begin"/>
      </w:r>
      <w:r>
        <w:rPr>
          <w:rFonts w:ascii="黑体" w:hAnsi="黑体" w:eastAsia="黑体"/>
        </w:rPr>
        <w:instrText xml:space="preserve"> HYPERLINK \l _Toc24349 </w:instrText>
      </w:r>
      <w:r>
        <w:rPr>
          <w:rFonts w:ascii="黑体" w:hAnsi="黑体" w:eastAsia="黑体"/>
        </w:rPr>
        <w:fldChar w:fldCharType="separate"/>
      </w:r>
      <w:r>
        <w:rPr>
          <w:rFonts w:hint="eastAsia" w:ascii="黑体" w:hAnsi="黑体" w:eastAsia="黑体"/>
          <w:lang w:val="en-US" w:eastAsia="zh-CN"/>
        </w:rPr>
        <w:t>目录</w:t>
      </w:r>
      <w:r>
        <w:tab/>
      </w:r>
      <w:r>
        <w:fldChar w:fldCharType="begin"/>
      </w:r>
      <w:r>
        <w:instrText xml:space="preserve"> PAGEREF _Toc24349 \h </w:instrText>
      </w:r>
      <w:r>
        <w:fldChar w:fldCharType="separate"/>
      </w:r>
      <w:r>
        <w:t>2</w:t>
      </w:r>
      <w:r>
        <w:fldChar w:fldCharType="end"/>
      </w:r>
      <w:r>
        <w:rPr>
          <w:rFonts w:ascii="黑体" w:hAnsi="黑体" w:eastAsia="黑体"/>
        </w:rPr>
        <w:fldChar w:fldCharType="end"/>
      </w:r>
    </w:p>
    <w:p w14:paraId="2CCE3719">
      <w:pPr>
        <w:pStyle w:val="26"/>
        <w:tabs>
          <w:tab w:val="right" w:leader="dot" w:pos="8788"/>
        </w:tabs>
      </w:pPr>
      <w:r>
        <w:rPr>
          <w:rFonts w:ascii="黑体" w:hAnsi="黑体" w:eastAsia="黑体"/>
        </w:rPr>
        <w:fldChar w:fldCharType="begin"/>
      </w:r>
      <w:r>
        <w:rPr>
          <w:rFonts w:ascii="黑体" w:hAnsi="黑体" w:eastAsia="黑体"/>
        </w:rPr>
        <w:instrText xml:space="preserve"> HYPERLINK \l _Toc19393 </w:instrText>
      </w:r>
      <w:r>
        <w:rPr>
          <w:rFonts w:ascii="黑体" w:hAnsi="黑体" w:eastAsia="黑体"/>
        </w:rPr>
        <w:fldChar w:fldCharType="separate"/>
      </w:r>
      <w:r>
        <w:rPr>
          <w:rFonts w:ascii="黑体" w:hAnsi="黑体" w:eastAsia="黑体"/>
        </w:rPr>
        <w:t>I.介绍</w:t>
      </w:r>
      <w:r>
        <w:tab/>
      </w:r>
      <w:r>
        <w:fldChar w:fldCharType="begin"/>
      </w:r>
      <w:r>
        <w:instrText xml:space="preserve"> PAGEREF _Toc19393 \h </w:instrText>
      </w:r>
      <w:r>
        <w:fldChar w:fldCharType="separate"/>
      </w:r>
      <w:r>
        <w:t>3</w:t>
      </w:r>
      <w:r>
        <w:fldChar w:fldCharType="end"/>
      </w:r>
      <w:r>
        <w:rPr>
          <w:rFonts w:ascii="黑体" w:hAnsi="黑体" w:eastAsia="黑体"/>
        </w:rPr>
        <w:fldChar w:fldCharType="end"/>
      </w:r>
    </w:p>
    <w:p w14:paraId="4200372A">
      <w:pPr>
        <w:pStyle w:val="26"/>
        <w:tabs>
          <w:tab w:val="right" w:leader="dot" w:pos="8788"/>
        </w:tabs>
      </w:pPr>
      <w:r>
        <w:rPr>
          <w:rFonts w:ascii="黑体" w:hAnsi="黑体" w:eastAsia="黑体"/>
        </w:rPr>
        <w:fldChar w:fldCharType="begin"/>
      </w:r>
      <w:r>
        <w:rPr>
          <w:rFonts w:ascii="黑体" w:hAnsi="黑体" w:eastAsia="黑体"/>
        </w:rPr>
        <w:instrText xml:space="preserve"> HYPERLINK \l _Toc12557 </w:instrText>
      </w:r>
      <w:r>
        <w:rPr>
          <w:rFonts w:ascii="黑体" w:hAnsi="黑体" w:eastAsia="黑体"/>
        </w:rPr>
        <w:fldChar w:fldCharType="separate"/>
      </w:r>
      <w:r>
        <w:rPr>
          <w:rFonts w:ascii="黑体" w:hAnsi="黑体" w:eastAsia="黑体"/>
        </w:rPr>
        <w:t>II.相关工作</w:t>
      </w:r>
      <w:r>
        <w:tab/>
      </w:r>
      <w:r>
        <w:fldChar w:fldCharType="begin"/>
      </w:r>
      <w:r>
        <w:instrText xml:space="preserve"> PAGEREF _Toc12557 \h </w:instrText>
      </w:r>
      <w:r>
        <w:fldChar w:fldCharType="separate"/>
      </w:r>
      <w:r>
        <w:t>5</w:t>
      </w:r>
      <w:r>
        <w:fldChar w:fldCharType="end"/>
      </w:r>
      <w:r>
        <w:rPr>
          <w:rFonts w:ascii="黑体" w:hAnsi="黑体" w:eastAsia="黑体"/>
        </w:rPr>
        <w:fldChar w:fldCharType="end"/>
      </w:r>
    </w:p>
    <w:p w14:paraId="74779A79">
      <w:pPr>
        <w:pStyle w:val="29"/>
        <w:tabs>
          <w:tab w:val="right" w:leader="dot" w:pos="8788"/>
        </w:tabs>
      </w:pPr>
      <w:r>
        <w:rPr>
          <w:rFonts w:ascii="黑体" w:hAnsi="黑体" w:eastAsia="黑体"/>
        </w:rPr>
        <w:fldChar w:fldCharType="begin"/>
      </w:r>
      <w:r>
        <w:rPr>
          <w:rFonts w:ascii="黑体" w:hAnsi="黑体" w:eastAsia="黑体"/>
        </w:rPr>
        <w:instrText xml:space="preserve"> HYPERLINK \l _Toc26479 </w:instrText>
      </w:r>
      <w:r>
        <w:rPr>
          <w:rFonts w:ascii="黑体" w:hAnsi="黑体" w:eastAsia="黑体"/>
        </w:rPr>
        <w:fldChar w:fldCharType="separate"/>
      </w:r>
      <w:r>
        <w:rPr>
          <w:rFonts w:ascii="黑体" w:hAnsi="黑体" w:eastAsia="黑体"/>
        </w:rPr>
        <w:t>A. Camera-RadarDatasets</w:t>
      </w:r>
      <w:r>
        <w:tab/>
      </w:r>
      <w:r>
        <w:fldChar w:fldCharType="begin"/>
      </w:r>
      <w:r>
        <w:instrText xml:space="preserve"> PAGEREF _Toc26479 \h </w:instrText>
      </w:r>
      <w:r>
        <w:fldChar w:fldCharType="separate"/>
      </w:r>
      <w:r>
        <w:t>5</w:t>
      </w:r>
      <w:r>
        <w:fldChar w:fldCharType="end"/>
      </w:r>
      <w:r>
        <w:rPr>
          <w:rFonts w:ascii="黑体" w:hAnsi="黑体" w:eastAsia="黑体"/>
        </w:rPr>
        <w:fldChar w:fldCharType="end"/>
      </w:r>
    </w:p>
    <w:p w14:paraId="145D9D16">
      <w:pPr>
        <w:pStyle w:val="29"/>
        <w:tabs>
          <w:tab w:val="right" w:leader="dot" w:pos="8788"/>
        </w:tabs>
      </w:pPr>
      <w:r>
        <w:rPr>
          <w:rFonts w:ascii="黑体" w:hAnsi="黑体" w:eastAsia="黑体"/>
        </w:rPr>
        <w:fldChar w:fldCharType="begin"/>
      </w:r>
      <w:r>
        <w:rPr>
          <w:rFonts w:ascii="黑体" w:hAnsi="黑体" w:eastAsia="黑体"/>
        </w:rPr>
        <w:instrText xml:space="preserve"> HYPERLINK \l _Toc6571 </w:instrText>
      </w:r>
      <w:r>
        <w:rPr>
          <w:rFonts w:ascii="黑体" w:hAnsi="黑体" w:eastAsia="黑体"/>
        </w:rPr>
        <w:fldChar w:fldCharType="separate"/>
      </w:r>
      <w:r>
        <w:rPr>
          <w:rFonts w:ascii="黑体" w:hAnsi="黑体" w:eastAsia="黑体"/>
        </w:rPr>
        <w:t>B.基于摄像头的3D物体检测</w:t>
      </w:r>
      <w:r>
        <w:tab/>
      </w:r>
      <w:r>
        <w:fldChar w:fldCharType="begin"/>
      </w:r>
      <w:r>
        <w:instrText xml:space="preserve"> PAGEREF _Toc6571 \h </w:instrText>
      </w:r>
      <w:r>
        <w:fldChar w:fldCharType="separate"/>
      </w:r>
      <w:r>
        <w:t>5</w:t>
      </w:r>
      <w:r>
        <w:fldChar w:fldCharType="end"/>
      </w:r>
      <w:r>
        <w:rPr>
          <w:rFonts w:ascii="黑体" w:hAnsi="黑体" w:eastAsia="黑体"/>
        </w:rPr>
        <w:fldChar w:fldCharType="end"/>
      </w:r>
    </w:p>
    <w:p w14:paraId="51522E04">
      <w:pPr>
        <w:pStyle w:val="29"/>
        <w:tabs>
          <w:tab w:val="right" w:leader="dot" w:pos="8788"/>
        </w:tabs>
      </w:pPr>
      <w:r>
        <w:rPr>
          <w:rFonts w:ascii="黑体" w:hAnsi="黑体" w:eastAsia="黑体"/>
        </w:rPr>
        <w:fldChar w:fldCharType="begin"/>
      </w:r>
      <w:r>
        <w:rPr>
          <w:rFonts w:ascii="黑体" w:hAnsi="黑体" w:eastAsia="黑体"/>
        </w:rPr>
        <w:instrText xml:space="preserve"> HYPERLINK \l _Toc10814 </w:instrText>
      </w:r>
      <w:r>
        <w:rPr>
          <w:rFonts w:ascii="黑体" w:hAnsi="黑体" w:eastAsia="黑体"/>
        </w:rPr>
        <w:fldChar w:fldCharType="separate"/>
      </w:r>
      <w:r>
        <w:rPr>
          <w:rFonts w:ascii="黑体" w:hAnsi="黑体" w:eastAsia="黑体"/>
        </w:rPr>
        <w:t>C.基于雷达的3D物体检测</w:t>
      </w:r>
      <w:r>
        <w:tab/>
      </w:r>
      <w:r>
        <w:fldChar w:fldCharType="begin"/>
      </w:r>
      <w:r>
        <w:instrText xml:space="preserve"> PAGEREF _Toc10814 \h </w:instrText>
      </w:r>
      <w:r>
        <w:fldChar w:fldCharType="separate"/>
      </w:r>
      <w:r>
        <w:t>6</w:t>
      </w:r>
      <w:r>
        <w:fldChar w:fldCharType="end"/>
      </w:r>
      <w:r>
        <w:rPr>
          <w:rFonts w:ascii="黑体" w:hAnsi="黑体" w:eastAsia="黑体"/>
        </w:rPr>
        <w:fldChar w:fldCharType="end"/>
      </w:r>
    </w:p>
    <w:p w14:paraId="4131081F">
      <w:pPr>
        <w:pStyle w:val="29"/>
        <w:tabs>
          <w:tab w:val="right" w:leader="dot" w:pos="8788"/>
        </w:tabs>
      </w:pPr>
      <w:r>
        <w:rPr>
          <w:rFonts w:ascii="黑体" w:hAnsi="黑体" w:eastAsia="黑体"/>
        </w:rPr>
        <w:fldChar w:fldCharType="begin"/>
      </w:r>
      <w:r>
        <w:rPr>
          <w:rFonts w:ascii="黑体" w:hAnsi="黑体" w:eastAsia="黑体"/>
        </w:rPr>
        <w:instrText xml:space="preserve"> HYPERLINK \l _Toc19553 </w:instrText>
      </w:r>
      <w:r>
        <w:rPr>
          <w:rFonts w:ascii="黑体" w:hAnsi="黑体" w:eastAsia="黑体"/>
        </w:rPr>
        <w:fldChar w:fldCharType="separate"/>
      </w:r>
      <w:r>
        <w:rPr>
          <w:rFonts w:ascii="黑体" w:hAnsi="黑体" w:eastAsia="黑体"/>
        </w:rPr>
        <w:t>D.用于3D目标检测的摄像头-雷达融合</w:t>
      </w:r>
      <w:r>
        <w:tab/>
      </w:r>
      <w:r>
        <w:fldChar w:fldCharType="begin"/>
      </w:r>
      <w:r>
        <w:instrText xml:space="preserve"> PAGEREF _Toc19553 \h </w:instrText>
      </w:r>
      <w:r>
        <w:fldChar w:fldCharType="separate"/>
      </w:r>
      <w:r>
        <w:t>7</w:t>
      </w:r>
      <w:r>
        <w:fldChar w:fldCharType="end"/>
      </w:r>
      <w:r>
        <w:rPr>
          <w:rFonts w:ascii="黑体" w:hAnsi="黑体" w:eastAsia="黑体"/>
        </w:rPr>
        <w:fldChar w:fldCharType="end"/>
      </w:r>
    </w:p>
    <w:p w14:paraId="0DA14C83">
      <w:pPr>
        <w:pStyle w:val="26"/>
        <w:tabs>
          <w:tab w:val="right" w:leader="dot" w:pos="8788"/>
        </w:tabs>
      </w:pPr>
      <w:r>
        <w:rPr>
          <w:rFonts w:ascii="黑体" w:hAnsi="黑体" w:eastAsia="黑体"/>
        </w:rPr>
        <w:fldChar w:fldCharType="begin"/>
      </w:r>
      <w:r>
        <w:rPr>
          <w:rFonts w:ascii="黑体" w:hAnsi="黑体" w:eastAsia="黑体"/>
        </w:rPr>
        <w:instrText xml:space="preserve"> HYPERLINK \l _Toc19796 </w:instrText>
      </w:r>
      <w:r>
        <w:rPr>
          <w:rFonts w:ascii="黑体" w:hAnsi="黑体" w:eastAsia="黑体"/>
        </w:rPr>
        <w:fldChar w:fldCharType="separate"/>
      </w:r>
      <w:r>
        <w:rPr>
          <w:rFonts w:ascii="黑体" w:hAnsi="黑体" w:eastAsia="黑体"/>
        </w:rPr>
        <w:t>III.方法学</w:t>
      </w:r>
      <w:r>
        <w:tab/>
      </w:r>
      <w:r>
        <w:fldChar w:fldCharType="begin"/>
      </w:r>
      <w:r>
        <w:instrText xml:space="preserve"> PAGEREF _Toc19796 \h </w:instrText>
      </w:r>
      <w:r>
        <w:fldChar w:fldCharType="separate"/>
      </w:r>
      <w:r>
        <w:t>9</w:t>
      </w:r>
      <w:r>
        <w:fldChar w:fldCharType="end"/>
      </w:r>
      <w:r>
        <w:rPr>
          <w:rFonts w:ascii="黑体" w:hAnsi="黑体" w:eastAsia="黑体"/>
        </w:rPr>
        <w:fldChar w:fldCharType="end"/>
      </w:r>
    </w:p>
    <w:p w14:paraId="715E969E">
      <w:pPr>
        <w:pStyle w:val="29"/>
        <w:tabs>
          <w:tab w:val="right" w:leader="dot" w:pos="8788"/>
        </w:tabs>
      </w:pPr>
      <w:r>
        <w:rPr>
          <w:rFonts w:ascii="黑体" w:hAnsi="黑体" w:eastAsia="黑体"/>
        </w:rPr>
        <w:fldChar w:fldCharType="begin"/>
      </w:r>
      <w:r>
        <w:rPr>
          <w:rFonts w:ascii="黑体" w:hAnsi="黑体" w:eastAsia="黑体"/>
        </w:rPr>
        <w:instrText xml:space="preserve"> HYPERLINK \l _Toc11160 </w:instrText>
      </w:r>
      <w:r>
        <w:rPr>
          <w:rFonts w:ascii="黑体" w:hAnsi="黑体" w:eastAsia="黑体"/>
        </w:rPr>
        <w:fldChar w:fldCharType="separate"/>
      </w:r>
      <w:r>
        <w:rPr>
          <w:rFonts w:ascii="黑体" w:hAnsi="黑体" w:eastAsia="黑体"/>
        </w:rPr>
        <w:t>A.数据准备</w:t>
      </w:r>
      <w:r>
        <w:tab/>
      </w:r>
      <w:r>
        <w:fldChar w:fldCharType="begin"/>
      </w:r>
      <w:r>
        <w:instrText xml:space="preserve"> PAGEREF _Toc11160 \h </w:instrText>
      </w:r>
      <w:r>
        <w:fldChar w:fldCharType="separate"/>
      </w:r>
      <w:r>
        <w:t>9</w:t>
      </w:r>
      <w:r>
        <w:fldChar w:fldCharType="end"/>
      </w:r>
      <w:r>
        <w:rPr>
          <w:rFonts w:ascii="黑体" w:hAnsi="黑体" w:eastAsia="黑体"/>
        </w:rPr>
        <w:fldChar w:fldCharType="end"/>
      </w:r>
    </w:p>
    <w:p w14:paraId="6EAB1ECE">
      <w:pPr>
        <w:pStyle w:val="29"/>
        <w:tabs>
          <w:tab w:val="right" w:leader="dot" w:pos="8788"/>
        </w:tabs>
      </w:pPr>
      <w:r>
        <w:rPr>
          <w:rFonts w:ascii="黑体" w:hAnsi="黑体" w:eastAsia="黑体"/>
        </w:rPr>
        <w:fldChar w:fldCharType="begin"/>
      </w:r>
      <w:r>
        <w:rPr>
          <w:rFonts w:ascii="黑体" w:hAnsi="黑体" w:eastAsia="黑体"/>
        </w:rPr>
        <w:instrText xml:space="preserve"> HYPERLINK \l _Toc26599 </w:instrText>
      </w:r>
      <w:r>
        <w:rPr>
          <w:rFonts w:ascii="黑体" w:hAnsi="黑体" w:eastAsia="黑体"/>
        </w:rPr>
        <w:fldChar w:fldCharType="separate"/>
      </w:r>
      <w:r>
        <w:rPr>
          <w:rFonts w:ascii="黑体" w:hAnsi="黑体" w:eastAsia="黑体"/>
        </w:rPr>
        <w:t>B.特征提取</w:t>
      </w:r>
      <w:r>
        <w:tab/>
      </w:r>
      <w:r>
        <w:fldChar w:fldCharType="begin"/>
      </w:r>
      <w:r>
        <w:instrText xml:space="preserve"> PAGEREF _Toc26599 \h </w:instrText>
      </w:r>
      <w:r>
        <w:fldChar w:fldCharType="separate"/>
      </w:r>
      <w:r>
        <w:t>10</w:t>
      </w:r>
      <w:r>
        <w:fldChar w:fldCharType="end"/>
      </w:r>
      <w:r>
        <w:rPr>
          <w:rFonts w:ascii="黑体" w:hAnsi="黑体" w:eastAsia="黑体"/>
        </w:rPr>
        <w:fldChar w:fldCharType="end"/>
      </w:r>
    </w:p>
    <w:p w14:paraId="517AC08F">
      <w:pPr>
        <w:pStyle w:val="29"/>
        <w:tabs>
          <w:tab w:val="right" w:leader="dot" w:pos="8788"/>
        </w:tabs>
      </w:pPr>
      <w:r>
        <w:rPr>
          <w:rFonts w:ascii="黑体" w:hAnsi="黑体" w:eastAsia="黑体"/>
        </w:rPr>
        <w:fldChar w:fldCharType="begin"/>
      </w:r>
      <w:r>
        <w:rPr>
          <w:rFonts w:ascii="黑体" w:hAnsi="黑体" w:eastAsia="黑体"/>
        </w:rPr>
        <w:instrText xml:space="preserve"> HYPERLINK \l _Toc32340 </w:instrText>
      </w:r>
      <w:r>
        <w:rPr>
          <w:rFonts w:ascii="黑体" w:hAnsi="黑体" w:eastAsia="黑体"/>
        </w:rPr>
        <w:fldChar w:fldCharType="separate"/>
      </w:r>
      <w:r>
        <w:rPr>
          <w:rFonts w:ascii="黑体" w:hAnsi="黑体" w:eastAsia="黑体"/>
        </w:rPr>
        <w:t>C.</w:t>
      </w:r>
      <w:r>
        <w:rPr>
          <w:rFonts w:hint="eastAsia" w:ascii="黑体" w:hAnsi="黑体" w:eastAsia="黑体"/>
          <w:lang w:val="en-US" w:eastAsia="zh-CN"/>
        </w:rPr>
        <w:t>传感器融合</w:t>
      </w:r>
      <w:r>
        <w:tab/>
      </w:r>
      <w:r>
        <w:fldChar w:fldCharType="begin"/>
      </w:r>
      <w:r>
        <w:instrText xml:space="preserve"> PAGEREF _Toc32340 \h </w:instrText>
      </w:r>
      <w:r>
        <w:fldChar w:fldCharType="separate"/>
      </w:r>
      <w:r>
        <w:t>11</w:t>
      </w:r>
      <w:r>
        <w:fldChar w:fldCharType="end"/>
      </w:r>
      <w:r>
        <w:rPr>
          <w:rFonts w:ascii="黑体" w:hAnsi="黑体" w:eastAsia="黑体"/>
        </w:rPr>
        <w:fldChar w:fldCharType="end"/>
      </w:r>
    </w:p>
    <w:p w14:paraId="2F530223">
      <w:pPr>
        <w:pStyle w:val="29"/>
        <w:tabs>
          <w:tab w:val="right" w:leader="dot" w:pos="8788"/>
        </w:tabs>
      </w:pPr>
      <w:r>
        <w:rPr>
          <w:rFonts w:ascii="黑体" w:hAnsi="黑体" w:eastAsia="黑体"/>
        </w:rPr>
        <w:fldChar w:fldCharType="begin"/>
      </w:r>
      <w:r>
        <w:rPr>
          <w:rFonts w:ascii="黑体" w:hAnsi="黑体" w:eastAsia="黑体"/>
        </w:rPr>
        <w:instrText xml:space="preserve"> HYPERLINK \l _Toc9965 </w:instrText>
      </w:r>
      <w:r>
        <w:rPr>
          <w:rFonts w:ascii="黑体" w:hAnsi="黑体" w:eastAsia="黑体"/>
        </w:rPr>
        <w:fldChar w:fldCharType="separate"/>
      </w:r>
      <w:r>
        <w:rPr>
          <w:rFonts w:ascii="黑体" w:hAnsi="黑体" w:eastAsia="黑体"/>
        </w:rPr>
        <w:t>D.对象检测</w:t>
      </w:r>
      <w:r>
        <w:tab/>
      </w:r>
      <w:r>
        <w:fldChar w:fldCharType="begin"/>
      </w:r>
      <w:r>
        <w:instrText xml:space="preserve"> PAGEREF _Toc9965 \h </w:instrText>
      </w:r>
      <w:r>
        <w:fldChar w:fldCharType="separate"/>
      </w:r>
      <w:r>
        <w:t>11</w:t>
      </w:r>
      <w:r>
        <w:fldChar w:fldCharType="end"/>
      </w:r>
      <w:r>
        <w:rPr>
          <w:rFonts w:ascii="黑体" w:hAnsi="黑体" w:eastAsia="黑体"/>
        </w:rPr>
        <w:fldChar w:fldCharType="end"/>
      </w:r>
    </w:p>
    <w:p w14:paraId="382E0ACB">
      <w:pPr>
        <w:pStyle w:val="29"/>
        <w:tabs>
          <w:tab w:val="right" w:leader="dot" w:pos="8788"/>
        </w:tabs>
      </w:pPr>
      <w:r>
        <w:rPr>
          <w:rFonts w:ascii="黑体" w:hAnsi="黑体" w:eastAsia="黑体"/>
        </w:rPr>
        <w:fldChar w:fldCharType="begin"/>
      </w:r>
      <w:r>
        <w:rPr>
          <w:rFonts w:ascii="黑体" w:hAnsi="黑体" w:eastAsia="黑体"/>
        </w:rPr>
        <w:instrText xml:space="preserve"> HYPERLINK \l _Toc16307 </w:instrText>
      </w:r>
      <w:r>
        <w:rPr>
          <w:rFonts w:ascii="黑体" w:hAnsi="黑体" w:eastAsia="黑体"/>
        </w:rPr>
        <w:fldChar w:fldCharType="separate"/>
      </w:r>
      <w:r>
        <w:rPr>
          <w:rFonts w:ascii="黑体" w:hAnsi="黑体" w:eastAsia="黑体"/>
        </w:rPr>
        <w:t>E.模型训练</w:t>
      </w:r>
      <w:r>
        <w:tab/>
      </w:r>
      <w:r>
        <w:fldChar w:fldCharType="begin"/>
      </w:r>
      <w:r>
        <w:instrText xml:space="preserve"> PAGEREF _Toc16307 \h </w:instrText>
      </w:r>
      <w:r>
        <w:fldChar w:fldCharType="separate"/>
      </w:r>
      <w:r>
        <w:t>12</w:t>
      </w:r>
      <w:r>
        <w:fldChar w:fldCharType="end"/>
      </w:r>
      <w:r>
        <w:rPr>
          <w:rFonts w:ascii="黑体" w:hAnsi="黑体" w:eastAsia="黑体"/>
        </w:rPr>
        <w:fldChar w:fldCharType="end"/>
      </w:r>
    </w:p>
    <w:p w14:paraId="384D74EC">
      <w:pPr>
        <w:pStyle w:val="26"/>
        <w:tabs>
          <w:tab w:val="right" w:leader="dot" w:pos="8788"/>
        </w:tabs>
      </w:pPr>
      <w:r>
        <w:rPr>
          <w:rFonts w:ascii="黑体" w:hAnsi="黑体" w:eastAsia="黑体"/>
        </w:rPr>
        <w:fldChar w:fldCharType="begin"/>
      </w:r>
      <w:r>
        <w:rPr>
          <w:rFonts w:ascii="黑体" w:hAnsi="黑体" w:eastAsia="黑体"/>
        </w:rPr>
        <w:instrText xml:space="preserve"> HYPERLINK \l _Toc31519 </w:instrText>
      </w:r>
      <w:r>
        <w:rPr>
          <w:rFonts w:ascii="黑体" w:hAnsi="黑体" w:eastAsia="黑体"/>
        </w:rPr>
        <w:fldChar w:fldCharType="separate"/>
      </w:r>
      <w:r>
        <w:rPr>
          <w:rFonts w:ascii="黑体" w:hAnsi="黑体" w:eastAsia="黑体"/>
        </w:rPr>
        <w:t>IV.实验结果</w:t>
      </w:r>
      <w:r>
        <w:tab/>
      </w:r>
      <w:r>
        <w:fldChar w:fldCharType="begin"/>
      </w:r>
      <w:r>
        <w:instrText xml:space="preserve"> PAGEREF _Toc31519 \h </w:instrText>
      </w:r>
      <w:r>
        <w:fldChar w:fldCharType="separate"/>
      </w:r>
      <w:r>
        <w:t>13</w:t>
      </w:r>
      <w:r>
        <w:fldChar w:fldCharType="end"/>
      </w:r>
      <w:r>
        <w:rPr>
          <w:rFonts w:ascii="黑体" w:hAnsi="黑体" w:eastAsia="黑体"/>
        </w:rPr>
        <w:fldChar w:fldCharType="end"/>
      </w:r>
    </w:p>
    <w:p w14:paraId="57973CF9">
      <w:pPr>
        <w:pStyle w:val="29"/>
        <w:tabs>
          <w:tab w:val="right" w:leader="dot" w:pos="8788"/>
        </w:tabs>
      </w:pPr>
      <w:r>
        <w:rPr>
          <w:rFonts w:ascii="黑体" w:hAnsi="黑体" w:eastAsia="黑体"/>
        </w:rPr>
        <w:fldChar w:fldCharType="begin"/>
      </w:r>
      <w:r>
        <w:rPr>
          <w:rFonts w:ascii="黑体" w:hAnsi="黑体" w:eastAsia="黑体"/>
        </w:rPr>
        <w:instrText xml:space="preserve"> HYPERLINK \l _Toc16209 </w:instrText>
      </w:r>
      <w:r>
        <w:rPr>
          <w:rFonts w:ascii="黑体" w:hAnsi="黑体" w:eastAsia="黑体"/>
        </w:rPr>
        <w:fldChar w:fldCharType="separate"/>
      </w:r>
      <w:r>
        <w:rPr>
          <w:rFonts w:ascii="黑体" w:hAnsi="黑体" w:eastAsia="黑体"/>
        </w:rPr>
        <w:t>A.鲁棒性</w:t>
      </w:r>
      <w:r>
        <w:tab/>
      </w:r>
      <w:r>
        <w:fldChar w:fldCharType="begin"/>
      </w:r>
      <w:r>
        <w:instrText xml:space="preserve"> PAGEREF _Toc16209 \h </w:instrText>
      </w:r>
      <w:r>
        <w:fldChar w:fldCharType="separate"/>
      </w:r>
      <w:r>
        <w:t>14</w:t>
      </w:r>
      <w:r>
        <w:fldChar w:fldCharType="end"/>
      </w:r>
      <w:r>
        <w:rPr>
          <w:rFonts w:ascii="黑体" w:hAnsi="黑体" w:eastAsia="黑体"/>
        </w:rPr>
        <w:fldChar w:fldCharType="end"/>
      </w:r>
    </w:p>
    <w:p w14:paraId="7E2DA2EE">
      <w:pPr>
        <w:pStyle w:val="29"/>
        <w:tabs>
          <w:tab w:val="right" w:leader="dot" w:pos="8788"/>
        </w:tabs>
      </w:pPr>
      <w:r>
        <w:rPr>
          <w:rFonts w:ascii="黑体" w:hAnsi="黑体" w:eastAsia="黑体"/>
        </w:rPr>
        <w:fldChar w:fldCharType="begin"/>
      </w:r>
      <w:r>
        <w:rPr>
          <w:rFonts w:ascii="黑体" w:hAnsi="黑体" w:eastAsia="黑体"/>
        </w:rPr>
        <w:instrText xml:space="preserve"> HYPERLINK \l _Toc14410 </w:instrText>
      </w:r>
      <w:r>
        <w:rPr>
          <w:rFonts w:ascii="黑体" w:hAnsi="黑体" w:eastAsia="黑体"/>
        </w:rPr>
        <w:fldChar w:fldCharType="separate"/>
      </w:r>
      <w:r>
        <w:rPr>
          <w:rFonts w:ascii="黑体" w:hAnsi="黑体" w:eastAsia="黑体"/>
        </w:rPr>
        <w:t>B.复杂度</w:t>
      </w:r>
      <w:r>
        <w:tab/>
      </w:r>
      <w:r>
        <w:fldChar w:fldCharType="begin"/>
      </w:r>
      <w:r>
        <w:instrText xml:space="preserve"> PAGEREF _Toc14410 \h </w:instrText>
      </w:r>
      <w:r>
        <w:fldChar w:fldCharType="separate"/>
      </w:r>
      <w:r>
        <w:t>14</w:t>
      </w:r>
      <w:r>
        <w:fldChar w:fldCharType="end"/>
      </w:r>
      <w:r>
        <w:rPr>
          <w:rFonts w:ascii="黑体" w:hAnsi="黑体" w:eastAsia="黑体"/>
        </w:rPr>
        <w:fldChar w:fldCharType="end"/>
      </w:r>
    </w:p>
    <w:p w14:paraId="032BE43A">
      <w:pPr>
        <w:pStyle w:val="29"/>
        <w:tabs>
          <w:tab w:val="right" w:leader="dot" w:pos="8788"/>
        </w:tabs>
      </w:pPr>
      <w:r>
        <w:rPr>
          <w:rFonts w:ascii="黑体" w:hAnsi="黑体" w:eastAsia="黑体"/>
        </w:rPr>
        <w:fldChar w:fldCharType="begin"/>
      </w:r>
      <w:r>
        <w:rPr>
          <w:rFonts w:ascii="黑体" w:hAnsi="黑体" w:eastAsia="黑体"/>
        </w:rPr>
        <w:instrText xml:space="preserve"> HYPERLINK \l _Toc16864 </w:instrText>
      </w:r>
      <w:r>
        <w:rPr>
          <w:rFonts w:ascii="黑体" w:hAnsi="黑体" w:eastAsia="黑体"/>
        </w:rPr>
        <w:fldChar w:fldCharType="separate"/>
      </w:r>
      <w:r>
        <w:rPr>
          <w:rFonts w:ascii="黑体" w:hAnsi="黑体" w:eastAsia="黑体"/>
        </w:rPr>
        <w:t>C.消融研究</w:t>
      </w:r>
      <w:r>
        <w:tab/>
      </w:r>
      <w:r>
        <w:fldChar w:fldCharType="begin"/>
      </w:r>
      <w:r>
        <w:instrText xml:space="preserve"> PAGEREF _Toc16864 \h </w:instrText>
      </w:r>
      <w:r>
        <w:fldChar w:fldCharType="separate"/>
      </w:r>
      <w:r>
        <w:t>15</w:t>
      </w:r>
      <w:r>
        <w:fldChar w:fldCharType="end"/>
      </w:r>
      <w:r>
        <w:rPr>
          <w:rFonts w:ascii="黑体" w:hAnsi="黑体" w:eastAsia="黑体"/>
        </w:rPr>
        <w:fldChar w:fldCharType="end"/>
      </w:r>
    </w:p>
    <w:p w14:paraId="17FC8A41">
      <w:pPr>
        <w:pStyle w:val="29"/>
        <w:tabs>
          <w:tab w:val="right" w:leader="dot" w:pos="8788"/>
        </w:tabs>
      </w:pPr>
      <w:r>
        <w:rPr>
          <w:rFonts w:ascii="黑体" w:hAnsi="黑体" w:eastAsia="黑体"/>
        </w:rPr>
        <w:fldChar w:fldCharType="begin"/>
      </w:r>
      <w:r>
        <w:rPr>
          <w:rFonts w:ascii="黑体" w:hAnsi="黑体" w:eastAsia="黑体"/>
        </w:rPr>
        <w:instrText xml:space="preserve"> HYPERLINK \l _Toc14346 </w:instrText>
      </w:r>
      <w:r>
        <w:rPr>
          <w:rFonts w:ascii="黑体" w:hAnsi="黑体" w:eastAsia="黑体"/>
        </w:rPr>
        <w:fldChar w:fldCharType="separate"/>
      </w:r>
      <w:r>
        <w:rPr>
          <w:rFonts w:ascii="黑体" w:hAnsi="黑体" w:eastAsia="黑体"/>
        </w:rPr>
        <w:t>D.讨论</w:t>
      </w:r>
      <w:r>
        <w:tab/>
      </w:r>
      <w:r>
        <w:fldChar w:fldCharType="begin"/>
      </w:r>
      <w:r>
        <w:instrText xml:space="preserve"> PAGEREF _Toc14346 \h </w:instrText>
      </w:r>
      <w:r>
        <w:fldChar w:fldCharType="separate"/>
      </w:r>
      <w:r>
        <w:t>15</w:t>
      </w:r>
      <w:r>
        <w:fldChar w:fldCharType="end"/>
      </w:r>
      <w:r>
        <w:rPr>
          <w:rFonts w:ascii="黑体" w:hAnsi="黑体" w:eastAsia="黑体"/>
        </w:rPr>
        <w:fldChar w:fldCharType="end"/>
      </w:r>
    </w:p>
    <w:p w14:paraId="2A782EB7">
      <w:pPr>
        <w:pStyle w:val="26"/>
        <w:tabs>
          <w:tab w:val="right" w:leader="dot" w:pos="8788"/>
        </w:tabs>
      </w:pPr>
      <w:r>
        <w:rPr>
          <w:rFonts w:ascii="黑体" w:hAnsi="黑体" w:eastAsia="黑体"/>
        </w:rPr>
        <w:fldChar w:fldCharType="begin"/>
      </w:r>
      <w:r>
        <w:rPr>
          <w:rFonts w:ascii="黑体" w:hAnsi="黑体" w:eastAsia="黑体"/>
        </w:rPr>
        <w:instrText xml:space="preserve"> HYPERLINK \l _Toc2937 </w:instrText>
      </w:r>
      <w:r>
        <w:rPr>
          <w:rFonts w:ascii="黑体" w:hAnsi="黑体" w:eastAsia="黑体"/>
        </w:rPr>
        <w:fldChar w:fldCharType="separate"/>
      </w:r>
      <w:r>
        <w:rPr>
          <w:rFonts w:ascii="黑体" w:hAnsi="黑体" w:eastAsia="黑体"/>
        </w:rPr>
        <w:t>V.结论</w:t>
      </w:r>
      <w:r>
        <w:tab/>
      </w:r>
      <w:r>
        <w:fldChar w:fldCharType="begin"/>
      </w:r>
      <w:r>
        <w:instrText xml:space="preserve"> PAGEREF _Toc2937 \h </w:instrText>
      </w:r>
      <w:r>
        <w:fldChar w:fldCharType="separate"/>
      </w:r>
      <w:r>
        <w:t>17</w:t>
      </w:r>
      <w:r>
        <w:fldChar w:fldCharType="end"/>
      </w:r>
      <w:r>
        <w:rPr>
          <w:rFonts w:ascii="黑体" w:hAnsi="黑体" w:eastAsia="黑体"/>
        </w:rPr>
        <w:fldChar w:fldCharType="end"/>
      </w:r>
    </w:p>
    <w:p w14:paraId="0A9EC77A">
      <w:pPr>
        <w:rPr>
          <w:rFonts w:ascii="黑体" w:hAnsi="黑体" w:eastAsia="黑体"/>
          <w:b/>
          <w:sz w:val="30"/>
        </w:rPr>
      </w:pPr>
      <w:r>
        <w:rPr>
          <w:rFonts w:ascii="黑体" w:hAnsi="黑体" w:eastAsia="黑体"/>
        </w:rPr>
        <w:fldChar w:fldCharType="end"/>
      </w:r>
    </w:p>
    <w:p w14:paraId="2FBF58AC">
      <w:pPr>
        <w:rPr>
          <w:rFonts w:ascii="黑体" w:hAnsi="黑体" w:eastAsia="黑体"/>
          <w:b/>
          <w:sz w:val="30"/>
        </w:rPr>
      </w:pPr>
      <w:bookmarkStart w:id="7" w:name="_Toc5999"/>
      <w:r>
        <w:rPr>
          <w:rFonts w:ascii="黑体" w:hAnsi="黑体" w:eastAsia="黑体"/>
          <w:b/>
          <w:sz w:val="30"/>
        </w:rPr>
        <w:br w:type="page"/>
      </w:r>
    </w:p>
    <w:p w14:paraId="51EC5BE8">
      <w:pPr>
        <w:keepNext w:val="0"/>
        <w:keepLines w:val="0"/>
        <w:pageBreakBefore w:val="0"/>
        <w:widowControl/>
        <w:kinsoku/>
        <w:wordWrap/>
        <w:overflowPunct/>
        <w:topLinePunct w:val="0"/>
        <w:autoSpaceDE/>
        <w:autoSpaceDN/>
        <w:bidi w:val="0"/>
        <w:adjustRightInd/>
        <w:snapToGrid/>
        <w:spacing w:before="0" w:after="0" w:line="360" w:lineRule="auto"/>
        <w:jc w:val="left"/>
        <w:textAlignment w:val="auto"/>
        <w:outlineLvl w:val="0"/>
      </w:pPr>
      <w:bookmarkStart w:id="8" w:name="_Toc21213"/>
      <w:bookmarkStart w:id="9" w:name="_Toc4255"/>
      <w:bookmarkStart w:id="10" w:name="_Toc19393"/>
      <w:r>
        <w:rPr>
          <w:rFonts w:ascii="黑体" w:hAnsi="黑体" w:eastAsia="黑体"/>
          <w:b/>
          <w:sz w:val="30"/>
        </w:rPr>
        <w:t>I.介绍</w:t>
      </w:r>
      <w:bookmarkEnd w:id="7"/>
      <w:bookmarkEnd w:id="8"/>
      <w:bookmarkEnd w:id="9"/>
      <w:bookmarkEnd w:id="10"/>
    </w:p>
    <w:p w14:paraId="20B696C3">
      <w:pPr>
        <w:spacing w:before="0" w:after="0" w:line="360" w:lineRule="auto"/>
        <w:jc w:val="both"/>
      </w:pPr>
    </w:p>
    <w:p w14:paraId="7280D208">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eastAsia="宋体"/>
          <w:b w:val="0"/>
          <w:sz w:val="24"/>
          <w:lang w:val="en-US" w:eastAsia="zh-CN"/>
        </w:rPr>
      </w:pPr>
      <w:r>
        <w:rPr>
          <w:rFonts w:hint="eastAsia" w:eastAsia="宋体"/>
          <w:b w:val="0"/>
          <w:sz w:val="24"/>
          <w:lang w:val="en-US" w:eastAsia="zh-CN"/>
        </w:rPr>
        <w:t>自</w:t>
      </w:r>
      <w:r>
        <w:rPr>
          <w:rFonts w:ascii="Times New Roman" w:hAnsi="Times New Roman" w:eastAsia="宋体"/>
          <w:b w:val="0"/>
          <w:sz w:val="24"/>
        </w:rPr>
        <w:t>动驾驶是一项很有前途的技术，它有可能提高公共道路的安全性，并为以前无法接触到的人提供机动性。然而，利用这项技术需要自动驾驶汽车在多种不同的环境条件下安全运行。这些条件包括夜间驾驶或恶劣天气条件下的驾驶等日常驾驶情况，以及自动驾驶车辆(AV)在传感器故障后必须快速反应或维持一般功能的关键情</w:t>
      </w:r>
      <w:r>
        <w:rPr>
          <w:rFonts w:hint="eastAsia" w:eastAsia="宋体"/>
          <w:b w:val="0"/>
          <w:sz w:val="24"/>
          <w:lang w:val="en-US" w:eastAsia="zh-CN"/>
        </w:rPr>
        <w:t>景。</w:t>
      </w:r>
    </w:p>
    <w:p w14:paraId="70CF2DD5">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ascii="Times New Roman" w:hAnsi="Times New Roman" w:eastAsia="宋体"/>
          <w:b w:val="0"/>
          <w:sz w:val="24"/>
        </w:rPr>
      </w:pPr>
      <w:r>
        <w:rPr>
          <w:rFonts w:ascii="Times New Roman" w:hAnsi="Times New Roman" w:eastAsia="宋体"/>
          <w:b w:val="0"/>
          <w:sz w:val="24"/>
        </w:rPr>
        <w:t>大多数自动驾驶系统的感知要么基于摄像头，要么基于光探测和测距(激光雷达)传感器。虽然摄像头传感器具有成本效益，但它们依赖于环境光，不能提供深度信息。相比之下，激光雷达传感器提供了对周围环境的精确测量，但成本很高。更重要的是，无论是摄像头还是激光雷达传感器，都无法抵御雨、雾或雪等恶劣天气条件。另一方面，无线电探测和测距(雷达)传感器在具有挑战性的环境条件下具有成本效益和鲁棒性，但由于其低空间分辨率和高噪声水平，尚未提供与激光雷达或基于摄像头的感知方法相当的物体检测质量。</w:t>
      </w:r>
    </w:p>
    <w:p w14:paraId="60F453DB">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r>
        <w:rPr>
          <w:rFonts w:ascii="Times New Roman" w:hAnsi="Times New Roman" w:eastAsia="宋体"/>
          <w:b w:val="0"/>
          <w:sz w:val="24"/>
        </w:rPr>
        <w:t>克服单个传感器技术局限性的潜在解决方案是多种传感器模式的组合，也称为传感器融合。然而，由于相机和雷达传感器之间的固有差异，例如感知维度(2Dvs.3D)、数据表示(点云vs.网格)和传感器分辨率，传感器融合仍然具有挑战性。</w:t>
      </w:r>
    </w:p>
    <w:p w14:paraId="42A954FE">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r>
        <w:rPr>
          <w:rFonts w:ascii="Times New Roman" w:hAnsi="Times New Roman" w:eastAsia="宋体"/>
          <w:b w:val="0"/>
          <w:sz w:val="24"/>
        </w:rPr>
        <w:t>在本文中，我们提出了一种新颖的相机和雷达传感器融合方法，为3D目标检测提供了一种鲁棒、高性能、且具有成本效益的方法。虽然在之前已经完成了相机与雷达的融合，但之前的方法大多依赖于雷达点云数据，因此遭受了数据表示稀疏的困扰，并且面临着将图像与点云结合的挑战。另一方面，利用原始雷达数据的融合方法仅依赖于鸟瞰(BEV)表示的雷达数据。因此，他们一方面将图像平面的数据与垂直BEV平面的数据融合在一起，另一方面放弃了现代4D雷达传感器的优势。</w:t>
      </w:r>
    </w:p>
    <w:p w14:paraId="791132F3">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r>
        <w:rPr>
          <w:rFonts w:ascii="Times New Roman" w:hAnsi="Times New Roman" w:eastAsia="宋体"/>
          <w:b w:val="0"/>
          <w:sz w:val="24"/>
        </w:rPr>
        <w:t>我们提出的方法通过融合相机数据和原始雷达立方体数据来克服这些限制，以减轻传感器分辨率的差异，并受益于两种传感器模式的结构化网格表示。然而，由于对计算资源的高需求，直接消耗原始雷达立方体数据将是不可行的。因此，我们开发了一种减少4D雷达立方体的投影方法到两个二维网格，同时保持重要特征并提供对输入噪声的低灵敏度。因此，所提出的融合架构利用了来自BEV和前视视角的雷达数据，如图1所示。通过这种双视角方法，我们为图像平面创建了相应的数据源，以支持相机-雷达融合，并将来自BEV平面的数据整合到所有雷达尺寸中。然后，所有三个数据输入都通过ResNet特征提取器和随后的特征金字塔网络(FPN)颈部进行馈送，然后在融合模块中进行组合。然而，我们的方法不需要组合特征空间，而是直接从这些单独的角度查询3D对象，从而防止了统一的特征空间或原始数据融合造成的信息丢失。为了实现这一点，我们引入了一种改进的可变形注意力机制，该机制允许笛卡尔和球面参考点投影来实现模态不可知的传感器融合。</w:t>
      </w:r>
    </w:p>
    <w:p w14:paraId="63A62C2B">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r>
        <w:rPr>
          <w:rFonts w:ascii="Times New Roman" w:hAnsi="Times New Roman" w:eastAsia="宋体"/>
          <w:b w:val="0"/>
          <w:sz w:val="24"/>
        </w:rPr>
        <w:t>综上所述，我们的主要贡献有三点:</w:t>
      </w:r>
    </w:p>
    <w:p w14:paraId="6C3AE06A">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r>
        <w:rPr>
          <w:rFonts w:ascii="Times New Roman" w:hAnsi="Times New Roman" w:eastAsia="宋体"/>
          <w:b w:val="0"/>
          <w:sz w:val="24"/>
        </w:rPr>
        <w:t>•我们提出了一种高效的传感器融合方法，将雷达立方体投影到两个视角上，从而简化了摄像头-雷达融合，避免了稀疏雷达点云的限制，并利用了4D雷达传感器的优势。</w:t>
      </w:r>
    </w:p>
    <w:p w14:paraId="6FA683C0">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r>
        <w:rPr>
          <w:rFonts w:ascii="Times New Roman" w:hAnsi="Times New Roman" w:eastAsia="宋体"/>
          <w:b w:val="0"/>
          <w:sz w:val="24"/>
        </w:rPr>
        <w:t>•通过提出一种新颖的融合方法，我们首次将4D雷达立方体数据与图像数据融合，该方法不依赖于常见的BEV表示来融合相机和雷达数据。</w:t>
      </w:r>
    </w:p>
    <w:p w14:paraId="59599919">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r>
        <w:rPr>
          <w:rFonts w:ascii="Times New Roman" w:hAnsi="Times New Roman" w:eastAsia="宋体"/>
          <w:b w:val="0"/>
          <w:sz w:val="24"/>
        </w:rPr>
        <w:t>•实验表明，我们的方法在具有挑战性的K-Radar数据集上的恶劣天气条件下取得了最先进的结果，因此比以前的方法提供了更强的鲁棒性和更低的推理时间。</w:t>
      </w:r>
    </w:p>
    <w:p w14:paraId="47DE6DD0">
      <w:r>
        <w:br w:type="page"/>
      </w:r>
    </w:p>
    <w:p w14:paraId="198EC8A2">
      <w:pPr>
        <w:keepNext w:val="0"/>
        <w:keepLines w:val="0"/>
        <w:pageBreakBefore w:val="0"/>
        <w:widowControl/>
        <w:kinsoku/>
        <w:wordWrap/>
        <w:overflowPunct/>
        <w:topLinePunct w:val="0"/>
        <w:autoSpaceDE/>
        <w:autoSpaceDN/>
        <w:bidi w:val="0"/>
        <w:adjustRightInd/>
        <w:snapToGrid/>
        <w:spacing w:before="0" w:after="0" w:line="360" w:lineRule="auto"/>
        <w:jc w:val="left"/>
        <w:textAlignment w:val="auto"/>
        <w:outlineLvl w:val="0"/>
      </w:pPr>
      <w:bookmarkStart w:id="11" w:name="_Toc8486"/>
      <w:bookmarkStart w:id="12" w:name="_Toc23461"/>
      <w:bookmarkStart w:id="13" w:name="_Toc29159"/>
      <w:bookmarkStart w:id="14" w:name="_Toc12557"/>
      <w:r>
        <w:rPr>
          <w:rFonts w:ascii="黑体" w:hAnsi="黑体" w:eastAsia="黑体"/>
          <w:b/>
          <w:sz w:val="30"/>
        </w:rPr>
        <w:t>II.相关工作</w:t>
      </w:r>
      <w:bookmarkEnd w:id="11"/>
      <w:bookmarkEnd w:id="12"/>
      <w:bookmarkEnd w:id="13"/>
      <w:bookmarkEnd w:id="14"/>
    </w:p>
    <w:p w14:paraId="311F4081">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p>
    <w:p w14:paraId="2A9654B8">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r>
        <w:rPr>
          <w:rFonts w:ascii="Times New Roman" w:hAnsi="Times New Roman" w:eastAsia="宋体"/>
          <w:b w:val="0"/>
          <w:sz w:val="24"/>
        </w:rPr>
        <w:t>所提出的方法结合了相机和雷达传感器的互补特性，为3D物体检测创建了一种鲁棒、高性能、经济高效的方法。然而，要理解所提出的双视角融合变压器(DPFT)背后的动机，重要的是要了解单峰目标检测方法和可用数据集的概念和局限性。</w:t>
      </w:r>
    </w:p>
    <w:p w14:paraId="170DE881">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p>
    <w:p w14:paraId="6C02EFC9">
      <w:pPr>
        <w:keepNext w:val="0"/>
        <w:keepLines w:val="0"/>
        <w:pageBreakBefore w:val="0"/>
        <w:widowControl/>
        <w:numPr>
          <w:ilvl w:val="0"/>
          <w:numId w:val="7"/>
        </w:numPr>
        <w:kinsoku/>
        <w:wordWrap/>
        <w:overflowPunct/>
        <w:topLinePunct w:val="0"/>
        <w:autoSpaceDE/>
        <w:autoSpaceDN/>
        <w:bidi w:val="0"/>
        <w:adjustRightInd/>
        <w:snapToGrid/>
        <w:spacing w:before="0" w:after="0" w:line="360" w:lineRule="auto"/>
        <w:ind w:firstLine="562" w:firstLineChars="200"/>
        <w:jc w:val="left"/>
        <w:textAlignment w:val="auto"/>
        <w:outlineLvl w:val="1"/>
        <w:rPr>
          <w:rFonts w:ascii="黑体" w:hAnsi="黑体" w:eastAsia="黑体"/>
          <w:b/>
          <w:sz w:val="28"/>
        </w:rPr>
      </w:pPr>
      <w:bookmarkStart w:id="15" w:name="_Toc29068"/>
      <w:bookmarkStart w:id="16" w:name="_Toc25171"/>
      <w:bookmarkStart w:id="17" w:name="_Toc1975"/>
      <w:bookmarkStart w:id="18" w:name="_Toc26479"/>
      <w:r>
        <w:rPr>
          <w:rFonts w:ascii="黑体" w:hAnsi="黑体" w:eastAsia="黑体"/>
          <w:b/>
          <w:sz w:val="28"/>
        </w:rPr>
        <w:t>Camera-Radar</w:t>
      </w:r>
      <w:r>
        <w:rPr>
          <w:rFonts w:hint="eastAsia" w:ascii="黑体" w:hAnsi="黑体" w:eastAsia="黑体"/>
          <w:b/>
          <w:sz w:val="28"/>
          <w:lang w:val="en-US" w:eastAsia="zh-CN"/>
        </w:rPr>
        <w:t xml:space="preserve"> </w:t>
      </w:r>
      <w:r>
        <w:rPr>
          <w:rFonts w:ascii="黑体" w:hAnsi="黑体" w:eastAsia="黑体"/>
          <w:b/>
          <w:sz w:val="28"/>
        </w:rPr>
        <w:t>Datasets</w:t>
      </w:r>
      <w:bookmarkEnd w:id="15"/>
      <w:bookmarkEnd w:id="16"/>
      <w:bookmarkEnd w:id="17"/>
      <w:bookmarkEnd w:id="18"/>
    </w:p>
    <w:p w14:paraId="70AE4C33">
      <w:pPr>
        <w:keepNext w:val="0"/>
        <w:keepLines w:val="0"/>
        <w:pageBreakBefore w:val="0"/>
        <w:widowControl/>
        <w:numPr>
          <w:numId w:val="0"/>
        </w:numPr>
        <w:kinsoku/>
        <w:wordWrap/>
        <w:overflowPunct/>
        <w:topLinePunct w:val="0"/>
        <w:autoSpaceDE/>
        <w:autoSpaceDN/>
        <w:bidi w:val="0"/>
        <w:adjustRightInd/>
        <w:snapToGrid/>
        <w:spacing w:before="0" w:after="0" w:line="360" w:lineRule="auto"/>
        <w:ind w:firstLine="562" w:firstLineChars="200"/>
        <w:jc w:val="left"/>
        <w:textAlignment w:val="auto"/>
        <w:rPr>
          <w:rFonts w:ascii="黑体" w:hAnsi="黑体" w:eastAsia="黑体"/>
          <w:b/>
          <w:sz w:val="28"/>
        </w:rPr>
      </w:pPr>
    </w:p>
    <w:p w14:paraId="55C343BB">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r>
        <w:rPr>
          <w:rFonts w:ascii="Times New Roman" w:hAnsi="Times New Roman" w:eastAsia="宋体"/>
          <w:b w:val="0"/>
          <w:sz w:val="24"/>
        </w:rPr>
        <w:t>虽然自动驾驶领域有很多数据集，但其中大多数不包括雷达传感器数据。nuScenes数据集仅提供3D雷达点云，并因其有限的雷达数据质量，而受到批评。RadarScenes数据集提供了更高质量的雷达数据，但仅在点云级别上，不提供对象注释。View-of-Delft和TJ4DRadSet数据集都提供了4D雷达数据和相应的边界框，但不包括原始雷达数据。CARRADA、radiance和CRUW数据集是为数不多的证明立方级雷达数据之一，但仅限于3D雷达数据，不提供3D对象注释。径向数据集提供原始数据4D雷达数据，但最初只包括2D边界框注释。即使Liuetal.最近添加了3D注释，径向数据集也不支持四维雷达立方体数据的检索，范围有限，并且不包括恶劣天气条件下的数据，这是雷达应用的主要动机之一。由于这些原因，K-Radar数据集是我们实验中唯一合适的数据集。数据集本身包括来自4D雷达传感器的原始(立方体级)雷达数据，以及来自两个激光雷达传感器、4个立体摄像头、一个GNSS和两个IMU单元的数据。此外，它还为从58个不同的驾驶场景中采样的34994帧提供了3D标注的边界框，并分为49.9%的训练数据和50.1%的测试数据。</w:t>
      </w:r>
    </w:p>
    <w:p w14:paraId="798DA44E">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p>
    <w:p w14:paraId="1518C7B6">
      <w:pPr>
        <w:keepNext w:val="0"/>
        <w:keepLines w:val="0"/>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19" w:name="_Toc12461"/>
      <w:bookmarkStart w:id="20" w:name="_Toc18857"/>
      <w:bookmarkStart w:id="21" w:name="_Toc7354"/>
      <w:bookmarkStart w:id="22" w:name="_Toc6571"/>
      <w:r>
        <w:rPr>
          <w:rFonts w:ascii="黑体" w:hAnsi="黑体" w:eastAsia="黑体"/>
          <w:b/>
          <w:sz w:val="28"/>
        </w:rPr>
        <w:t>B.基于摄像头的3D物体检测</w:t>
      </w:r>
      <w:bookmarkEnd w:id="19"/>
      <w:bookmarkEnd w:id="20"/>
      <w:bookmarkEnd w:id="21"/>
      <w:bookmarkEnd w:id="22"/>
    </w:p>
    <w:p w14:paraId="486DFCE9">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p>
    <w:p w14:paraId="07A517BF">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ascii="Times New Roman" w:hAnsi="Times New Roman" w:eastAsia="宋体"/>
          <w:b w:val="0"/>
          <w:sz w:val="24"/>
        </w:rPr>
      </w:pPr>
      <w:r>
        <w:rPr>
          <w:rFonts w:ascii="Times New Roman" w:hAnsi="Times New Roman" w:eastAsia="宋体"/>
          <w:b w:val="0"/>
          <w:sz w:val="24"/>
        </w:rPr>
        <w:t>基于摄像头的单眼3D物体检测方法可以分为三大类:数据提升、特征提升、结果提升方法。</w:t>
      </w:r>
    </w:p>
    <w:p w14:paraId="223B1BB6">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r>
        <w:rPr>
          <w:rFonts w:ascii="Times New Roman" w:hAnsi="Times New Roman" w:eastAsia="宋体"/>
          <w:b w:val="0"/>
          <w:sz w:val="24"/>
        </w:rPr>
        <w:t>数据提升方法直接将2D相机数据提升到3D空间中，以检测其中的物体。其中，伪激光雷达方法最常用于将相机图像转换为3D点云。除此之外，基于学习的方法可以用于数据提升，甚至大多数特征提升方法、都可以直接应用于图像数据。</w:t>
      </w:r>
    </w:p>
    <w:p w14:paraId="43F14584">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r>
        <w:rPr>
          <w:rFonts w:ascii="Times New Roman" w:hAnsi="Times New Roman" w:eastAsia="宋体"/>
          <w:b w:val="0"/>
          <w:sz w:val="24"/>
        </w:rPr>
        <w:t>特征提升方法首先提取二维图像特征，然后将其提升到三维空间，作为预测三维物体的基础。在这一类别中，主要有两种提升策略:一种是将2D的特征“推”(飞溅)到3D空间中，另一种是将2D空间中的3D特征“拉”(采样)。</w:t>
      </w:r>
    </w:p>
    <w:p w14:paraId="45102B44">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r>
        <w:rPr>
          <w:rFonts w:ascii="Times New Roman" w:hAnsi="Times New Roman" w:eastAsia="宋体"/>
          <w:b w:val="0"/>
          <w:sz w:val="24"/>
        </w:rPr>
        <w:t>结果提升方法的特点是，它们首先估计2D图像平面中物体的属性，然后将2D检测提升到3D空间。受2D物体检测领域内使用的分类法的启发，这些方法可以进一步分为一级检测器和两级检测器。一级检测器直接从2D图像特征中回归3D物体，其典型特点是推理速度快。这一类的代表性方法是基于锚点的检测器或无锚点模型。两阶段检测器首先生成区域建议，然后对这些建议进行细化，以预测3D物体。该类别的方法可以使用几何先验、或基于模型的先验。</w:t>
      </w:r>
    </w:p>
    <w:p w14:paraId="356834A4">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r>
        <w:rPr>
          <w:rFonts w:ascii="Times New Roman" w:hAnsi="Times New Roman" w:eastAsia="宋体"/>
          <w:b w:val="0"/>
          <w:sz w:val="24"/>
        </w:rPr>
        <w:t>即使多年来开发了不同的策略，但由于相机传感器无法直接测量深度信息，基于相机的3D物体检测面临的最大挑战仍然是从2D到3D空间的提升。此外，相机传感器容易受到光照变化和恶劣天气条件的影响，限制了其在现场应用中的鲁棒性。</w:t>
      </w:r>
    </w:p>
    <w:p w14:paraId="11570617">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p>
    <w:p w14:paraId="3548D1F9">
      <w:pPr>
        <w:keepNext w:val="0"/>
        <w:keepLines w:val="0"/>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23" w:name="_Toc14206"/>
      <w:bookmarkStart w:id="24" w:name="_Toc17972"/>
      <w:bookmarkStart w:id="25" w:name="_Toc4109"/>
      <w:bookmarkStart w:id="26" w:name="_Toc10814"/>
      <w:r>
        <w:rPr>
          <w:rFonts w:ascii="黑体" w:hAnsi="黑体" w:eastAsia="黑体"/>
          <w:b/>
          <w:sz w:val="28"/>
        </w:rPr>
        <w:t>C.基于雷达的3D物体检测</w:t>
      </w:r>
      <w:bookmarkEnd w:id="23"/>
      <w:bookmarkEnd w:id="24"/>
      <w:bookmarkEnd w:id="25"/>
      <w:bookmarkEnd w:id="26"/>
    </w:p>
    <w:p w14:paraId="2DC898BF">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p>
    <w:p w14:paraId="12B0AD10">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ascii="Times New Roman" w:hAnsi="Times New Roman" w:eastAsia="宋体"/>
          <w:b w:val="0"/>
          <w:sz w:val="24"/>
        </w:rPr>
      </w:pPr>
      <w:r>
        <w:rPr>
          <w:rFonts w:ascii="Times New Roman" w:hAnsi="Times New Roman" w:eastAsia="宋体"/>
          <w:b w:val="0"/>
          <w:sz w:val="24"/>
        </w:rPr>
        <w:t>雷达传感器与相机相比，在恶劣天气条件下具有很强的鲁棒性，不仅可以测量深度信息，还可以通过多普勒效应测量强度和相对速度。这是由于雷达传感器通过主动发射无线电波信号并分析其响应来感知其环境。然而，这分析需要多个处理步骤，这就是为什么基于雷达的3D物体检测方法是根据它们在上运行的数据级别进行分类的原因。第一类方法直接对原始的模数转换(ADC)无线电波信号进行操作。然后使用离散快速傅里叶变换(DFFT)将这些ADC信号从时域转换为空域。得到的数据表示是最后，通过只考虑具有高响应值的数据点，可以进一步减少该数据，从而产生备用点云表示和第三种(也是最常见的)方法的输入。</w:t>
      </w:r>
    </w:p>
    <w:p w14:paraId="7B4BF3B2">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r>
        <w:rPr>
          <w:rFonts w:ascii="Times New Roman" w:hAnsi="Times New Roman" w:eastAsia="宋体"/>
          <w:b w:val="0"/>
          <w:sz w:val="24"/>
        </w:rPr>
        <w:t>由于有限的数据可用性、高内存要求和抽象的数据格式，对原始ADC信号进行操作的方法很少。尽管Yang等人在RADIal数据集上取得了令人满意的结果，但Liu等人表明，ADC数据与雷达立方体数据相比没有优势。因此，用神经网络代替DFFT的好处仍然值得怀疑。</w:t>
      </w:r>
    </w:p>
    <w:p w14:paraId="2B5492B3">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ascii="Times New Roman" w:hAnsi="Times New Roman" w:eastAsia="宋体"/>
          <w:b w:val="0"/>
          <w:sz w:val="24"/>
          <w:szCs w:val="24"/>
        </w:rPr>
      </w:pPr>
      <w:r>
        <w:rPr>
          <w:rFonts w:ascii="Times New Roman" w:hAnsi="Times New Roman" w:eastAsia="宋体"/>
          <w:b w:val="0"/>
          <w:sz w:val="24"/>
        </w:rPr>
        <w:t>利用立方级雷达数据的检测方法可以细分为使用2D、3D或4D雷达数据的检测方法。利用2D雷达数据的方法使用距离-方位角(RA)-或距离-多普勒(RD)，测量，而3D方法使用多个2D投影，或</w:t>
      </w:r>
      <w:r>
        <w:rPr>
          <w:rFonts w:ascii="Times New Roman" w:hAnsi="Times New Roman" w:eastAsia="宋体"/>
          <w:b w:val="0"/>
          <w:sz w:val="24"/>
          <w:szCs w:val="24"/>
        </w:rPr>
        <w:t>整个距离-方位-多普勒(RAD)立方体。然而，上述方法均未用于3D，而仅用于2D目标检测，且均未利用现代4D(3+1D)雷达传感器的高程信息。依赖于雷达点云的方法是最常见的探测器类型，可以进一步分为网格、图和基于点的方法。基于网格的方法-将点云空间离散化，从稀疏的点云中导出规则的网格。基于图的方法-在点(顶点)之间创建连接(边)，以利用图神经网络(gnn)进行目标检测任务。</w:t>
      </w:r>
    </w:p>
    <w:p w14:paraId="77581DF4">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r>
        <w:rPr>
          <w:rFonts w:ascii="Times New Roman" w:hAnsi="Times New Roman" w:eastAsia="宋体"/>
          <w:b w:val="0"/>
          <w:sz w:val="24"/>
          <w:szCs w:val="24"/>
        </w:rPr>
        <w:t>最后，基于点的方法-使用专门的网络架构直接检测稀疏不规则雷达点云内的目标。一般来说，基于雷达的目标检测方法对恶劣天气条件具有鲁棒性，但尚未达到具有竞争力的性能值。这主要是由于雷达的空间分辨率较低，噪声水平较高，捕获语义信息的能力有限。</w:t>
      </w:r>
    </w:p>
    <w:p w14:paraId="38CC985C">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p>
    <w:p w14:paraId="3611BCD2">
      <w:pPr>
        <w:keepNext w:val="0"/>
        <w:keepLines w:val="0"/>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27" w:name="_Toc5851"/>
      <w:bookmarkStart w:id="28" w:name="_Toc2782"/>
      <w:bookmarkStart w:id="29" w:name="_Toc15858"/>
      <w:bookmarkStart w:id="30" w:name="_Toc19553"/>
      <w:r>
        <w:rPr>
          <w:rFonts w:ascii="黑体" w:hAnsi="黑体" w:eastAsia="黑体"/>
          <w:b/>
          <w:sz w:val="28"/>
        </w:rPr>
        <w:t>D.用于3D目标检测的摄像头-雷达融合</w:t>
      </w:r>
      <w:bookmarkEnd w:id="27"/>
      <w:bookmarkEnd w:id="28"/>
      <w:bookmarkEnd w:id="29"/>
      <w:bookmarkEnd w:id="30"/>
    </w:p>
    <w:p w14:paraId="5574B557">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p>
    <w:p w14:paraId="4DA80CF4">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r>
        <w:rPr>
          <w:rFonts w:ascii="Times New Roman" w:hAnsi="Times New Roman" w:eastAsia="宋体"/>
          <w:b w:val="0"/>
          <w:sz w:val="24"/>
        </w:rPr>
        <w:t>相机和雷达传感器的互补传感器特性使它们成为传感器融合应用的有希望的候选者。这些融合方法可分为数据级、对象级和特征级融合方法。</w:t>
      </w:r>
    </w:p>
    <w:p w14:paraId="050D5629">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ascii="Times New Roman" w:hAnsi="Times New Roman" w:eastAsia="宋体"/>
          <w:b w:val="0"/>
          <w:sz w:val="24"/>
        </w:rPr>
      </w:pPr>
      <w:r>
        <w:rPr>
          <w:rFonts w:ascii="Times New Roman" w:hAnsi="Times New Roman" w:eastAsia="宋体"/>
          <w:b w:val="0"/>
          <w:sz w:val="24"/>
        </w:rPr>
        <w:t>数据级融合旨在直接结合来自两种传感器模式的原始数据。按照这种方法，Nobis等人率先提出了相机-雷达融合模型，该模型将雷达点投影到相机图像中，并使用分层融合策略从中回归物体。另一方面，Bansal等人将相机图像的语义信息投射到雷达点云上(类似于PointPainting)，并在丰富的雷达数据中检测物体。</w:t>
      </w:r>
    </w:p>
    <w:p w14:paraId="1DCBA10F">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ascii="Times New Roman" w:hAnsi="Times New Roman" w:eastAsia="宋体"/>
          <w:b w:val="0"/>
          <w:sz w:val="24"/>
        </w:rPr>
      </w:pPr>
      <w:r>
        <w:rPr>
          <w:rFonts w:ascii="Times New Roman" w:hAnsi="Times New Roman" w:eastAsia="宋体"/>
          <w:b w:val="0"/>
          <w:sz w:val="24"/>
        </w:rPr>
        <w:t>尽管如此，由于传感器分辨率的差异，数据级融合与信息的高损失相关，并且由于不同的数据表示和维数而具有挑战性。对象级融合通过对两种模态分别使用两个独立的网络，Jha等人融合了来自相机和雷达分支的2D物体，而Dong等人结合了物体级和数据级融合方法来检测专有数据集上的3D物体。最近，Zhang等人将基于雷达的方法的输出与相机-激光雷达融合方法的检测融合在一起，并在K-Radar数据集上取得了最先进的结果。然而，他们的方法仅依靠相机和激光雷达数据，仅略优于雷达融合方法，从而表明物体级融合的能力是有限的。这是因为目标级融合完全依赖于最终的检测输出，忽略了任何中间特征。因此，最终的检测质量严重依赖于单个模块的性能，并没有充分利用互补的传感器特征。</w:t>
      </w:r>
    </w:p>
    <w:p w14:paraId="34FB5C24">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ascii="Times New Roman" w:hAnsi="Times New Roman" w:eastAsia="宋体"/>
          <w:b w:val="0"/>
          <w:sz w:val="24"/>
        </w:rPr>
      </w:pPr>
      <w:r>
        <w:rPr>
          <w:rFonts w:ascii="Times New Roman" w:hAnsi="Times New Roman" w:eastAsia="宋体"/>
          <w:b w:val="0"/>
          <w:sz w:val="24"/>
        </w:rPr>
        <w:t>特征级融合旨在结合两种方法的优点，首先分别从每个模态中提取特征，在中间级别融合它们，最后根据它们的组合特征空间预测物体。因此，它可以解决单个传感器方面的问题，并从其独特属性的组合中获益。然而，找到一个合适的特征空间来结合这两种模式仍然具有挑战性。除了早期尝试将相机和雷达分支-的区域建议结合起来，或者在图像平面，上进行特征级融合外，最近的方法主要集中在鸟瞰(BEV)特征表示上。</w:t>
      </w:r>
    </w:p>
    <w:p w14:paraId="62A0A037">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ascii="Times New Roman" w:hAnsi="Times New Roman" w:eastAsia="宋体"/>
          <w:b w:val="0"/>
          <w:sz w:val="24"/>
        </w:rPr>
      </w:pPr>
      <w:r>
        <w:rPr>
          <w:rFonts w:ascii="Times New Roman" w:hAnsi="Times New Roman" w:eastAsia="宋体"/>
          <w:b w:val="0"/>
          <w:sz w:val="24"/>
        </w:rPr>
        <w:t>利用BEV特征表示，Harley等人提出了一种将光栅化(体素化)雷达点云数据与相机数据相结合的方法，并在nuScenes数据集上优于他们的相机基线。同样，Zhou等人将栅格化和时间编码的雷达点云数据与BEV空间中的图像数据融合，并报告了检测质量的提高。然而，这两种方法都只利用了3D雷达数据，而没有考虑到现代4D雷达传感器。针对这一问题，Xiong等和Zheng等提出了在BEV空间中融合相机和4D雷达点云数据的方法。虽然在TJ4DRadSet和View-of-Delft数据集上取得了很好的效果，但这些方法仅仅依赖于雷达点云数据。然而，雷达点云数据不仅由于其不规则、稀疏的数据结构难以融合，而且包含的信息也明显较少，在信号处理过程中丢失，不利于准确的环境感知。</w:t>
      </w:r>
    </w:p>
    <w:p w14:paraId="6D657638">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r>
        <w:rPr>
          <w:rFonts w:ascii="Times New Roman" w:hAnsi="Times New Roman" w:eastAsia="宋体"/>
          <w:b w:val="0"/>
          <w:sz w:val="24"/>
        </w:rPr>
        <w:t>为了防止这种信息丢失，Liuetal.提出了一种将原始雷达数据与相机图像数据融合的方法，类似于我们的方法。然而，他们的方法依赖于一个中间的BEV表示，这增加了对计算资源的需求，并限制了他们对各种3D结构进行编码的能力。而且，他们的方法不需要边界框建议。利用现代四维雷达传感器的高程信息，但仅依赖于距离-方位(BEV)平面的雷达数据。为了克服这些限制，我们提出了一种不需要统一特征表示并利用所有雷达维度的新方法。</w:t>
      </w:r>
    </w:p>
    <w:p w14:paraId="6CDC1977">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pPr>
      <w:r>
        <w:br w:type="page"/>
      </w:r>
    </w:p>
    <w:p w14:paraId="7985DBAE">
      <w:pPr>
        <w:keepNext w:val="0"/>
        <w:keepLines w:val="0"/>
        <w:pageBreakBefore w:val="0"/>
        <w:widowControl/>
        <w:kinsoku/>
        <w:wordWrap/>
        <w:overflowPunct/>
        <w:topLinePunct w:val="0"/>
        <w:autoSpaceDE/>
        <w:autoSpaceDN/>
        <w:bidi w:val="0"/>
        <w:adjustRightInd/>
        <w:snapToGrid/>
        <w:spacing w:before="0" w:after="0" w:line="360" w:lineRule="auto"/>
        <w:jc w:val="left"/>
        <w:textAlignment w:val="auto"/>
        <w:outlineLvl w:val="0"/>
      </w:pPr>
      <w:bookmarkStart w:id="31" w:name="_Toc7172"/>
      <w:bookmarkStart w:id="32" w:name="_Toc22571"/>
      <w:bookmarkStart w:id="33" w:name="_Toc32727"/>
      <w:bookmarkStart w:id="34" w:name="_Toc19796"/>
      <w:r>
        <w:rPr>
          <w:rFonts w:ascii="黑体" w:hAnsi="黑体" w:eastAsia="黑体"/>
          <w:b/>
          <w:sz w:val="30"/>
        </w:rPr>
        <w:t>III.方法学</w:t>
      </w:r>
      <w:bookmarkEnd w:id="31"/>
      <w:bookmarkEnd w:id="32"/>
      <w:bookmarkEnd w:id="33"/>
      <w:bookmarkEnd w:id="34"/>
    </w:p>
    <w:p w14:paraId="50168F06">
      <w:pPr>
        <w:spacing w:before="0" w:after="0" w:line="360" w:lineRule="auto"/>
        <w:jc w:val="both"/>
      </w:pPr>
    </w:p>
    <w:p w14:paraId="3FA30453">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r>
        <w:rPr>
          <w:rFonts w:ascii="Times New Roman" w:hAnsi="Times New Roman" w:eastAsia="宋体"/>
          <w:b w:val="0"/>
          <w:sz w:val="24"/>
        </w:rPr>
        <w:t>双视角融合变压器(DPFT)旨在解决多模态传感器融合的主要挑战，这些挑战是由感知维度、数据表示和传感器分辨率的差异引起的。首先，它利用原始的立方体级雷达数据来保留尽可能多的信息，并降低相机和雷达数据之间的分辨率差异。其次，立方体级雷达数据以结构化网格表示给出，从而避免了点云和图像数据的融合。第三，从4D雷达立方体中创建两个投影。一个平行于图像平面，以支持相机和雷达之间的融合，另一个垂直于它，以保留互补的雷达信息。除此之外，模型设计旨在实现较低的推理时间，并且在两种模态之间没有相互依赖关系，这样即使一种传感器模态失效，整个模型也能保持运行。然而，要实现这一目标，需要多个步骤，如图2所示，并在下面进行解释。</w:t>
      </w:r>
    </w:p>
    <w:p w14:paraId="64FD9CB5">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p>
    <w:p w14:paraId="7D98B653">
      <w:pPr>
        <w:keepNext w:val="0"/>
        <w:keepLines w:val="0"/>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35" w:name="_Toc26296"/>
      <w:bookmarkStart w:id="36" w:name="_Toc32728"/>
      <w:bookmarkStart w:id="37" w:name="_Toc28128"/>
      <w:bookmarkStart w:id="38" w:name="_Toc11160"/>
      <w:r>
        <w:rPr>
          <w:rFonts w:ascii="黑体" w:hAnsi="黑体" w:eastAsia="黑体"/>
          <w:b/>
          <w:sz w:val="28"/>
        </w:rPr>
        <w:t>A.数据准备</w:t>
      </w:r>
      <w:bookmarkEnd w:id="35"/>
      <w:bookmarkEnd w:id="36"/>
      <w:bookmarkEnd w:id="37"/>
      <w:bookmarkEnd w:id="38"/>
    </w:p>
    <w:p w14:paraId="517A4CA4">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p>
    <w:p w14:paraId="183DB381">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ascii="Times New Roman" w:hAnsi="Times New Roman" w:eastAsia="宋体"/>
          <w:b w:val="0"/>
          <w:sz w:val="24"/>
        </w:rPr>
      </w:pPr>
      <w:r>
        <w:rPr>
          <w:rFonts w:ascii="Times New Roman" w:hAnsi="Times New Roman" w:eastAsia="宋体"/>
          <w:b w:val="0"/>
          <w:sz w:val="24"/>
        </w:rPr>
        <w:t>由于数据分辨率和维度的差异，输入数据本身对多模态传感器融合构成了最大的挑战。相机传感器将环境作为投影捕获到2D图像平面上，而雷达传感器通常捕获距离-方位(BEV)平面上的测量值。从广义上讲，这两个感知平面Pyramid</w:t>
      </w:r>
      <w:r>
        <w:rPr>
          <w:rFonts w:hint="eastAsia" w:eastAsia="宋体"/>
          <w:b w:val="0"/>
          <w:sz w:val="24"/>
          <w:lang w:val="en-US" w:eastAsia="zh-CN"/>
        </w:rPr>
        <w:t xml:space="preserve"> </w:t>
      </w:r>
      <w:r>
        <w:rPr>
          <w:rFonts w:ascii="Times New Roman" w:hAnsi="Times New Roman" w:eastAsia="宋体"/>
          <w:b w:val="0"/>
          <w:sz w:val="24"/>
        </w:rPr>
        <w:t>Networks</w:t>
      </w:r>
      <w:r>
        <w:rPr>
          <w:rFonts w:hint="eastAsia" w:eastAsia="宋体"/>
          <w:b w:val="0"/>
          <w:sz w:val="24"/>
          <w:lang w:val="en-US" w:eastAsia="zh-CN"/>
        </w:rPr>
        <w:t xml:space="preserve"> </w:t>
      </w:r>
      <w:r>
        <w:rPr>
          <w:rFonts w:ascii="Times New Roman" w:hAnsi="Times New Roman" w:eastAsia="宋体"/>
          <w:b w:val="0"/>
          <w:sz w:val="24"/>
        </w:rPr>
        <w:t>,</w:t>
      </w:r>
      <w:r>
        <w:rPr>
          <w:rFonts w:hint="eastAsia" w:eastAsia="宋体"/>
          <w:b w:val="0"/>
          <w:sz w:val="24"/>
          <w:lang w:val="en-US" w:eastAsia="zh-CN"/>
        </w:rPr>
        <w:t xml:space="preserve"> </w:t>
      </w:r>
      <w:r>
        <w:rPr>
          <w:rFonts w:ascii="Times New Roman" w:hAnsi="Times New Roman" w:eastAsia="宋体"/>
          <w:b w:val="0"/>
          <w:sz w:val="24"/>
        </w:rPr>
        <w:t>FPN)来对齐多层次特征图是相互垂直的，这使得它们很难融合，因为它们的交叉点很小。为了抵消这一点，我们的方法建立在三维空间维度和一个多普勒维度的4D雷达数据上。这使我们能够在两个数据源之间创建物理关系。然而，由于两个原因，使用4D数据并不理想。首先，由于缺少深度信息，将相机数据提升到3D空间是具有挑战性的，其次，处理高维数据对计算资源的需求很高。为了解决这一难题，将雷达数据投影到距离-方位角平面以及方位角-仰角平面。这样，我们可以在减少数据大小的同时，为相机数据创建一个互补的数据源，并在图像和BEV平面之间创建一个物理关系，以回归3D物体。</w:t>
      </w:r>
    </w:p>
    <w:p w14:paraId="7CD6CC77">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ascii="Times New Roman" w:hAnsi="Times New Roman" w:eastAsia="宋体"/>
          <w:b w:val="0"/>
          <w:sz w:val="24"/>
        </w:rPr>
      </w:pPr>
      <w:r>
        <w:rPr>
          <w:rFonts w:ascii="Times New Roman" w:hAnsi="Times New Roman" w:eastAsia="宋体"/>
          <w:b w:val="0"/>
          <w:sz w:val="24"/>
        </w:rPr>
        <w:t>为了解决与发散数据格式和传感器分辨率相关的挑战，我们的方法基于原始(立方体级)雷达数据。通常，雷达数据以不规则的、稀疏的点云的形式给出，每个样本只有几百个点，而相机数据则以数百万像素的结构化网格格式表示。这两种数据格式不仅难以融合，而且融合还会带来很高的信息损失或计算开销。此外，雷达点云是多级信号处理链(在第II节中解释)的结果，在此期间大量信息丢失，并使感知性能恶化。因此，我们的方法利用原始(立方体)雷达数据，避免了信息丢失，创建了统一的数据表示，并降低了数据分辨率的差异。</w:t>
      </w:r>
    </w:p>
    <w:p w14:paraId="552D5374">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r>
        <w:rPr>
          <w:rFonts w:ascii="Times New Roman" w:hAnsi="Times New Roman" w:eastAsia="宋体"/>
          <w:b w:val="0"/>
          <w:sz w:val="24"/>
        </w:rPr>
        <w:t>按照这个思路，将4D雷达立方体投影到距离-方位角(RA)和方位角-仰角(AE)平面。然而，为了避免重要信息的丢失，并最大限度地降低对输入噪声的灵敏度，投影(降维)的设计遵循三步。首先，定义了一组30个初始雷达特征，这些特征被先前的研究证明对基于雷达的感知具有重要意义。其次，在分析第一层模型的权重以确定单个特征对融合模型的重要性之前，对所有30个雷达特征进行模型训练。最后，进行灵敏度分析，将噪声添加到单个输入特征中，并监测输出的变化，以确定模型对输入噪声的灵敏度。因此，在雷达数据投影过程中，选择振幅和多普勒值的最大值、中值和方差进行提取。此外，雷达立方体的第一个和最后三个单元格被切断，以避免AE投影中的DFFT伪影。除此之外，使用双线性插值将图像数据重新缩放为512像素的输入高度，以降低对计算资源的需求。</w:t>
      </w:r>
    </w:p>
    <w:p w14:paraId="520D3379">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p>
    <w:p w14:paraId="1341E5A0">
      <w:pPr>
        <w:keepNext w:val="0"/>
        <w:keepLines w:val="0"/>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39" w:name="_Toc27712"/>
      <w:bookmarkStart w:id="40" w:name="_Toc30150"/>
      <w:bookmarkStart w:id="41" w:name="_Toc1358"/>
      <w:bookmarkStart w:id="42" w:name="_Toc26599"/>
      <w:r>
        <w:rPr>
          <w:rFonts w:ascii="黑体" w:hAnsi="黑体" w:eastAsia="黑体"/>
          <w:b/>
          <w:sz w:val="28"/>
        </w:rPr>
        <w:t>B.特征提取</w:t>
      </w:r>
      <w:bookmarkEnd w:id="39"/>
      <w:bookmarkEnd w:id="40"/>
      <w:bookmarkEnd w:id="41"/>
      <w:bookmarkEnd w:id="42"/>
    </w:p>
    <w:p w14:paraId="32523F15">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p>
    <w:p w14:paraId="010756BE">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r>
        <w:rPr>
          <w:rFonts w:ascii="Times New Roman" w:hAnsi="Times New Roman" w:eastAsia="宋体"/>
          <w:b w:val="0"/>
          <w:sz w:val="24"/>
        </w:rPr>
        <w:t>多模态输入数据被馈送到连续的脊柱和颈部模型中，以推断出所需检测任务的表达特征。每个输入被馈送到一个单独的骨干模型，从而产生三个并行的骨干。骨干网的目的是为随后的传感器融合提取具有表现力的高维特征，并被选择为ResNet架构。由于标准的ResNet实现将输入的大小调整为256的高度，因此所有输入的结果特征映射具有相似的空间维度。此外，从中间骨干层提取多尺度特征图(以检测不同尺度的对象)，并使用跳过连接直接将输入数据传递给颈部模型。更具体地说，ResNet-101用于相机数据，ResNet-50用于雷达数据输入。之所以选择较大的图像主干，是因为与雷达数据相比，图像数据分辨率更高。所有骨干网都在ImageNet数据库上进行了预训练，并在雷达骨干网前面添加了单个1x1卷积层，使其与雷达数据的六个特征维度兼容。</w:t>
      </w:r>
    </w:p>
    <w:p w14:paraId="2DA96492">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r>
        <w:rPr>
          <w:rFonts w:ascii="Times New Roman" w:hAnsi="Times New Roman" w:eastAsia="宋体"/>
          <w:b w:val="0"/>
          <w:sz w:val="24"/>
        </w:rPr>
        <w:t>颈部模型负责特征对齐并确保特征维度均匀。它们将多尺度特征图的特征维度与传感器原始数据对齐，这是后续传感器融合所必需的。此外，它还在四个特征图之间交换信息(来自三个骨干模型和原始输入数据)。为此，使用了一个输出特征维数为16的特征金字塔网络。</w:t>
      </w:r>
    </w:p>
    <w:p w14:paraId="257116E7">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p>
    <w:p w14:paraId="0AE0DBDA">
      <w:pPr>
        <w:keepNext w:val="0"/>
        <w:keepLines w:val="0"/>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rPr>
          <w:rFonts w:hint="default" w:eastAsia="黑体"/>
          <w:lang w:val="en-US" w:eastAsia="zh-CN"/>
        </w:rPr>
      </w:pPr>
      <w:bookmarkStart w:id="43" w:name="_Toc3634"/>
      <w:bookmarkStart w:id="44" w:name="_Toc14856"/>
      <w:bookmarkStart w:id="45" w:name="_Toc25685"/>
      <w:bookmarkStart w:id="46" w:name="_Toc32340"/>
      <w:r>
        <w:rPr>
          <w:rFonts w:ascii="黑体" w:hAnsi="黑体" w:eastAsia="黑体"/>
          <w:b/>
          <w:sz w:val="28"/>
        </w:rPr>
        <w:t>C.</w:t>
      </w:r>
      <w:r>
        <w:rPr>
          <w:rFonts w:hint="eastAsia" w:ascii="黑体" w:hAnsi="黑体" w:eastAsia="黑体"/>
          <w:b/>
          <w:sz w:val="28"/>
          <w:lang w:val="en-US" w:eastAsia="zh-CN"/>
        </w:rPr>
        <w:t>传感器融合</w:t>
      </w:r>
      <w:bookmarkEnd w:id="43"/>
      <w:bookmarkEnd w:id="44"/>
      <w:bookmarkEnd w:id="45"/>
      <w:bookmarkEnd w:id="46"/>
    </w:p>
    <w:p w14:paraId="494DCDFD">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p>
    <w:p w14:paraId="277B2BA6">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r>
        <w:rPr>
          <w:rFonts w:ascii="Times New Roman" w:hAnsi="Times New Roman" w:eastAsia="宋体"/>
          <w:b w:val="0"/>
          <w:sz w:val="24"/>
        </w:rPr>
        <w:t>我们的传感器融合模型允许从单个输入直接查询融合的特征，并从中检索对象。因此，不需要一个组合的中间特征空间。为了实现这一点，使用了多头变形注意力，它最初是为基于相机的物体检测而开发的。该方法将参考点投射到相机图像上，从周围像素中查询特征。因此，这种方法允许关注图像(或特征图)中固定数量的键，而不考虑它们的空间大小。虽然这种投影最初是为针孔相机模型设计的，但我们引入了球形参考点投影，将其用于低空雷达数据。</w:t>
      </w:r>
    </w:p>
    <w:p w14:paraId="3941FD08">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r>
        <w:rPr>
          <w:rFonts w:ascii="Times New Roman" w:hAnsi="Times New Roman" w:eastAsia="宋体"/>
          <w:b w:val="0"/>
          <w:sz w:val="24"/>
        </w:rPr>
        <w:t>我们得到的融合模块由五个不同的步骤组成。首先，参考点初始化为极空间中400个均匀分布的3D点的集合，特征值从均匀分布中采样，并覆盖传感器的整个视场(FoV)。接下来，将参考点馈送到自关注层，以允许查询之间的信息交换，这在迭代精化过程中变得很重要。之后，在第三步中将参考点投影到相机和双雷达视角上。在这些投影的基础上，使用可变形的交叉注意从(位置编码的)多层次特征图中查询特征。在最后一步中，查询的特征通过前馈网络(FFN)传递，然后在最大池化层中组合。除此之外，每个关注层和FFN层都包括dropout层、加法层和规范化层。通过这种方法，只要存在查询点在传感器特征图上的投影，就可以融合来自不同模态的多个传感器。</w:t>
      </w:r>
    </w:p>
    <w:p w14:paraId="207B4A0B">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p>
    <w:p w14:paraId="62ABDD6E">
      <w:pPr>
        <w:keepNext w:val="0"/>
        <w:keepLines w:val="0"/>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47" w:name="_Toc9839"/>
      <w:bookmarkStart w:id="48" w:name="_Toc29772"/>
      <w:bookmarkStart w:id="49" w:name="_Toc14713"/>
      <w:bookmarkStart w:id="50" w:name="_Toc9965"/>
      <w:r>
        <w:rPr>
          <w:rFonts w:ascii="黑体" w:hAnsi="黑体" w:eastAsia="黑体"/>
          <w:b/>
          <w:sz w:val="28"/>
        </w:rPr>
        <w:t>D.对象检测</w:t>
      </w:r>
      <w:bookmarkEnd w:id="47"/>
      <w:bookmarkEnd w:id="48"/>
      <w:bookmarkEnd w:id="49"/>
      <w:bookmarkEnd w:id="50"/>
    </w:p>
    <w:p w14:paraId="4F84DD34">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p>
    <w:p w14:paraId="2BCD56E4">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r>
        <w:rPr>
          <w:rFonts w:ascii="Times New Roman" w:hAnsi="Times New Roman" w:eastAsia="宋体"/>
          <w:b w:val="0"/>
          <w:sz w:val="24"/>
        </w:rPr>
        <w:t>检测头根据融合查询特征预测对象边界框，并与融合模块分离以允许多任务应用。之后，我们使用交互式输出细化过程，其中预测的边界盒中心和之前的查询特征用于另外三个注意周期。结果，我们得到了由它们的3D中心点(x,y,z)、大小(l,w,h)、朝向角θ和类标签表示的对象边界框。检测头的设计遵循了其他稀疏检测器的例子、，由三个连续的线性层组成。但是，DPFT对每个边界框组件使用特定的激活函数。中心点预测由于其不受限制的值范围而使用恒等函数，边界框大小使用ReLu激活函数，而航向角使用双曲正切函数预测。这是因为头角不是直接预测的，而是分成它的sinθ和cosθ分量，因为有研究表明，模型训练受益于连续的输出空间。类标签由sigmoid激活函数预测，并选择为所有类中的最大值。</w:t>
      </w:r>
    </w:p>
    <w:p w14:paraId="32260517">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p>
    <w:p w14:paraId="5FED46DB">
      <w:pPr>
        <w:keepNext w:val="0"/>
        <w:keepLines w:val="0"/>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51" w:name="_Toc25199"/>
      <w:bookmarkStart w:id="52" w:name="_Toc1234"/>
      <w:bookmarkStart w:id="53" w:name="_Toc31958"/>
      <w:bookmarkStart w:id="54" w:name="_Toc16307"/>
      <w:r>
        <w:rPr>
          <w:rFonts w:ascii="黑体" w:hAnsi="黑体" w:eastAsia="黑体"/>
          <w:b/>
          <w:sz w:val="28"/>
        </w:rPr>
        <w:t>E.模型训练</w:t>
      </w:r>
      <w:bookmarkEnd w:id="51"/>
      <w:bookmarkEnd w:id="52"/>
      <w:bookmarkEnd w:id="53"/>
      <w:bookmarkEnd w:id="54"/>
    </w:p>
    <w:p w14:paraId="52CAFA83">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p>
    <w:p w14:paraId="313AE0DD">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r>
        <w:rPr>
          <w:rFonts w:ascii="Times New Roman" w:hAnsi="Times New Roman" w:eastAsia="宋体"/>
          <w:b w:val="0"/>
          <w:sz w:val="24"/>
        </w:rPr>
        <w:t>模型训练使用由DETR引入的集对集损失和一对一匹配。损失函数本身由用于分类的焦点损失和用于所有边界盒组件的L1回归损失组成。将这两项的损失权重设置为1，使得最终的损失函数可以写成:优化方案使用学习率为1×10−4且学习率恒定的AdamW优化器k-radar数据集revisionv1.0测试数据的3d目标检测结果。贯穿整个培训过程。所有模型的训练批次大小为4，最多200次epoch(~72h)。</w:t>
      </w:r>
    </w:p>
    <w:p w14:paraId="7D34FE51">
      <w:r>
        <w:br w:type="page"/>
      </w:r>
    </w:p>
    <w:p w14:paraId="3A0A7544">
      <w:pPr>
        <w:keepNext w:val="0"/>
        <w:keepLines w:val="0"/>
        <w:pageBreakBefore w:val="0"/>
        <w:widowControl/>
        <w:kinsoku/>
        <w:wordWrap/>
        <w:overflowPunct/>
        <w:topLinePunct w:val="0"/>
        <w:autoSpaceDE/>
        <w:autoSpaceDN/>
        <w:bidi w:val="0"/>
        <w:adjustRightInd/>
        <w:snapToGrid/>
        <w:spacing w:before="0" w:after="0" w:line="360" w:lineRule="auto"/>
        <w:jc w:val="left"/>
        <w:textAlignment w:val="auto"/>
        <w:outlineLvl w:val="0"/>
      </w:pPr>
      <w:bookmarkStart w:id="55" w:name="_Toc25464"/>
      <w:bookmarkStart w:id="56" w:name="_Toc22527"/>
      <w:bookmarkStart w:id="57" w:name="_Toc24082"/>
      <w:bookmarkStart w:id="58" w:name="_Toc31519"/>
      <w:r>
        <w:rPr>
          <w:rFonts w:ascii="黑体" w:hAnsi="黑体" w:eastAsia="黑体"/>
          <w:b/>
          <w:sz w:val="30"/>
        </w:rPr>
        <w:t>IV.实验结果</w:t>
      </w:r>
      <w:bookmarkEnd w:id="55"/>
      <w:bookmarkEnd w:id="56"/>
      <w:bookmarkEnd w:id="57"/>
      <w:bookmarkEnd w:id="58"/>
    </w:p>
    <w:p w14:paraId="088E41AC">
      <w:pPr>
        <w:spacing w:before="0" w:after="0" w:line="360" w:lineRule="auto"/>
        <w:jc w:val="both"/>
      </w:pPr>
    </w:p>
    <w:p w14:paraId="6A5898B7">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r>
        <w:rPr>
          <w:rFonts w:ascii="Times New Roman" w:hAnsi="Times New Roman" w:eastAsia="宋体"/>
          <w:b w:val="0"/>
          <w:sz w:val="24"/>
        </w:rPr>
        <w:t>所有报告的结果都是在K-Radar测试集上获得的，并且与基于KITTI协议的官方评估方案一致。出于可比性考虑，表1的基准测试结果是在数据集的原始版本(修订v1.0)上获得的，而所有其他结果都是在数据集的修订版本(修订v2.0)上获得的，这是首选的，因为它包含了纠正的物体高度和以前缺失的物体标签。出于开发目的，我们将训练数据分成80%的训练数据和20%的验证数据，测试集保持不变。</w:t>
      </w:r>
    </w:p>
    <w:p w14:paraId="6A3E56EF">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r>
        <w:rPr>
          <w:rFonts w:ascii="Times New Roman" w:hAnsi="Times New Roman" w:eastAsia="宋体"/>
          <w:b w:val="0"/>
          <w:sz w:val="24"/>
        </w:rPr>
        <w:t>由于已发布版本的EchoFusion仅在K-Radar数据集的前20个场景上进行了评估，仅限于±20◦(instead±50◦)的视场(FoV)，并且没有使用官方的评估脚本，因此我们在完整数据集上重新训练了EchoFusion模型，并按照官方的评估方案进行了评估。其他所有结果均与文献相符。</w:t>
      </w:r>
    </w:p>
    <w:p w14:paraId="6AA07B1F">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ascii="Times New Roman" w:hAnsi="Times New Roman" w:eastAsia="宋体"/>
          <w:b w:val="0"/>
          <w:sz w:val="24"/>
        </w:rPr>
      </w:pPr>
      <w:r>
        <w:rPr>
          <w:rFonts w:ascii="Times New Roman" w:hAnsi="Times New Roman" w:eastAsia="宋体"/>
          <w:b w:val="0"/>
          <w:sz w:val="24"/>
        </w:rPr>
        <w:t>表1的结果表明，我们的双视角融合变压器在具有挑战性的K-Radar数据集上实现了最先进的性能。对于所有场景类型的3D边界盒检测，DPFT模型在交汇(IoU)阈值0.3处的平均精度(地图)值为56.1%。为了考虑任何不确定性的训练行为，使用不同的随机种子对模型进行多次训练，使得56.1%代表三次运行的平均值，标准差为1.1%。我们提出的摄像机-雷达融合模型优于仅雷达的RTNH基线模型以及最近提出的EchoFusion摄像机-雷达融合模型。与最先进的激光雷达或摄像头-激光雷达融合模型相比，它在正常条件下的性能明显较低，但在雾、雨夹雪或大雪等特别困难的天气条件下表现优于它们。这很可能是由于雷达的空间分辨率较低，但对环境影响的鲁棒性较高。</w:t>
      </w:r>
    </w:p>
    <w:p w14:paraId="21AC8526">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r>
        <w:rPr>
          <w:rFonts w:ascii="Times New Roman" w:hAnsi="Times New Roman" w:eastAsia="宋体"/>
          <w:b w:val="0"/>
          <w:sz w:val="24"/>
        </w:rPr>
        <w:t>不同传感器模式的比较如表二所示，为我们的传感器融合方法的有效性提供了证据。可以看出，检测质量k-radar数据集修订版v2.0的测试数据上不同输入方式的3d目标检测结果。下标ae和ra描述了单一输入视角的用法，即方位角-仰角或距离-方位角。传感器融合方法甚至超过了单个传感器模态的综合性能，从而突出了互补传感器特征的有效利用。虽然仅摄像头(C)配置类似于DETR3D，但它与众多恶劣天气场景、小骨干尺寸以及无法利用多视图相机图像作斗争。将距离-方位角(RA)平面的相机数据与雷达数据融合的结果与方位角-仰角(AE)平面的数据融合的结果进行了比较，证明了不同感知平面对三维目标检测的重要性。然而，两种雷达视角的结果与只有一个视角的结果相比，表明雷达数据和相机数据在图像平面上的对应关系，结合两种雷达视角之间的物理关系，支持两种传感器模式的融合。这表明了一方面来自RA感知平面的补充信息的重要性，以及另一方面来自相机和雷达之间关联的附加AE平面的好处。</w:t>
      </w:r>
    </w:p>
    <w:p w14:paraId="2A7C5EBA">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outlineLvl w:val="1"/>
      </w:pPr>
    </w:p>
    <w:p w14:paraId="3D1C4142">
      <w:pPr>
        <w:keepNext w:val="0"/>
        <w:keepLines w:val="0"/>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59" w:name="_Toc14253"/>
      <w:bookmarkStart w:id="60" w:name="_Toc18479"/>
      <w:bookmarkStart w:id="61" w:name="_Toc7505"/>
      <w:bookmarkStart w:id="62" w:name="_Toc16209"/>
      <w:r>
        <w:rPr>
          <w:rFonts w:ascii="黑体" w:hAnsi="黑体" w:eastAsia="黑体"/>
          <w:b/>
          <w:sz w:val="28"/>
        </w:rPr>
        <w:t>A.鲁棒性</w:t>
      </w:r>
      <w:bookmarkEnd w:id="59"/>
      <w:bookmarkEnd w:id="60"/>
      <w:bookmarkEnd w:id="61"/>
      <w:bookmarkEnd w:id="62"/>
    </w:p>
    <w:p w14:paraId="4A867DDE">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p>
    <w:p w14:paraId="7C4A0201">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r>
        <w:rPr>
          <w:rFonts w:ascii="Times New Roman" w:hAnsi="Times New Roman" w:eastAsia="宋体"/>
          <w:b w:val="0"/>
          <w:sz w:val="24"/>
        </w:rPr>
        <w:t>实验结果表明，DPFT模型的鲁棒性体现在两个方面:对恶劣天气条件的鲁棒性和对传感器故障的鲁棒性。对恶劣天气条件的鲁棒性可以在图3中看到，并通过比较正常(规范)条件下的模型性能与K-Radar数据集在不同天气条件下的性能来显示。如表1所示，在雨雪条件下可以观察到DPFT模型的最大性能下降，与正常条件相比，可以测量到下降6.8%。与此相比，MixedFusion模型的性能下降了41.3%，EchoFusion模型的性能下降了76.3%。在k-radar数据集修订v2.0的测试集上模拟传感器故障的结果。图3模型在夜间、雨、雪和背光条件下表现的示例性结果。地面真实情况用蓝色表示，模型预测结果用橙色表示。</w:t>
      </w:r>
    </w:p>
    <w:p w14:paraId="24DC4711">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r>
        <w:rPr>
          <w:rFonts w:ascii="Times New Roman" w:hAnsi="Times New Roman" w:eastAsia="宋体"/>
          <w:b w:val="0"/>
          <w:sz w:val="24"/>
        </w:rPr>
        <w:t>总的来说，我们提出的DPFT方法在正常和所有其他条件下的平均性能差异为-2.5%。相比之下，RTNH、混合融合和EchoFusion模型分别下降了-3.8%、-31.3%和-12.8%。对平均和最大减少量的分析表明，考虑雷达数据的模型受天气条件变化的影响要小于不考虑雷达数据的模型。最后，可以证明我们提出的DPFT模型对服务器天气条件具有很高的鲁棒性，并且与仅雷达RTNH方法具有同样的鲁棒性。然而，单峰RTNH模型性能明显较低，不能处理传感器模态故障。</w:t>
      </w:r>
    </w:p>
    <w:p w14:paraId="510D04D4">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r>
        <w:rPr>
          <w:rFonts w:ascii="Times New Roman" w:hAnsi="Times New Roman" w:eastAsia="宋体"/>
          <w:b w:val="0"/>
          <w:sz w:val="24"/>
        </w:rPr>
        <w:t>我们的方法对传感器故障的鲁棒性是通过不同模态之间没有相互依赖的模型设计来实现的。虽然这可以防止在运行期间单个传感器模态失效时模型完全失效，但模型性能仍然显着下降，如表III所示。为了抵消这一点，我们使用相机和雷达模型的预训练权值作为初始化，但无法观察到任何显著的变化。除此之外，我们使用模态dropout来训练模型，并且能够提高传感器故障情况下的性能，但在标称条件下观察到显着下降，这与，形成对比。</w:t>
      </w:r>
    </w:p>
    <w:p w14:paraId="21307026">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p>
    <w:p w14:paraId="0E8693FA">
      <w:pPr>
        <w:keepNext w:val="0"/>
        <w:keepLines w:val="0"/>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63" w:name="_Toc4560"/>
      <w:bookmarkStart w:id="64" w:name="_Toc4775"/>
      <w:bookmarkStart w:id="65" w:name="_Toc18414"/>
      <w:bookmarkStart w:id="66" w:name="_Toc14410"/>
      <w:r>
        <w:rPr>
          <w:rFonts w:ascii="黑体" w:hAnsi="黑体" w:eastAsia="黑体"/>
          <w:b/>
          <w:sz w:val="28"/>
        </w:rPr>
        <w:t>B.复杂度</w:t>
      </w:r>
      <w:bookmarkEnd w:id="63"/>
      <w:bookmarkEnd w:id="64"/>
      <w:bookmarkEnd w:id="65"/>
      <w:bookmarkEnd w:id="66"/>
    </w:p>
    <w:p w14:paraId="2CB3E808">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p>
    <w:p w14:paraId="6ED021F5">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r>
        <w:rPr>
          <w:rFonts w:ascii="Times New Roman" w:hAnsi="Times New Roman" w:eastAsia="宋体"/>
          <w:b w:val="0"/>
          <w:sz w:val="24"/>
        </w:rPr>
        <w:t>我们的模型是为现实世界的应用而设计的，这就是为什么要进行推理时间和内存消耗测量的原因。所有测试都在配备NVIDIA</w:t>
      </w:r>
      <w:r>
        <w:rPr>
          <w:rFonts w:hint="eastAsia" w:eastAsia="宋体"/>
          <w:b w:val="0"/>
          <w:sz w:val="24"/>
          <w:lang w:val="en-US" w:eastAsia="zh-CN"/>
        </w:rPr>
        <w:t xml:space="preserve"> </w:t>
      </w:r>
      <w:r>
        <w:rPr>
          <w:rFonts w:ascii="Times New Roman" w:hAnsi="Times New Roman" w:eastAsia="宋体"/>
          <w:b w:val="0"/>
          <w:sz w:val="24"/>
        </w:rPr>
        <w:t>V100</w:t>
      </w:r>
      <w:r>
        <w:rPr>
          <w:rFonts w:hint="eastAsia" w:eastAsia="宋体"/>
          <w:b w:val="0"/>
          <w:sz w:val="24"/>
          <w:lang w:val="en-US" w:eastAsia="zh-CN"/>
        </w:rPr>
        <w:t xml:space="preserve"> </w:t>
      </w:r>
      <w:r>
        <w:rPr>
          <w:rFonts w:ascii="Times New Roman" w:hAnsi="Times New Roman" w:eastAsia="宋体"/>
          <w:b w:val="0"/>
          <w:sz w:val="24"/>
        </w:rPr>
        <w:t>GPU的专用基准服务器上执行，并隔离在图4由于K-Radar数据集修订v2.0的测试数据上单个模型组件的消融造成的性能损失。容器化的环境。DeepSpeed框架用于可靠和准确的测</w:t>
      </w:r>
    </w:p>
    <w:p w14:paraId="2DAFDEDA">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eastAsia="宋体"/>
          <w:lang w:eastAsia="zh-CN"/>
        </w:rPr>
      </w:pPr>
      <w:r>
        <w:rPr>
          <w:rFonts w:ascii="Times New Roman" w:hAnsi="Times New Roman" w:eastAsia="宋体"/>
          <w:b w:val="0"/>
          <w:sz w:val="24"/>
        </w:rPr>
        <w:t>该DPFT模型的推断时间为87±1ms，低于雷达传感器的100ms周期时间。这对于能够处理每个传感器图像而不必丢弃任何图像非常重要。相比之下，混合融合和EchoFusion的推理时间分别为143ms和348ms。因此，我们的DPFT模型在所有测试方法中获得了最低的推理时</w:t>
      </w:r>
      <w:r>
        <w:rPr>
          <w:rFonts w:hint="eastAsia" w:eastAsia="宋体"/>
          <w:b w:val="0"/>
          <w:sz w:val="24"/>
          <w:lang w:eastAsia="zh-CN"/>
        </w:rPr>
        <w:t>。</w:t>
      </w:r>
    </w:p>
    <w:p w14:paraId="2FD407C4">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r>
        <w:rPr>
          <w:rFonts w:ascii="Times New Roman" w:hAnsi="Times New Roman" w:eastAsia="宋体"/>
          <w:b w:val="0"/>
          <w:sz w:val="24"/>
        </w:rPr>
        <w:t>整体模型复杂度主要由骨干选择驱动，而内存消耗主要由输入图像大小引起，如表4所示。或DPFT模型的基线实现在推理过程中需要4.0GiBGPU内存，测量计算复杂度为0.16TFLOPs。相比之下，EchoFusion需要3.5GiB的GPU内存，但其计算复杂度为1.52TFLOPs，这可以解释其更高的推理时间。这个对比显示了我们提出的方法即使没有任何像TensorRT这样的运行时优化，其计算效率也很高。此外，我们实现的模块化设计允许使用不同的主干和输入图像大小。如表4所示，改变这些参数可以显著降低计算复杂度，但会影响模型性能。因此，必须根据期望的应用来选择这些参数。</w:t>
      </w:r>
    </w:p>
    <w:p w14:paraId="19851274">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p>
    <w:p w14:paraId="3AD67A80">
      <w:pPr>
        <w:keepNext w:val="0"/>
        <w:keepLines w:val="0"/>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67" w:name="_Toc10514"/>
      <w:bookmarkStart w:id="68" w:name="_Toc6552"/>
      <w:bookmarkStart w:id="69" w:name="_Toc7036"/>
      <w:bookmarkStart w:id="70" w:name="_Toc16864"/>
      <w:r>
        <w:rPr>
          <w:rFonts w:ascii="黑体" w:hAnsi="黑体" w:eastAsia="黑体"/>
          <w:b/>
          <w:sz w:val="28"/>
        </w:rPr>
        <w:t>C.消融研究</w:t>
      </w:r>
      <w:bookmarkEnd w:id="67"/>
      <w:bookmarkEnd w:id="68"/>
      <w:bookmarkEnd w:id="69"/>
      <w:bookmarkEnd w:id="70"/>
    </w:p>
    <w:p w14:paraId="7E5EE96C">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p>
    <w:p w14:paraId="10FA8DC7">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r>
        <w:rPr>
          <w:rFonts w:hint="eastAsia" w:eastAsia="宋体"/>
          <w:b w:val="0"/>
          <w:sz w:val="24"/>
          <w:lang w:val="en-US" w:eastAsia="zh-CN"/>
        </w:rPr>
        <w:t>消融</w:t>
      </w:r>
      <w:r>
        <w:rPr>
          <w:rFonts w:ascii="Times New Roman" w:hAnsi="Times New Roman" w:eastAsia="宋体"/>
          <w:b w:val="0"/>
          <w:sz w:val="24"/>
        </w:rPr>
        <w:t>研究的结果显示了单个模型组件对整体检测性能的贡献，如图4所示。可以看出，主干网的</w:t>
      </w:r>
      <w:r>
        <w:rPr>
          <w:rFonts w:hint="eastAsia" w:eastAsia="宋体"/>
          <w:b w:val="0"/>
          <w:sz w:val="24"/>
          <w:lang w:val="en-US" w:eastAsia="zh-CN"/>
        </w:rPr>
        <w:t>消融</w:t>
      </w:r>
      <w:r>
        <w:rPr>
          <w:rFonts w:ascii="Times New Roman" w:hAnsi="Times New Roman" w:eastAsia="宋体"/>
          <w:b w:val="0"/>
          <w:sz w:val="24"/>
        </w:rPr>
        <w:t>导致的性能下降最大，而跳链的贡献并不显著。除此之外，迭代细化过程和多层次特征图的使用对检测性能也有显著的影响。此外，考虑到对输入数据模态进行的实验(表II)和对不同主干的分析(表IV)，结果表明传感器融合是模型性能最重要的因素。</w:t>
      </w:r>
    </w:p>
    <w:p w14:paraId="39C48CE9">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p>
    <w:p w14:paraId="294B9EB0">
      <w:pPr>
        <w:keepNext w:val="0"/>
        <w:keepLines w:val="0"/>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71" w:name="_Toc13436"/>
      <w:bookmarkStart w:id="72" w:name="_Toc27494"/>
      <w:bookmarkStart w:id="73" w:name="_Toc16720"/>
      <w:bookmarkStart w:id="74" w:name="_Toc14346"/>
      <w:r>
        <w:rPr>
          <w:rFonts w:ascii="黑体" w:hAnsi="黑体" w:eastAsia="黑体"/>
          <w:b/>
          <w:sz w:val="28"/>
        </w:rPr>
        <w:t>D.讨论</w:t>
      </w:r>
      <w:bookmarkEnd w:id="71"/>
      <w:bookmarkEnd w:id="72"/>
      <w:bookmarkEnd w:id="73"/>
      <w:bookmarkEnd w:id="74"/>
    </w:p>
    <w:p w14:paraId="12727C4F">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p>
    <w:p w14:paraId="0FD8510D">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r>
        <w:rPr>
          <w:rFonts w:ascii="Times New Roman" w:hAnsi="Times New Roman" w:eastAsia="宋体"/>
          <w:b w:val="0"/>
          <w:sz w:val="24"/>
        </w:rPr>
        <w:t>虽然我们的模型在进行的实验中取得了最先进的结果，但它有一定的局限性。首先，它仅在以下方面优于激光雷达和相机-激光雷达融合方法不同骨干网和输入图像分辨率的性能和复杂度。图5可视化数据集的传感器误校准(左)和模型的两个失效案例。一个显示了对交叉物体的缺失检测(中)，另一个显示了部分遮挡物体的假阴性(右)。基础真相用蓝色表示，模型预测用橙色表示。恶劣的天气条件下，而在正常条件下显示出明显较低的性能。其次，该模型在检测与自我车辆行驶方向相切的物体并正确预测其航向角度方面存在困难，如图5所示。这可能是由于一侧数据集中交叉物体的代表性严重不足，而另一侧雷达传感器无法测量切向速度造成的。此外，它很难检测或区分彼此后面或彼此靠近的多个物体，如图5所示。我们认为，这是由于部分遮挡和雷达传感器在方位角-仰角平面上的有限分辨率造成的。最后但并非最不重要的是，模型的泛化能力只能在K-Radar数据集范围内进行测试。由于K-Radar数据集是唯一一个提供不同天气条件的原始4D雷达数据的数据集，也是唯一一个具有雷达立方体数据的大型数据集，因此模型到不同数据集的可移植性尚未得到证明。尽管如此，仅依赖3D雷达数据的可比模型架构显示出有希望的泛化结果，这是这些模型类型可转移性的第一个指标。</w:t>
      </w:r>
    </w:p>
    <w:p w14:paraId="4B7F43F2">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r>
        <w:rPr>
          <w:rFonts w:ascii="Times New Roman" w:hAnsi="Times New Roman" w:eastAsia="宋体"/>
          <w:b w:val="0"/>
          <w:sz w:val="24"/>
        </w:rPr>
        <w:t>尽管是唯一具有4D雷达立方体数据的数据集，但K-Radar数据集显示出一些标签不一致(特别是轿车和公共汽车或卡车类别之间)，即使在修订版v2.0中。此外，测试集从相同的驾驶序列中采样，并且包含与火车集相似的场景，这限制了测试模型泛化性的能力，即使测试分割在形式上是独立的。此外，我们观察到相机和激光雷达框架之间的不对准，如图5所示，这很重要，因为标签是在激光雷达数据上创建的，这就是EchoFusion使用自己校准的原因。然而，传感器的重新校准是困难的，并且会限制与以前方法的可比性，这就是我们使用官方校准的原因。尽管如此，还需要进一步的研究来量化模型对误校准的敏感性。最后但并非最不重要的是，官方评估方案中总mAP度量的计算可能会产生误导，因为它是根据地面真实对象的数量加权的单个类别的加权平均值计算的。一般来说，KITTI评估协议的使用可能会受到质疑，因为平均精度失真的问题，而且最近的研究表明，其他指标，如nuScenes检测分数(NDS)，与自动驾驶任务的实现有更好的相关性。</w:t>
      </w:r>
    </w:p>
    <w:p w14:paraId="79CEF60B">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pPr>
      <w:r>
        <w:br w:type="page"/>
      </w:r>
    </w:p>
    <w:p w14:paraId="42FC057D">
      <w:pPr>
        <w:keepNext w:val="0"/>
        <w:keepLines w:val="0"/>
        <w:pageBreakBefore w:val="0"/>
        <w:widowControl/>
        <w:kinsoku/>
        <w:wordWrap/>
        <w:overflowPunct/>
        <w:topLinePunct w:val="0"/>
        <w:autoSpaceDE/>
        <w:autoSpaceDN/>
        <w:bidi w:val="0"/>
        <w:adjustRightInd/>
        <w:snapToGrid/>
        <w:spacing w:before="0" w:after="0" w:line="360" w:lineRule="auto"/>
        <w:jc w:val="left"/>
        <w:textAlignment w:val="auto"/>
        <w:outlineLvl w:val="0"/>
      </w:pPr>
      <w:bookmarkStart w:id="75" w:name="_Toc6175"/>
      <w:bookmarkStart w:id="76" w:name="_Toc13581"/>
      <w:bookmarkStart w:id="77" w:name="_Toc24146"/>
      <w:bookmarkStart w:id="78" w:name="_Toc2937"/>
      <w:r>
        <w:rPr>
          <w:rFonts w:ascii="黑体" w:hAnsi="黑体" w:eastAsia="黑体"/>
          <w:b/>
          <w:sz w:val="30"/>
        </w:rPr>
        <w:t>V.结论</w:t>
      </w:r>
      <w:bookmarkEnd w:id="75"/>
      <w:bookmarkEnd w:id="76"/>
      <w:bookmarkEnd w:id="77"/>
      <w:bookmarkEnd w:id="78"/>
    </w:p>
    <w:p w14:paraId="0E9B4818">
      <w:pPr>
        <w:spacing w:before="0" w:after="0" w:line="360" w:lineRule="auto"/>
        <w:jc w:val="both"/>
      </w:pPr>
    </w:p>
    <w:p w14:paraId="0B9FCCB8">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ascii="Times New Roman" w:hAnsi="Times New Roman" w:eastAsia="宋体"/>
          <w:b w:val="0"/>
          <w:sz w:val="24"/>
        </w:rPr>
      </w:pPr>
      <w:r>
        <w:rPr>
          <w:rFonts w:ascii="Times New Roman" w:hAnsi="Times New Roman" w:eastAsia="宋体"/>
          <w:b w:val="0"/>
          <w:sz w:val="24"/>
        </w:rPr>
        <w:t>我们提出了一种融合相机和立方体级雷达数据的新方法，以实现高性能，鲁棒性，且具有成本效益的3D目标检测方法。我们是第一个将原始4D雷达数据与相机数据融合在一起的人，并展示了不同输入视角的重要性。我们提出的DPFT方法在K-Radar数据集具有挑战性的环境条件下实现了最先进的结果。实验结果表明，我们提出的方法对恶劣天气条件具有鲁棒性，即使在传感器发生故障后也能够保持一般功能。最后，我们对我们的方法的计算复杂性进行了全面的分析，并能够证明我们的方法在所有测试的融合方法中具有最快的推理时间。</w:t>
      </w:r>
    </w:p>
    <w:p w14:paraId="3BE0FF83">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r>
        <w:rPr>
          <w:rFonts w:ascii="Times New Roman" w:hAnsi="Times New Roman" w:eastAsia="宋体"/>
          <w:b w:val="0"/>
          <w:sz w:val="24"/>
        </w:rPr>
        <w:t>尽管相机和雷达融合在3D目标检测方面具有巨大的潜力，但从这项工作中出现了新的研究问题。虽然我们提出了一种新颖的双视角融合方法，但如何最有效地利用高维雷达数据的一般问题仍有待研究。此外，在融合方法中平衡不同传感器模式的性能以最有效地利用输入数据并避免在传感器故障期间发生重大性能损失仍然具有挑战性。即使我们使用不同的方法来抵消传感器故障后的性能下降，也需要进一步的研究来减轻这种影响。此外，传感器特有的挑战，如雷达域的目标分离或相机域的深度估计，仍有待研究。除此之外，可以考虑时间信息来提高性能，并且可以在未来的工作中使用不同的检测头来实现无实例检测方法。</w:t>
      </w:r>
    </w:p>
    <w:p w14:paraId="71C073C5"/>
    <w:sectPr>
      <w:pgSz w:w="11906" w:h="16838"/>
      <w:pgMar w:top="1417" w:right="1417" w:bottom="1417"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5B717CEF"/>
    <w:multiLevelType w:val="singleLevel"/>
    <w:tmpl w:val="5B717CEF"/>
    <w:lvl w:ilvl="0" w:tentative="0">
      <w:start w:val="1"/>
      <w:numFmt w:val="upperLetter"/>
      <w:suff w:val="space"/>
      <w:lvlText w:val="%1."/>
      <w:lvlJc w:val="left"/>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AF630AE"/>
    <w:rsid w:val="70BA2B7E"/>
    <w:rsid w:val="74BD0C4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0" w:line="276" w:lineRule="auto"/>
    </w:pPr>
    <w:rPr>
      <w:rFonts w:ascii="Times New Roman" w:hAnsi="Times New Roman" w:eastAsiaTheme="minorEastAsia" w:cstheme="minorBidi"/>
      <w:sz w:val="24"/>
      <w:szCs w:val="22"/>
      <w:lang w:val="en-US" w:eastAsia="en-US" w:bidi="ar-SA"/>
    </w:rPr>
  </w:style>
  <w:style w:type="paragraph" w:styleId="3">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qFormat/>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8"/>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6"/>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8"/>
    <w:unhideWhenUsed/>
    <w:uiPriority w:val="99"/>
    <w:pPr>
      <w:tabs>
        <w:tab w:val="center" w:pos="4680"/>
        <w:tab w:val="right" w:pos="9360"/>
      </w:tabs>
      <w:spacing w:after="0" w:line="240" w:lineRule="auto"/>
    </w:pPr>
  </w:style>
  <w:style w:type="paragraph" w:styleId="25">
    <w:name w:val="header"/>
    <w:basedOn w:val="1"/>
    <w:link w:val="137"/>
    <w:unhideWhenUsed/>
    <w:qFormat/>
    <w:uiPriority w:val="99"/>
    <w:pPr>
      <w:tabs>
        <w:tab w:val="center" w:pos="4680"/>
        <w:tab w:val="right" w:pos="9360"/>
      </w:tabs>
      <w:spacing w:after="0" w:line="240" w:lineRule="auto"/>
    </w:pPr>
  </w:style>
  <w:style w:type="paragraph" w:styleId="26">
    <w:name w:val="toc 1"/>
    <w:basedOn w:val="1"/>
    <w:next w:val="1"/>
    <w:semiHidden/>
    <w:unhideWhenUsed/>
    <w:uiPriority w:val="39"/>
  </w:style>
  <w:style w:type="paragraph" w:styleId="27">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toc 2"/>
    <w:basedOn w:val="1"/>
    <w:next w:val="1"/>
    <w:semiHidden/>
    <w:unhideWhenUsed/>
    <w:uiPriority w:val="39"/>
    <w:pPr>
      <w:ind w:left="420" w:leftChars="200"/>
    </w:pPr>
  </w:style>
  <w:style w:type="paragraph" w:styleId="30">
    <w:name w:val="Body Text 2"/>
    <w:basedOn w:val="1"/>
    <w:link w:val="147"/>
    <w:unhideWhenUsed/>
    <w:uiPriority w:val="99"/>
    <w:pPr>
      <w:spacing w:after="120" w:line="480" w:lineRule="auto"/>
    </w:pPr>
  </w:style>
  <w:style w:type="paragraph" w:styleId="31">
    <w:name w:val="List Continue 2"/>
    <w:basedOn w:val="1"/>
    <w:unhideWhenUsed/>
    <w:uiPriority w:val="99"/>
    <w:pPr>
      <w:spacing w:after="120"/>
      <w:ind w:left="720"/>
      <w:contextualSpacing/>
    </w:pPr>
  </w:style>
  <w:style w:type="paragraph" w:styleId="32">
    <w:name w:val="List Continue 3"/>
    <w:basedOn w:val="1"/>
    <w:unhideWhenUsed/>
    <w:uiPriority w:val="99"/>
    <w:pPr>
      <w:spacing w:after="120"/>
      <w:ind w:left="1080"/>
      <w:contextualSpacing/>
    </w:pPr>
  </w:style>
  <w:style w:type="paragraph" w:styleId="33">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customStyle="1" w:styleId="137">
    <w:name w:val="Header Char"/>
    <w:basedOn w:val="134"/>
    <w:link w:val="25"/>
    <w:uiPriority w:val="99"/>
  </w:style>
  <w:style w:type="character" w:customStyle="1" w:styleId="138">
    <w:name w:val="Footer Char"/>
    <w:basedOn w:val="134"/>
    <w:link w:val="24"/>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4"/>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4"/>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4"/>
    <w:link w:val="33"/>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4"/>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4"/>
    <w:link w:val="19"/>
    <w:qFormat/>
    <w:uiPriority w:val="99"/>
  </w:style>
  <w:style w:type="character" w:customStyle="1" w:styleId="147">
    <w:name w:val="Body Text 2 Char"/>
    <w:basedOn w:val="134"/>
    <w:link w:val="30"/>
    <w:qFormat/>
    <w:uiPriority w:val="99"/>
  </w:style>
  <w:style w:type="character" w:customStyle="1" w:styleId="148">
    <w:name w:val="Body Text 3 Char"/>
    <w:basedOn w:val="134"/>
    <w:link w:val="17"/>
    <w:uiPriority w:val="99"/>
    <w:rPr>
      <w:sz w:val="16"/>
      <w:szCs w:val="16"/>
    </w:rPr>
  </w:style>
  <w:style w:type="character" w:customStyle="1" w:styleId="149">
    <w:name w:val="Macro Text Char"/>
    <w:basedOn w:val="134"/>
    <w:link w:val="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4"/>
    <w:link w:val="150"/>
    <w:qFormat/>
    <w:uiPriority w:val="29"/>
    <w:rPr>
      <w:i/>
      <w:iCs/>
      <w:color w:val="000000" w:themeColor="text1"/>
      <w14:textFill>
        <w14:solidFill>
          <w14:schemeClr w14:val="tx1"/>
        </w14:solidFill>
      </w14:textFill>
    </w:rPr>
  </w:style>
  <w:style w:type="character" w:customStyle="1" w:styleId="152">
    <w:name w:val="Heading 4 Char"/>
    <w:basedOn w:val="134"/>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4"/>
    <w:link w:val="7"/>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34"/>
    <w:link w:val="8"/>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4"/>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4"/>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4"/>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4"/>
    <w:link w:val="158"/>
    <w:qFormat/>
    <w:uiPriority w:val="30"/>
    <w:rPr>
      <w:b/>
      <w:bCs/>
      <w:i/>
      <w:iCs/>
      <w:color w:val="4F81BD" w:themeColor="accent1"/>
      <w14:textFill>
        <w14:solidFill>
          <w14:schemeClr w14:val="accent1"/>
        </w14:solidFill>
      </w14:textFill>
    </w:rPr>
  </w:style>
  <w:style w:type="character" w:customStyle="1" w:styleId="160">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4"/>
    <w:qFormat/>
    <w:uiPriority w:val="21"/>
    <w:rPr>
      <w:b/>
      <w:bCs/>
      <w:i/>
      <w:iCs/>
      <w:color w:val="4F81BD" w:themeColor="accent1"/>
      <w14:textFill>
        <w14:solidFill>
          <w14:schemeClr w14:val="accent1"/>
        </w14:solidFill>
      </w14:textFill>
    </w:rPr>
  </w:style>
  <w:style w:type="character" w:customStyle="1" w:styleId="162">
    <w:name w:val="Subtle Reference"/>
    <w:basedOn w:val="134"/>
    <w:qFormat/>
    <w:uiPriority w:val="31"/>
    <w:rPr>
      <w:smallCaps/>
      <w:color w:val="C0504D" w:themeColor="accent2"/>
      <w:u w:val="single"/>
      <w14:textFill>
        <w14:solidFill>
          <w14:schemeClr w14:val="accent2"/>
        </w14:solidFill>
      </w14:textFill>
    </w:rPr>
  </w:style>
  <w:style w:type="character" w:customStyle="1" w:styleId="163">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4"/>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13904</Words>
  <Characters>26489</Characters>
  <Lines>0</Lines>
  <Paragraphs>0</Paragraphs>
  <TotalTime>3</TotalTime>
  <ScaleCrop>false</ScaleCrop>
  <LinksUpToDate>false</LinksUpToDate>
  <CharactersWithSpaces>29191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Louise</cp:lastModifiedBy>
  <dcterms:modified xsi:type="dcterms:W3CDTF">2026-04-16T09:40:33Z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eyJoZGlkIjoiMmM2YWQ2YzlkMjVlNDllOGJmYTJiZWQ5NDA3N2Y0OTIiLCJ1c2VySWQiOiIxMzY2NDI0MzExIn0=</vt:lpwstr>
  </property>
  <property fmtid="{D5CDD505-2E9C-101B-9397-08002B2CF9AE}" pid="3" name="KSOProductBuildVer">
    <vt:lpwstr>2052-12.1.0.25225</vt:lpwstr>
  </property>
  <property fmtid="{D5CDD505-2E9C-101B-9397-08002B2CF9AE}" pid="4" name="ICV">
    <vt:lpwstr>BF48AB9774A043DCBF82400F3157A7AE_13</vt:lpwstr>
  </property>
</Properties>
</file>