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8BAD5">
      <w:pPr>
        <w:spacing w:before="0" w:after="0" w:line="360" w:lineRule="auto"/>
        <w:jc w:val="center"/>
      </w:pPr>
      <w:r>
        <w:rPr>
          <w:rFonts w:ascii="Times New Roman" w:hAnsi="Times New Roman" w:eastAsia="黑体"/>
          <w:b/>
          <w:sz w:val="44"/>
        </w:rPr>
        <w:t>文献综述</w:t>
      </w:r>
    </w:p>
    <w:p w14:paraId="34C39524">
      <w:pPr>
        <w:spacing w:before="0" w:after="0" w:line="360" w:lineRule="auto"/>
        <w:jc w:val="center"/>
      </w:pPr>
      <w:r>
        <w:rPr>
          <w:rFonts w:ascii="Times New Roman" w:hAnsi="Times New Roman" w:eastAsia="宋体"/>
          <w:b/>
          <w:sz w:val="30"/>
        </w:rPr>
        <w:t>基于知识蒸馏的轻量化多模态感知模型</w:t>
      </w:r>
    </w:p>
    <w:p w14:paraId="35B38BB5">
      <w:pPr>
        <w:spacing w:before="0" w:after="0" w:line="360" w:lineRule="auto"/>
        <w:jc w:val="center"/>
      </w:pPr>
      <w:r>
        <w:rPr>
          <w:rFonts w:ascii="Times New Roman" w:hAnsi="Times New Roman" w:eastAsia="宋体"/>
          <w:b w:val="0"/>
          <w:sz w:val="24"/>
        </w:rPr>
        <w:t>陶可  计算机z2204班  指导教师：李爱萍</w:t>
      </w:r>
    </w:p>
    <w:p w14:paraId="42C5DA6E">
      <w:pPr>
        <w:spacing w:before="120" w:after="120" w:line="360" w:lineRule="auto"/>
        <w:jc w:val="center"/>
        <w:outlineLvl w:val="0"/>
      </w:pPr>
      <w:bookmarkStart w:id="0" w:name="_Toc5304"/>
      <w:bookmarkStart w:id="1" w:name="_Toc7793"/>
      <w:bookmarkStart w:id="2" w:name="_Toc31893"/>
      <w:r>
        <w:rPr>
          <w:rFonts w:ascii="Times New Roman" w:hAnsi="Times New Roman" w:eastAsia="黑体"/>
          <w:b/>
          <w:sz w:val="30"/>
        </w:rPr>
        <w:t>摘要</w:t>
      </w:r>
      <w:bookmarkEnd w:id="0"/>
      <w:bookmarkEnd w:id="1"/>
      <w:bookmarkEnd w:id="2"/>
    </w:p>
    <w:p w14:paraId="3CB7B1BD">
      <w:pPr>
        <w:spacing w:before="0" w:after="0" w:line="360" w:lineRule="auto"/>
        <w:ind w:firstLine="480"/>
        <w:jc w:val="both"/>
      </w:pPr>
      <w:r>
        <w:rPr>
          <w:rFonts w:ascii="Times New Roman" w:hAnsi="Times New Roman" w:eastAsia="宋体"/>
          <w:b w:val="0"/>
          <w:sz w:val="24"/>
        </w:rPr>
        <w:t>随着深度学习技术的迅猛发展，多模态感知模型在自动驾驶、智能交通等领域展现出显著性能优势，但其参数规模庞大、计算复杂度高，难以满足边缘设备实时部署的需求。知识蒸馏作为模型压缩领域的核心技术，通过将大规模教师模型所积累的知识迁移至轻量级学生模型，能够在大幅降低模型参数量与计算开销的同时有效保留原模型的性能表现。本文以基于知识蒸馏的轻量化多模态感知模型为研究背景，聚焦输出层知识蒸馏在Query-based多模态检测模型上的适配性问题。</w:t>
      </w:r>
    </w:p>
    <w:p w14:paraId="1F1ECC7E">
      <w:pPr>
        <w:spacing w:before="0" w:after="0" w:line="360" w:lineRule="auto"/>
        <w:ind w:firstLine="480"/>
        <w:jc w:val="both"/>
      </w:pPr>
      <w:r>
        <w:rPr>
          <w:rFonts w:ascii="Times New Roman" w:hAnsi="Times New Roman" w:eastAsia="宋体"/>
          <w:b w:val="0"/>
          <w:sz w:val="24"/>
        </w:rPr>
        <w:t>本文系统综述了多模态特征融合技术、知识蒸馏方法体系与多模态模型轻量化三个方向的研究现状。在特征融合方面，梳理了从两阶段CNN检测器到DETR系列端到端检测方法的演进，以及FUTR3D、DPFT等主流摄像头-雷达融合框架；在知识蒸馏方面，覆盖了经典软标签蒸馏、教师助手策略、解耦蒸馏（DKD）、关系蒸馏（RKD）与中间特征蒸馏等代表性方法；在多模态轻量化应用方面，分析了RayD3D、MultiDistiller等典型工作，并指出了现有方法在输出层蒸馏设计、Query对齐策略和雷达模态适配方面的不足。本综述为以DPFT模型为基础的知识蒸馏研究提供了系统性的理论支撑。</w:t>
      </w:r>
    </w:p>
    <w:p w14:paraId="36EE14BF">
      <w:pPr>
        <w:spacing w:before="0" w:after="0" w:line="360" w:lineRule="auto"/>
        <w:jc w:val="both"/>
      </w:pPr>
      <w:r>
        <w:rPr>
          <w:rFonts w:ascii="Times New Roman" w:hAnsi="Times New Roman" w:eastAsia="宋体"/>
          <w:b w:val="0"/>
          <w:sz w:val="24"/>
        </w:rPr>
        <w:t>关键词：知识蒸馏；多模态感知；目标检测；轻量化；特征融合</w:t>
      </w:r>
    </w:p>
    <w:p w14:paraId="77E419E9">
      <w:r>
        <w:br w:type="page"/>
      </w:r>
    </w:p>
    <w:p w14:paraId="422EC0CE">
      <w:pPr>
        <w:keepNext w:val="0"/>
        <w:keepLines w:val="0"/>
        <w:pageBreakBefore w:val="0"/>
        <w:widowControl/>
        <w:kinsoku/>
        <w:wordWrap/>
        <w:overflowPunct/>
        <w:topLinePunct w:val="0"/>
        <w:autoSpaceDE/>
        <w:autoSpaceDN/>
        <w:bidi w:val="0"/>
        <w:adjustRightInd/>
        <w:snapToGrid/>
        <w:textAlignment w:val="auto"/>
        <w:outlineLvl w:val="0"/>
        <w:rPr>
          <w:rFonts w:ascii="Times New Roman" w:hAnsi="Times New Roman" w:eastAsia="黑体"/>
          <w:b/>
          <w:sz w:val="30"/>
        </w:rPr>
      </w:pPr>
      <w:bookmarkStart w:id="3" w:name="_Toc5564"/>
      <w:bookmarkStart w:id="4" w:name="_Toc6175"/>
      <w:bookmarkStart w:id="5" w:name="_Toc8129"/>
      <w:bookmarkStart w:id="6" w:name="_Toc30427"/>
      <w:r>
        <w:rPr>
          <w:rFonts w:ascii="Times New Roman" w:hAnsi="Times New Roman" w:eastAsia="黑体"/>
          <w:b/>
          <w:sz w:val="30"/>
        </w:rPr>
        <w:t>Abstract</w:t>
      </w:r>
      <w:bookmarkEnd w:id="3"/>
      <w:bookmarkEnd w:id="4"/>
      <w:bookmarkEnd w:id="5"/>
    </w:p>
    <w:p w14:paraId="59FBBF6A">
      <w:pPr>
        <w:pStyle w:val="3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line="360" w:lineRule="auto"/>
        <w:ind w:left="0" w:firstLine="480" w:firstLineChars="200"/>
        <w:textAlignment w:val="auto"/>
        <w:rPr>
          <w:rFonts w:ascii="Times New Roman" w:hAnsi="Times New Roman" w:eastAsia="Segoe UI" w:cs="Segoe UI"/>
          <w:i w:val="0"/>
          <w:iCs w:val="0"/>
          <w:caps w:val="0"/>
          <w:color w:val="1F2328"/>
          <w:spacing w:val="0"/>
          <w:sz w:val="24"/>
          <w:szCs w:val="24"/>
        </w:rPr>
      </w:pPr>
      <w:r>
        <w:rPr>
          <w:rFonts w:hint="default" w:ascii="Times New Roman" w:hAnsi="Times New Roman" w:eastAsia="Segoe UI" w:cs="Segoe UI"/>
          <w:i w:val="0"/>
          <w:iCs w:val="0"/>
          <w:caps w:val="0"/>
          <w:color w:val="1F2328"/>
          <w:spacing w:val="0"/>
          <w:sz w:val="24"/>
          <w:szCs w:val="24"/>
          <w:shd w:val="clear" w:fill="FFFFFF"/>
        </w:rPr>
        <w:t>With the rapid advancement of deep learning, multimodal perception models have demonstrated significant performance advantages in areas such as autonomous driving and intelligent transportation. However, their large parameter sizes and high computational complexity make it difficult to meet the requirements for real-time deployment on edge devices. Knowledge distillation, a core technique in model compression, transfers knowledge learned by a large-scale teacher model to a lightweight student model, enabling a substantial reduction in model parameters and computational cost while effectively preserving the original model’s performance. Against the background of lightweight multimodal perception models based on knowledge distillation, this paper focuses on the adaptability of output-layer knowledge distillation to query-based multimodal detection models.</w:t>
      </w:r>
    </w:p>
    <w:p w14:paraId="1DC7753A">
      <w:pPr>
        <w:pStyle w:val="3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line="360" w:lineRule="auto"/>
        <w:ind w:left="0" w:firstLine="480" w:firstLineChars="200"/>
        <w:textAlignment w:val="auto"/>
        <w:rPr>
          <w:rFonts w:hint="default" w:ascii="Times New Roman" w:hAnsi="Times New Roman" w:eastAsia="Segoe UI" w:cs="Segoe UI"/>
          <w:i w:val="0"/>
          <w:iCs w:val="0"/>
          <w:caps w:val="0"/>
          <w:color w:val="1F2328"/>
          <w:spacing w:val="0"/>
          <w:sz w:val="24"/>
          <w:szCs w:val="24"/>
        </w:rPr>
      </w:pPr>
      <w:r>
        <w:rPr>
          <w:rFonts w:hint="default" w:ascii="Times New Roman" w:hAnsi="Times New Roman" w:eastAsia="Segoe UI" w:cs="Segoe UI"/>
          <w:i w:val="0"/>
          <w:iCs w:val="0"/>
          <w:caps w:val="0"/>
          <w:color w:val="1F2328"/>
          <w:spacing w:val="0"/>
          <w:sz w:val="24"/>
          <w:szCs w:val="24"/>
          <w:shd w:val="clear" w:fill="FFFFFF"/>
        </w:rPr>
        <w:t>This paper systematically reviews the research status in three directions: multimodal feature fusion techniques, knowledge distillation methodologies, and the lightweighting of multimodal models. For feature fusion, it summarizes the evolution from two-stage CNN-based detectors to the DETR series of end-to-end detection methods, as well as mainstream camera–radar fusion frameworks such as FUTR3D and DPFT. For knowledge distillation, it covers representative approaches including classic soft-label distillation, teacher-assistant strategies, decoupled knowledge distillation (DKD), relational knowledge distillation (RKD), and intermediate-feature distillation. For lightweight multimodal applications, it analyzes typical works such as RayD3D and MultiDistiller, and points out shortcomings of existing methods in output-layer distillation design, query alignment strategies, and adaptation to the radar modality. This review provides systematic theoretical support for knowledge distillation research based on the DPFT model.</w:t>
      </w:r>
    </w:p>
    <w:p w14:paraId="1E24BE10">
      <w:pPr>
        <w:pStyle w:val="32"/>
        <w:keepNext w:val="0"/>
        <w:keepLines w:val="0"/>
        <w:widowControl/>
        <w:suppressLineNumbers w:val="0"/>
        <w:shd w:val="clear" w:fill="FFFFFF"/>
        <w:spacing w:before="0" w:beforeAutospacing="0" w:after="0" w:afterAutospacing="0"/>
        <w:ind w:left="0" w:firstLine="0"/>
        <w:rPr>
          <w:rFonts w:hint="default" w:ascii="Times New Roman" w:hAnsi="Times New Roman" w:eastAsia="Segoe UI" w:cs="Segoe UI"/>
          <w:i w:val="0"/>
          <w:iCs w:val="0"/>
          <w:caps w:val="0"/>
          <w:color w:val="1F2328"/>
          <w:spacing w:val="0"/>
          <w:sz w:val="28"/>
          <w:szCs w:val="28"/>
        </w:rPr>
      </w:pPr>
      <w:r>
        <w:rPr>
          <w:rStyle w:val="136"/>
          <w:rFonts w:hint="default" w:ascii="Times New Roman" w:hAnsi="Times New Roman" w:eastAsia="Segoe UI" w:cs="Segoe UI"/>
          <w:b/>
          <w:bCs/>
          <w:i w:val="0"/>
          <w:iCs w:val="0"/>
          <w:caps w:val="0"/>
          <w:color w:val="1F2328"/>
          <w:spacing w:val="0"/>
          <w:sz w:val="28"/>
          <w:szCs w:val="28"/>
          <w:shd w:val="clear" w:fill="FFFFFF"/>
        </w:rPr>
        <w:t>Keywords:</w:t>
      </w:r>
      <w:r>
        <w:rPr>
          <w:rFonts w:hint="default" w:ascii="Times New Roman" w:hAnsi="Times New Roman" w:eastAsia="Segoe UI" w:cs="Segoe UI"/>
          <w:i w:val="0"/>
          <w:iCs w:val="0"/>
          <w:caps w:val="0"/>
          <w:color w:val="1F2328"/>
          <w:spacing w:val="0"/>
          <w:sz w:val="28"/>
          <w:szCs w:val="28"/>
          <w:shd w:val="clear" w:fill="FFFFFF"/>
        </w:rPr>
        <w:t> knowledge distillation; multimodal perception; object detection; lightweighting; feature fusion</w:t>
      </w:r>
    </w:p>
    <w:p w14:paraId="12D7BAF8">
      <w:pPr>
        <w:rPr>
          <w:rFonts w:ascii="Times New Roman" w:hAnsi="Times New Roman" w:eastAsia="黑体"/>
          <w:b/>
          <w:sz w:val="30"/>
        </w:rPr>
      </w:pPr>
    </w:p>
    <w:p w14:paraId="0E77D5B1">
      <w:pPr>
        <w:rPr>
          <w:rFonts w:ascii="Times New Roman" w:hAnsi="Times New Roman" w:eastAsia="黑体"/>
          <w:b/>
          <w:sz w:val="30"/>
        </w:rPr>
      </w:pPr>
      <w:r>
        <w:rPr>
          <w:rFonts w:ascii="Times New Roman" w:hAnsi="Times New Roman" w:eastAsia="黑体"/>
          <w:b/>
          <w:sz w:val="30"/>
        </w:rPr>
        <w:br w:type="page"/>
      </w:r>
    </w:p>
    <w:p w14:paraId="6F02949D">
      <w:pPr>
        <w:spacing w:before="120" w:after="120" w:line="360" w:lineRule="auto"/>
        <w:jc w:val="center"/>
        <w:outlineLvl w:val="0"/>
      </w:pPr>
      <w:bookmarkStart w:id="7" w:name="_Toc12051"/>
      <w:bookmarkStart w:id="8" w:name="_Toc2389"/>
      <w:r>
        <w:rPr>
          <w:rFonts w:ascii="Times New Roman" w:hAnsi="Times New Roman" w:eastAsia="黑体"/>
          <w:b/>
          <w:sz w:val="30"/>
        </w:rPr>
        <w:t>目录</w:t>
      </w:r>
      <w:bookmarkEnd w:id="6"/>
      <w:bookmarkEnd w:id="7"/>
      <w:bookmarkEnd w:id="8"/>
    </w:p>
    <w:p w14:paraId="5DC1B573">
      <w:pPr>
        <w:pStyle w:val="26"/>
        <w:tabs>
          <w:tab w:val="right" w:leader="dot" w:pos="9406"/>
        </w:tabs>
      </w:pPr>
      <w:r>
        <w:fldChar w:fldCharType="begin"/>
      </w:r>
      <w:r>
        <w:instrText xml:space="preserve">TOC \o "1-3" \h \u </w:instrText>
      </w:r>
      <w:r>
        <w:fldChar w:fldCharType="separate"/>
      </w:r>
      <w:r>
        <w:fldChar w:fldCharType="begin"/>
      </w:r>
      <w:r>
        <w:instrText xml:space="preserve"> HYPERLINK \l _Toc31893 </w:instrText>
      </w:r>
      <w:r>
        <w:fldChar w:fldCharType="separate"/>
      </w:r>
      <w:r>
        <w:rPr>
          <w:rFonts w:ascii="Times New Roman" w:hAnsi="Times New Roman" w:eastAsia="黑体"/>
        </w:rPr>
        <w:t>摘要</w:t>
      </w:r>
      <w:r>
        <w:tab/>
      </w:r>
      <w:r>
        <w:fldChar w:fldCharType="begin"/>
      </w:r>
      <w:r>
        <w:instrText xml:space="preserve"> PAGEREF _Toc31893 \h </w:instrText>
      </w:r>
      <w:r>
        <w:fldChar w:fldCharType="separate"/>
      </w:r>
      <w:r>
        <w:t>1</w:t>
      </w:r>
      <w:r>
        <w:fldChar w:fldCharType="end"/>
      </w:r>
      <w:r>
        <w:fldChar w:fldCharType="end"/>
      </w:r>
    </w:p>
    <w:p w14:paraId="2389C0F5">
      <w:pPr>
        <w:pStyle w:val="26"/>
        <w:tabs>
          <w:tab w:val="right" w:leader="dot" w:pos="9406"/>
        </w:tabs>
      </w:pPr>
      <w:r>
        <w:fldChar w:fldCharType="begin"/>
      </w:r>
      <w:r>
        <w:instrText xml:space="preserve"> HYPERLINK \l _Toc8129 </w:instrText>
      </w:r>
      <w:r>
        <w:fldChar w:fldCharType="separate"/>
      </w:r>
      <w:r>
        <w:rPr>
          <w:rFonts w:ascii="Times New Roman" w:hAnsi="Times New Roman" w:eastAsia="黑体"/>
        </w:rPr>
        <w:t>Abstract</w:t>
      </w:r>
      <w:r>
        <w:tab/>
      </w:r>
      <w:r>
        <w:fldChar w:fldCharType="begin"/>
      </w:r>
      <w:r>
        <w:instrText xml:space="preserve"> PAGEREF _Toc8129 \h </w:instrText>
      </w:r>
      <w:r>
        <w:fldChar w:fldCharType="separate"/>
      </w:r>
      <w:r>
        <w:t>2</w:t>
      </w:r>
      <w:r>
        <w:fldChar w:fldCharType="end"/>
      </w:r>
      <w:r>
        <w:fldChar w:fldCharType="end"/>
      </w:r>
    </w:p>
    <w:p w14:paraId="529CDE1A">
      <w:pPr>
        <w:pStyle w:val="26"/>
        <w:tabs>
          <w:tab w:val="right" w:leader="dot" w:pos="9406"/>
        </w:tabs>
      </w:pPr>
      <w:r>
        <w:fldChar w:fldCharType="begin"/>
      </w:r>
      <w:r>
        <w:instrText xml:space="preserve"> HYPERLINK \l _Toc2389 </w:instrText>
      </w:r>
      <w:r>
        <w:fldChar w:fldCharType="separate"/>
      </w:r>
      <w:r>
        <w:rPr>
          <w:rFonts w:ascii="Times New Roman" w:hAnsi="Times New Roman" w:eastAsia="黑体"/>
        </w:rPr>
        <w:t>目录</w:t>
      </w:r>
      <w:r>
        <w:tab/>
      </w:r>
      <w:r>
        <w:fldChar w:fldCharType="begin"/>
      </w:r>
      <w:r>
        <w:instrText xml:space="preserve"> PAGEREF _Toc2389 \h </w:instrText>
      </w:r>
      <w:r>
        <w:fldChar w:fldCharType="separate"/>
      </w:r>
      <w:r>
        <w:t>3</w:t>
      </w:r>
      <w:r>
        <w:fldChar w:fldCharType="end"/>
      </w:r>
      <w:r>
        <w:fldChar w:fldCharType="end"/>
      </w:r>
    </w:p>
    <w:p w14:paraId="20B71592">
      <w:pPr>
        <w:pStyle w:val="26"/>
        <w:tabs>
          <w:tab w:val="right" w:leader="dot" w:pos="9406"/>
        </w:tabs>
      </w:pPr>
      <w:r>
        <w:fldChar w:fldCharType="begin"/>
      </w:r>
      <w:r>
        <w:instrText xml:space="preserve"> HYPERLINK \l _Toc21827 </w:instrText>
      </w:r>
      <w:r>
        <w:fldChar w:fldCharType="separate"/>
      </w:r>
      <w:r>
        <w:rPr>
          <w:rFonts w:ascii="Times New Roman" w:hAnsi="Times New Roman" w:eastAsia="黑体"/>
        </w:rPr>
        <w:t>1  引言</w:t>
      </w:r>
      <w:r>
        <w:tab/>
      </w:r>
      <w:r>
        <w:fldChar w:fldCharType="begin"/>
      </w:r>
      <w:r>
        <w:instrText xml:space="preserve"> PAGEREF _Toc21827 \h </w:instrText>
      </w:r>
      <w:r>
        <w:fldChar w:fldCharType="separate"/>
      </w:r>
      <w:r>
        <w:t>4</w:t>
      </w:r>
      <w:r>
        <w:fldChar w:fldCharType="end"/>
      </w:r>
      <w:r>
        <w:fldChar w:fldCharType="end"/>
      </w:r>
    </w:p>
    <w:p w14:paraId="045AF4E2">
      <w:pPr>
        <w:pStyle w:val="26"/>
        <w:tabs>
          <w:tab w:val="right" w:leader="dot" w:pos="9406"/>
        </w:tabs>
      </w:pPr>
      <w:r>
        <w:fldChar w:fldCharType="begin"/>
      </w:r>
      <w:r>
        <w:instrText xml:space="preserve"> HYPERLINK \l _Toc4526 </w:instrText>
      </w:r>
      <w:r>
        <w:fldChar w:fldCharType="separate"/>
      </w:r>
      <w:r>
        <w:rPr>
          <w:rFonts w:ascii="Times New Roman" w:hAnsi="Times New Roman" w:eastAsia="黑体"/>
        </w:rPr>
        <w:t>2  多模态感知模型与特征融合技术</w:t>
      </w:r>
      <w:r>
        <w:tab/>
      </w:r>
      <w:r>
        <w:fldChar w:fldCharType="begin"/>
      </w:r>
      <w:r>
        <w:instrText xml:space="preserve"> PAGEREF _Toc4526 \h </w:instrText>
      </w:r>
      <w:r>
        <w:fldChar w:fldCharType="separate"/>
      </w:r>
      <w:r>
        <w:t>5</w:t>
      </w:r>
      <w:r>
        <w:fldChar w:fldCharType="end"/>
      </w:r>
      <w:r>
        <w:fldChar w:fldCharType="end"/>
      </w:r>
    </w:p>
    <w:p w14:paraId="3A857459">
      <w:pPr>
        <w:pStyle w:val="29"/>
        <w:tabs>
          <w:tab w:val="right" w:leader="dot" w:pos="9406"/>
        </w:tabs>
      </w:pPr>
      <w:r>
        <w:fldChar w:fldCharType="begin"/>
      </w:r>
      <w:r>
        <w:instrText xml:space="preserve"> HYPERLINK \l _Toc3386 </w:instrText>
      </w:r>
      <w:r>
        <w:fldChar w:fldCharType="separate"/>
      </w:r>
      <w:r>
        <w:rPr>
          <w:rFonts w:ascii="Times New Roman" w:hAnsi="Times New Roman" w:eastAsia="黑体"/>
        </w:rPr>
        <w:t>2.1  目标检测基础方法</w:t>
      </w:r>
      <w:r>
        <w:tab/>
      </w:r>
      <w:r>
        <w:fldChar w:fldCharType="begin"/>
      </w:r>
      <w:r>
        <w:instrText xml:space="preserve"> PAGEREF _Toc3386 \h </w:instrText>
      </w:r>
      <w:r>
        <w:fldChar w:fldCharType="separate"/>
      </w:r>
      <w:r>
        <w:t>5</w:t>
      </w:r>
      <w:r>
        <w:fldChar w:fldCharType="end"/>
      </w:r>
      <w:r>
        <w:fldChar w:fldCharType="end"/>
      </w:r>
    </w:p>
    <w:p w14:paraId="79E6DE79">
      <w:pPr>
        <w:pStyle w:val="29"/>
        <w:tabs>
          <w:tab w:val="right" w:leader="dot" w:pos="9406"/>
        </w:tabs>
      </w:pPr>
      <w:r>
        <w:fldChar w:fldCharType="begin"/>
      </w:r>
      <w:r>
        <w:instrText xml:space="preserve"> HYPERLINK \l _Toc5081 </w:instrText>
      </w:r>
      <w:r>
        <w:fldChar w:fldCharType="separate"/>
      </w:r>
      <w:r>
        <w:rPr>
          <w:rFonts w:ascii="Times New Roman" w:hAnsi="Times New Roman" w:eastAsia="黑体"/>
        </w:rPr>
        <w:t>2.2  多模态特征融合方法</w:t>
      </w:r>
      <w:r>
        <w:tab/>
      </w:r>
      <w:r>
        <w:fldChar w:fldCharType="begin"/>
      </w:r>
      <w:r>
        <w:instrText xml:space="preserve"> PAGEREF _Toc5081 \h </w:instrText>
      </w:r>
      <w:r>
        <w:fldChar w:fldCharType="separate"/>
      </w:r>
      <w:r>
        <w:t>5</w:t>
      </w:r>
      <w:r>
        <w:fldChar w:fldCharType="end"/>
      </w:r>
      <w:r>
        <w:fldChar w:fldCharType="end"/>
      </w:r>
    </w:p>
    <w:p w14:paraId="0B3F9067">
      <w:pPr>
        <w:pStyle w:val="29"/>
        <w:tabs>
          <w:tab w:val="right" w:leader="dot" w:pos="9406"/>
        </w:tabs>
      </w:pPr>
      <w:r>
        <w:fldChar w:fldCharType="begin"/>
      </w:r>
      <w:r>
        <w:instrText xml:space="preserve"> HYPERLINK \l _Toc12582 </w:instrText>
      </w:r>
      <w:r>
        <w:fldChar w:fldCharType="separate"/>
      </w:r>
      <w:r>
        <w:rPr>
          <w:rFonts w:ascii="Times New Roman" w:hAnsi="Times New Roman" w:eastAsia="黑体"/>
        </w:rPr>
        <w:t>2.3  自动驾驶感知数据集</w:t>
      </w:r>
      <w:r>
        <w:tab/>
      </w:r>
      <w:r>
        <w:fldChar w:fldCharType="begin"/>
      </w:r>
      <w:r>
        <w:instrText xml:space="preserve"> PAGEREF _Toc12582 \h </w:instrText>
      </w:r>
      <w:r>
        <w:fldChar w:fldCharType="separate"/>
      </w:r>
      <w:r>
        <w:t>6</w:t>
      </w:r>
      <w:r>
        <w:fldChar w:fldCharType="end"/>
      </w:r>
      <w:r>
        <w:fldChar w:fldCharType="end"/>
      </w:r>
    </w:p>
    <w:p w14:paraId="1D813B77">
      <w:pPr>
        <w:pStyle w:val="29"/>
        <w:tabs>
          <w:tab w:val="right" w:leader="dot" w:pos="9406"/>
        </w:tabs>
      </w:pPr>
      <w:r>
        <w:fldChar w:fldCharType="begin"/>
      </w:r>
      <w:r>
        <w:instrText xml:space="preserve"> HYPERLINK \l _Toc12019 </w:instrText>
      </w:r>
      <w:r>
        <w:fldChar w:fldCharType="separate"/>
      </w:r>
      <w:r>
        <w:rPr>
          <w:rFonts w:ascii="Times New Roman" w:hAnsi="Times New Roman" w:eastAsia="黑体"/>
        </w:rPr>
        <w:t>2.4  本章小结</w:t>
      </w:r>
      <w:r>
        <w:tab/>
      </w:r>
      <w:r>
        <w:fldChar w:fldCharType="begin"/>
      </w:r>
      <w:r>
        <w:instrText xml:space="preserve"> PAGEREF _Toc12019 \h </w:instrText>
      </w:r>
      <w:r>
        <w:fldChar w:fldCharType="separate"/>
      </w:r>
      <w:r>
        <w:t>6</w:t>
      </w:r>
      <w:r>
        <w:fldChar w:fldCharType="end"/>
      </w:r>
      <w:r>
        <w:fldChar w:fldCharType="end"/>
      </w:r>
    </w:p>
    <w:p w14:paraId="670DB42E">
      <w:pPr>
        <w:pStyle w:val="26"/>
        <w:tabs>
          <w:tab w:val="right" w:leader="dot" w:pos="9406"/>
        </w:tabs>
      </w:pPr>
      <w:r>
        <w:fldChar w:fldCharType="begin"/>
      </w:r>
      <w:r>
        <w:instrText xml:space="preserve"> HYPERLINK \l _Toc14554 </w:instrText>
      </w:r>
      <w:r>
        <w:fldChar w:fldCharType="separate"/>
      </w:r>
      <w:r>
        <w:rPr>
          <w:rFonts w:ascii="Times New Roman" w:hAnsi="Times New Roman" w:eastAsia="黑体"/>
        </w:rPr>
        <w:t>3  知识蒸馏技术</w:t>
      </w:r>
      <w:r>
        <w:tab/>
      </w:r>
      <w:r>
        <w:fldChar w:fldCharType="begin"/>
      </w:r>
      <w:r>
        <w:instrText xml:space="preserve"> PAGEREF _Toc14554 \h </w:instrText>
      </w:r>
      <w:r>
        <w:fldChar w:fldCharType="separate"/>
      </w:r>
      <w:r>
        <w:t>7</w:t>
      </w:r>
      <w:r>
        <w:fldChar w:fldCharType="end"/>
      </w:r>
      <w:r>
        <w:fldChar w:fldCharType="end"/>
      </w:r>
    </w:p>
    <w:p w14:paraId="5A2547BC">
      <w:pPr>
        <w:pStyle w:val="29"/>
        <w:tabs>
          <w:tab w:val="right" w:leader="dot" w:pos="9406"/>
        </w:tabs>
      </w:pPr>
      <w:r>
        <w:fldChar w:fldCharType="begin"/>
      </w:r>
      <w:r>
        <w:instrText xml:space="preserve"> HYPERLINK \l _Toc17391 </w:instrText>
      </w:r>
      <w:r>
        <w:fldChar w:fldCharType="separate"/>
      </w:r>
      <w:r>
        <w:rPr>
          <w:rFonts w:ascii="Times New Roman" w:hAnsi="Times New Roman" w:eastAsia="黑体"/>
        </w:rPr>
        <w:t>3.1  经典输出层知识蒸馏</w:t>
      </w:r>
      <w:r>
        <w:tab/>
      </w:r>
      <w:r>
        <w:fldChar w:fldCharType="begin"/>
      </w:r>
      <w:r>
        <w:instrText xml:space="preserve"> PAGEREF _Toc17391 \h </w:instrText>
      </w:r>
      <w:r>
        <w:fldChar w:fldCharType="separate"/>
      </w:r>
      <w:r>
        <w:t>7</w:t>
      </w:r>
      <w:r>
        <w:fldChar w:fldCharType="end"/>
      </w:r>
      <w:r>
        <w:fldChar w:fldCharType="end"/>
      </w:r>
    </w:p>
    <w:p w14:paraId="5FFF6F25">
      <w:pPr>
        <w:pStyle w:val="29"/>
        <w:tabs>
          <w:tab w:val="right" w:leader="dot" w:pos="9406"/>
        </w:tabs>
      </w:pPr>
      <w:r>
        <w:fldChar w:fldCharType="begin"/>
      </w:r>
      <w:r>
        <w:instrText xml:space="preserve"> HYPERLINK \l _Toc20549 </w:instrText>
      </w:r>
      <w:r>
        <w:fldChar w:fldCharType="separate"/>
      </w:r>
      <w:r>
        <w:rPr>
          <w:rFonts w:ascii="Times New Roman" w:hAnsi="Times New Roman" w:eastAsia="黑体"/>
        </w:rPr>
        <w:t>3.2  改进的知识蒸馏方法</w:t>
      </w:r>
      <w:r>
        <w:tab/>
      </w:r>
      <w:r>
        <w:fldChar w:fldCharType="begin"/>
      </w:r>
      <w:r>
        <w:instrText xml:space="preserve"> PAGEREF _Toc20549 \h </w:instrText>
      </w:r>
      <w:r>
        <w:fldChar w:fldCharType="separate"/>
      </w:r>
      <w:r>
        <w:t>7</w:t>
      </w:r>
      <w:r>
        <w:fldChar w:fldCharType="end"/>
      </w:r>
      <w:r>
        <w:fldChar w:fldCharType="end"/>
      </w:r>
    </w:p>
    <w:p w14:paraId="0091964C">
      <w:pPr>
        <w:pStyle w:val="29"/>
        <w:tabs>
          <w:tab w:val="right" w:leader="dot" w:pos="9406"/>
        </w:tabs>
      </w:pPr>
      <w:r>
        <w:fldChar w:fldCharType="begin"/>
      </w:r>
      <w:r>
        <w:instrText xml:space="preserve"> HYPERLINK \l _Toc27319 </w:instrText>
      </w:r>
      <w:r>
        <w:fldChar w:fldCharType="separate"/>
      </w:r>
      <w:r>
        <w:rPr>
          <w:rFonts w:ascii="Times New Roman" w:hAnsi="Times New Roman" w:eastAsia="黑体"/>
        </w:rPr>
        <w:t>3.3  基于中间特征的知识蒸馏</w:t>
      </w:r>
      <w:r>
        <w:tab/>
      </w:r>
      <w:r>
        <w:fldChar w:fldCharType="begin"/>
      </w:r>
      <w:r>
        <w:instrText xml:space="preserve"> PAGEREF _Toc27319 \h </w:instrText>
      </w:r>
      <w:r>
        <w:fldChar w:fldCharType="separate"/>
      </w:r>
      <w:r>
        <w:t>8</w:t>
      </w:r>
      <w:r>
        <w:fldChar w:fldCharType="end"/>
      </w:r>
      <w:r>
        <w:fldChar w:fldCharType="end"/>
      </w:r>
    </w:p>
    <w:p w14:paraId="61BEE447">
      <w:pPr>
        <w:pStyle w:val="29"/>
        <w:tabs>
          <w:tab w:val="right" w:leader="dot" w:pos="9406"/>
        </w:tabs>
      </w:pPr>
      <w:r>
        <w:fldChar w:fldCharType="begin"/>
      </w:r>
      <w:r>
        <w:instrText xml:space="preserve"> HYPERLINK \l _Toc17527 </w:instrText>
      </w:r>
      <w:r>
        <w:fldChar w:fldCharType="separate"/>
      </w:r>
      <w:r>
        <w:rPr>
          <w:rFonts w:ascii="Times New Roman" w:hAnsi="Times New Roman" w:eastAsia="黑体"/>
        </w:rPr>
        <w:t>3.4  本章小结</w:t>
      </w:r>
      <w:r>
        <w:tab/>
      </w:r>
      <w:r>
        <w:fldChar w:fldCharType="begin"/>
      </w:r>
      <w:r>
        <w:instrText xml:space="preserve"> PAGEREF _Toc17527 \h </w:instrText>
      </w:r>
      <w:r>
        <w:fldChar w:fldCharType="separate"/>
      </w:r>
      <w:r>
        <w:t>8</w:t>
      </w:r>
      <w:r>
        <w:fldChar w:fldCharType="end"/>
      </w:r>
      <w:r>
        <w:fldChar w:fldCharType="end"/>
      </w:r>
    </w:p>
    <w:p w14:paraId="0931098C">
      <w:pPr>
        <w:pStyle w:val="26"/>
        <w:tabs>
          <w:tab w:val="right" w:leader="dot" w:pos="9406"/>
        </w:tabs>
      </w:pPr>
      <w:r>
        <w:fldChar w:fldCharType="begin"/>
      </w:r>
      <w:r>
        <w:instrText xml:space="preserve"> HYPERLINK \l _Toc17826 </w:instrText>
      </w:r>
      <w:r>
        <w:fldChar w:fldCharType="separate"/>
      </w:r>
      <w:r>
        <w:rPr>
          <w:rFonts w:ascii="Times New Roman" w:hAnsi="Times New Roman" w:eastAsia="黑体"/>
        </w:rPr>
        <w:t>4  多模态模型轻量化研究</w:t>
      </w:r>
      <w:r>
        <w:tab/>
      </w:r>
      <w:r>
        <w:fldChar w:fldCharType="begin"/>
      </w:r>
      <w:r>
        <w:instrText xml:space="preserve"> PAGEREF _Toc17826 \h </w:instrText>
      </w:r>
      <w:r>
        <w:fldChar w:fldCharType="separate"/>
      </w:r>
      <w:r>
        <w:t>10</w:t>
      </w:r>
      <w:r>
        <w:fldChar w:fldCharType="end"/>
      </w:r>
      <w:r>
        <w:fldChar w:fldCharType="end"/>
      </w:r>
    </w:p>
    <w:p w14:paraId="2306BF5A">
      <w:pPr>
        <w:pStyle w:val="29"/>
        <w:tabs>
          <w:tab w:val="right" w:leader="dot" w:pos="9406"/>
        </w:tabs>
      </w:pPr>
      <w:r>
        <w:fldChar w:fldCharType="begin"/>
      </w:r>
      <w:r>
        <w:instrText xml:space="preserve"> HYPERLINK \l _Toc14797 </w:instrText>
      </w:r>
      <w:r>
        <w:fldChar w:fldCharType="separate"/>
      </w:r>
      <w:r>
        <w:rPr>
          <w:rFonts w:ascii="Times New Roman" w:hAnsi="Times New Roman" w:eastAsia="黑体"/>
        </w:rPr>
        <w:t>4.1  多模态三维目标检测的知识蒸馏</w:t>
      </w:r>
      <w:r>
        <w:tab/>
      </w:r>
      <w:r>
        <w:fldChar w:fldCharType="begin"/>
      </w:r>
      <w:r>
        <w:instrText xml:space="preserve"> PAGEREF _Toc14797 \h </w:instrText>
      </w:r>
      <w:r>
        <w:fldChar w:fldCharType="separate"/>
      </w:r>
      <w:r>
        <w:t>10</w:t>
      </w:r>
      <w:r>
        <w:fldChar w:fldCharType="end"/>
      </w:r>
      <w:r>
        <w:fldChar w:fldCharType="end"/>
      </w:r>
    </w:p>
    <w:p w14:paraId="6088A27C">
      <w:pPr>
        <w:pStyle w:val="29"/>
        <w:tabs>
          <w:tab w:val="right" w:leader="dot" w:pos="9406"/>
        </w:tabs>
      </w:pPr>
      <w:r>
        <w:fldChar w:fldCharType="begin"/>
      </w:r>
      <w:r>
        <w:instrText xml:space="preserve"> HYPERLINK \l _Toc19832 </w:instrText>
      </w:r>
      <w:r>
        <w:fldChar w:fldCharType="separate"/>
      </w:r>
      <w:r>
        <w:rPr>
          <w:rFonts w:ascii="Times New Roman" w:hAnsi="Times New Roman" w:eastAsia="黑体"/>
        </w:rPr>
        <w:t>4.2  现有方法的局限性与挑战</w:t>
      </w:r>
      <w:r>
        <w:tab/>
      </w:r>
      <w:r>
        <w:fldChar w:fldCharType="begin"/>
      </w:r>
      <w:r>
        <w:instrText xml:space="preserve"> PAGEREF _Toc19832 \h </w:instrText>
      </w:r>
      <w:r>
        <w:fldChar w:fldCharType="separate"/>
      </w:r>
      <w:r>
        <w:t>10</w:t>
      </w:r>
      <w:r>
        <w:fldChar w:fldCharType="end"/>
      </w:r>
      <w:r>
        <w:fldChar w:fldCharType="end"/>
      </w:r>
    </w:p>
    <w:p w14:paraId="523CC4DA">
      <w:pPr>
        <w:pStyle w:val="29"/>
        <w:tabs>
          <w:tab w:val="right" w:leader="dot" w:pos="9406"/>
        </w:tabs>
      </w:pPr>
      <w:r>
        <w:fldChar w:fldCharType="begin"/>
      </w:r>
      <w:r>
        <w:instrText xml:space="preserve"> HYPERLINK \l _Toc31844 </w:instrText>
      </w:r>
      <w:r>
        <w:fldChar w:fldCharType="separate"/>
      </w:r>
      <w:r>
        <w:rPr>
          <w:rFonts w:ascii="Times New Roman" w:hAnsi="Times New Roman" w:eastAsia="黑体"/>
        </w:rPr>
        <w:t>4.3  本章小结</w:t>
      </w:r>
      <w:r>
        <w:tab/>
      </w:r>
      <w:r>
        <w:fldChar w:fldCharType="begin"/>
      </w:r>
      <w:r>
        <w:instrText xml:space="preserve"> PAGEREF _Toc31844 \h </w:instrText>
      </w:r>
      <w:r>
        <w:fldChar w:fldCharType="separate"/>
      </w:r>
      <w:r>
        <w:t>11</w:t>
      </w:r>
      <w:r>
        <w:fldChar w:fldCharType="end"/>
      </w:r>
      <w:r>
        <w:fldChar w:fldCharType="end"/>
      </w:r>
    </w:p>
    <w:p w14:paraId="5375CD29">
      <w:pPr>
        <w:pStyle w:val="26"/>
        <w:tabs>
          <w:tab w:val="right" w:leader="dot" w:pos="9406"/>
        </w:tabs>
      </w:pPr>
      <w:r>
        <w:fldChar w:fldCharType="begin"/>
      </w:r>
      <w:r>
        <w:instrText xml:space="preserve"> HYPERLINK \l _Toc17035 </w:instrText>
      </w:r>
      <w:r>
        <w:fldChar w:fldCharType="separate"/>
      </w:r>
      <w:r>
        <w:rPr>
          <w:rFonts w:ascii="Times New Roman" w:hAnsi="Times New Roman" w:eastAsia="黑体"/>
        </w:rPr>
        <w:t>5  总结</w:t>
      </w:r>
      <w:r>
        <w:tab/>
      </w:r>
      <w:r>
        <w:fldChar w:fldCharType="begin"/>
      </w:r>
      <w:r>
        <w:instrText xml:space="preserve"> PAGEREF _Toc17035 \h </w:instrText>
      </w:r>
      <w:r>
        <w:fldChar w:fldCharType="separate"/>
      </w:r>
      <w:r>
        <w:t>12</w:t>
      </w:r>
      <w:r>
        <w:fldChar w:fldCharType="end"/>
      </w:r>
      <w:r>
        <w:fldChar w:fldCharType="end"/>
      </w:r>
    </w:p>
    <w:p w14:paraId="7C290559">
      <w:pPr>
        <w:pStyle w:val="29"/>
        <w:tabs>
          <w:tab w:val="right" w:leader="dot" w:pos="9406"/>
        </w:tabs>
      </w:pPr>
      <w:r>
        <w:fldChar w:fldCharType="begin"/>
      </w:r>
      <w:r>
        <w:instrText xml:space="preserve"> HYPERLINK \l _Toc1349 </w:instrText>
      </w:r>
      <w:r>
        <w:fldChar w:fldCharType="separate"/>
      </w:r>
      <w:r>
        <w:rPr>
          <w:rFonts w:ascii="Times New Roman" w:hAnsi="Times New Roman" w:eastAsia="黑体"/>
        </w:rPr>
        <w:t>5.1  本文主要工作</w:t>
      </w:r>
      <w:r>
        <w:tab/>
      </w:r>
      <w:r>
        <w:fldChar w:fldCharType="begin"/>
      </w:r>
      <w:r>
        <w:instrText xml:space="preserve"> PAGEREF _Toc1349 \h </w:instrText>
      </w:r>
      <w:r>
        <w:fldChar w:fldCharType="separate"/>
      </w:r>
      <w:r>
        <w:t>12</w:t>
      </w:r>
      <w:r>
        <w:fldChar w:fldCharType="end"/>
      </w:r>
      <w:r>
        <w:fldChar w:fldCharType="end"/>
      </w:r>
    </w:p>
    <w:p w14:paraId="39D535D7">
      <w:pPr>
        <w:pStyle w:val="29"/>
        <w:tabs>
          <w:tab w:val="right" w:leader="dot" w:pos="9406"/>
        </w:tabs>
      </w:pPr>
      <w:r>
        <w:fldChar w:fldCharType="begin"/>
      </w:r>
      <w:r>
        <w:instrText xml:space="preserve"> HYPERLINK \l _Toc5046 </w:instrText>
      </w:r>
      <w:r>
        <w:fldChar w:fldCharType="separate"/>
      </w:r>
      <w:r>
        <w:rPr>
          <w:rFonts w:ascii="Times New Roman" w:hAnsi="Times New Roman" w:eastAsia="黑体"/>
        </w:rPr>
        <w:t>5.2  研究展望</w:t>
      </w:r>
      <w:r>
        <w:tab/>
      </w:r>
      <w:r>
        <w:fldChar w:fldCharType="begin"/>
      </w:r>
      <w:r>
        <w:instrText xml:space="preserve"> PAGEREF _Toc5046 \h </w:instrText>
      </w:r>
      <w:r>
        <w:fldChar w:fldCharType="separate"/>
      </w:r>
      <w:r>
        <w:t>12</w:t>
      </w:r>
      <w:r>
        <w:fldChar w:fldCharType="end"/>
      </w:r>
      <w:r>
        <w:fldChar w:fldCharType="end"/>
      </w:r>
    </w:p>
    <w:p w14:paraId="3047C81F">
      <w:pPr>
        <w:pStyle w:val="26"/>
        <w:tabs>
          <w:tab w:val="right" w:leader="dot" w:pos="9406"/>
        </w:tabs>
      </w:pPr>
      <w:r>
        <w:fldChar w:fldCharType="begin"/>
      </w:r>
      <w:r>
        <w:instrText xml:space="preserve"> HYPERLINK \l _Toc25074 </w:instrText>
      </w:r>
      <w:r>
        <w:fldChar w:fldCharType="separate"/>
      </w:r>
      <w:r>
        <w:rPr>
          <w:rFonts w:ascii="Times New Roman" w:hAnsi="Times New Roman" w:eastAsia="黑体"/>
        </w:rPr>
        <w:t>参考文献</w:t>
      </w:r>
      <w:r>
        <w:tab/>
      </w:r>
      <w:r>
        <w:fldChar w:fldCharType="begin"/>
      </w:r>
      <w:r>
        <w:instrText xml:space="preserve"> PAGEREF _Toc25074 \h </w:instrText>
      </w:r>
      <w:r>
        <w:fldChar w:fldCharType="separate"/>
      </w:r>
      <w:r>
        <w:t>13</w:t>
      </w:r>
      <w:r>
        <w:fldChar w:fldCharType="end"/>
      </w:r>
      <w:r>
        <w:fldChar w:fldCharType="end"/>
      </w:r>
    </w:p>
    <w:p w14:paraId="2CDA72F8">
      <w:pPr>
        <w:spacing w:before="0" w:after="0" w:line="360" w:lineRule="auto"/>
        <w:jc w:val="both"/>
        <w:rPr>
          <w:rFonts w:ascii="Times New Roman" w:hAnsi="Times New Roman" w:eastAsia="黑体"/>
          <w:b/>
          <w:sz w:val="30"/>
        </w:rPr>
      </w:pPr>
      <w:r>
        <w:fldChar w:fldCharType="end"/>
      </w:r>
    </w:p>
    <w:p w14:paraId="612049D4">
      <w:pPr>
        <w:spacing w:before="120" w:after="120" w:line="360" w:lineRule="auto"/>
        <w:jc w:val="left"/>
        <w:outlineLvl w:val="0"/>
      </w:pPr>
      <w:bookmarkStart w:id="9" w:name="_Toc25696"/>
      <w:bookmarkStart w:id="10" w:name="_Toc32108"/>
      <w:bookmarkStart w:id="11" w:name="_Toc21827"/>
      <w:r>
        <w:rPr>
          <w:rFonts w:ascii="Times New Roman" w:hAnsi="Times New Roman" w:eastAsia="黑体"/>
          <w:b/>
          <w:sz w:val="30"/>
        </w:rPr>
        <w:t>1  引言</w:t>
      </w:r>
      <w:bookmarkEnd w:id="9"/>
      <w:bookmarkEnd w:id="10"/>
      <w:bookmarkEnd w:id="11"/>
    </w:p>
    <w:p w14:paraId="41B972C6">
      <w:pPr>
        <w:spacing w:before="0" w:after="0" w:line="360" w:lineRule="auto"/>
        <w:ind w:firstLine="480"/>
        <w:jc w:val="both"/>
      </w:pPr>
      <w:r>
        <w:rPr>
          <w:rFonts w:ascii="Times New Roman" w:hAnsi="Times New Roman" w:eastAsia="宋体"/>
          <w:b w:val="0"/>
          <w:sz w:val="24"/>
        </w:rPr>
        <w:t>本章阐述本文的研究背景与研究问题，从多模态感知模型面临的部署挑战出发，引出知识蒸馏作为轻量化手段的研究价值，并概述本文的综述结构与主要内容安排。</w:t>
      </w:r>
    </w:p>
    <w:p w14:paraId="5906F8DF">
      <w:pPr>
        <w:spacing w:before="0" w:after="0" w:line="360" w:lineRule="auto"/>
        <w:ind w:firstLine="480"/>
        <w:jc w:val="both"/>
      </w:pPr>
      <w:r>
        <w:rPr>
          <w:rFonts w:ascii="Times New Roman" w:hAnsi="Times New Roman" w:eastAsia="宋体"/>
          <w:b w:val="0"/>
          <w:sz w:val="24"/>
        </w:rPr>
        <w:t>随着深度学习技术的迅猛发展，多模态感知模型凭借融合来自摄像头、雷达、激光雷达等多源异构传感器数据的能力，在自动驾驶、智能交通、机器人感知等领域展现出显著的性能优势</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_Ref26603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_Ref26610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_Ref26613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[3]</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然而，性能的提升往往以模型规模扩大和计算复杂度剧增为代价，使其在边缘设备部署和实时检测场景中面临严峻挑战。如何在保持高检测精度的同时实现模型轻量化，已成为多模态感知领域亟待解决的核心问题。</w:t>
      </w:r>
    </w:p>
    <w:p w14:paraId="07E4BAA5">
      <w:pPr>
        <w:spacing w:before="0" w:after="0" w:line="360" w:lineRule="auto"/>
        <w:ind w:firstLine="480"/>
        <w:jc w:val="both"/>
      </w:pPr>
      <w:r>
        <w:rPr>
          <w:rFonts w:ascii="Times New Roman" w:hAnsi="Times New Roman" w:eastAsia="宋体"/>
          <w:b w:val="0"/>
          <w:sz w:val="24"/>
        </w:rPr>
        <w:t>知识蒸馏（Knowledge Distillation）作为模型压缩领域的核心技术之一，通过将大规模高精度教师模型（Teacher Model）所积累的"知识"迁移至轻量级学生模型（Student Model），能够在大幅降低模型参数量与计算开销的同时，有效保留原模型的性能表现</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[4]</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[5]</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_Ref26672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[6]</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。将知识蒸馏应用于多模态感知模型，特别是针对输出层的蒸馏策略，因其实现简洁、工程适配性强、计算开销低而具有重要的研究与应用价值。</w:t>
      </w:r>
    </w:p>
    <w:p w14:paraId="1A70F6CB">
      <w:pPr>
        <w:spacing w:before="0" w:after="0" w:line="360" w:lineRule="auto"/>
        <w:ind w:firstLine="480"/>
        <w:jc w:val="both"/>
      </w:pPr>
      <w:r>
        <w:rPr>
          <w:rFonts w:ascii="Times New Roman" w:hAnsi="Times New Roman" w:eastAsia="宋体"/>
          <w:b w:val="0"/>
          <w:sz w:val="24"/>
        </w:rPr>
        <w:t>本文综述了多模态特征融合、知识蒸馏技术及多模态模型轻量化三个方面的国内外研究现状，梳理了相关领域的技术脉络，分析了现有方法的优势与局限性，并指出了面向基于特征融合的多模态感知模型输出层知识蒸馏的研究方向与挑战。</w:t>
      </w:r>
    </w:p>
    <w:p w14:paraId="3DB612D6">
      <w:r>
        <w:br w:type="page"/>
      </w:r>
    </w:p>
    <w:p w14:paraId="59B99FEA">
      <w:pPr>
        <w:spacing w:before="120" w:after="120" w:line="360" w:lineRule="auto"/>
        <w:jc w:val="left"/>
        <w:outlineLvl w:val="0"/>
      </w:pPr>
      <w:bookmarkStart w:id="12" w:name="_Toc26227"/>
      <w:bookmarkStart w:id="13" w:name="_Toc15151"/>
      <w:bookmarkStart w:id="14" w:name="_Toc4526"/>
      <w:r>
        <w:rPr>
          <w:rFonts w:ascii="Times New Roman" w:hAnsi="Times New Roman" w:eastAsia="黑体"/>
          <w:b/>
          <w:sz w:val="30"/>
        </w:rPr>
        <w:t>2  多模态感知模型与特征融合技术</w:t>
      </w:r>
      <w:bookmarkEnd w:id="12"/>
      <w:bookmarkEnd w:id="13"/>
      <w:bookmarkEnd w:id="14"/>
    </w:p>
    <w:p w14:paraId="136BF077">
      <w:pPr>
        <w:spacing w:before="0" w:after="0" w:line="360" w:lineRule="auto"/>
        <w:ind w:firstLine="480"/>
        <w:jc w:val="both"/>
      </w:pPr>
      <w:r>
        <w:rPr>
          <w:rFonts w:ascii="Times New Roman" w:hAnsi="Times New Roman" w:eastAsia="宋体"/>
          <w:b w:val="0"/>
          <w:sz w:val="24"/>
        </w:rPr>
        <w:t>本章围绕多模态感知模型的基础技术展开综述，依次介绍目标检测基础方法的发展脉络、多模态特征融合的主要技术范式，以及支撑模型研究的主流自动驾驶感知数据集，为后续章节的知识蒸馏与轻量化分析奠定背景基础。</w:t>
      </w:r>
    </w:p>
    <w:p w14:paraId="1FA3F95D">
      <w:pPr>
        <w:spacing w:before="80" w:after="80" w:line="360" w:lineRule="auto"/>
        <w:jc w:val="left"/>
        <w:outlineLvl w:val="1"/>
      </w:pPr>
      <w:bookmarkStart w:id="15" w:name="_Toc11521"/>
      <w:bookmarkStart w:id="16" w:name="_Toc8235"/>
      <w:bookmarkStart w:id="17" w:name="_Toc3386"/>
      <w:r>
        <w:rPr>
          <w:rFonts w:ascii="Times New Roman" w:hAnsi="Times New Roman" w:eastAsia="黑体"/>
          <w:b/>
          <w:sz w:val="28"/>
        </w:rPr>
        <w:t>2.1  目标检测基础方法</w:t>
      </w:r>
      <w:bookmarkEnd w:id="15"/>
      <w:bookmarkEnd w:id="16"/>
      <w:bookmarkEnd w:id="17"/>
    </w:p>
    <w:p w14:paraId="40720890">
      <w:pPr>
        <w:spacing w:before="0" w:after="0" w:line="360" w:lineRule="auto"/>
        <w:ind w:firstLine="480"/>
        <w:jc w:val="both"/>
      </w:pPr>
      <w:r>
        <w:rPr>
          <w:rFonts w:ascii="Times New Roman" w:hAnsi="Times New Roman" w:eastAsia="宋体"/>
          <w:b w:val="0"/>
          <w:sz w:val="24"/>
        </w:rPr>
        <w:t>目标检测是多模态感知模型的核心任务之一。基于卷积神经网络（CNN）的检测方法以Faster R-CNN</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_Ref26714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[7]</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为代表，通过区域候选网络（RPN）生成候选框并进行分类与回归，在单模态目标检测任务上确立了两阶段检测的基准范式。DeepLab系列</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_Ref26809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[8]</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在语义分割任务中引入空洞卷积（Atrous Convolution）与全连接条件随机场，为稠密预测任务提供了有效解决方案。近年来，以DETR</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_Ref26812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[9]</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为代表的基于Transformer的端到端检测方法通过二部图匹配（Hungarian Matching）消除了手工设计的锚框和非极大值抑制（NMS）后处理步骤，为检测框架的革新提供了新范式，并催生了一系列面向三维目标检测的Transformer模型。</w:t>
      </w:r>
    </w:p>
    <w:p w14:paraId="0C776C99">
      <w:pPr>
        <w:spacing w:before="80" w:after="80" w:line="360" w:lineRule="auto"/>
        <w:jc w:val="left"/>
        <w:outlineLvl w:val="1"/>
      </w:pPr>
      <w:bookmarkStart w:id="18" w:name="_Toc11510"/>
      <w:bookmarkStart w:id="19" w:name="_Toc3161"/>
      <w:bookmarkStart w:id="20" w:name="_Toc5081"/>
      <w:r>
        <w:rPr>
          <w:rFonts w:ascii="Times New Roman" w:hAnsi="Times New Roman" w:eastAsia="黑体"/>
          <w:b/>
          <w:sz w:val="28"/>
        </w:rPr>
        <w:t>2.2  多模态特征融合方法</w:t>
      </w:r>
      <w:bookmarkEnd w:id="18"/>
      <w:bookmarkEnd w:id="19"/>
      <w:bookmarkEnd w:id="20"/>
    </w:p>
    <w:p w14:paraId="35FF9356">
      <w:pPr>
        <w:spacing w:before="0" w:after="0" w:line="360" w:lineRule="auto"/>
        <w:ind w:firstLine="480"/>
        <w:jc w:val="both"/>
      </w:pPr>
      <w:r>
        <w:rPr>
          <w:rFonts w:ascii="Times New Roman" w:hAnsi="Times New Roman" w:eastAsia="宋体"/>
          <w:b w:val="0"/>
          <w:sz w:val="24"/>
        </w:rPr>
        <w:t>多模态特征融合是充分利用不同传感器互补信息的关键技术，主要包括早期融合（Early Fusion）、特征层融合（Feature-level Fusion）与决策层融合（Decision-level Fusion）三大范式</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_Ref26610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其中，特征层融合因能深度挖掘模态间的互补信息而成为主流方案。研究者相继提出了特征拼接、特征相加与注意力加权融合等方法，并与卷积神经网络、Transformer等架构结合，在多模态感知任务中取得了良好效果</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_Ref26714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[7]</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_Ref26809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[8]</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_Ref26812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[9]</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2B5068CA">
      <w:pPr>
        <w:spacing w:before="0" w:after="0" w:line="360" w:lineRule="auto"/>
        <w:ind w:firstLine="480"/>
        <w:jc w:val="both"/>
      </w:pPr>
      <w:r>
        <w:rPr>
          <w:rFonts w:ascii="Times New Roman" w:hAnsi="Times New Roman" w:eastAsia="宋体"/>
          <w:b w:val="0"/>
          <w:sz w:val="24"/>
        </w:rPr>
        <w:t>在自动驾驶领域，摄像头与毫米波雷达的融合感知是研究热点。FUTR3D</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_Ref26613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[3]</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提出了统一传感器融合框架，通过可变形注意力（Deformable Attention）机制实现跨模态特征的高效对齐与融合，为多模态三维检测提供了通用解决方案，并在nuScenes等数据集上验证了其有效性。DPFT（Dual Perspective Fusion Transformer）</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_Ref26603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是一种基于摄像头与4D雷达的双视角融合检测模型，通过在BEV（鸟瞰视角）与前视角（Front View）同时进行特征提取，结合迭代多视角融合（IMPFusion）机制实现跨模态深度融合。DPFT在K-Radar数据集</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_Ref26610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上实现了先进的三维目标检测精度，证明了摄像头与4D雷达融合的巨大潜力，但其约110M的参数量制约了在实时与嵌入式场景中的落地应用。</w:t>
      </w:r>
    </w:p>
    <w:p w14:paraId="133BF939">
      <w:pPr>
        <w:spacing w:before="80" w:after="80" w:line="360" w:lineRule="auto"/>
        <w:jc w:val="left"/>
        <w:outlineLvl w:val="1"/>
      </w:pPr>
      <w:bookmarkStart w:id="21" w:name="_Toc17514"/>
      <w:bookmarkStart w:id="22" w:name="_Toc21658"/>
      <w:bookmarkStart w:id="23" w:name="_Toc12582"/>
      <w:r>
        <w:rPr>
          <w:rFonts w:ascii="Times New Roman" w:hAnsi="Times New Roman" w:eastAsia="黑体"/>
          <w:b/>
          <w:sz w:val="28"/>
        </w:rPr>
        <w:t>2.3  自动驾驶感知数据集</w:t>
      </w:r>
      <w:bookmarkEnd w:id="21"/>
      <w:bookmarkEnd w:id="22"/>
      <w:bookmarkEnd w:id="23"/>
    </w:p>
    <w:p w14:paraId="40282618">
      <w:pPr>
        <w:spacing w:before="0" w:after="0" w:line="360" w:lineRule="auto"/>
        <w:ind w:firstLine="480"/>
        <w:jc w:val="both"/>
      </w:pPr>
      <w:r>
        <w:rPr>
          <w:rFonts w:ascii="Times New Roman" w:hAnsi="Times New Roman" w:eastAsia="宋体"/>
          <w:b w:val="0"/>
          <w:sz w:val="24"/>
        </w:rPr>
        <w:t>高质量多模态数据集是模型训练与评估的基础。KITTI数据集</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_Ref26992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[10]</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是最具影响力的自动驾驶基准之一，提供摄像头与激光雷达的同步数据，广泛用于三维目标检测、深度估计等任务的评测，是早期多模态感知研究的标准平台。nuScenes数据集</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_Ref27028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包含摄像头、激光雷达与毫米波雷达，涵盖1000个场景共700小时的驾驶数据，是目前规模最大的多模态自动驾驶数据集之一，已成为多模态融合感知研究的权威评测基准。K-Radar数据集</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_Ref26610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是首个面向4D成像雷达的大规模驾驶感知数据集，收录了晴天、雨天、雪天等多种复杂天气条件下的摄像头与4D雷达数据，为恶劣天气场景下的多模态感知研究提供了重要支撑，也是本研究所采用的主要评测数据集。</w:t>
      </w:r>
    </w:p>
    <w:p w14:paraId="0B61C8C4">
      <w:pPr>
        <w:spacing w:before="80" w:after="80" w:line="360" w:lineRule="auto"/>
        <w:jc w:val="left"/>
        <w:outlineLvl w:val="1"/>
      </w:pPr>
      <w:bookmarkStart w:id="24" w:name="_Toc16771"/>
      <w:bookmarkStart w:id="25" w:name="_Toc31465"/>
      <w:bookmarkStart w:id="26" w:name="_Toc12019"/>
      <w:r>
        <w:rPr>
          <w:rFonts w:ascii="Times New Roman" w:hAnsi="Times New Roman" w:eastAsia="黑体"/>
          <w:b/>
          <w:sz w:val="28"/>
        </w:rPr>
        <w:t>2.4  本章小结</w:t>
      </w:r>
      <w:bookmarkEnd w:id="24"/>
      <w:bookmarkEnd w:id="25"/>
      <w:bookmarkEnd w:id="26"/>
    </w:p>
    <w:p w14:paraId="7EF72CB7">
      <w:pPr>
        <w:spacing w:before="0" w:after="0" w:line="360" w:lineRule="auto"/>
        <w:ind w:firstLine="480"/>
        <w:jc w:val="both"/>
      </w:pPr>
      <w:r>
        <w:rPr>
          <w:rFonts w:ascii="Times New Roman" w:hAnsi="Times New Roman" w:eastAsia="宋体"/>
          <w:b w:val="0"/>
          <w:sz w:val="24"/>
        </w:rPr>
        <w:t>本章系统梳理了多模态感知模型与特征融合技术的研究现状。首先介绍了目标检测的基础方法，回顾了从Faster R-CNN、DeepLab到DETR的技术演进；其次综述了早期融合、特征层融合与决策层融合三种多模态特征融合范式，重点分析了FUTR3D和DPFT等代表性融合模型；最后梳理了KITTI、nuScenes、K-Radar等主流自动驾驶多模态数据集的特性与应用范围。上述技术构成了本文后续研究的基础框架。</w:t>
      </w:r>
    </w:p>
    <w:p w14:paraId="10470837">
      <w:pPr>
        <w:rPr>
          <w:rFonts w:ascii="Times New Roman" w:hAnsi="Times New Roman" w:eastAsia="黑体"/>
          <w:b/>
          <w:sz w:val="30"/>
        </w:rPr>
      </w:pPr>
      <w:bookmarkStart w:id="27" w:name="_Toc9097"/>
      <w:r>
        <w:rPr>
          <w:rFonts w:ascii="Times New Roman" w:hAnsi="Times New Roman" w:eastAsia="黑体"/>
          <w:b/>
          <w:sz w:val="30"/>
        </w:rPr>
        <w:br w:type="page"/>
      </w:r>
    </w:p>
    <w:p w14:paraId="21ABF645">
      <w:pPr>
        <w:keepNext w:val="0"/>
        <w:keepLines w:val="0"/>
        <w:pageBreakBefore w:val="0"/>
        <w:widowControl/>
        <w:kinsoku/>
        <w:wordWrap/>
        <w:overflowPunct/>
        <w:topLinePunct w:val="0"/>
        <w:autoSpaceDE/>
        <w:autoSpaceDN/>
        <w:bidi w:val="0"/>
        <w:adjustRightInd/>
        <w:snapToGrid/>
        <w:textAlignment w:val="auto"/>
        <w:outlineLvl w:val="0"/>
      </w:pPr>
      <w:bookmarkStart w:id="28" w:name="_Toc14554"/>
      <w:r>
        <w:rPr>
          <w:rFonts w:ascii="Times New Roman" w:hAnsi="Times New Roman" w:eastAsia="黑体"/>
          <w:b/>
          <w:sz w:val="30"/>
        </w:rPr>
        <w:t>3  知识蒸馏技术</w:t>
      </w:r>
      <w:bookmarkEnd w:id="27"/>
      <w:bookmarkEnd w:id="28"/>
    </w:p>
    <w:p w14:paraId="1BC35C4B">
      <w:pPr>
        <w:spacing w:before="0" w:after="0" w:line="360" w:lineRule="auto"/>
        <w:ind w:firstLine="480"/>
        <w:jc w:val="both"/>
      </w:pPr>
      <w:r>
        <w:rPr>
          <w:rFonts w:ascii="Times New Roman" w:hAnsi="Times New Roman" w:eastAsia="宋体"/>
          <w:b w:val="0"/>
          <w:sz w:val="24"/>
        </w:rPr>
        <w:t>本章系统梳理知识蒸馏技术的研究进展，从经典输出层蒸馏方法出发，逐步深入改进型蒸馏策略与基于中间特征的蒸馏方法，重点关注各类方法的核心思想、技术特点及其在不同任务场景下的适用性分析。</w:t>
      </w:r>
    </w:p>
    <w:p w14:paraId="3C61D6C5">
      <w:pPr>
        <w:spacing w:before="80" w:after="80" w:line="360" w:lineRule="auto"/>
        <w:jc w:val="left"/>
        <w:outlineLvl w:val="1"/>
      </w:pPr>
      <w:bookmarkStart w:id="29" w:name="_Toc18037"/>
      <w:bookmarkStart w:id="30" w:name="_Toc23163"/>
      <w:bookmarkStart w:id="31" w:name="_Toc17391"/>
      <w:r>
        <w:rPr>
          <w:rFonts w:ascii="Times New Roman" w:hAnsi="Times New Roman" w:eastAsia="黑体"/>
          <w:b/>
          <w:sz w:val="28"/>
        </w:rPr>
        <w:t>3.1  经典输出层知识蒸馏</w:t>
      </w:r>
      <w:bookmarkEnd w:id="29"/>
      <w:bookmarkEnd w:id="30"/>
      <w:bookmarkEnd w:id="31"/>
    </w:p>
    <w:p w14:paraId="33701B7C">
      <w:pPr>
        <w:spacing w:before="0" w:after="0" w:line="360" w:lineRule="auto"/>
        <w:ind w:firstLine="480"/>
        <w:jc w:val="both"/>
        <w:rPr>
          <w:rFonts w:ascii="Times New Roman" w:hAnsi="Times New Roman" w:eastAsia="宋体"/>
          <w:b w:val="0"/>
          <w:sz w:val="24"/>
        </w:rPr>
      </w:pPr>
      <w:r>
        <w:rPr>
          <w:rFonts w:ascii="Times New Roman" w:hAnsi="Times New Roman" w:eastAsia="宋体"/>
          <w:b w:val="0"/>
          <w:sz w:val="24"/>
        </w:rPr>
        <w:t>知识蒸馏的思想最早由Bucilua等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[4]</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于2006年在模型压缩工作中提出，奠定了"用大模型指导小模型训练"的基本思路。Hinton等在此基础上系统性地提出了软标签蒸馏框架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_Ref26672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[6]</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，并在图像分类任务上进行了系统验证：教师模型的输出logits经过温度参数T软化后得到软概率分布（Soft Probability），学生模型通过同时拟合硬标签（Ground Truth One-hot标签）和教师软标签，学习到更丰富的样本间相似性信息。其核心损失函数为：</w:t>
      </w:r>
      <w:bookmarkStart w:id="85" w:name="_GoBack"/>
      <w:bookmarkEnd w:id="85"/>
    </w:p>
    <w:p w14:paraId="038B0296">
      <w:pPr>
        <w:keepNext w:val="0"/>
        <w:keepLines w:val="0"/>
        <w:pageBreakBefore w:val="0"/>
        <w:widowControl/>
        <w:kinsoku/>
        <w:wordWrap/>
        <w:overflowPunct/>
        <w:topLinePunct w:val="0"/>
        <w:autoSpaceDE/>
        <w:autoSpaceDN/>
        <w:bidi w:val="0"/>
        <w:adjustRightInd/>
        <w:snapToGrid/>
        <w:spacing w:before="0" w:after="0" w:line="360" w:lineRule="auto"/>
        <w:ind w:firstLine="482"/>
        <w:jc w:val="right"/>
        <w:textAlignment w:val="auto"/>
        <w:rPr>
          <w:rFonts w:hint="default" w:ascii="Times New Roman" w:hAnsi="Times New Roman" w:eastAsia="宋体"/>
          <w:b w:val="0"/>
          <w:sz w:val="24"/>
        </w:rPr>
      </w:pPr>
      <m:oMathPara>
        <m:oMath>
          <m:r>
            <m:rPr>
              <m:sty m:val="p"/>
            </m:rPr>
            <w:rPr>
              <w:rFonts w:hint="default" w:ascii="Times New Roman" w:hAnsi="Times New Roman" w:eastAsia="宋体"/>
              <w:sz w:val="24"/>
            </w:rPr>
            <m:t>L=(1−α) </m:t>
          </m:r>
          <m:sSub>
            <m:sSubPr>
              <m:ctrlPr>
                <w:rPr>
                  <w:rFonts w:hint="default" w:ascii="Cambria Math" w:hAnsi="Cambria Math" w:eastAsia="宋体"/>
                  <w:b w:val="0"/>
                  <w:sz w:val="24"/>
                </w:rPr>
              </m:ctrlPr>
            </m:sSubPr>
            <m:e>
              <m:r>
                <m:rPr>
                  <m:sty m:val="p"/>
                </m:rPr>
                <w:rPr>
                  <w:rFonts w:hint="default" w:ascii="Times New Roman" w:hAnsi="Times New Roman" w:eastAsia="宋体"/>
                  <w:sz w:val="24"/>
                </w:rPr>
                <m:t>L</m:t>
              </m:r>
              <m:ctrlPr>
                <w:rPr>
                  <w:rFonts w:ascii="Cambria Math" w:hAnsi="Cambria Math" w:eastAsia="宋体"/>
                  <w:b w:val="0"/>
                  <w:sz w:val="24"/>
                </w:rPr>
              </m:ctrlPr>
            </m:e>
            <m:sub>
              <m:r>
                <m:rPr>
                  <m:sty m:val="p"/>
                </m:rPr>
                <w:rPr>
                  <w:rFonts w:hint="default" w:ascii="Times New Roman" w:hAnsi="Times New Roman" w:eastAsia="宋体"/>
                  <w:sz w:val="24"/>
                </w:rPr>
                <m:t>CE</m:t>
              </m:r>
              <m:ctrlPr>
                <w:rPr>
                  <w:rFonts w:ascii="Cambria Math" w:hAnsi="Cambria Math" w:eastAsia="宋体"/>
                  <w:b w:val="0"/>
                  <w:sz w:val="24"/>
                </w:rPr>
              </m:ctrlPr>
            </m:sub>
          </m:sSub>
          <m:r>
            <m:rPr>
              <m:sty m:val="p"/>
            </m:rPr>
            <w:rPr>
              <w:rFonts w:hint="default" w:ascii="Times New Roman" w:hAnsi="Times New Roman" w:eastAsia="宋体"/>
              <w:sz w:val="24"/>
            </w:rPr>
            <m:t>(y,</m:t>
          </m:r>
          <m:sSub>
            <m:sSubPr>
              <m:ctrlPr>
                <w:rPr>
                  <w:rFonts w:hint="default" w:ascii="Cambria Math" w:hAnsi="Cambria Math" w:eastAsia="宋体"/>
                  <w:b w:val="0"/>
                  <w:sz w:val="24"/>
                </w:rPr>
              </m:ctrlPr>
            </m:sSubPr>
            <m:e>
              <m:acc>
                <m:accPr>
                  <m:ctrlPr>
                    <w:rPr>
                      <w:rFonts w:hint="default" w:ascii="Cambria Math" w:hAnsi="Cambria Math" w:eastAsia="宋体"/>
                      <w:b w:val="0"/>
                      <w:sz w:val="24"/>
                    </w:rPr>
                  </m:ctrlPr>
                </m:accPr>
                <m:e>
                  <m:r>
                    <m:rPr>
                      <m:sty m:val="p"/>
                    </m:rPr>
                    <w:rPr>
                      <w:rFonts w:hint="default" w:ascii="Times New Roman" w:hAnsi="Times New Roman" w:eastAsia="宋体"/>
                      <w:sz w:val="24"/>
                    </w:rPr>
                    <m:t>y</m:t>
                  </m:r>
                  <m:ctrlPr>
                    <w:rPr>
                      <w:rFonts w:ascii="Cambria Math" w:hAnsi="Cambria Math" w:eastAsia="宋体"/>
                      <w:b w:val="0"/>
                      <w:sz w:val="24"/>
                    </w:rPr>
                  </m:ctrlPr>
                </m:e>
              </m:acc>
              <m:ctrlPr>
                <w:rPr>
                  <w:rFonts w:hint="default" w:ascii="Cambria Math" w:hAnsi="Cambria Math" w:eastAsia="宋体"/>
                  <w:b w:val="0"/>
                  <w:sz w:val="24"/>
                </w:rPr>
              </m:ctrlPr>
            </m:e>
            <m:sub>
              <m:r>
                <m:rPr>
                  <m:sty m:val="p"/>
                </m:rPr>
                <w:rPr>
                  <w:rFonts w:hint="default" w:ascii="Times New Roman" w:hAnsi="Times New Roman" w:eastAsia="宋体"/>
                  <w:sz w:val="24"/>
                </w:rPr>
                <m:t>s</m:t>
              </m:r>
              <m:ctrlPr>
                <w:rPr>
                  <w:rFonts w:hint="default" w:ascii="Cambria Math" w:hAnsi="Cambria Math" w:eastAsia="宋体"/>
                  <w:b w:val="0"/>
                  <w:sz w:val="24"/>
                </w:rPr>
              </m:ctrlPr>
            </m:sub>
          </m:sSub>
          <m:r>
            <m:rPr>
              <m:sty m:val="p"/>
            </m:rPr>
            <w:rPr>
              <w:rFonts w:hint="default" w:ascii="Times New Roman" w:hAnsi="Times New Roman" w:eastAsia="宋体"/>
              <w:sz w:val="24"/>
            </w:rPr>
            <m:t>)+α </m:t>
          </m:r>
          <m:sSup>
            <m:sSupPr>
              <m:ctrlPr>
                <w:rPr>
                  <w:rFonts w:hint="default" w:ascii="Cambria Math" w:hAnsi="Cambria Math" w:eastAsia="宋体"/>
                  <w:b w:val="0"/>
                  <w:sz w:val="24"/>
                </w:rPr>
              </m:ctrlPr>
            </m:sSupPr>
            <m:e>
              <m:r>
                <m:rPr>
                  <m:sty m:val="p"/>
                </m:rPr>
                <w:rPr>
                  <w:rFonts w:hint="default" w:ascii="Times New Roman" w:hAnsi="Times New Roman" w:eastAsia="宋体"/>
                  <w:sz w:val="24"/>
                </w:rPr>
                <m:t>T</m:t>
              </m:r>
              <m:ctrlPr>
                <w:rPr>
                  <w:rFonts w:hint="default" w:ascii="Cambria Math" w:hAnsi="Cambria Math" w:eastAsia="宋体"/>
                  <w:b w:val="0"/>
                  <w:sz w:val="24"/>
                </w:rPr>
              </m:ctrlPr>
            </m:e>
            <m:sup>
              <m:r>
                <m:rPr>
                  <m:sty m:val="p"/>
                </m:rPr>
                <w:rPr>
                  <w:rFonts w:hint="default" w:ascii="Times New Roman" w:hAnsi="Times New Roman" w:eastAsia="宋体"/>
                  <w:sz w:val="24"/>
                </w:rPr>
                <m:t>2</m:t>
              </m:r>
              <m:ctrlPr>
                <w:rPr>
                  <w:rFonts w:hint="default" w:ascii="Cambria Math" w:hAnsi="Cambria Math" w:eastAsia="宋体"/>
                  <w:b w:val="0"/>
                  <w:sz w:val="24"/>
                </w:rPr>
              </m:ctrlPr>
            </m:sup>
          </m:sSup>
          <m:r>
            <m:rPr>
              <m:sty m:val="p"/>
            </m:rPr>
            <w:rPr>
              <w:rFonts w:hint="default" w:ascii="Times New Roman" w:hAnsi="Times New Roman" w:eastAsia="宋体"/>
              <w:sz w:val="24"/>
            </w:rPr>
            <m:t> </m:t>
          </m:r>
          <m:sSub>
            <m:sSubPr>
              <m:ctrlPr>
                <w:rPr>
                  <w:rFonts w:hint="default" w:ascii="Cambria Math" w:hAnsi="Cambria Math" w:eastAsia="宋体"/>
                  <w:b w:val="0"/>
                  <w:sz w:val="24"/>
                </w:rPr>
              </m:ctrlPr>
            </m:sSubPr>
            <m:e>
              <m:r>
                <m:rPr>
                  <m:sty m:val="p"/>
                </m:rPr>
                <w:rPr>
                  <w:rFonts w:hint="default" w:ascii="Times New Roman" w:hAnsi="Times New Roman" w:eastAsia="宋体"/>
                  <w:sz w:val="24"/>
                </w:rPr>
                <m:t>L</m:t>
              </m:r>
              <m:ctrlPr>
                <w:rPr>
                  <w:rFonts w:hint="default" w:ascii="Cambria Math" w:hAnsi="Cambria Math" w:eastAsia="宋体"/>
                  <w:b w:val="0"/>
                  <w:sz w:val="24"/>
                </w:rPr>
              </m:ctrlPr>
            </m:e>
            <m:sub>
              <m:r>
                <m:rPr>
                  <m:sty m:val="p"/>
                </m:rPr>
                <w:rPr>
                  <w:rFonts w:hint="default" w:ascii="Times New Roman" w:hAnsi="Times New Roman" w:eastAsia="宋体"/>
                  <w:sz w:val="24"/>
                </w:rPr>
                <m:t>KL</m:t>
              </m:r>
              <m:ctrlPr>
                <w:rPr>
                  <w:rFonts w:hint="default" w:ascii="Cambria Math" w:hAnsi="Cambria Math" w:eastAsia="宋体"/>
                  <w:b w:val="0"/>
                  <w:sz w:val="24"/>
                </w:rPr>
              </m:ctrlPr>
            </m:sub>
          </m:sSub>
          <m:d>
            <m:dPr>
              <m:ctrlPr>
                <w:rPr>
                  <w:rFonts w:hint="default" w:ascii="Cambria Math" w:hAnsi="Cambria Math" w:eastAsia="宋体"/>
                  <w:b w:val="0"/>
                  <w:sz w:val="24"/>
                </w:rPr>
              </m:ctrlPr>
            </m:dPr>
            <m:e>
              <m:r>
                <m:rPr>
                  <m:sty m:val="p"/>
                </m:rPr>
                <w:rPr>
                  <w:rFonts w:hint="default" w:ascii="Times New Roman" w:hAnsi="Times New Roman" w:eastAsia="宋体"/>
                  <w:sz w:val="24"/>
                </w:rPr>
                <m:t>σ</m:t>
              </m:r>
              <m:d>
                <m:dPr>
                  <m:ctrlPr>
                    <w:rPr>
                      <w:rFonts w:hint="default" w:ascii="Cambria Math" w:hAnsi="Cambria Math" w:eastAsia="宋体"/>
                      <w:b w:val="0"/>
                      <w:sz w:val="24"/>
                    </w:rPr>
                  </m:ctrlPr>
                </m:dPr>
                <m:e>
                  <m:f>
                    <m:fPr>
                      <m:ctrlPr>
                        <w:rPr>
                          <w:rFonts w:hint="default" w:ascii="Cambria Math" w:hAnsi="Cambria Math" w:eastAsia="宋体"/>
                          <w:b w:val="0"/>
                          <w:sz w:val="24"/>
                        </w:rPr>
                      </m:ctrlPr>
                    </m:fPr>
                    <m:num>
                      <m:sSub>
                        <m:sSubPr>
                          <m:ctrlPr>
                            <w:rPr>
                              <w:rFonts w:hint="default" w:ascii="Cambria Math" w:hAnsi="Cambria Math" w:eastAsia="宋体"/>
                              <w:b w:val="0"/>
                              <w:sz w:val="24"/>
                            </w:rPr>
                          </m:ctrlPr>
                        </m:sSubPr>
                        <m:e>
                          <m:r>
                            <m:rPr>
                              <m:sty m:val="p"/>
                            </m:rPr>
                            <w:rPr>
                              <w:rFonts w:hint="default" w:ascii="Times New Roman" w:hAnsi="Times New Roman" w:eastAsia="宋体"/>
                              <w:sz w:val="24"/>
                            </w:rPr>
                            <m:t>z</m:t>
                          </m:r>
                          <m:ctrlPr>
                            <w:rPr>
                              <w:rFonts w:ascii="Cambria Math" w:hAnsi="Cambria Math" w:eastAsia="宋体"/>
                              <w:b w:val="0"/>
                              <w:sz w:val="24"/>
                            </w:rPr>
                          </m:ctrlPr>
                        </m:e>
                        <m:sub>
                          <m:r>
                            <m:rPr>
                              <m:sty m:val="p"/>
                            </m:rPr>
                            <w:rPr>
                              <w:rFonts w:hint="default" w:ascii="Times New Roman" w:hAnsi="Times New Roman" w:eastAsia="宋体"/>
                              <w:sz w:val="24"/>
                            </w:rPr>
                            <m:t>t</m:t>
                          </m:r>
                          <m:ctrlPr>
                            <w:rPr>
                              <w:rFonts w:ascii="Cambria Math" w:hAnsi="Cambria Math" w:eastAsia="宋体"/>
                              <w:b w:val="0"/>
                              <w:sz w:val="24"/>
                            </w:rPr>
                          </m:ctrlPr>
                        </m:sub>
                      </m:sSub>
                      <m:ctrlPr>
                        <w:rPr>
                          <w:rFonts w:hint="default" w:ascii="Cambria Math" w:hAnsi="Cambria Math" w:eastAsia="宋体"/>
                          <w:b w:val="0"/>
                          <w:sz w:val="24"/>
                        </w:rPr>
                      </m:ctrlPr>
                    </m:num>
                    <m:den>
                      <m:r>
                        <m:rPr>
                          <m:sty m:val="p"/>
                        </m:rPr>
                        <w:rPr>
                          <w:rFonts w:hint="default" w:ascii="Times New Roman" w:hAnsi="Times New Roman" w:eastAsia="宋体"/>
                          <w:sz w:val="24"/>
                        </w:rPr>
                        <m:t>T</m:t>
                      </m:r>
                      <m:ctrlPr>
                        <w:rPr>
                          <w:rFonts w:hint="default" w:ascii="Cambria Math" w:hAnsi="Cambria Math" w:eastAsia="宋体"/>
                          <w:b w:val="0"/>
                          <w:sz w:val="24"/>
                        </w:rPr>
                      </m:ctrlPr>
                    </m:den>
                  </m:f>
                  <m:ctrlPr>
                    <w:rPr>
                      <w:rFonts w:hint="default" w:ascii="Cambria Math" w:hAnsi="Cambria Math" w:eastAsia="宋体"/>
                      <w:b w:val="0"/>
                      <w:sz w:val="24"/>
                    </w:rPr>
                  </m:ctrlPr>
                </m:e>
              </m:d>
              <m:r>
                <m:rPr>
                  <m:sty m:val="p"/>
                </m:rPr>
                <w:rPr>
                  <w:rFonts w:hint="default" w:ascii="Times New Roman" w:hAnsi="Times New Roman" w:eastAsia="宋体"/>
                  <w:sz w:val="24"/>
                </w:rPr>
                <m:t>,σ</m:t>
              </m:r>
              <m:d>
                <m:dPr>
                  <m:ctrlPr>
                    <w:rPr>
                      <w:rFonts w:hint="default" w:ascii="Cambria Math" w:hAnsi="Cambria Math" w:eastAsia="宋体"/>
                      <w:b w:val="0"/>
                      <w:sz w:val="24"/>
                    </w:rPr>
                  </m:ctrlPr>
                </m:dPr>
                <m:e>
                  <m:f>
                    <m:fPr>
                      <m:ctrlPr>
                        <w:rPr>
                          <w:rFonts w:hint="default" w:ascii="Cambria Math" w:hAnsi="Cambria Math" w:eastAsia="宋体"/>
                          <w:b w:val="0"/>
                          <w:sz w:val="24"/>
                        </w:rPr>
                      </m:ctrlPr>
                    </m:fPr>
                    <m:num>
                      <m:sSub>
                        <m:sSubPr>
                          <m:ctrlPr>
                            <w:rPr>
                              <w:rFonts w:hint="default" w:ascii="Cambria Math" w:hAnsi="Cambria Math" w:eastAsia="宋体"/>
                              <w:b w:val="0"/>
                              <w:sz w:val="24"/>
                            </w:rPr>
                          </m:ctrlPr>
                        </m:sSubPr>
                        <m:e>
                          <m:r>
                            <m:rPr>
                              <m:sty m:val="p"/>
                            </m:rPr>
                            <w:rPr>
                              <w:rFonts w:hint="default" w:ascii="Times New Roman" w:hAnsi="Times New Roman" w:eastAsia="宋体"/>
                              <w:sz w:val="24"/>
                            </w:rPr>
                            <m:t>z</m:t>
                          </m:r>
                          <m:ctrlPr>
                            <w:rPr>
                              <w:rFonts w:ascii="Cambria Math" w:hAnsi="Cambria Math" w:eastAsia="宋体"/>
                              <w:b w:val="0"/>
                              <w:sz w:val="24"/>
                            </w:rPr>
                          </m:ctrlPr>
                        </m:e>
                        <m:sub>
                          <m:r>
                            <m:rPr>
                              <m:sty m:val="p"/>
                            </m:rPr>
                            <w:rPr>
                              <w:rFonts w:hint="default" w:ascii="Times New Roman" w:hAnsi="Times New Roman" w:eastAsia="宋体"/>
                              <w:sz w:val="24"/>
                            </w:rPr>
                            <m:t>s</m:t>
                          </m:r>
                          <m:ctrlPr>
                            <w:rPr>
                              <w:rFonts w:ascii="Cambria Math" w:hAnsi="Cambria Math" w:eastAsia="宋体"/>
                              <w:b w:val="0"/>
                              <w:sz w:val="24"/>
                            </w:rPr>
                          </m:ctrlPr>
                        </m:sub>
                      </m:sSub>
                      <m:ctrlPr>
                        <w:rPr>
                          <w:rFonts w:hint="default" w:ascii="Cambria Math" w:hAnsi="Cambria Math" w:eastAsia="宋体"/>
                          <w:b w:val="0"/>
                          <w:sz w:val="24"/>
                        </w:rPr>
                      </m:ctrlPr>
                    </m:num>
                    <m:den>
                      <m:r>
                        <m:rPr>
                          <m:sty m:val="p"/>
                        </m:rPr>
                        <w:rPr>
                          <w:rFonts w:hint="default" w:ascii="Times New Roman" w:hAnsi="Times New Roman" w:eastAsia="宋体"/>
                          <w:sz w:val="24"/>
                        </w:rPr>
                        <m:t>T</m:t>
                      </m:r>
                      <m:ctrlPr>
                        <w:rPr>
                          <w:rFonts w:hint="default" w:ascii="Cambria Math" w:hAnsi="Cambria Math" w:eastAsia="宋体"/>
                          <w:b w:val="0"/>
                          <w:sz w:val="24"/>
                        </w:rPr>
                      </m:ctrlPr>
                    </m:den>
                  </m:f>
                  <m:ctrlPr>
                    <w:rPr>
                      <w:rFonts w:hint="default" w:ascii="Cambria Math" w:hAnsi="Cambria Math" w:eastAsia="宋体"/>
                      <w:b w:val="0"/>
                      <w:sz w:val="24"/>
                    </w:rPr>
                  </m:ctrlPr>
                </m:e>
              </m:d>
              <m:ctrlPr>
                <w:rPr>
                  <w:rFonts w:hint="default" w:ascii="Cambria Math" w:hAnsi="Cambria Math" w:eastAsia="宋体"/>
                  <w:b w:val="0"/>
                  <w:sz w:val="24"/>
                </w:rPr>
              </m:ctrlPr>
            </m:e>
          </m:d>
        </m:oMath>
      </m:oMathPara>
    </w:p>
    <w:p w14:paraId="401A5272">
      <w:pPr>
        <w:spacing w:before="0" w:after="0" w:line="360" w:lineRule="auto"/>
        <w:ind w:firstLine="480"/>
        <w:jc w:val="both"/>
        <w:rPr>
          <w:rFonts w:ascii="Times New Roman" w:hAnsi="Times New Roman" w:eastAsia="宋体"/>
          <w:b w:val="0"/>
          <w:sz w:val="24"/>
        </w:rPr>
      </w:pPr>
      <w:r>
        <w:rPr>
          <w:rFonts w:ascii="Times New Roman" w:hAnsi="Times New Roman" w:eastAsia="宋体"/>
          <w:b w:val="0"/>
          <w:sz w:val="24"/>
        </w:rPr>
        <w:t>其中α为蒸馏权重，T为温度参数，</w:t>
      </w:r>
      <m:oMath>
        <m:sSub>
          <m:sSubPr>
            <m:ctrlPr>
              <w:rPr>
                <w:rFonts w:hint="default" w:ascii="Cambria Math" w:hAnsi="Cambria Math" w:eastAsia="宋体"/>
                <w:b w:val="0"/>
                <w:sz w:val="24"/>
              </w:rPr>
            </m:ctrlPr>
          </m:sSubPr>
          <m:e>
            <m:r>
              <m:rPr>
                <m:sty m:val="p"/>
              </m:rPr>
              <w:rPr>
                <w:rFonts w:hint="default" w:ascii="Times New Roman" w:hAnsi="Times New Roman" w:eastAsia="宋体"/>
                <w:sz w:val="24"/>
              </w:rPr>
              <m:t>L</m:t>
            </m:r>
            <m:ctrlPr>
              <w:rPr>
                <w:rFonts w:ascii="Cambria Math" w:hAnsi="Cambria Math" w:eastAsia="宋体"/>
                <w:b w:val="0"/>
                <w:sz w:val="24"/>
              </w:rPr>
            </m:ctrlPr>
          </m:e>
          <m:sub>
            <m:r>
              <m:rPr>
                <m:sty m:val="p"/>
              </m:rPr>
              <w:rPr>
                <w:rFonts w:hint="default" w:ascii="Times New Roman" w:hAnsi="Times New Roman" w:eastAsia="宋体"/>
                <w:sz w:val="24"/>
              </w:rPr>
              <m:t>CE</m:t>
            </m:r>
            <m:ctrlPr>
              <w:rPr>
                <w:rFonts w:ascii="Cambria Math" w:hAnsi="Cambria Math" w:eastAsia="宋体"/>
                <w:b w:val="0"/>
                <w:sz w:val="24"/>
              </w:rPr>
            </m:ctrlPr>
          </m:sub>
        </m:sSub>
      </m:oMath>
      <w:r>
        <w:rPr>
          <w:rFonts w:ascii="Times New Roman" w:hAnsi="Times New Roman" w:eastAsia="宋体"/>
          <w:b w:val="0"/>
          <w:sz w:val="24"/>
        </w:rPr>
        <w:t>为交叉熵损失，</w:t>
      </w:r>
      <m:oMath>
        <m:sSub>
          <m:sSubPr>
            <m:ctrlPr>
              <w:rPr>
                <w:rFonts w:hint="default" w:ascii="Cambria Math" w:hAnsi="Cambria Math" w:eastAsia="宋体"/>
                <w:b w:val="0"/>
                <w:sz w:val="24"/>
              </w:rPr>
            </m:ctrlPr>
          </m:sSubPr>
          <m:e>
            <m:r>
              <m:rPr>
                <m:sty m:val="p"/>
              </m:rPr>
              <w:rPr>
                <w:rFonts w:hint="default" w:ascii="Times New Roman" w:hAnsi="Times New Roman" w:eastAsia="宋体"/>
                <w:sz w:val="24"/>
              </w:rPr>
              <m:t>L</m:t>
            </m:r>
            <m:ctrlPr>
              <w:rPr>
                <w:rFonts w:ascii="Cambria Math" w:hAnsi="Cambria Math" w:eastAsia="宋体"/>
                <w:b w:val="0"/>
                <w:sz w:val="24"/>
              </w:rPr>
            </m:ctrlPr>
          </m:e>
          <m:sub>
            <m:r>
              <m:rPr>
                <m:sty m:val="p"/>
              </m:rPr>
              <w:rPr>
                <w:rFonts w:hint="default" w:ascii="Times New Roman" w:hAnsi="Times New Roman" w:eastAsia="宋体"/>
                <w:sz w:val="24"/>
              </w:rPr>
              <m:t>KL</m:t>
            </m:r>
            <m:ctrlPr>
              <w:rPr>
                <w:rFonts w:ascii="Cambria Math" w:hAnsi="Cambria Math" w:eastAsia="宋体"/>
                <w:b w:val="0"/>
                <w:sz w:val="24"/>
              </w:rPr>
            </m:ctrlPr>
          </m:sub>
        </m:sSub>
      </m:oMath>
      <w:r>
        <w:rPr>
          <w:rFonts w:ascii="Times New Roman" w:hAnsi="Times New Roman" w:eastAsia="宋体"/>
          <w:b w:val="0"/>
          <w:sz w:val="24"/>
        </w:rPr>
        <w:t>为KL散度损失。温度参数T控制软标签的平滑程度，T越大，分布越均匀，越能传递更多的类间关系信息。该框架因实现简洁、无需修改模型结构而成为工程落地的首选方案</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[4]</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[5]</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_Ref26672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[6]</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5A6BACAC">
      <w:pPr>
        <w:spacing w:before="0" w:after="0" w:line="360" w:lineRule="auto"/>
        <w:ind w:firstLine="480"/>
        <w:jc w:val="both"/>
      </w:pPr>
      <w:r>
        <w:rPr>
          <w:rFonts w:ascii="Times New Roman" w:hAnsi="Times New Roman" w:eastAsia="宋体"/>
          <w:b w:val="0"/>
          <w:sz w:val="24"/>
        </w:rPr>
        <w:t>Gou等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_Ref26672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[6]</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对知识蒸馏技术进行了系统性综述，将迁移知识的类型归纳为三类：基于响应（Response-based）的知识、基于特征（Feature-based）的知识和基于关系（Relation-based）的知识，并从蒸馏策略、训练方案、师生架构三个维度对已有方法进行了全面梳理，为后续研究提供了重要的参考框架与分类体系。</w:t>
      </w:r>
    </w:p>
    <w:p w14:paraId="5972C1A4">
      <w:pPr>
        <w:spacing w:before="80" w:after="80" w:line="360" w:lineRule="auto"/>
        <w:jc w:val="left"/>
        <w:outlineLvl w:val="1"/>
      </w:pPr>
      <w:bookmarkStart w:id="32" w:name="_Toc17382"/>
      <w:bookmarkStart w:id="33" w:name="_Toc5431"/>
      <w:bookmarkStart w:id="34" w:name="_Toc20549"/>
      <w:r>
        <w:rPr>
          <w:rFonts w:ascii="Times New Roman" w:hAnsi="Times New Roman" w:eastAsia="黑体"/>
          <w:b/>
          <w:sz w:val="28"/>
        </w:rPr>
        <w:t>3.2  改进的知识蒸馏方法</w:t>
      </w:r>
      <w:bookmarkEnd w:id="32"/>
      <w:bookmarkEnd w:id="33"/>
      <w:bookmarkEnd w:id="34"/>
    </w:p>
    <w:p w14:paraId="7A685B4E">
      <w:pPr>
        <w:spacing w:before="0" w:after="0" w:line="360" w:lineRule="auto"/>
        <w:ind w:firstLine="480"/>
        <w:jc w:val="both"/>
      </w:pPr>
      <w:r>
        <w:rPr>
          <w:rFonts w:ascii="Times New Roman" w:hAnsi="Times New Roman" w:eastAsia="宋体"/>
          <w:b w:val="0"/>
          <w:sz w:val="24"/>
        </w:rPr>
        <w:t>针对教师模型与学生模型能力差距过大导致蒸馏效果下降的问题，Mirzadeh等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[5]</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提出了教师助手（Teacher Assistant, TA）策略：在教师与学生之间引入一个或多个中间容量的助手模型作为过渡，实现逐步渐进式知识迁移，有效缓解了师生容量差距（Capacity Gap）问题。实验表明，在模型能力差距较大时，TA策略相比直接蒸馏可带来3-5%的精度提升，为后续多阶段蒸馏方法的研究提供了理论基础</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_Ref26669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[5]</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28BE1112">
      <w:pPr>
        <w:spacing w:before="0" w:after="0" w:line="360" w:lineRule="auto"/>
        <w:ind w:firstLine="480"/>
        <w:jc w:val="both"/>
      </w:pPr>
      <w:r>
        <w:rPr>
          <w:rFonts w:ascii="Times New Roman" w:hAnsi="Times New Roman" w:eastAsia="宋体"/>
          <w:b w:val="0"/>
          <w:sz w:val="24"/>
        </w:rPr>
        <w:t>Zhao等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_Ref27785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[12]</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提出解耦知识蒸馏（Decoupled Knowledge Distillation, DKD），将经典KD损失分解为目标类蒸馏损失（Target Class Knowledge Distillation, TCKD）和非目标类蒸馏损失（Non-target Class Knowledge Distillation, NCKD）两部分，揭示了二者在知识迁移中的不同作用机制，并通过独立加权实现了更灵活高效的知识迁移。DKD在多个图像分类基准上超越了现有方法，验证了解耦设计在提升蒸馏效果方面的有效性</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_Ref27785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[12]</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748163D9">
      <w:pPr>
        <w:spacing w:before="0" w:after="0" w:line="360" w:lineRule="auto"/>
        <w:ind w:firstLine="480"/>
        <w:jc w:val="both"/>
      </w:pPr>
      <w:r>
        <w:rPr>
          <w:rFonts w:ascii="Times New Roman" w:hAnsi="Times New Roman" w:eastAsia="宋体"/>
          <w:b w:val="0"/>
          <w:sz w:val="24"/>
        </w:rPr>
        <w:t>Park等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_Ref27867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[13]</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提出关系知识蒸馏（Relational Knowledge Distillation, RKD），突破了逐样本模仿的局限，通过传递样本对或样本三元组之间的距离关系和角度关系来实现结构化知识迁移。RKD不要求学生直接模仿教师的输出分布，而是通过学习样本间的相对关系来获得与教师一致的特征空间结构，在度量学习与图像检索任务上表现出色</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_Ref27867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[13]</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。此外，Zhang等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_Ref27955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[14]</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提出的深度互学习（Deep Mutual Learning, DML）摒弃了固定教师的设定，让多个学生模型在训练过程中相互学习，实现了无需预训练教师模型的知识蒸馏</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_Ref27955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[14]</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04C5EFA7">
      <w:pPr>
        <w:spacing w:before="0" w:after="0" w:line="360" w:lineRule="auto"/>
        <w:ind w:firstLine="480"/>
        <w:jc w:val="both"/>
      </w:pPr>
      <w:r>
        <w:rPr>
          <w:rFonts w:ascii="Times New Roman" w:hAnsi="Times New Roman" w:eastAsia="宋体"/>
          <w:b w:val="0"/>
          <w:sz w:val="24"/>
        </w:rPr>
        <w:t>Liu等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_Ref28037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[15]</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的ConvNeXt研究系统验证了在现代训练策略下，纯卷积神经网络同样能够与Transformer模型媲美，这为轻量化学生模型的backbone选型提供了重要依据。ConvNeXt的分阶段设计、大卷积核与批归一化策略为后续针对检测任务设计高效backbone提供了新的思路</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_Ref28037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[15]</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1106902F">
      <w:pPr>
        <w:spacing w:before="80" w:after="80" w:line="360" w:lineRule="auto"/>
        <w:jc w:val="left"/>
        <w:outlineLvl w:val="1"/>
      </w:pPr>
      <w:bookmarkStart w:id="35" w:name="_Toc5479"/>
      <w:bookmarkStart w:id="36" w:name="_Toc9693"/>
      <w:bookmarkStart w:id="37" w:name="_Toc27319"/>
      <w:r>
        <w:rPr>
          <w:rFonts w:ascii="Times New Roman" w:hAnsi="Times New Roman" w:eastAsia="黑体"/>
          <w:b/>
          <w:sz w:val="28"/>
        </w:rPr>
        <w:t>3.3  基于中间特征的知识蒸馏</w:t>
      </w:r>
      <w:bookmarkEnd w:id="35"/>
      <w:bookmarkEnd w:id="36"/>
      <w:bookmarkEnd w:id="37"/>
    </w:p>
    <w:p w14:paraId="00573833">
      <w:pPr>
        <w:spacing w:before="0" w:after="0" w:line="360" w:lineRule="auto"/>
        <w:ind w:firstLine="480"/>
        <w:jc w:val="both"/>
      </w:pPr>
      <w:r>
        <w:rPr>
          <w:rFonts w:ascii="Times New Roman" w:hAnsi="Times New Roman" w:eastAsia="宋体"/>
          <w:b w:val="0"/>
          <w:sz w:val="24"/>
        </w:rPr>
        <w:t>除输出层蒸馏外，基于中间特征的蒸馏方法同样受到广泛关注。FitNets</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_Ref28122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[16]</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最早将中间层特征蒸馏引入模型压缩领域，通过引导学生模型模仿教师的中间层表示（Hint Layers），使学生能够学习到更深层的语义特征表示，在相同参数量约束下取得了超过传统KD方法的检测精度，为后续特征层蒸馏方法奠定了基础</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_Ref28122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[16]</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5780BCB8">
      <w:pPr>
        <w:spacing w:before="0" w:after="0" w:line="360" w:lineRule="auto"/>
        <w:ind w:firstLine="480"/>
        <w:jc w:val="both"/>
      </w:pPr>
      <w:r>
        <w:rPr>
          <w:rFonts w:ascii="Times New Roman" w:hAnsi="Times New Roman" w:eastAsia="宋体"/>
          <w:b w:val="0"/>
          <w:sz w:val="24"/>
        </w:rPr>
        <w:t>Heo等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_Ref28194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[17]</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对特征蒸馏方法进行了全面改进，提出以优化激活边界（Activation Boundary）为核心的特征蒸馏策略，通过引入边界ReLU函数和分部激活匹配损失，实现了更精准的中间层知识迁移，在多个图像分类基准上验证了其有效性。然而，中间特征蒸馏通常对模型结构有较强约束，要求学生和教师具有相同或相近的中间层维度，且实现复杂、计算开销大，在跨模态的多模态感知模型上直接应用面临更多挑战</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_Ref28122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[16]</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_Ref28194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[17]</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6F945682">
      <w:pPr>
        <w:spacing w:before="80" w:after="80" w:line="360" w:lineRule="auto"/>
        <w:jc w:val="left"/>
        <w:outlineLvl w:val="1"/>
      </w:pPr>
      <w:bookmarkStart w:id="38" w:name="_Toc3611"/>
      <w:bookmarkStart w:id="39" w:name="_Toc2505"/>
      <w:bookmarkStart w:id="40" w:name="_Toc17527"/>
      <w:r>
        <w:rPr>
          <w:rFonts w:ascii="Times New Roman" w:hAnsi="Times New Roman" w:eastAsia="黑体"/>
          <w:b/>
          <w:sz w:val="28"/>
        </w:rPr>
        <w:t>3.4  本章小结</w:t>
      </w:r>
      <w:bookmarkEnd w:id="38"/>
      <w:bookmarkEnd w:id="39"/>
      <w:bookmarkEnd w:id="40"/>
    </w:p>
    <w:p w14:paraId="48E56E7E">
      <w:pPr>
        <w:spacing w:before="0" w:after="0" w:line="360" w:lineRule="auto"/>
        <w:ind w:firstLine="480"/>
        <w:jc w:val="both"/>
      </w:pPr>
      <w:r>
        <w:rPr>
          <w:rFonts w:ascii="Times New Roman" w:hAnsi="Times New Roman" w:eastAsia="宋体"/>
          <w:b w:val="0"/>
          <w:sz w:val="24"/>
        </w:rPr>
        <w:t>本章对知识蒸馏技术体系进行了系统综述。从Hinton等提出的经典软标签蒸馏出发，介绍了基于响应、特征和关系三类知识的蒸馏方法；重点分析了教师助手策略、解耦知识蒸馏（DKD）、关系知识蒸馏（RKD）等改进方法；并进一步探讨了FitNets、特征激活边界蒸馏等基于中间特征的蒸馏方法。综合来看，现有蒸馏方法在分类任务上已较为成熟，但在Query-based多模态检测场景中的适配性研究仍存在明显空白，这为本课题的研究奠定了必要性基础。</w:t>
      </w:r>
    </w:p>
    <w:p w14:paraId="4703A475">
      <w:r>
        <w:br w:type="page"/>
      </w:r>
    </w:p>
    <w:p w14:paraId="71FB8D4D">
      <w:pPr>
        <w:spacing w:before="120" w:after="120" w:line="360" w:lineRule="auto"/>
        <w:jc w:val="left"/>
        <w:outlineLvl w:val="0"/>
      </w:pPr>
      <w:bookmarkStart w:id="41" w:name="_Toc15433"/>
      <w:bookmarkStart w:id="42" w:name="_Toc21276"/>
      <w:bookmarkStart w:id="43" w:name="_Toc17826"/>
      <w:r>
        <w:rPr>
          <w:rFonts w:ascii="Times New Roman" w:hAnsi="Times New Roman" w:eastAsia="黑体"/>
          <w:b/>
          <w:sz w:val="30"/>
        </w:rPr>
        <w:t>4  多模态模型轻量化研究</w:t>
      </w:r>
      <w:bookmarkEnd w:id="41"/>
      <w:bookmarkEnd w:id="42"/>
      <w:bookmarkEnd w:id="43"/>
    </w:p>
    <w:p w14:paraId="2276536C">
      <w:pPr>
        <w:spacing w:before="0" w:after="0" w:line="360" w:lineRule="auto"/>
        <w:ind w:firstLine="480"/>
        <w:jc w:val="both"/>
      </w:pPr>
      <w:r>
        <w:rPr>
          <w:rFonts w:ascii="Times New Roman" w:hAnsi="Times New Roman" w:eastAsia="宋体"/>
          <w:b w:val="0"/>
          <w:sz w:val="24"/>
        </w:rPr>
        <w:t>本章聚焦知识蒸馏技术在多模态三维目标检测场景中的具体应用，综述近年来代表性研究工作，并从方法设计、模态适配与工程实现多个维度分析现有方法的局限性，为本课题的研究方向提供明确的问题导向。</w:t>
      </w:r>
    </w:p>
    <w:p w14:paraId="772CC78D">
      <w:pPr>
        <w:spacing w:before="80" w:after="80" w:line="360" w:lineRule="auto"/>
        <w:jc w:val="left"/>
        <w:outlineLvl w:val="1"/>
      </w:pPr>
      <w:bookmarkStart w:id="44" w:name="_Toc2320"/>
      <w:bookmarkStart w:id="45" w:name="_Toc13262"/>
      <w:bookmarkStart w:id="46" w:name="_Toc14797"/>
      <w:r>
        <w:rPr>
          <w:rFonts w:ascii="Times New Roman" w:hAnsi="Times New Roman" w:eastAsia="黑体"/>
          <w:b/>
          <w:sz w:val="28"/>
        </w:rPr>
        <w:t>4.1  多模态三维目标检测的知识蒸馏</w:t>
      </w:r>
      <w:bookmarkEnd w:id="44"/>
      <w:bookmarkEnd w:id="45"/>
      <w:bookmarkEnd w:id="46"/>
    </w:p>
    <w:p w14:paraId="08D2DCE5">
      <w:pPr>
        <w:spacing w:before="0" w:after="0" w:line="360" w:lineRule="auto"/>
        <w:ind w:firstLine="480"/>
        <w:jc w:val="both"/>
      </w:pPr>
      <w:r>
        <w:rPr>
          <w:rFonts w:ascii="Times New Roman" w:hAnsi="Times New Roman" w:eastAsia="宋体"/>
          <w:b w:val="0"/>
          <w:sz w:val="24"/>
        </w:rPr>
        <w:t>将知识蒸馏应用于多模态三维目标检测是近年来的研究热点。RayD3D</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_Ref28292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[18]</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针对多视角三维目标检测任务，提出沿射线方向传递深度知识（Ray Depth Distillation），利用带有丰富深度信息的教师模型指导多视角纯视觉模型学习更精确的三维空间理解，在nuScenes等权威数据集上取得了显著的精度提升，验证了跨模态知识蒸馏在三维检测中的潜力</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_Ref28292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[18]</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149DA8E4">
      <w:pPr>
        <w:spacing w:before="0" w:after="0" w:line="360" w:lineRule="auto"/>
        <w:ind w:firstLine="480"/>
        <w:jc w:val="both"/>
      </w:pPr>
      <w:r>
        <w:rPr>
          <w:rFonts w:ascii="Times New Roman" w:hAnsi="Times New Roman" w:eastAsia="宋体"/>
          <w:b w:val="0"/>
          <w:sz w:val="24"/>
        </w:rPr>
        <w:t>MultiDistiller</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_Ref28419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[19]</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提出了面向无人机和自动驾驶场景的高效多模态三维检测知识蒸馏框架，支持摄像头、激光雷达与雷达等多种模态数据的联合蒸馏。该方法采用多阶段渐进蒸馏策略，通过特征层对齐、输出层匹配和关系蒸馏的协同优化，在大幅降低计算复杂度（模型推理速度提升约2-3倍）的同时保持了接近教师模型的检测精度，是目前针对多模态三维检测最系统的知识蒸馏工作之一</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_Ref28419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[19]</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0269CD2C">
      <w:pPr>
        <w:spacing w:before="0" w:after="0" w:line="360" w:lineRule="auto"/>
        <w:ind w:firstLine="480"/>
        <w:jc w:val="both"/>
      </w:pPr>
      <w:r>
        <w:rPr>
          <w:rFonts w:ascii="Times New Roman" w:hAnsi="Times New Roman" w:eastAsia="宋体"/>
          <w:b w:val="0"/>
          <w:sz w:val="24"/>
        </w:rPr>
        <w:t>Munir等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_Ref28491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[20]</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专注于雷达与激光雷达融合目标检测的卷积网络设计，通过优化跨模态特征提取与融合网络结构，在ICRA 2024上验证了高效多传感器融合感知模型的可行性，为多传感器融合感知模型的轻量化提供了网络架构层面的参考</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_Ref28491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[20]</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rPr>
        <w:t>。</w:t>
      </w:r>
    </w:p>
    <w:p w14:paraId="139187D4">
      <w:pPr>
        <w:spacing w:before="80" w:after="80" w:line="360" w:lineRule="auto"/>
        <w:jc w:val="left"/>
        <w:outlineLvl w:val="1"/>
      </w:pPr>
      <w:bookmarkStart w:id="47" w:name="_Toc31800"/>
      <w:bookmarkStart w:id="48" w:name="_Toc18401"/>
      <w:bookmarkStart w:id="49" w:name="_Toc19832"/>
      <w:r>
        <w:rPr>
          <w:rFonts w:ascii="Times New Roman" w:hAnsi="Times New Roman" w:eastAsia="黑体"/>
          <w:b/>
          <w:sz w:val="28"/>
        </w:rPr>
        <w:t>4.2  现有方法的局限性与挑战</w:t>
      </w:r>
      <w:bookmarkEnd w:id="47"/>
      <w:bookmarkEnd w:id="48"/>
      <w:bookmarkEnd w:id="49"/>
    </w:p>
    <w:p w14:paraId="378F9FD3">
      <w:pPr>
        <w:spacing w:before="0" w:after="0" w:line="360" w:lineRule="auto"/>
        <w:ind w:firstLine="480"/>
        <w:jc w:val="both"/>
      </w:pPr>
      <w:r>
        <w:rPr>
          <w:rFonts w:ascii="Times New Roman" w:hAnsi="Times New Roman" w:eastAsia="宋体"/>
          <w:b w:val="0"/>
          <w:sz w:val="24"/>
        </w:rPr>
        <w:t>综合现有研究，多模态感知模型的轻量化仍面临以下挑战：①现有知识蒸馏方法多针对单模态或特征层蒸馏设计，对输出层蒸馏在多模态模型上的适配性研究不足，缺乏专门针对多模态输出的蒸馏损失函数设计；②在基于查询（Query-based）的端到端检测框架（如DETR及其变体）中，查询的无序性使得学生-教师查询对齐成为关键难题，如何合理利用匈牙利匹配结果指导蒸馏目标选择尚缺乏深入研究；③现有多模态三维检测蒸馏工作大多依赖特征蒸馏，实现复杂且对模型结构有较强约束，难以直接迁移至不同架构的模型；④蒸馏超参数（温度T、权重α）对多模态检测蒸馏效果的影响规律尚不明确，缺乏针对多模态场景的系统性配置研究。</w:t>
      </w:r>
    </w:p>
    <w:p w14:paraId="03AABB49">
      <w:pPr>
        <w:spacing w:before="80" w:after="80" w:line="360" w:lineRule="auto"/>
        <w:jc w:val="left"/>
        <w:outlineLvl w:val="1"/>
      </w:pPr>
      <w:bookmarkStart w:id="50" w:name="_Toc14331"/>
      <w:bookmarkStart w:id="51" w:name="_Toc25761"/>
      <w:bookmarkStart w:id="52" w:name="_Toc31844"/>
      <w:r>
        <w:rPr>
          <w:rFonts w:ascii="Times New Roman" w:hAnsi="Times New Roman" w:eastAsia="黑体"/>
          <w:b/>
          <w:sz w:val="28"/>
        </w:rPr>
        <w:t>4.3  本章小结</w:t>
      </w:r>
      <w:bookmarkEnd w:id="50"/>
      <w:bookmarkEnd w:id="51"/>
      <w:bookmarkEnd w:id="52"/>
    </w:p>
    <w:p w14:paraId="123C189F">
      <w:pPr>
        <w:spacing w:before="0" w:after="0" w:line="360" w:lineRule="auto"/>
        <w:ind w:firstLine="480"/>
        <w:jc w:val="both"/>
      </w:pPr>
      <w:r>
        <w:rPr>
          <w:rFonts w:ascii="Times New Roman" w:hAnsi="Times New Roman" w:eastAsia="宋体"/>
          <w:b w:val="0"/>
          <w:sz w:val="24"/>
        </w:rPr>
        <w:t>本章聚焦多模态感知模型的轻量化研究，梳理了知识蒸馏在多模态三维目标检测中的应用进展，包括RayD3D的射线深度蒸馏方法和MultiDistiller的多阶段渐进蒸馏框架，并综合分析了现有方法在输出层蒸馏设计、Query对齐策略和雷达模态适配三个维度上的局限性。上述挑战为本课题设计面向DPFT模型的输出层蒸馏方案提供了直接的问题导向。</w:t>
      </w:r>
    </w:p>
    <w:p w14:paraId="203B4963">
      <w:r>
        <w:br w:type="page"/>
      </w:r>
    </w:p>
    <w:p w14:paraId="20C3E688">
      <w:pPr>
        <w:spacing w:before="120" w:after="120" w:line="360" w:lineRule="auto"/>
        <w:jc w:val="left"/>
        <w:outlineLvl w:val="0"/>
      </w:pPr>
      <w:bookmarkStart w:id="53" w:name="_Toc8180"/>
      <w:bookmarkStart w:id="54" w:name="_Toc20778"/>
      <w:bookmarkStart w:id="55" w:name="_Toc17035"/>
      <w:r>
        <w:rPr>
          <w:rFonts w:ascii="Times New Roman" w:hAnsi="Times New Roman" w:eastAsia="黑体"/>
          <w:b/>
          <w:sz w:val="30"/>
        </w:rPr>
        <w:t>5  总结</w:t>
      </w:r>
      <w:bookmarkEnd w:id="53"/>
      <w:bookmarkEnd w:id="54"/>
      <w:bookmarkEnd w:id="55"/>
    </w:p>
    <w:p w14:paraId="19DC2B78">
      <w:pPr>
        <w:spacing w:before="80" w:after="80" w:line="360" w:lineRule="auto"/>
        <w:jc w:val="left"/>
        <w:outlineLvl w:val="1"/>
      </w:pPr>
      <w:bookmarkStart w:id="56" w:name="_Toc17778"/>
      <w:bookmarkStart w:id="57" w:name="_Toc6690"/>
      <w:bookmarkStart w:id="58" w:name="_Toc1349"/>
      <w:r>
        <w:rPr>
          <w:rFonts w:ascii="Times New Roman" w:hAnsi="Times New Roman" w:eastAsia="黑体"/>
          <w:b/>
          <w:sz w:val="28"/>
        </w:rPr>
        <w:t>5.1  本文主要工作</w:t>
      </w:r>
      <w:bookmarkEnd w:id="56"/>
      <w:bookmarkEnd w:id="57"/>
      <w:bookmarkEnd w:id="58"/>
    </w:p>
    <w:p w14:paraId="25E50315">
      <w:pPr>
        <w:spacing w:before="0" w:after="0" w:line="360" w:lineRule="auto"/>
        <w:ind w:firstLine="480"/>
        <w:jc w:val="both"/>
      </w:pPr>
      <w:r>
        <w:rPr>
          <w:rFonts w:ascii="Times New Roman" w:hAnsi="Times New Roman" w:eastAsia="宋体"/>
          <w:b w:val="0"/>
          <w:sz w:val="24"/>
        </w:rPr>
        <w:t>本文对多模态感知模型特征融合、知识蒸馏技术及多模态模型轻量化三个研究方向进行了系统综述。在多模态特征融合方面，以Transformer为核心的跨模态注意力机制已成为主流，DPFT等模型在摄像头-雷达融合检测中取得了先进性能；在知识蒸馏方面，从经典软标签蒸馏到特征蒸馏、关系蒸馏，方法体系日趋成熟，但在Query-based多模态检测场景的适配性研究仍存在明显空白；在多模态模型轻量化方面，RayD3D、MultiDistiller等工作为三维检测的知识蒸馏提供了重要参考，但均以特征蒸馏为主，针对输出层蒸馏的专项研究不足。</w:t>
      </w:r>
    </w:p>
    <w:p w14:paraId="66D0D5B4">
      <w:pPr>
        <w:spacing w:before="0" w:after="0" w:line="360" w:lineRule="auto"/>
        <w:ind w:firstLine="480"/>
        <w:jc w:val="both"/>
      </w:pPr>
      <w:r>
        <w:rPr>
          <w:rFonts w:ascii="Times New Roman" w:hAnsi="Times New Roman" w:eastAsia="宋体"/>
          <w:b w:val="0"/>
          <w:sz w:val="24"/>
        </w:rPr>
        <w:t>基于上述分析，本研究以DPFT多模态感知模型为基础，聚焦输出层知识蒸馏在Query-based多模态检测模型上的有效性与优化策略，拟开展以下工作：①设计适配多模态检测模型的蒸馏损失函数，结合匈牙利匹配对齐学生-教师查询对，实现基于匹配结果的精准蒸馏（matched distillation）；②探索蒸馏超参数（温度T、权重α、蒸馏模式）对学生模型检测性能的影响规律，确定最优配置方案；③构建三种不同压缩程度的轻量化学生模型，并通过K-Radar数据集上的对比实验验证蒸馏框架的有效性，为多模态感知模型的边缘部署提供实践参考。</w:t>
      </w:r>
    </w:p>
    <w:p w14:paraId="020373DC">
      <w:pPr>
        <w:spacing w:before="80" w:after="80" w:line="360" w:lineRule="auto"/>
        <w:jc w:val="left"/>
        <w:outlineLvl w:val="1"/>
      </w:pPr>
      <w:bookmarkStart w:id="59" w:name="_Toc28458"/>
      <w:bookmarkStart w:id="60" w:name="_Toc20139"/>
      <w:bookmarkStart w:id="61" w:name="_Toc5046"/>
      <w:r>
        <w:rPr>
          <w:rFonts w:ascii="Times New Roman" w:hAnsi="Times New Roman" w:eastAsia="黑体"/>
          <w:b/>
          <w:sz w:val="28"/>
        </w:rPr>
        <w:t>5.2  研究展望</w:t>
      </w:r>
      <w:bookmarkEnd w:id="59"/>
      <w:bookmarkEnd w:id="60"/>
      <w:bookmarkEnd w:id="61"/>
    </w:p>
    <w:p w14:paraId="233779C1">
      <w:pPr>
        <w:spacing w:before="0" w:after="0" w:line="360" w:lineRule="auto"/>
        <w:ind w:firstLine="480"/>
        <w:jc w:val="both"/>
      </w:pPr>
      <w:r>
        <w:rPr>
          <w:rFonts w:ascii="Times New Roman" w:hAnsi="Times New Roman" w:eastAsia="宋体"/>
          <w:b w:val="0"/>
          <w:sz w:val="24"/>
        </w:rPr>
        <w:t>基于上述综述分析，未来研究可在以下方向进一步深入：针对多模态输出层蒸馏的损失函数设计，探索结合匈牙利匹配的Query级别对齐策略；研究面向雷达模态稀疏特性的自适应蒸馏权重机制；以及探索渐进式蒸馏训练策略以缓解师生模型能力差距。</w:t>
      </w:r>
    </w:p>
    <w:p w14:paraId="46954B20">
      <w:r>
        <w:br w:type="page"/>
      </w:r>
    </w:p>
    <w:p w14:paraId="68484C55">
      <w:pPr>
        <w:spacing w:before="120" w:after="120" w:line="360" w:lineRule="auto"/>
        <w:jc w:val="center"/>
        <w:outlineLvl w:val="0"/>
      </w:pPr>
      <w:bookmarkStart w:id="62" w:name="_Toc19483"/>
      <w:bookmarkStart w:id="63" w:name="_Toc4398"/>
      <w:bookmarkStart w:id="64" w:name="_Toc25074"/>
      <w:r>
        <w:rPr>
          <w:rFonts w:ascii="Times New Roman" w:hAnsi="Times New Roman" w:eastAsia="黑体"/>
          <w:b/>
          <w:sz w:val="30"/>
        </w:rPr>
        <w:t>参考文献</w:t>
      </w:r>
      <w:bookmarkEnd w:id="62"/>
      <w:bookmarkEnd w:id="63"/>
      <w:bookmarkEnd w:id="64"/>
    </w:p>
    <w:p w14:paraId="165DE6AF">
      <w:pPr>
        <w:numPr>
          <w:ilvl w:val="0"/>
          <w:numId w:val="7"/>
        </w:numPr>
        <w:wordWrap w:val="0"/>
        <w:spacing w:before="0" w:after="0" w:line="360" w:lineRule="auto"/>
        <w:ind w:left="425" w:leftChars="0" w:hanging="425" w:firstLineChars="0"/>
        <w:jc w:val="both"/>
      </w:pPr>
      <w:bookmarkStart w:id="65" w:name="_Ref26603"/>
      <w:r>
        <w:rPr>
          <w:rFonts w:ascii="Times New Roman" w:hAnsi="Times New Roman" w:eastAsia="宋体"/>
          <w:b w:val="0"/>
          <w:sz w:val="24"/>
        </w:rPr>
        <w:t>Fent F, Palffy A, Caesar H. DPFT: Dual Perspective Fusion Transformer for Camera-Radar-based Object Detection[J]. IEEE Transactions on Intelligent Vehicles, 2025, 10(11): 4929–4941.</w:t>
      </w:r>
      <w:bookmarkEnd w:id="65"/>
    </w:p>
    <w:p w14:paraId="4F2B24F9">
      <w:pPr>
        <w:numPr>
          <w:ilvl w:val="0"/>
          <w:numId w:val="7"/>
        </w:numPr>
        <w:wordWrap w:val="0"/>
        <w:spacing w:before="0" w:after="0" w:line="360" w:lineRule="auto"/>
        <w:ind w:left="425" w:leftChars="0" w:hanging="425" w:firstLineChars="0"/>
        <w:jc w:val="both"/>
      </w:pPr>
      <w:bookmarkStart w:id="66" w:name="_Ref26610"/>
      <w:r>
        <w:rPr>
          <w:rFonts w:ascii="Times New Roman" w:hAnsi="Times New Roman" w:eastAsia="宋体"/>
          <w:b w:val="0"/>
          <w:sz w:val="24"/>
        </w:rPr>
        <w:t>Paek D H, Kong S H, Wijaya K T, et al. K-Radar: 4D Radar Object Detection for Autonomous Driving in Various Weather Conditions[C]. 2022 Advances in Neural Information Processing Systems (NeurIPS), New Orleans, Louisiana, USA, 2022: 3819-3829.</w:t>
      </w:r>
      <w:bookmarkEnd w:id="66"/>
    </w:p>
    <w:p w14:paraId="5C2ACFFA">
      <w:pPr>
        <w:numPr>
          <w:ilvl w:val="0"/>
          <w:numId w:val="7"/>
        </w:numPr>
        <w:wordWrap w:val="0"/>
        <w:spacing w:before="0" w:after="0" w:line="360" w:lineRule="auto"/>
        <w:ind w:left="425" w:leftChars="0" w:hanging="425" w:firstLineChars="0"/>
        <w:jc w:val="both"/>
      </w:pPr>
      <w:bookmarkStart w:id="67" w:name="_Ref26613"/>
      <w:r>
        <w:rPr>
          <w:rFonts w:ascii="Times New Roman" w:hAnsi="Times New Roman" w:eastAsia="宋体"/>
          <w:b w:val="0"/>
          <w:sz w:val="24"/>
        </w:rPr>
        <w:t>Chen X, Zhang T, Wang Y, et al. FUTR3D: A Unified Sensor Fusion Framework for 3D Detection[C]. 2023 IEEE/CVF Conference on Computer Vision and Pattern Recognition Workshops (CVPRW), Vancouver, Canada, 2023: 172-181.</w:t>
      </w:r>
      <w:bookmarkEnd w:id="67"/>
    </w:p>
    <w:p w14:paraId="3CF3D707">
      <w:pPr>
        <w:numPr>
          <w:ilvl w:val="0"/>
          <w:numId w:val="7"/>
        </w:numPr>
        <w:wordWrap w:val="0"/>
        <w:spacing w:before="0" w:after="0" w:line="360" w:lineRule="auto"/>
        <w:ind w:left="425" w:leftChars="0" w:hanging="425" w:firstLineChars="0"/>
        <w:jc w:val="both"/>
      </w:pPr>
      <w:bookmarkStart w:id="68" w:name="_Ref26665"/>
      <w:r>
        <w:rPr>
          <w:rFonts w:ascii="Times New Roman" w:hAnsi="Times New Roman" w:eastAsia="宋体"/>
          <w:b w:val="0"/>
          <w:sz w:val="24"/>
        </w:rPr>
        <w:t>Buciluă C, Caruana R, Niculescu-Mizil A. Model compression[C]. 2006 Proceedings of the 12th ACM SIGKDD International Conference on Knowledge Discovery and Data Mining, Philadelphia, Pennsylvania, USA, 2006: 535–541.</w:t>
      </w:r>
      <w:bookmarkEnd w:id="68"/>
    </w:p>
    <w:p w14:paraId="0B1F0902">
      <w:pPr>
        <w:numPr>
          <w:ilvl w:val="0"/>
          <w:numId w:val="7"/>
        </w:numPr>
        <w:wordWrap w:val="0"/>
        <w:spacing w:before="0" w:after="0" w:line="360" w:lineRule="auto"/>
        <w:ind w:left="425" w:leftChars="0" w:hanging="425" w:firstLineChars="0"/>
        <w:jc w:val="both"/>
      </w:pPr>
      <w:bookmarkStart w:id="69" w:name="_Ref26669"/>
      <w:r>
        <w:rPr>
          <w:rFonts w:ascii="Times New Roman" w:hAnsi="Times New Roman" w:eastAsia="宋体"/>
          <w:b w:val="0"/>
          <w:sz w:val="24"/>
        </w:rPr>
        <w:t>Mirzadeh S I, Farajtabar M, Li A, et al. Improved knowledge distillation via teacher assistant[C]. 2020 Proceedings of the AAAI Conference on Artificial Intelligence, New York, USA, 2020, 34(4): 5191–5198.</w:t>
      </w:r>
      <w:bookmarkEnd w:id="69"/>
    </w:p>
    <w:p w14:paraId="1CB2CAF5">
      <w:pPr>
        <w:numPr>
          <w:ilvl w:val="0"/>
          <w:numId w:val="7"/>
        </w:numPr>
        <w:wordWrap w:val="0"/>
        <w:spacing w:before="0" w:after="0" w:line="360" w:lineRule="auto"/>
        <w:ind w:left="425" w:leftChars="0" w:hanging="425" w:firstLineChars="0"/>
        <w:jc w:val="both"/>
      </w:pPr>
      <w:bookmarkStart w:id="70" w:name="_Ref26672"/>
      <w:r>
        <w:rPr>
          <w:rFonts w:ascii="Times New Roman" w:hAnsi="Times New Roman" w:eastAsia="宋体"/>
          <w:b w:val="0"/>
          <w:sz w:val="24"/>
        </w:rPr>
        <w:t>Gou J, Yu B, Maybank S, et al. Knowledge Distillation: A Survey[J]. International Journal of Computer Vision, 2021, 129(6): 1789-1819.</w:t>
      </w:r>
      <w:bookmarkEnd w:id="70"/>
    </w:p>
    <w:p w14:paraId="4E7F54FB">
      <w:pPr>
        <w:numPr>
          <w:ilvl w:val="0"/>
          <w:numId w:val="7"/>
        </w:numPr>
        <w:wordWrap w:val="0"/>
        <w:spacing w:before="0" w:after="0" w:line="360" w:lineRule="auto"/>
        <w:ind w:left="425" w:leftChars="0" w:hanging="425" w:firstLineChars="0"/>
        <w:jc w:val="both"/>
      </w:pPr>
      <w:bookmarkStart w:id="71" w:name="_Ref26714"/>
      <w:r>
        <w:rPr>
          <w:rFonts w:ascii="Times New Roman" w:hAnsi="Times New Roman" w:eastAsia="宋体"/>
          <w:b w:val="0"/>
          <w:sz w:val="24"/>
        </w:rPr>
        <w:t>Ren S, He K, Girshick R, et al. Faster R-CNN: Towards Real-Time Object Detection with Region Proposal Networks[J]. IEEE Transactions on Pattern Analysis and Machine Intelligence, 2017, 39(6): 1137-1149.</w:t>
      </w:r>
      <w:bookmarkEnd w:id="71"/>
    </w:p>
    <w:p w14:paraId="7280279A">
      <w:pPr>
        <w:numPr>
          <w:ilvl w:val="0"/>
          <w:numId w:val="7"/>
        </w:numPr>
        <w:wordWrap w:val="0"/>
        <w:spacing w:before="0" w:after="0" w:line="360" w:lineRule="auto"/>
        <w:ind w:left="425" w:leftChars="0" w:hanging="425" w:firstLineChars="0"/>
        <w:jc w:val="both"/>
      </w:pPr>
      <w:bookmarkStart w:id="72" w:name="_Ref26809"/>
      <w:r>
        <w:rPr>
          <w:rFonts w:ascii="Times New Roman" w:hAnsi="Times New Roman" w:eastAsia="宋体"/>
          <w:b w:val="0"/>
          <w:sz w:val="24"/>
        </w:rPr>
        <w:t>Chen L C, Papandreou G, Kokkinos I, et al. DeepLab: Semantic Image Segmentation with Deep Convolutional Nets, Atrous Convolution, and Fully Connected CRFs[J]. IEEE Transactions on Pattern Analysis and Machine Intelligence, 2018, 40(4): 834-848.</w:t>
      </w:r>
      <w:bookmarkEnd w:id="72"/>
    </w:p>
    <w:p w14:paraId="70A49E8D">
      <w:pPr>
        <w:numPr>
          <w:ilvl w:val="0"/>
          <w:numId w:val="7"/>
        </w:numPr>
        <w:wordWrap w:val="0"/>
        <w:spacing w:before="0" w:after="0" w:line="360" w:lineRule="auto"/>
        <w:ind w:left="425" w:leftChars="0" w:hanging="425" w:firstLineChars="0"/>
        <w:jc w:val="both"/>
      </w:pPr>
      <w:bookmarkStart w:id="73" w:name="_Ref26812"/>
      <w:r>
        <w:rPr>
          <w:rFonts w:ascii="Times New Roman" w:hAnsi="Times New Roman" w:eastAsia="宋体"/>
          <w:b w:val="0"/>
          <w:sz w:val="24"/>
        </w:rPr>
        <w:t>Carion N, Massa F, Synnaeve G, et al. End-to-End Object Detection with Transformers[C]. 2020 European Conference on Computer Vision (ECCV), Glasgow, Scotland, UK, 2020: 213-229.</w:t>
      </w:r>
      <w:bookmarkEnd w:id="73"/>
    </w:p>
    <w:p w14:paraId="4AE27746">
      <w:pPr>
        <w:numPr>
          <w:ilvl w:val="0"/>
          <w:numId w:val="7"/>
        </w:numPr>
        <w:wordWrap w:val="0"/>
        <w:spacing w:before="0" w:after="0" w:line="360" w:lineRule="auto"/>
        <w:ind w:left="425" w:leftChars="0" w:hanging="425" w:firstLineChars="0"/>
        <w:jc w:val="both"/>
      </w:pPr>
      <w:bookmarkStart w:id="74" w:name="_Ref26992"/>
      <w:r>
        <w:rPr>
          <w:rFonts w:ascii="Times New Roman" w:hAnsi="Times New Roman" w:eastAsia="宋体"/>
          <w:b w:val="0"/>
          <w:sz w:val="24"/>
        </w:rPr>
        <w:t>Geiger A, Lenz P, Stiller C, et al. Vision meets robotics: The KITTI dataset[J]. International Journal of Robotics Research, 2013, 32(11): 1231-1237.</w:t>
      </w:r>
      <w:bookmarkEnd w:id="74"/>
    </w:p>
    <w:p w14:paraId="4BFCD540">
      <w:pPr>
        <w:numPr>
          <w:ilvl w:val="0"/>
          <w:numId w:val="7"/>
        </w:numPr>
        <w:wordWrap w:val="0"/>
        <w:spacing w:before="0" w:after="0" w:line="360" w:lineRule="auto"/>
        <w:ind w:left="425" w:leftChars="0" w:hanging="425" w:firstLineChars="0"/>
        <w:jc w:val="both"/>
      </w:pPr>
      <w:bookmarkStart w:id="75" w:name="_Ref27028"/>
      <w:r>
        <w:rPr>
          <w:rFonts w:ascii="Times New Roman" w:hAnsi="Times New Roman" w:eastAsia="宋体"/>
          <w:b w:val="0"/>
          <w:sz w:val="24"/>
        </w:rPr>
        <w:t>Caesar H, Bankiti V, Lang A H, et al. nuScenes: A multimodal dataset for autonomous driving[C]. 2020 IEEE/CVF Conference on Computer Vision and Pattern Recognition (CVPR), Seattle, Washington, USA, 2020: 11618-11628.</w:t>
      </w:r>
      <w:bookmarkEnd w:id="75"/>
    </w:p>
    <w:p w14:paraId="7C483661">
      <w:pPr>
        <w:numPr>
          <w:ilvl w:val="0"/>
          <w:numId w:val="7"/>
        </w:numPr>
        <w:wordWrap w:val="0"/>
        <w:spacing w:before="0" w:after="0" w:line="360" w:lineRule="auto"/>
        <w:ind w:left="425" w:leftChars="0" w:hanging="425" w:firstLineChars="0"/>
        <w:jc w:val="both"/>
      </w:pPr>
      <w:bookmarkStart w:id="76" w:name="_Ref27785"/>
      <w:r>
        <w:rPr>
          <w:rFonts w:ascii="Times New Roman" w:hAnsi="Times New Roman" w:eastAsia="宋体"/>
          <w:b w:val="0"/>
          <w:sz w:val="24"/>
        </w:rPr>
        <w:t>Zhao B, Cui Q, Song R, et al. Decoupled Knowledge Distillation[C]. 2022 IEEE/CVF Conference on Computer Vision and Pattern Recognition (CVPR), New Orleans, Louisiana, USA, 2022: 11953-11962.</w:t>
      </w:r>
      <w:bookmarkEnd w:id="76"/>
    </w:p>
    <w:p w14:paraId="6EC7DC02">
      <w:pPr>
        <w:numPr>
          <w:ilvl w:val="0"/>
          <w:numId w:val="7"/>
        </w:numPr>
        <w:wordWrap w:val="0"/>
        <w:spacing w:before="0" w:after="0" w:line="360" w:lineRule="auto"/>
        <w:ind w:left="425" w:leftChars="0" w:hanging="425" w:firstLineChars="0"/>
        <w:jc w:val="both"/>
      </w:pPr>
      <w:bookmarkStart w:id="77" w:name="_Ref27867"/>
      <w:r>
        <w:rPr>
          <w:rFonts w:ascii="Times New Roman" w:hAnsi="Times New Roman" w:eastAsia="宋体"/>
          <w:b w:val="0"/>
          <w:sz w:val="24"/>
        </w:rPr>
        <w:t>Park W, Kim D, Lu Y, et al. Relational Knowledge Distillation[C]. 2019 IEEE/CVF Conference on Computer Vision and Pattern Recognition (CVPR), Long Beach, California, USA, 2019: 3967-3976.</w:t>
      </w:r>
      <w:bookmarkEnd w:id="77"/>
    </w:p>
    <w:p w14:paraId="034BEA6D">
      <w:pPr>
        <w:numPr>
          <w:ilvl w:val="0"/>
          <w:numId w:val="7"/>
        </w:numPr>
        <w:wordWrap w:val="0"/>
        <w:spacing w:before="0" w:after="0" w:line="360" w:lineRule="auto"/>
        <w:ind w:left="425" w:leftChars="0" w:hanging="425" w:firstLineChars="0"/>
        <w:jc w:val="both"/>
      </w:pPr>
      <w:bookmarkStart w:id="78" w:name="_Ref27955"/>
      <w:r>
        <w:rPr>
          <w:rFonts w:ascii="Times New Roman" w:hAnsi="Times New Roman" w:eastAsia="宋体"/>
          <w:b w:val="0"/>
          <w:sz w:val="24"/>
        </w:rPr>
        <w:t>Zhang Y, Xiang T, Hospedales T M, et al. Deep Mutual Learning[C]. 2018 IEEE/CVF Conference on Computer Vision and Pattern Recognition (CVPR), Salt Lake City, Utah, USA, 2018: 4320-4328.</w:t>
      </w:r>
      <w:bookmarkEnd w:id="78"/>
    </w:p>
    <w:p w14:paraId="066D6805">
      <w:pPr>
        <w:numPr>
          <w:ilvl w:val="0"/>
          <w:numId w:val="7"/>
        </w:numPr>
        <w:wordWrap w:val="0"/>
        <w:spacing w:before="0" w:after="0" w:line="360" w:lineRule="auto"/>
        <w:ind w:left="425" w:leftChars="0" w:hanging="425" w:firstLineChars="0"/>
        <w:jc w:val="both"/>
      </w:pPr>
      <w:bookmarkStart w:id="79" w:name="_Ref28037"/>
      <w:r>
        <w:rPr>
          <w:rFonts w:ascii="Times New Roman" w:hAnsi="Times New Roman" w:eastAsia="宋体"/>
          <w:b w:val="0"/>
          <w:sz w:val="24"/>
        </w:rPr>
        <w:t>Liu Z, Mao H, Wu C Y, et al. A ConvNet for the 2020s[C]. 2022 IEEE/CVF Conference on Computer Vision and Pattern Recognition (CVPR), New Orleans, Louisiana, USA, 2022: 11976-11986.</w:t>
      </w:r>
      <w:bookmarkEnd w:id="79"/>
    </w:p>
    <w:p w14:paraId="6EFC1B92">
      <w:pPr>
        <w:numPr>
          <w:ilvl w:val="0"/>
          <w:numId w:val="7"/>
        </w:numPr>
        <w:wordWrap w:val="0"/>
        <w:spacing w:before="0" w:after="0" w:line="360" w:lineRule="auto"/>
        <w:ind w:left="425" w:leftChars="0" w:hanging="425" w:firstLineChars="0"/>
        <w:jc w:val="both"/>
      </w:pPr>
      <w:bookmarkStart w:id="80" w:name="_Ref28122"/>
      <w:r>
        <w:rPr>
          <w:rFonts w:ascii="Times New Roman" w:hAnsi="Times New Roman" w:eastAsia="宋体"/>
          <w:b w:val="0"/>
          <w:sz w:val="24"/>
        </w:rPr>
        <w:t>Romero A, Ballas N, Kahou S E, et al. FitNets: Hints for Thin Deep Nets[C]. 2015 International Conference on Learning Representations (ICLR), San Diego, California, USA, 2015.</w:t>
      </w:r>
      <w:bookmarkEnd w:id="80"/>
    </w:p>
    <w:p w14:paraId="420B93B7">
      <w:pPr>
        <w:numPr>
          <w:ilvl w:val="0"/>
          <w:numId w:val="7"/>
        </w:numPr>
        <w:wordWrap w:val="0"/>
        <w:spacing w:before="0" w:after="0" w:line="360" w:lineRule="auto"/>
        <w:ind w:left="425" w:leftChars="0" w:hanging="425" w:firstLineChars="0"/>
        <w:jc w:val="both"/>
      </w:pPr>
      <w:bookmarkStart w:id="81" w:name="_Ref28194"/>
      <w:r>
        <w:rPr>
          <w:rFonts w:ascii="Times New Roman" w:hAnsi="Times New Roman" w:eastAsia="宋体"/>
          <w:b w:val="0"/>
          <w:sz w:val="24"/>
        </w:rPr>
        <w:t>Heo B, Kim J, Yun S, et al. A Comprehensive Overhaul of Feature Distillation[C]. 2019 International Conference on Computer Vision (ICCV), Seoul, South Korea, 2019: 1272-1281.</w:t>
      </w:r>
      <w:bookmarkEnd w:id="81"/>
    </w:p>
    <w:p w14:paraId="79C72AF7">
      <w:pPr>
        <w:numPr>
          <w:ilvl w:val="0"/>
          <w:numId w:val="7"/>
        </w:numPr>
        <w:wordWrap w:val="0"/>
        <w:spacing w:before="0" w:after="0" w:line="360" w:lineRule="auto"/>
        <w:ind w:left="425" w:leftChars="0" w:hanging="425" w:firstLineChars="0"/>
        <w:jc w:val="both"/>
      </w:pPr>
      <w:bookmarkStart w:id="82" w:name="_Ref28292"/>
      <w:r>
        <w:rPr>
          <w:rFonts w:ascii="Times New Roman" w:hAnsi="Times New Roman" w:eastAsia="宋体"/>
          <w:b w:val="0"/>
          <w:sz w:val="24"/>
        </w:rPr>
        <w:t>Ding R, Kuang Z, Zhou Z, et al. RayD3D: Distilling Depth Knowledge Along the Ray for Robust Multi-View 3D Object Detection[C]. 2024 IEEE/CVF Conference on Computer Vision and Pattern Recognition (CVPR), Seattle, Washington, USA, 2024.</w:t>
      </w:r>
      <w:bookmarkEnd w:id="82"/>
    </w:p>
    <w:p w14:paraId="6B15D27B">
      <w:pPr>
        <w:numPr>
          <w:ilvl w:val="0"/>
          <w:numId w:val="7"/>
        </w:numPr>
        <w:wordWrap w:val="0"/>
        <w:spacing w:before="0" w:after="0" w:line="360" w:lineRule="auto"/>
        <w:ind w:left="425" w:leftChars="0" w:hanging="425" w:firstLineChars="0"/>
        <w:jc w:val="both"/>
      </w:pPr>
      <w:bookmarkStart w:id="83" w:name="_Ref28419"/>
      <w:r>
        <w:rPr>
          <w:rFonts w:ascii="Times New Roman" w:hAnsi="Times New Roman" w:eastAsia="宋体"/>
          <w:b w:val="0"/>
          <w:sz w:val="24"/>
        </w:rPr>
        <w:t>Yang B, Tao T, Wu W, et al. MultiDistiller: Efficient Multimodal 3D Detection via Knowledge Distillation for Drones and Autonomous Vehicles[J]. Drones, 2025, 9(5): 322.</w:t>
      </w:r>
      <w:bookmarkEnd w:id="83"/>
    </w:p>
    <w:p w14:paraId="3E2DAEE4">
      <w:pPr>
        <w:numPr>
          <w:ilvl w:val="0"/>
          <w:numId w:val="7"/>
        </w:numPr>
        <w:wordWrap w:val="0"/>
        <w:spacing w:before="0" w:after="0" w:line="360" w:lineRule="auto"/>
        <w:ind w:left="425" w:leftChars="0" w:hanging="425" w:firstLineChars="0"/>
        <w:jc w:val="both"/>
      </w:pPr>
      <w:bookmarkStart w:id="84" w:name="_Ref28491"/>
      <w:r>
        <w:rPr>
          <w:rFonts w:ascii="Times New Roman" w:hAnsi="Times New Roman" w:eastAsia="宋体"/>
          <w:b w:val="0"/>
          <w:sz w:val="24"/>
        </w:rPr>
        <w:t>Munir F, Azam S, Kucner T, et al. Radar-Lidar Fusion for Object Detection by Designing Effective Convolution Networks[C]. 2024 IEEE International Conference on Robotics and Automation (ICRA), Yokohama, Japan, 2024.</w:t>
      </w:r>
      <w:bookmarkEnd w:id="84"/>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B52B3E1"/>
    <w:multiLevelType w:val="singleLevel"/>
    <w:tmpl w:val="2B52B3E1"/>
    <w:lvl w:ilvl="0" w:tentative="0">
      <w:start w:val="1"/>
      <w:numFmt w:val="decimal"/>
      <w:lvlText w:val="[%1]"/>
      <w:lvlJc w:val="left"/>
      <w:pPr>
        <w:tabs>
          <w:tab w:val="left" w:pos="420"/>
        </w:tabs>
        <w:ind w:left="425" w:leftChars="0" w:hanging="425"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B45523"/>
    <w:rsid w:val="29C42E79"/>
    <w:rsid w:val="2E4B7299"/>
    <w:rsid w:val="346E1392"/>
    <w:rsid w:val="45085EB8"/>
    <w:rsid w:val="46A44418"/>
    <w:rsid w:val="4D8F7651"/>
    <w:rsid w:val="536C7F5A"/>
    <w:rsid w:val="5B494150"/>
    <w:rsid w:val="5B835E40"/>
    <w:rsid w:val="626004B0"/>
    <w:rsid w:val="6E5E35C3"/>
    <w:rsid w:val="71333A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uiPriority w:val="99"/>
  </w:style>
  <w:style w:type="character" w:customStyle="1" w:styleId="139">
    <w:name w:val="Footer Char"/>
    <w:basedOn w:val="135"/>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0"/>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6226</Words>
  <Characters>10924</Characters>
  <Lines>0</Lines>
  <Paragraphs>0</Paragraphs>
  <TotalTime>0</TotalTime>
  <ScaleCrop>false</ScaleCrop>
  <LinksUpToDate>false</LinksUpToDate>
  <CharactersWithSpaces>11709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Louise</cp:lastModifiedBy>
  <dcterms:modified xsi:type="dcterms:W3CDTF">2026-04-16T09:47:50Z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eyJoZGlkIjoiMmM2YWQ2YzlkMjVlNDllOGJmYTJiZWQ5NDA3N2Y0OTIiLCJ1c2VySWQiOiIxMzY2NDI0MzExIn0=</vt:lpwstr>
  </property>
  <property fmtid="{D5CDD505-2E9C-101B-9397-08002B2CF9AE}" pid="3" name="KSOProductBuildVer">
    <vt:lpwstr>2052-12.1.0.25225</vt:lpwstr>
  </property>
  <property fmtid="{D5CDD505-2E9C-101B-9397-08002B2CF9AE}" pid="4" name="ICV">
    <vt:lpwstr>3913656DA1A74D128048C1841246481D_13</vt:lpwstr>
  </property>
</Properties>
</file>