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jc w:val="center"/>
        <w:rPr>
          <w:rFonts w:ascii="Book Antiqua" w:hAnsi="Book Antiqua" w:cs="Book Antiqua"/>
          <w:b/>
          <w:sz w:val="24"/>
          <w:szCs w:val="24"/>
        </w:rPr>
      </w:pPr>
      <w:r>
        <w:rPr>
          <w:rFonts w:cs="Book Antiqua" w:ascii="Book Antiqua" w:hAnsi="Book Antiqua"/>
          <w:b/>
          <w:sz w:val="24"/>
          <w:szCs w:val="24"/>
        </w:rPr>
        <w:t>[COMPANY NAME]</w:t>
      </w:r>
    </w:p>
    <w:p>
      <w:pPr>
        <w:pStyle w:val="Header"/>
        <w:jc w:val="center"/>
        <w:rPr>
          <w:rFonts w:ascii="Book Antiqua" w:hAnsi="Book Antiqua" w:cs="Book Antiqua"/>
          <w:sz w:val="24"/>
          <w:szCs w:val="24"/>
        </w:rPr>
      </w:pPr>
      <w:r>
        <w:rPr>
          <w:rFonts w:cs="Book Antiqua" w:ascii="Book Antiqua" w:hAnsi="Book Antiqua"/>
          <w:sz w:val="24"/>
          <w:szCs w:val="24"/>
        </w:rPr>
        <w:t>CIN – [CIN]</w:t>
      </w:r>
    </w:p>
    <w:p>
      <w:pPr>
        <w:pStyle w:val="NoSpacing"/>
        <w:jc w:val="center"/>
        <w:rPr/>
      </w:pPr>
      <w:r>
        <w:rPr>
          <w:rFonts w:cs="Book Antiqua" w:ascii="Book Antiqua" w:hAnsi="Book Antiqua"/>
          <w:sz w:val="24"/>
          <w:szCs w:val="24"/>
        </w:rPr>
        <w:t>Regd. Office - [ADDRESS], [PLACE] –  [PIN].</w:t>
      </w:r>
    </w:p>
    <w:p>
      <w:pPr>
        <w:pStyle w:val="NoSpacing"/>
        <w:pBdr>
          <w:bottom w:val="single" w:sz="12" w:space="1" w:color="000000"/>
        </w:pBdr>
        <w:tabs>
          <w:tab w:val="clear" w:pos="1134"/>
          <w:tab w:val="left" w:pos="5940" w:leader="none"/>
        </w:tabs>
        <w:ind w:hanging="7470" w:start="7470" w:end="0"/>
        <w:jc w:val="center"/>
        <w:rPr/>
      </w:pPr>
      <w:r>
        <w:rPr>
          <w:rFonts w:cs="Book Antiqua" w:ascii="Book Antiqua" w:hAnsi="Book Antiqua"/>
          <w:sz w:val="24"/>
          <w:szCs w:val="24"/>
        </w:rPr>
        <w:t xml:space="preserve">Email ID - [EMAIL]; [PHONE]; [PHONE]</w:t>
      </w:r>
      <w:hyperlink r:id="rId2">
        <w:r>
          <w:rPr>
            <w:rStyle w:val="Hyperlink"/>
            <w:rFonts w:cs="Book Antiqua" w:ascii="Book Antiqua" w:hAnsi="Book Antiqua"/>
            <w:sz w:val="24"/>
            <w:szCs w:val="24"/>
          </w:rPr>
          <w:t/>
        </w:r>
      </w:hyperlink>
      <w:r>
        <w:rPr>
          <w:rFonts w:cs="Book Antiqua" w:ascii="Book Antiqua" w:hAnsi="Book Antiqua"/>
          <w:sz w:val="24"/>
          <w:szCs w:val="24"/>
        </w:rPr>
        <w:t/>
      </w:r>
    </w:p>
    <w:p>
      <w:pPr>
        <w:pStyle w:val="NoSpacing"/>
        <w:jc w:val="center"/>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DIRECTOR’S REPORT</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t xml:space="preserve">To, </w:t>
      </w:r>
    </w:p>
    <w:p>
      <w:pPr>
        <w:pStyle w:val="NoSpacing"/>
        <w:jc w:val="both"/>
        <w:rPr/>
      </w:pPr>
      <w:r>
        <w:rPr>
          <w:rFonts w:cs="Arial" w:ascii="Book Antiqua" w:hAnsi="Book Antiqua"/>
          <w:sz w:val="24"/>
          <w:szCs w:val="24"/>
          <w:lang w:val="en-US" w:eastAsia="en-US"/>
        </w:rPr>
        <w:t xml:space="preserve">The Members, </w:t>
      </w:r>
    </w:p>
    <w:p>
      <w:pPr>
        <w:pStyle w:val="NoSpacing"/>
        <w:jc w:val="both"/>
        <w:rPr>
          <w:rFonts w:ascii="Book Antiqua" w:hAnsi="Book Antiqua" w:cs="Arial"/>
          <w:b/>
          <w:sz w:val="24"/>
          <w:szCs w:val="24"/>
          <w:lang w:val="en-US" w:eastAsia="en-US"/>
        </w:rPr>
      </w:pPr>
      <w:r>
        <w:rPr>
          <w:rFonts w:cs="Arial" w:ascii="Book Antiqua" w:hAnsi="Book Antiqua"/>
          <w:b/>
          <w:sz w:val="24"/>
          <w:szCs w:val="24"/>
          <w:lang w:val="en-US" w:eastAsia="en-US"/>
        </w:rPr>
        <w:t xml:space="preserve">M/s. [COMPANY NAME] </w:t>
      </w:r>
    </w:p>
    <w:p>
      <w:pPr>
        <w:pStyle w:val="NoSpacing"/>
        <w:jc w:val="both"/>
        <w:rPr>
          <w:rFonts w:ascii="Book Antiqua" w:hAnsi="Book Antiqua" w:cs="Arial"/>
          <w:b/>
          <w:sz w:val="24"/>
          <w:szCs w:val="24"/>
          <w:lang w:val="en-US" w:eastAsia="en-US"/>
        </w:rPr>
      </w:pPr>
      <w:r>
        <w:rPr>
          <w:rFonts w:cs="Arial" w:ascii="Book Antiqua" w:hAnsi="Book Antiqua"/>
          <w:b/>
          <w:sz w:val="24"/>
          <w:szCs w:val="24"/>
          <w:lang w:val="en-US" w:eastAsia="en-US"/>
        </w:rPr>
      </w:r>
    </w:p>
    <w:p>
      <w:pPr>
        <w:pStyle w:val="NoSpacing"/>
        <w:jc w:val="both"/>
        <w:rPr/>
      </w:pPr>
      <w:r>
        <w:rPr>
          <w:rFonts w:cs="Arial" w:ascii="Book Antiqua" w:hAnsi="Book Antiqua"/>
          <w:sz w:val="24"/>
          <w:szCs w:val="24"/>
          <w:lang w:val="en-US" w:eastAsia="en-US"/>
        </w:rPr>
        <w:t xml:space="preserve">Your Directors have pleasure in presenting the Annual Report of your Company together with the Audited Statement of Accounts and the Auditor’s Report of your Company for the financial year ended, [DATE]. </w:t>
      </w:r>
      <w:r>
        <w:rPr>
          <w:rFonts w:cs="Arial" w:ascii="Book Antiqua" w:hAnsi="Book Antiqua"/>
          <w:sz w:val="24"/>
          <w:szCs w:val="24"/>
          <w:vertAlign w:val="superscript"/>
          <w:lang w:val="en-US" w:eastAsia="en-US"/>
        </w:rPr>
      </w:r>
      <w:r>
        <w:rPr>
          <w:rFonts w:cs="Arial" w:ascii="Book Antiqua" w:hAnsi="Book Antiqua"/>
          <w:sz w:val="24"/>
          <w:szCs w:val="24"/>
          <w:lang w:val="en-US" w:eastAsia="en-US"/>
        </w:rPr>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FINANCIAL SUMMARY AND HIGHLIGHTS</w:t>
      </w:r>
    </w:p>
    <w:tbl>
      <w:tblPr>
        <w:tblW w:w="5000" w:type="pct"/>
        <w:jc w:val="start"/>
        <w:tblInd w:w="0" w:type="dxa"/>
        <w:tblLayout w:type="fixed"/>
        <w:tblCellMar>
          <w:top w:w="0" w:type="dxa"/>
          <w:start w:w="108" w:type="dxa"/>
          <w:bottom w:w="0" w:type="dxa"/>
          <w:end w:w="108" w:type="dxa"/>
        </w:tblCellMar>
      </w:tblPr>
      <w:tblGrid>
        <w:gridCol w:w="4178"/>
        <w:gridCol w:w="2357"/>
        <w:gridCol w:w="1673"/>
        <w:gridCol w:w="1698"/>
      </w:tblGrid>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Particulars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1493" w:leader="none"/>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 xml:space="preserve">For the Financial </w:t>
            </w:r>
          </w:p>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Year ending [DATE]</w:t>
            </w:r>
            <w:r>
              <w:rPr>
                <w:rFonts w:cs="Arial" w:ascii="Book Antiqua" w:hAnsi="Book Antiqua"/>
                <w:b/>
                <w:bCs/>
                <w:sz w:val="24"/>
                <w:szCs w:val="24"/>
                <w:lang w:val="en-US"/>
              </w:rPr>
              <w:t>4</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 xml:space="preserve">For the  Financial </w:t>
              <w:br/>
              <w:t>Year ending [DATE]</w:t>
            </w:r>
            <w:r>
              <w:rPr>
                <w:rFonts w:cs="Arial" w:ascii="Book Antiqua" w:hAnsi="Book Antiqua"/>
                <w:b/>
                <w:bCs/>
                <w:sz w:val="24"/>
                <w:szCs w:val="24"/>
                <w:lang w:val="en-US"/>
              </w:rPr>
              <w:t>3</w:t>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Revenue from Operations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[FIGURE] </w:t>
            </w:r>
            <w:r>
              <w:rPr>
                <w:rFonts w:cs="Arial" w:ascii="Book Antiqua" w:hAnsi="Book Antiqua"/>
                <w:sz w:val="24"/>
                <w:szCs w:val="24"/>
                <w:lang w:val="en-US"/>
              </w:rPr>
              <w:t xml:space="preserve"/>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[FIGURE] </w:t>
            </w:r>
            <w:r>
              <w:rPr>
                <w:rFonts w:cs="Arial" w:ascii="Book Antiqua" w:hAnsi="Book Antiqua"/>
                <w:sz w:val="24"/>
                <w:szCs w:val="24"/>
                <w:lang w:val="en-US"/>
              </w:rPr>
              <w:t xml:space="preserve"/>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Other Income</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snapToGrid w:val="false"/>
              <w:jc w:val="end"/>
              <w:rPr>
                <w:rFonts w:ascii="Book Antiqua" w:hAnsi="Book Antiqua" w:cs="Arial"/>
                <w:sz w:val="24"/>
                <w:szCs w:val="24"/>
                <w:lang w:val="en-US"/>
              </w:rPr>
            </w:pPr>
            <w:r>
              <w:rPr>
                <w:rFonts w:cs="Arial" w:ascii="Book Antiqua" w:hAnsi="Book Antiqua"/>
                <w:sz w:val="24"/>
                <w:szCs w:val="24"/>
                <w:lang w:val="en-US"/>
              </w:rPr>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snapToGrid w:val="false"/>
              <w:jc w:val="end"/>
              <w:rPr>
                <w:rFonts w:ascii="Book Antiqua" w:hAnsi="Book Antiqua" w:cs="Arial"/>
                <w:sz w:val="24"/>
                <w:szCs w:val="24"/>
                <w:lang w:val="en-US"/>
              </w:rPr>
            </w:pPr>
            <w:r>
              <w:rPr>
                <w:rFonts w:cs="Arial" w:ascii="Book Antiqua" w:hAnsi="Book Antiqua"/>
                <w:sz w:val="24"/>
                <w:szCs w:val="24"/>
                <w:lang w:val="en-US"/>
              </w:rPr>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lang w:val="en-US"/>
              </w:rPr>
            </w:pPr>
            <w:r>
              <w:rPr>
                <w:rFonts w:cs="Arial" w:ascii="Book Antiqua" w:hAnsi="Book Antiqua"/>
                <w:b/>
                <w:bCs/>
                <w:sz w:val="24"/>
                <w:szCs w:val="24"/>
                <w:lang w:val="en-US"/>
              </w:rPr>
              <w:t xml:space="preserve">Total Revenue </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sz w:val="24"/>
                <w:szCs w:val="24"/>
                <w:lang w:val="en-US"/>
              </w:rPr>
              <w:t>[FIGURE] </w:t>
            </w:r>
            <w:r>
              <w:rPr>
                <w:rFonts w:cs="Arial" w:ascii="Book Antiqua" w:hAnsi="Book Antiqua"/>
                <w:sz w:val="24"/>
                <w:szCs w:val="24"/>
                <w:lang w:val="en-US"/>
              </w:rPr>
              <w:t xml:space="preserve"/>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sz w:val="24"/>
                <w:szCs w:val="24"/>
                <w:lang w:val="en-US"/>
              </w:rPr>
              <w:t>[FIGURE] </w:t>
            </w:r>
            <w:r>
              <w:rPr>
                <w:rFonts w:cs="Arial" w:ascii="Book Antiqua" w:hAnsi="Book Antiqua"/>
                <w:sz w:val="24"/>
                <w:szCs w:val="24"/>
                <w:lang w:val="en-US"/>
              </w:rPr>
              <w:t xml:space="preserve"/>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pPr>
            <w:r>
              <w:rPr>
                <w:rFonts w:cs="Arial" w:ascii="Book Antiqua" w:hAnsi="Book Antiqua"/>
                <w:b/>
                <w:sz w:val="24"/>
                <w:szCs w:val="24"/>
              </w:rPr>
              <w:t xml:space="preserve">Less: </w:t>
            </w:r>
            <w:r>
              <w:rPr>
                <w:rFonts w:cs="Arial" w:ascii="Book Antiqua" w:hAnsi="Book Antiqua"/>
                <w:b/>
                <w:sz w:val="24"/>
                <w:szCs w:val="24"/>
                <w:lang w:val="en-US"/>
              </w:rPr>
              <w:t>Expenses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[FIGURE] </w:t>
            </w:r>
            <w:r>
              <w:rPr>
                <w:rFonts w:cs="Arial" w:ascii="Book Antiqua" w:hAnsi="Book Antiqua"/>
                <w:sz w:val="24"/>
                <w:szCs w:val="24"/>
                <w:lang w:val="en-US"/>
              </w:rPr>
              <w:t xml:space="preserve"/>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[FIGURE] </w:t>
            </w:r>
            <w:r>
              <w:rPr>
                <w:rFonts w:cs="Arial" w:ascii="Book Antiqua" w:hAnsi="Book Antiqua"/>
                <w:sz w:val="24"/>
                <w:szCs w:val="24"/>
                <w:lang w:val="en-US"/>
              </w:rPr>
              <w:t xml:space="preserve"/>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Profit /loss before Exceptional items and Tax Expense</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b/>
                <w:bCs/>
                <w:sz w:val="24"/>
                <w:szCs w:val="24"/>
                <w:lang w:val="en-US"/>
              </w:rPr>
              <w:t xml:space="preserve">[FIGURE] </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b/>
                <w:bCs/>
                <w:sz w:val="24"/>
                <w:szCs w:val="24"/>
                <w:lang w:val="en-US"/>
              </w:rPr>
              <w:t>[FIGURE] </w:t>
            </w:r>
            <w:r>
              <w:rPr>
                <w:rFonts w:cs="Arial" w:ascii="Book Antiqua" w:hAnsi="Book Antiqua"/>
                <w:b/>
                <w:bCs/>
                <w:sz w:val="24"/>
                <w:szCs w:val="24"/>
                <w:lang w:val="en-US"/>
              </w:rPr>
              <w:t xml:space="preserve"/>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Add/(less): Exceptional items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 xml:space="preserve"> 0</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r>
              <w:rPr>
                <w:rFonts w:cs="Arial" w:ascii="Book Antiqua" w:hAnsi="Book Antiqua"/>
                <w:sz w:val="24"/>
                <w:szCs w:val="24"/>
                <w:lang w:val="en-US"/>
              </w:rPr>
              <w:t xml:space="preserve"> </w:t>
            </w:r>
          </w:p>
        </w:tc>
      </w:tr>
      <w:tr>
        <w:trPr>
          <w:trHeight w:val="360" w:hRule="atLeast"/>
        </w:trPr>
        <w:tc>
          <w:tcPr>
            <w:tcW w:w="6535" w:type="dxa"/>
            <w:gridSpan w:val="2"/>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Profit /loss before Tax Expense</w:t>
            </w:r>
          </w:p>
        </w:tc>
        <w:tc>
          <w:tcPr>
            <w:tcW w:w="1673" w:type="dxa"/>
            <w:tcBorders>
              <w:top w:val="single" w:sz="4" w:space="0" w:color="000000"/>
              <w:start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b/>
                <w:bCs/>
                <w:sz w:val="24"/>
                <w:szCs w:val="24"/>
                <w:lang w:val="en-US"/>
              </w:rPr>
              <w:t xml:space="preserve">[FIGURE] </w:t>
            </w:r>
          </w:p>
        </w:tc>
        <w:tc>
          <w:tcPr>
            <w:tcW w:w="1698" w:type="dxa"/>
            <w:tcBorders>
              <w:top w:val="single" w:sz="4" w:space="0" w:color="000000"/>
              <w:start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b/>
                <w:bCs/>
                <w:sz w:val="24"/>
                <w:szCs w:val="24"/>
                <w:lang w:val="en-US"/>
              </w:rPr>
              <w:t>[PIN] </w:t>
            </w:r>
            <w:r>
              <w:rPr>
                <w:rFonts w:cs="Arial" w:ascii="Book Antiqua" w:hAnsi="Book Antiqua"/>
                <w:b/>
                <w:bCs/>
                <w:sz w:val="24"/>
                <w:szCs w:val="24"/>
                <w:lang w:val="en-US"/>
              </w:rPr>
              <w:t xml:space="preserve"/>
            </w:r>
          </w:p>
        </w:tc>
      </w:tr>
      <w:tr>
        <w:trPr>
          <w:trHeight w:val="360" w:hRule="atLeast"/>
        </w:trPr>
        <w:tc>
          <w:tcPr>
            <w:tcW w:w="4178" w:type="dxa"/>
            <w:tcBorders>
              <w:top w:val="single" w:sz="4" w:space="0" w:color="000000"/>
              <w:start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 xml:space="preserve">Less: Tax Expense </w:t>
            </w:r>
          </w:p>
        </w:tc>
        <w:tc>
          <w:tcPr>
            <w:tcW w:w="2357"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Current Tax</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 xml:space="preserve">0 </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[FIGURE]</w:t>
            </w:r>
          </w:p>
        </w:tc>
      </w:tr>
      <w:tr>
        <w:trPr>
          <w:trHeight w:val="360" w:hRule="atLeast"/>
        </w:trPr>
        <w:tc>
          <w:tcPr>
            <w:tcW w:w="4178" w:type="dxa"/>
            <w:tcBorders>
              <w:start w:val="single" w:sz="4" w:space="0" w:color="000000"/>
              <w:bottom w:val="single" w:sz="4" w:space="0" w:color="000000"/>
              <w:end w:val="single" w:sz="4" w:space="0" w:color="000000"/>
            </w:tcBorders>
            <w:vAlign w:val="center"/>
          </w:tcPr>
          <w:p>
            <w:pPr>
              <w:pStyle w:val="Header"/>
              <w:tabs>
                <w:tab w:val="left" w:pos="264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c>
          <w:tcPr>
            <w:tcW w:w="2357" w:type="dxa"/>
            <w:tcBorders>
              <w:top w:val="single" w:sz="4" w:space="0" w:color="000000"/>
              <w:start w:val="single" w:sz="4" w:space="0" w:color="000000"/>
              <w:bottom w:val="single" w:sz="4" w:space="0" w:color="000000"/>
              <w:end w:val="single" w:sz="4" w:space="0" w:color="000000"/>
            </w:tcBorders>
            <w:vAlign w:val="center"/>
          </w:tcPr>
          <w:p>
            <w:pPr>
              <w:pStyle w:val="Normal"/>
              <w:autoSpaceDE w:val="true"/>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Short/(Excess) Provision for tax</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 xml:space="preserve">0 </w:t>
            </w:r>
            <w:r>
              <w:rPr>
                <w:rFonts w:cs="Arial" w:ascii="Book Antiqua" w:hAnsi="Book Antiqua"/>
                <w:sz w:val="24"/>
                <w:szCs w:val="24"/>
                <w:lang w:val="en-US"/>
              </w:rPr>
              <w:t>0</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4178" w:type="dxa"/>
            <w:tcBorders>
              <w:start w:val="single" w:sz="4" w:space="0" w:color="000000"/>
              <w:bottom w:val="single" w:sz="4" w:space="0" w:color="000000"/>
              <w:end w:val="single" w:sz="4" w:space="0" w:color="000000"/>
            </w:tcBorders>
            <w:vAlign w:val="center"/>
          </w:tcPr>
          <w:p>
            <w:pPr>
              <w:pStyle w:val="Header"/>
              <w:tabs>
                <w:tab w:val="left" w:pos="2640" w:leader="none"/>
              </w:tabs>
              <w:snapToGrid w:val="false"/>
              <w:jc w:val="both"/>
              <w:rPr>
                <w:rFonts w:ascii="Book Antiqua" w:hAnsi="Book Antiqua" w:cs="Arial"/>
                <w:sz w:val="24"/>
                <w:szCs w:val="24"/>
                <w:lang w:val="en-US"/>
              </w:rPr>
            </w:pPr>
            <w:r>
              <w:rPr>
                <w:rFonts w:cs="Arial" w:ascii="Book Antiqua" w:hAnsi="Book Antiqua"/>
                <w:sz w:val="24"/>
                <w:szCs w:val="24"/>
                <w:lang w:val="en-US"/>
              </w:rPr>
            </w:r>
          </w:p>
        </w:tc>
        <w:tc>
          <w:tcPr>
            <w:tcW w:w="2357"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Deferred Tax</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r>
              <w:rPr>
                <w:rFonts w:cs="Arial" w:ascii="Book Antiqua" w:hAnsi="Book Antiqua"/>
                <w:sz w:val="24"/>
                <w:szCs w:val="24"/>
                <w:lang w:val="en-US"/>
              </w:rPr>
              <w:t xml:space="preserve"> </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p>
        </w:tc>
      </w:tr>
      <w:tr>
        <w:trPr>
          <w:trHeight w:val="360" w:hRule="atLeast"/>
        </w:trPr>
        <w:tc>
          <w:tcPr>
            <w:tcW w:w="6535" w:type="dxa"/>
            <w:gridSpan w:val="2"/>
            <w:tcBorders>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Profit /loss for the year (1)</w:t>
            </w:r>
          </w:p>
        </w:tc>
        <w:tc>
          <w:tcPr>
            <w:tcW w:w="1673" w:type="dxa"/>
            <w:tcBorders>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b/>
                <w:bCs/>
                <w:sz w:val="24"/>
                <w:szCs w:val="24"/>
                <w:lang w:val="en-US"/>
              </w:rPr>
              <w:t xml:space="preserve">[FIGURE] </w:t>
            </w:r>
          </w:p>
        </w:tc>
        <w:tc>
          <w:tcPr>
            <w:tcW w:w="1698" w:type="dxa"/>
            <w:tcBorders>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b/>
                <w:bCs/>
                <w:sz w:val="24"/>
                <w:szCs w:val="24"/>
                <w:lang w:val="en-US"/>
              </w:rPr>
              <w:t>[FIGURE] </w:t>
            </w:r>
            <w:r>
              <w:rPr>
                <w:rFonts w:cs="Arial" w:ascii="Book Antiqua" w:hAnsi="Book Antiqua"/>
                <w:b/>
                <w:bCs/>
                <w:sz w:val="24"/>
                <w:szCs w:val="24"/>
                <w:lang w:val="en-US"/>
              </w:rPr>
              <w:t xml:space="preserve"/>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Total Comprehensive Income/loss (2)</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b/>
                <w:bCs/>
                <w:sz w:val="24"/>
                <w:szCs w:val="24"/>
                <w:lang w:val="en-US"/>
              </w:rPr>
              <w:t>0</w:t>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b/>
                <w:bCs/>
                <w:sz w:val="24"/>
                <w:szCs w:val="24"/>
              </w:rPr>
            </w:pPr>
            <w:r>
              <w:rPr>
                <w:rFonts w:cs="Arial" w:ascii="Book Antiqua" w:hAnsi="Book Antiqua"/>
                <w:b/>
                <w:bCs/>
                <w:sz w:val="24"/>
                <w:szCs w:val="24"/>
              </w:rPr>
              <w:t>Total (1+2)</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b/>
                <w:bCs/>
                <w:sz w:val="24"/>
                <w:szCs w:val="24"/>
                <w:lang w:val="en-US"/>
              </w:rPr>
              <w:t xml:space="preserve">[FIGURE] </w:t>
            </w: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bCs/>
                <w:sz w:val="24"/>
                <w:szCs w:val="24"/>
                <w:lang w:val="en-US"/>
              </w:rPr>
            </w:pPr>
            <w:r>
              <w:rPr>
                <w:rFonts w:cs="Arial" w:ascii="Book Antiqua" w:hAnsi="Book Antiqua"/>
                <w:b/>
                <w:bCs/>
                <w:sz w:val="24"/>
                <w:szCs w:val="24"/>
                <w:lang w:val="en-US"/>
              </w:rPr>
              <w:t>[FIGURE] </w:t>
            </w:r>
            <w:r>
              <w:rPr>
                <w:rFonts w:cs="Arial" w:ascii="Book Antiqua" w:hAnsi="Book Antiqua"/>
                <w:b/>
                <w:bCs/>
                <w:sz w:val="24"/>
                <w:szCs w:val="24"/>
                <w:lang w:val="en-US"/>
              </w:rPr>
              <w:t xml:space="preserve"/>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Balance of profit /loss for earlier years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r>
              <w:rPr>
                <w:rFonts w:cs="Arial" w:ascii="Book Antiqua" w:hAnsi="Book Antiqua"/>
                <w:sz w:val="24"/>
                <w:szCs w:val="24"/>
                <w:lang w:val="en-US"/>
              </w:rPr>
              <w:t xml:space="preserve"> </w:t>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Transfer to Debenture Redemption Reserve</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r>
              <w:rPr>
                <w:rFonts w:cs="Arial" w:ascii="Book Antiqua" w:hAnsi="Book Antiqua"/>
                <w:sz w:val="24"/>
                <w:szCs w:val="24"/>
                <w:lang w:val="en-US"/>
              </w:rPr>
              <w:t xml:space="preserve"> </w:t>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Transfer to Reserves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r>
              <w:rPr>
                <w:rFonts w:cs="Arial" w:ascii="Book Antiqua" w:hAnsi="Book Antiqua"/>
                <w:sz w:val="24"/>
                <w:szCs w:val="24"/>
                <w:lang w:val="en-US"/>
              </w:rPr>
              <w:t xml:space="preserve"> </w:t>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Dividend paid on Equity Shares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r>
              <w:rPr>
                <w:rFonts w:cs="Arial" w:ascii="Book Antiqua" w:hAnsi="Book Antiqua"/>
                <w:sz w:val="24"/>
                <w:szCs w:val="24"/>
                <w:lang w:val="en-US"/>
              </w:rPr>
              <w:t xml:space="preserve"> </w:t>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Dividend paid on Preference Shares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r>
              <w:rPr>
                <w:rFonts w:cs="Arial" w:ascii="Book Antiqua" w:hAnsi="Book Antiqua"/>
                <w:sz w:val="24"/>
                <w:szCs w:val="24"/>
                <w:lang w:val="en-US"/>
              </w:rPr>
              <w:t xml:space="preserve"> </w:t>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both"/>
              <w:rPr>
                <w:rFonts w:ascii="Book Antiqua" w:hAnsi="Book Antiqua" w:cs="Arial"/>
                <w:sz w:val="24"/>
                <w:szCs w:val="24"/>
              </w:rPr>
            </w:pPr>
            <w:r>
              <w:rPr>
                <w:rFonts w:cs="Arial" w:ascii="Book Antiqua" w:hAnsi="Book Antiqua"/>
                <w:sz w:val="24"/>
                <w:szCs w:val="24"/>
              </w:rPr>
              <w:t>Dividend Distribution Tax</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sz w:val="24"/>
                <w:szCs w:val="24"/>
                <w:lang w:val="en-US"/>
              </w:rPr>
            </w:pPr>
            <w:r>
              <w:rPr>
                <w:rFonts w:cs="Arial" w:ascii="Book Antiqua" w:hAnsi="Book Antiqua"/>
                <w:sz w:val="24"/>
                <w:szCs w:val="24"/>
                <w:lang w:val="en-US"/>
              </w:rPr>
              <w:t>0</w:t>
            </w:r>
            <w:r>
              <w:rPr>
                <w:rFonts w:cs="Arial" w:ascii="Book Antiqua" w:hAnsi="Book Antiqua"/>
                <w:sz w:val="24"/>
                <w:szCs w:val="24"/>
                <w:lang w:val="en-US"/>
              </w:rPr>
              <w:t xml:space="preserve"> </w:t>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sz w:val="24"/>
                <w:szCs w:val="24"/>
                <w:lang w:val="en-US"/>
              </w:rPr>
            </w:pPr>
            <w:r>
              <w:rPr>
                <w:rFonts w:cs="Arial" w:ascii="Book Antiqua" w:hAnsi="Book Antiqua"/>
                <w:b/>
                <w:sz w:val="24"/>
                <w:szCs w:val="24"/>
                <w:lang w:val="en-US"/>
              </w:rPr>
              <w:t>Earnings per Share: 1) Basic</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sz w:val="24"/>
                <w:szCs w:val="24"/>
                <w:lang w:val="en-US"/>
              </w:rPr>
            </w:pP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sz w:val="24"/>
                <w:szCs w:val="24"/>
                <w:lang w:val="en-US"/>
              </w:rPr>
            </w:pPr>
            <w:r>
              <w:rPr>
                <w:rFonts w:cs="Arial" w:ascii="Book Antiqua" w:hAnsi="Book Antiqua"/>
                <w:b/>
                <w:sz w:val="24"/>
                <w:szCs w:val="24"/>
                <w:lang w:val="en-US"/>
              </w:rPr>
              <w:t>0</w:t>
            </w:r>
            <w:r>
              <w:rPr>
                <w:rFonts w:cs="Arial" w:ascii="Book Antiqua" w:hAnsi="Book Antiqua"/>
                <w:b/>
                <w:sz w:val="24"/>
                <w:szCs w:val="24"/>
                <w:lang w:val="en-US"/>
              </w:rPr>
              <w:t xml:space="preserve"> </w:t>
            </w:r>
          </w:p>
        </w:tc>
      </w:tr>
      <w:tr>
        <w:trPr>
          <w:trHeight w:val="360" w:hRule="atLeast"/>
        </w:trPr>
        <w:tc>
          <w:tcPr>
            <w:tcW w:w="6535"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pPr>
            <w:r>
              <w:rPr>
                <w:rFonts w:cs="Arial" w:ascii="Book Antiqua" w:hAnsi="Book Antiqua"/>
                <w:b/>
                <w:sz w:val="24"/>
                <w:szCs w:val="24"/>
                <w:lang w:val="en-US"/>
              </w:rPr>
              <w:t xml:space="preserve">                                     </w:t>
            </w:r>
            <w:r>
              <w:rPr>
                <w:rFonts w:cs="Arial" w:ascii="Book Antiqua" w:hAnsi="Book Antiqua"/>
                <w:b/>
                <w:sz w:val="24"/>
                <w:szCs w:val="24"/>
                <w:lang w:val="en-US"/>
              </w:rPr>
              <w:t>2) Diluted</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sz w:val="24"/>
                <w:szCs w:val="24"/>
                <w:lang w:val="en-US"/>
              </w:rPr>
            </w:pPr>
          </w:p>
        </w:tc>
        <w:tc>
          <w:tcPr>
            <w:tcW w:w="1698"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2640" w:leader="none"/>
              </w:tabs>
              <w:jc w:val="center"/>
              <w:rPr>
                <w:rFonts w:ascii="Book Antiqua" w:hAnsi="Book Antiqua" w:cs="Arial"/>
                <w:b/>
                <w:sz w:val="24"/>
                <w:szCs w:val="24"/>
                <w:lang w:val="en-US"/>
              </w:rPr>
            </w:pPr>
            <w:r>
              <w:rPr>
                <w:rFonts w:cs="Arial" w:ascii="Book Antiqua" w:hAnsi="Book Antiqua"/>
                <w:b/>
                <w:sz w:val="24"/>
                <w:szCs w:val="24"/>
                <w:lang w:val="en-US"/>
              </w:rPr>
              <w:t>0</w:t>
            </w:r>
            <w:r>
              <w:rPr>
                <w:rFonts w:cs="Arial" w:ascii="Book Antiqua" w:hAnsi="Book Antiqua"/>
                <w:b/>
                <w:sz w:val="24"/>
                <w:szCs w:val="24"/>
                <w:lang w:val="en-US"/>
              </w:rPr>
              <w:t xml:space="preserve"> </w:t>
            </w:r>
          </w:p>
        </w:tc>
      </w:tr>
    </w:tbl>
    <w:p>
      <w:pPr>
        <w:pStyle w:val="NoSpacing"/>
        <w:jc w:val="center"/>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center"/>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TRANSFER TO RESERVES IN TERMS OF SECTION 134 (3) (J) OF THE COMPANIES ACT, 2013</w:t>
      </w:r>
    </w:p>
    <w:p>
      <w:pPr>
        <w:pStyle w:val="NoSpacing"/>
        <w:jc w:val="both"/>
        <w:rPr>
          <w:rFonts w:ascii="Book Antiqua" w:hAnsi="Book Antiqua" w:cs="Arial"/>
          <w:b/>
          <w:bCs/>
          <w:color w:val="000000"/>
          <w:sz w:val="24"/>
          <w:szCs w:val="24"/>
          <w:u w:val="single"/>
          <w:lang w:val="en-US" w:eastAsia="en-US"/>
        </w:rPr>
      </w:pPr>
      <w:r>
        <w:rPr>
          <w:rFonts w:cs="Arial" w:ascii="Book Antiqua" w:hAnsi="Book Antiqua"/>
          <w:b/>
          <w:bCs/>
          <w:color w:val="000000"/>
          <w:sz w:val="24"/>
          <w:szCs w:val="24"/>
          <w:u w:val="single"/>
          <w:lang w:val="en-US" w:eastAsia="en-US"/>
        </w:rPr>
      </w:r>
    </w:p>
    <w:p>
      <w:pPr>
        <w:pStyle w:val="NoSpacing"/>
        <w:ind w:start="709"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The Profits/Loss made during the reporting year was transferred to retained earnings under reserves.</w:t>
      </w:r>
    </w:p>
    <w:p>
      <w:pPr>
        <w:pStyle w:val="NoSpacing"/>
        <w:jc w:val="both"/>
        <w:rPr>
          <w:rFonts w:ascii="Book Antiqua" w:hAnsi="Book Antiqua" w:cs="Arial"/>
          <w:b/>
          <w:bCs/>
          <w:color w:val="000000"/>
          <w:sz w:val="24"/>
          <w:szCs w:val="24"/>
          <w:lang w:val="en-US" w:eastAsia="en-US"/>
        </w:rPr>
      </w:pPr>
      <w:r>
        <w:rPr>
          <w:rFonts w:cs="Arial" w:ascii="Book Antiqua" w:hAnsi="Book Antiqua"/>
          <w:b/>
          <w:bCs/>
          <w:color w:val="000000"/>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FINAL DIVIDEND</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start="709"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The Board of Directors of your Company, after considering holistically the relevant Circumstances, has decided that it would be prudent, not to recommend any Dividend for the year under review. They would preserve the profits for the Business Expansion.</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STATE OF COMPANY’S AFFAIRS</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tbl>
      <w:tblPr>
        <w:tblW w:w="10123" w:type="dxa"/>
        <w:jc w:val="start"/>
        <w:tblInd w:w="559" w:type="dxa"/>
        <w:tblLayout w:type="fixed"/>
        <w:tblCellMar>
          <w:top w:w="0" w:type="dxa"/>
          <w:start w:w="108" w:type="dxa"/>
          <w:bottom w:w="0" w:type="dxa"/>
          <w:end w:w="108" w:type="dxa"/>
        </w:tblCellMar>
      </w:tblPr>
      <w:tblGrid>
        <w:gridCol w:w="473"/>
        <w:gridCol w:w="4585"/>
        <w:gridCol w:w="5065"/>
      </w:tblGrid>
      <w:tr>
        <w:trPr>
          <w:trHeight w:val="360" w:hRule="atLeast"/>
        </w:trPr>
        <w:tc>
          <w:tcPr>
            <w:tcW w:w="473"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w:t>
            </w:r>
          </w:p>
        </w:tc>
        <w:tc>
          <w:tcPr>
            <w:tcW w:w="4585"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Segment-wise position of</w:t>
            </w:r>
          </w:p>
          <w:p>
            <w:pPr>
              <w:pStyle w:val="NoSpacing"/>
              <w:jc w:val="both"/>
              <w:rPr>
                <w:rFonts w:ascii="Book Antiqua" w:hAnsi="Book Antiqua" w:cs="Arial"/>
                <w:sz w:val="24"/>
                <w:szCs w:val="24"/>
                <w:lang w:val="en-US"/>
              </w:rPr>
            </w:pPr>
            <w:r>
              <w:rPr>
                <w:rFonts w:cs="Arial" w:ascii="Book Antiqua" w:hAnsi="Book Antiqua"/>
                <w:sz w:val="24"/>
                <w:szCs w:val="24"/>
                <w:lang w:val="en-US"/>
              </w:rPr>
              <w:t>business and its operations</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Company is engaged in the Business of manufacturing and dealing in Pharmaceuticals and other related products during the year under review, the total Income of the Company is [AMOUNT]/- against [AMOUNT]/- in the previous year. During the period, The Company has made profit of  of Rs. /- as compared to profit of Rs. /- in the previous year.[FIGURE] </w:t>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u w:val="single"/>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u w:val="single"/>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b/>
                <w:bCs/>
                <w:sz w:val="24"/>
                <w:szCs w:val="24"/>
                <w:lang w:val="en-US"/>
              </w:rPr>
              <w:t xml:space="preserve"/>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u w:val="single"/>
                <w:lang w:val="en-US"/>
              </w:rPr>
              <w:t/>
            </w:r>
            <w:r>
              <w:rPr>
                <w:rFonts w:cs="Arial" w:ascii="Book Antiqua" w:hAnsi="Book Antiqua"/>
                <w:sz w:val="24"/>
                <w:szCs w:val="24"/>
                <w:u w:val="single"/>
                <w:lang w:val="en-US"/>
              </w:rPr>
              <w:t xml:space="preserve"/>
            </w:r>
            <w:r>
              <w:rPr>
                <w:rFonts w:cs="Arial" w:ascii="Book Antiqua" w:hAnsi="Book Antiqua"/>
                <w:sz w:val="24"/>
                <w:szCs w:val="24"/>
                <w:lang w:val="en-US"/>
              </w:rPr>
            </w:r>
            <w:r>
              <w:rPr>
                <w:rFonts w:cs="Arial" w:ascii="Book Antiqua" w:hAnsi="Book Antiqua"/>
                <w:sz w:val="24"/>
                <w:szCs w:val="24"/>
                <w:lang w:val="en-US"/>
              </w:rPr>
            </w:r>
            <w:r>
              <w:rPr>
                <w:rFonts w:cs="Arial" w:ascii="Book Antiqua" w:hAnsi="Book Antiqua"/>
                <w:sz w:val="24"/>
                <w:szCs w:val="24"/>
                <w:lang w:val="en-US"/>
              </w:rPr>
            </w:r>
          </w:p>
        </w:tc>
      </w:tr>
      <w:tr>
        <w:trPr>
          <w:trHeight w:val="360" w:hRule="atLeast"/>
        </w:trPr>
        <w:tc>
          <w:tcPr>
            <w:tcW w:w="473"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ii</w:t>
            </w:r>
          </w:p>
        </w:tc>
        <w:tc>
          <w:tcPr>
            <w:tcW w:w="4585"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Change in status of the company</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Book Antiqua" w:ascii="Book Antiqua" w:hAnsi="Book Antiqua"/>
                <w:sz w:val="24"/>
                <w:szCs w:val="24"/>
                <w:lang w:val="en-US" w:eastAsia="en-US"/>
              </w:rPr>
              <w:t>No change</w:t>
            </w:r>
          </w:p>
        </w:tc>
      </w:tr>
      <w:tr>
        <w:trPr>
          <w:trHeight w:val="360" w:hRule="atLeast"/>
        </w:trPr>
        <w:tc>
          <w:tcPr>
            <w:tcW w:w="473"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iii</w:t>
            </w:r>
          </w:p>
        </w:tc>
        <w:tc>
          <w:tcPr>
            <w:tcW w:w="4585"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Key business developments</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Book Antiqua" w:ascii="Book Antiqua" w:hAnsi="Book Antiqua"/>
                <w:sz w:val="24"/>
                <w:szCs w:val="24"/>
                <w:lang w:val="en-US" w:eastAsia="en-US"/>
              </w:rPr>
              <w:t>NA</w:t>
            </w:r>
          </w:p>
        </w:tc>
      </w:tr>
      <w:tr>
        <w:trPr>
          <w:trHeight w:val="360" w:hRule="atLeast"/>
        </w:trPr>
        <w:tc>
          <w:tcPr>
            <w:tcW w:w="473"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iv</w:t>
            </w:r>
          </w:p>
        </w:tc>
        <w:tc>
          <w:tcPr>
            <w:tcW w:w="4585"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Change in the financial year</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pPr>
            <w:r>
              <w:rPr>
                <w:rFonts w:cs="Arial" w:ascii="Book Antiqua" w:hAnsi="Book Antiqua"/>
                <w:sz w:val="24"/>
                <w:szCs w:val="24"/>
                <w:lang w:val="en-US"/>
              </w:rPr>
              <w:t>The financial year of the Company is from April to March and there has been no change in the same.</w:t>
            </w:r>
          </w:p>
        </w:tc>
      </w:tr>
      <w:tr>
        <w:trPr>
          <w:trHeight w:val="360" w:hRule="atLeast"/>
        </w:trPr>
        <w:tc>
          <w:tcPr>
            <w:tcW w:w="473"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w:t>
            </w:r>
          </w:p>
        </w:tc>
        <w:tc>
          <w:tcPr>
            <w:tcW w:w="4585"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Capital expenditure programmes</w:t>
            </w:r>
          </w:p>
        </w:tc>
        <w:tc>
          <w:tcPr>
            <w:tcW w:w="506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Book Antiqua" w:hAnsi="Book Antiqua" w:cs="Book Antiqua"/>
                <w:sz w:val="24"/>
                <w:szCs w:val="24"/>
              </w:rPr>
            </w:pPr>
            <w:r>
              <w:rPr>
                <w:rFonts w:cs="Book Antiqua" w:ascii="Book Antiqua" w:hAnsi="Book Antiqua"/>
                <w:sz w:val="24"/>
                <w:szCs w:val="24"/>
                <w:lang w:val="en-US" w:eastAsia="en-US"/>
              </w:rPr>
              <w:t>NA</w:t>
            </w:r>
          </w:p>
        </w:tc>
      </w:tr>
      <w:tr>
        <w:trPr>
          <w:trHeight w:val="360" w:hRule="atLeast"/>
        </w:trPr>
        <w:tc>
          <w:tcPr>
            <w:tcW w:w="473"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vi</w:t>
            </w:r>
          </w:p>
        </w:tc>
        <w:tc>
          <w:tcPr>
            <w:tcW w:w="45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Details and status of acquisition, merger, expansion, modernization and diversification</w:t>
            </w:r>
          </w:p>
        </w:tc>
        <w:tc>
          <w:tcPr>
            <w:tcW w:w="506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Book Antiqua" w:hAnsi="Book Antiqua" w:cs="Book Antiqua"/>
                <w:sz w:val="24"/>
                <w:szCs w:val="24"/>
              </w:rPr>
            </w:pPr>
            <w:r>
              <w:rPr>
                <w:rFonts w:cs="Book Antiqua" w:ascii="Book Antiqua" w:hAnsi="Book Antiqua"/>
                <w:sz w:val="24"/>
                <w:szCs w:val="24"/>
                <w:lang w:val="en-US" w:eastAsia="en-US"/>
              </w:rPr>
              <w:t>NA</w:t>
            </w:r>
          </w:p>
        </w:tc>
      </w:tr>
      <w:tr>
        <w:trPr>
          <w:trHeight w:val="360" w:hRule="atLeast"/>
        </w:trPr>
        <w:tc>
          <w:tcPr>
            <w:tcW w:w="473"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vii</w:t>
            </w:r>
          </w:p>
        </w:tc>
        <w:tc>
          <w:tcPr>
            <w:tcW w:w="45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Developments, acquisition and assignment of material Intellectual Property Rights</w:t>
            </w:r>
          </w:p>
        </w:tc>
        <w:tc>
          <w:tcPr>
            <w:tcW w:w="506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Book Antiqua" w:hAnsi="Book Antiqua" w:cs="Book Antiqua"/>
                <w:sz w:val="24"/>
                <w:szCs w:val="24"/>
              </w:rPr>
            </w:pPr>
            <w:r>
              <w:rPr>
                <w:rFonts w:cs="Book Antiqua" w:ascii="Book Antiqua" w:hAnsi="Book Antiqua"/>
                <w:sz w:val="24"/>
                <w:szCs w:val="24"/>
                <w:lang w:val="en-US" w:eastAsia="en-US"/>
              </w:rPr>
              <w:t>NA</w:t>
            </w:r>
          </w:p>
        </w:tc>
      </w:tr>
      <w:tr>
        <w:trPr>
          <w:trHeight w:val="360" w:hRule="atLeast"/>
        </w:trPr>
        <w:tc>
          <w:tcPr>
            <w:tcW w:w="473"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Arial" w:ascii="Book Antiqua" w:hAnsi="Book Antiqua"/>
                <w:sz w:val="24"/>
                <w:szCs w:val="24"/>
                <w:lang w:val="en-US"/>
              </w:rPr>
              <w:t>viii</w:t>
            </w:r>
          </w:p>
        </w:tc>
        <w:tc>
          <w:tcPr>
            <w:tcW w:w="458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 xml:space="preserve">Any other material event having </w:t>
            </w:r>
          </w:p>
          <w:p>
            <w:pPr>
              <w:pStyle w:val="Normal"/>
              <w:spacing w:lineRule="auto" w:line="240" w:before="0" w:after="0"/>
              <w:jc w:val="both"/>
              <w:rPr>
                <w:rFonts w:ascii="Book Antiqua" w:hAnsi="Book Antiqua" w:cs="Arial"/>
                <w:sz w:val="24"/>
                <w:szCs w:val="24"/>
                <w:lang w:val="en-US"/>
              </w:rPr>
            </w:pPr>
            <w:r>
              <w:rPr>
                <w:rFonts w:cs="Arial" w:ascii="Book Antiqua" w:hAnsi="Book Antiqua"/>
                <w:sz w:val="24"/>
                <w:szCs w:val="24"/>
                <w:lang w:val="en-US"/>
              </w:rPr>
              <w:t>an impact on the affairs of the company</w:t>
            </w:r>
          </w:p>
        </w:tc>
        <w:tc>
          <w:tcPr>
            <w:tcW w:w="5065" w:type="dxa"/>
            <w:tcBorders>
              <w:top w:val="single" w:sz="4" w:space="0" w:color="000000"/>
              <w:start w:val="single" w:sz="4" w:space="0" w:color="000000"/>
              <w:bottom w:val="single" w:sz="4" w:space="0" w:color="000000"/>
              <w:end w:val="single" w:sz="4" w:space="0" w:color="000000"/>
            </w:tcBorders>
          </w:tcPr>
          <w:p>
            <w:pPr>
              <w:pStyle w:val="NoSpacing"/>
              <w:jc w:val="both"/>
              <w:rPr>
                <w:rFonts w:ascii="Book Antiqua" w:hAnsi="Book Antiqua" w:cs="Arial"/>
                <w:sz w:val="24"/>
                <w:szCs w:val="24"/>
                <w:lang w:val="en-US"/>
              </w:rPr>
            </w:pPr>
            <w:r>
              <w:rPr>
                <w:rFonts w:cs="Book Antiqua" w:ascii="Book Antiqua" w:hAnsi="Book Antiqua"/>
                <w:sz w:val="24"/>
                <w:szCs w:val="24"/>
                <w:lang w:val="en-US" w:eastAsia="en-US"/>
              </w:rPr>
              <w:t>NA</w:t>
            </w:r>
          </w:p>
        </w:tc>
      </w:tr>
    </w:tbl>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COMMENCEMENT OF ANY NEW BUSINESS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start="709"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During the financial year under review the Company has not entered into new line of Business. Hence there was no Change in the nature of Business.</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MATERIAL CHANGES AND COMMITMENTS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start="709" w:end="0"/>
        <w:jc w:val="both"/>
        <w:rPr/>
      </w:pPr>
      <w:r>
        <w:rPr>
          <w:rFonts w:cs="Arial" w:ascii="Book Antiqua" w:hAnsi="Book Antiqua"/>
          <w:color w:val="000000"/>
          <w:sz w:val="24"/>
          <w:szCs w:val="24"/>
          <w:lang w:val="en-US" w:eastAsia="en-US"/>
        </w:rPr>
        <w:t>There have been no material changes and commitments, which affect the financial position of the Company which have occurred between the end of the financial year to which the financial statements relate and the date of this Report.</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DETAILS OF REVISION OF FINANCIAL STATEMENT OR ANNUAL REPORT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start="709"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There is no revision of the financial statement or Annual report during Financial Year 202-202 for any of the three Preceding Financial Years. i.e. F.Y.[FY], [FY].34 [FY],.</w:t>
      </w:r>
      <w:r>
        <w:rPr>
          <w:rFonts w:cs="Arial" w:ascii="Book Antiqua" w:hAnsi="Book Antiqua"/>
          <w:color w:val="000000"/>
          <w:sz w:val="24"/>
          <w:szCs w:val="24"/>
          <w:lang w:val="en-US" w:eastAsia="en-US"/>
        </w:rPr>
        <w:t/>
      </w:r>
      <w:r>
        <w:rPr>
          <w:rFonts w:cs="Arial" w:ascii="Book Antiqua" w:hAnsi="Book Antiqua"/>
          <w:color w:val="000000"/>
          <w:sz w:val="24"/>
          <w:szCs w:val="24"/>
          <w:lang w:val="en-US" w:eastAsia="en-US"/>
        </w:rPr>
      </w:r>
      <w:r>
        <w:rPr>
          <w:rFonts w:cs="Arial" w:ascii="Book Antiqua" w:hAnsi="Book Antiqua"/>
          <w:color w:val="000000"/>
          <w:sz w:val="24"/>
          <w:szCs w:val="24"/>
          <w:lang w:val="en-US" w:eastAsia="en-US"/>
        </w:rPr>
        <w:t/>
      </w:r>
      <w:r>
        <w:rPr>
          <w:rFonts w:cs="Arial" w:ascii="Book Antiqua" w:hAnsi="Book Antiqua"/>
          <w:color w:val="000000"/>
          <w:sz w:val="24"/>
          <w:szCs w:val="24"/>
          <w:lang w:val="en-US" w:eastAsia="en-US"/>
        </w:rPr>
      </w:r>
      <w:r>
        <w:rPr>
          <w:rFonts w:cs="Arial" w:ascii="Book Antiqua" w:hAnsi="Book Antiqua"/>
          <w:color w:val="000000"/>
          <w:sz w:val="24"/>
          <w:szCs w:val="24"/>
          <w:lang w:val="en-US" w:eastAsia="en-US"/>
        </w:rPr>
        <w:t xml:space="preserve"/>
      </w:r>
      <w:r>
        <w:rPr>
          <w:rFonts w:cs="Arial" w:ascii="Book Antiqua" w:hAnsi="Book Antiqua"/>
          <w:color w:val="000000"/>
          <w:sz w:val="24"/>
          <w:szCs w:val="24"/>
          <w:lang w:val="en-US" w:eastAsia="en-US"/>
        </w:rPr>
      </w:r>
      <w:r>
        <w:rPr>
          <w:rFonts w:cs="Arial" w:ascii="Book Antiqua" w:hAnsi="Book Antiqua"/>
          <w:color w:val="000000"/>
          <w:sz w:val="24"/>
          <w:szCs w:val="24"/>
          <w:lang w:val="en-US" w:eastAsia="en-US"/>
        </w:rPr>
        <w:t/>
      </w:r>
      <w:r>
        <w:rPr>
          <w:rFonts w:cs="Arial" w:ascii="Book Antiqua" w:hAnsi="Book Antiqua"/>
          <w:color w:val="000000"/>
          <w:sz w:val="24"/>
          <w:szCs w:val="24"/>
          <w:lang w:val="en-US" w:eastAsia="en-US"/>
        </w:rPr>
      </w:r>
    </w:p>
    <w:p>
      <w:pPr>
        <w:pStyle w:val="Normal"/>
        <w:spacing w:lineRule="auto" w:line="240" w:before="0" w:after="0"/>
        <w:ind w:start="720" w:end="0"/>
        <w:jc w:val="both"/>
        <w:rPr>
          <w:rFonts w:ascii="Book Antiqua" w:hAnsi="Book Antiqua" w:cs="Arial"/>
          <w:b/>
          <w:bCs/>
          <w:color w:val="000000"/>
          <w:sz w:val="24"/>
          <w:szCs w:val="24"/>
          <w:u w:val="single"/>
          <w:lang w:val="en-US" w:eastAsia="en-US"/>
        </w:rPr>
      </w:pPr>
      <w:r>
        <w:rPr>
          <w:rFonts w:cs="Arial" w:ascii="Book Antiqua" w:hAnsi="Book Antiqua"/>
          <w:b/>
          <w:bCs/>
          <w:color w:val="000000"/>
          <w:sz w:val="24"/>
          <w:szCs w:val="24"/>
          <w:u w:val="single"/>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SHARE CAPITAL STRUCTURE OF THE COMPANY:</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09" w:end="0"/>
        <w:jc w:val="both"/>
        <w:rPr>
          <w:rFonts w:ascii="Book Antiqua" w:hAnsi="Book Antiqua" w:cs="Arial"/>
          <w:b/>
          <w:bCs/>
          <w:sz w:val="24"/>
          <w:szCs w:val="24"/>
          <w:lang w:val="en-US" w:eastAsia="en-US"/>
        </w:rPr>
      </w:pPr>
      <w:r>
        <w:rPr>
          <w:rFonts w:cs="Arial" w:ascii="Book Antiqua" w:hAnsi="Book Antiqua"/>
          <w:b/>
          <w:bCs/>
          <w:sz w:val="24"/>
          <w:szCs w:val="24"/>
          <w:lang w:val="en-US" w:eastAsia="en-US"/>
        </w:rPr>
        <w:t>a) Authorized Capital: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pPr>
      <w:r>
        <w:rPr>
          <w:rFonts w:cs="Arial" w:ascii="Book Antiqua" w:hAnsi="Book Antiqua"/>
          <w:sz w:val="24"/>
          <w:szCs w:val="24"/>
          <w:lang w:val="en-US" w:eastAsia="en-US"/>
        </w:rPr>
        <w:t>[AMOUNT]/- ([AMOUNT]) divided into [QUANTITY] Equity Shares of [AMOUNT] /- ([AMOUNT]) each.</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09" w:end="0"/>
        <w:jc w:val="both"/>
        <w:rPr>
          <w:rFonts w:ascii="Book Antiqua" w:hAnsi="Book Antiqua" w:cs="Arial"/>
          <w:b/>
          <w:bCs/>
          <w:sz w:val="24"/>
          <w:szCs w:val="24"/>
          <w:lang w:val="en-US" w:eastAsia="en-US"/>
        </w:rPr>
      </w:pPr>
      <w:r>
        <w:rPr>
          <w:rFonts w:cs="Arial" w:ascii="Book Antiqua" w:hAnsi="Book Antiqua"/>
          <w:b/>
          <w:bCs/>
          <w:sz w:val="24"/>
          <w:szCs w:val="24"/>
          <w:lang w:val="en-US" w:eastAsia="en-US"/>
        </w:rPr>
        <w:t>b) Issued Capital: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pPr>
      <w:r>
        <w:rPr>
          <w:rFonts w:cs="Arial" w:ascii="Book Antiqua" w:hAnsi="Book Antiqua"/>
          <w:sz w:val="24"/>
          <w:szCs w:val="24"/>
          <w:lang w:val="en-US" w:eastAsia="en-US"/>
        </w:rPr>
        <w:t>[AMOUNT]/- ([AMOUNT]) divided into [QUANTITY] Equity Shares of [AMOUNT] /- ([AMOUNT]) each.</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09" w:end="0"/>
        <w:jc w:val="both"/>
        <w:rPr>
          <w:rFonts w:ascii="Book Antiqua" w:hAnsi="Book Antiqua" w:cs="Arial"/>
          <w:b/>
          <w:bCs/>
          <w:sz w:val="24"/>
          <w:szCs w:val="24"/>
          <w:lang w:val="en-US" w:eastAsia="en-US"/>
        </w:rPr>
      </w:pPr>
      <w:r>
        <w:rPr>
          <w:rFonts w:cs="Arial" w:ascii="Book Antiqua" w:hAnsi="Book Antiqua"/>
          <w:b/>
          <w:bCs/>
          <w:sz w:val="24"/>
          <w:szCs w:val="24"/>
          <w:lang w:val="en-US" w:eastAsia="en-US"/>
        </w:rPr>
        <w:t>c) Subscribed and Paid-up Capital: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start="720" w:end="0"/>
        <w:jc w:val="both"/>
        <w:rPr/>
      </w:pPr>
      <w:r>
        <w:rPr>
          <w:rFonts w:cs="Arial" w:ascii="Book Antiqua" w:hAnsi="Book Antiqua"/>
          <w:sz w:val="24"/>
          <w:szCs w:val="24"/>
          <w:lang w:val="en-US" w:eastAsia="en-US"/>
        </w:rPr>
        <w:t>[AMOUNT]/- ([AMOUNT]) divided into [QUANTITY] Equity Shares of [AMOUNT] /- ([AMOUNT]) each.</w:t>
      </w:r>
    </w:p>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TRANSFER OF AMOUNTS TO INVESTOR EDUCATION AND PROTECTION FUND</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pPr>
      <w:r>
        <w:rPr>
          <w:rFonts w:cs="Arial" w:ascii="Book Antiqua" w:hAnsi="Book Antiqua"/>
          <w:sz w:val="24"/>
          <w:szCs w:val="24"/>
          <w:lang w:val="en-US" w:eastAsia="en-US"/>
        </w:rPr>
        <w:t>Your Company did not have any funds lying unpaid or unclaimed for a period of Seven Years. Therefore, there were no funds which were required to be transferred to Investor Education and Protection Fund (IEPF).</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BOARD OF DIRECTORS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The Board of Directors of the Company duly constituted and there was no change in the composition of Board of Directors.</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MEETINGS OF THE BOARD OF DIRECTORS</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The Board of Directors of the Company duly met on times and frequently in the reporting financial year and in respect of which proper notices was given and the proceedings were properly recorded and signed in the minute’s book maintained for the purpose. The intervening gap between the meetings was within the period prescribed under the Companies Act, 2013 and applicable Secretarial Standards.</w:t>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DIRECTORS’ RESPONSIBILITY STATEMENT</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Pursuant to Section 134(5) of the Companies Act, 2013 the Board of Directors of the Company confirms that- </w:t>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tbl>
      <w:tblPr>
        <w:tblW w:w="9353" w:type="dxa"/>
        <w:jc w:val="start"/>
        <w:tblInd w:w="678" w:type="dxa"/>
        <w:tblLayout w:type="fixed"/>
        <w:tblCellMar>
          <w:top w:w="0" w:type="dxa"/>
          <w:start w:w="108" w:type="dxa"/>
          <w:bottom w:w="0" w:type="dxa"/>
          <w:end w:w="108" w:type="dxa"/>
        </w:tblCellMar>
      </w:tblPr>
      <w:tblGrid>
        <w:gridCol w:w="558"/>
        <w:gridCol w:w="8795"/>
      </w:tblGrid>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(a)</w:t>
            </w:r>
          </w:p>
        </w:tc>
        <w:tc>
          <w:tcPr>
            <w:tcW w:w="879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In the preparation of the annual accounts, the applicable accounting standards had been followed along with proper explanation relating to material departures;</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879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(b)</w:t>
            </w:r>
          </w:p>
        </w:tc>
        <w:tc>
          <w:tcPr>
            <w:tcW w:w="879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selected such accounting policies and applied them consistently and made judgments and estimates that are reasonable and prudent so as to give a true and fair view of the state of affairs of the company at the end of the financial year and of the profit and loss of the company for that period;</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879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(c)</w:t>
            </w:r>
          </w:p>
        </w:tc>
        <w:tc>
          <w:tcPr>
            <w:tcW w:w="879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taken proper and sufficient care for the maintenance of adequate accounting records in accordance with the provisions of this Act for safeguarding the assets of the company and for preventing and detecting fraud and other irregularities;</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879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(d)</w:t>
            </w:r>
          </w:p>
        </w:tc>
        <w:tc>
          <w:tcPr>
            <w:tcW w:w="879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prepared the annual accounts on a going concern basis; and</w:t>
            </w:r>
          </w:p>
        </w:tc>
      </w:tr>
      <w:tr>
        <w:trPr/>
        <w:tc>
          <w:tcPr>
            <w:tcW w:w="558"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c>
          <w:tcPr>
            <w:tcW w:w="8795" w:type="dxa"/>
            <w:tcBorders/>
          </w:tcPr>
          <w:p>
            <w:pPr>
              <w:pStyle w:val="NoSpacing"/>
              <w:snapToGrid w:val="false"/>
              <w:jc w:val="both"/>
              <w:rPr>
                <w:rFonts w:ascii="Book Antiqua" w:hAnsi="Book Antiqua" w:cs="Arial"/>
                <w:sz w:val="24"/>
                <w:szCs w:val="24"/>
                <w:lang w:val="en-US"/>
              </w:rPr>
            </w:pPr>
            <w:r>
              <w:rPr>
                <w:rFonts w:cs="Arial" w:ascii="Book Antiqua" w:hAnsi="Book Antiqua"/>
                <w:sz w:val="24"/>
                <w:szCs w:val="24"/>
                <w:lang w:val="en-US"/>
              </w:rPr>
            </w:r>
          </w:p>
        </w:tc>
      </w:tr>
      <w:tr>
        <w:trPr/>
        <w:tc>
          <w:tcPr>
            <w:tcW w:w="558" w:type="dxa"/>
            <w:tcBorders/>
          </w:tcPr>
          <w:p>
            <w:pPr>
              <w:pStyle w:val="NoSpacing"/>
              <w:jc w:val="both"/>
              <w:rPr/>
            </w:pPr>
            <w:r>
              <w:rPr>
                <w:rFonts w:cs="Arial" w:ascii="Book Antiqua" w:hAnsi="Book Antiqua"/>
                <w:sz w:val="24"/>
                <w:szCs w:val="24"/>
                <w:lang w:val="en-US"/>
              </w:rPr>
              <w:t>(</w:t>
            </w:r>
            <w:r>
              <w:rPr>
                <w:rFonts w:cs="Arial" w:ascii="Book Antiqua" w:hAnsi="Book Antiqua"/>
                <w:sz w:val="24"/>
                <w:szCs w:val="24"/>
                <w:lang w:val="en-US"/>
              </w:rPr>
              <w:t>e</w:t>
            </w:r>
            <w:r>
              <w:rPr>
                <w:rFonts w:cs="Arial" w:ascii="Book Antiqua" w:hAnsi="Book Antiqua"/>
                <w:sz w:val="24"/>
                <w:szCs w:val="24"/>
                <w:lang w:val="en-US"/>
              </w:rPr>
              <w:t>)</w:t>
            </w:r>
          </w:p>
        </w:tc>
        <w:tc>
          <w:tcPr>
            <w:tcW w:w="8795" w:type="dxa"/>
            <w:tcBorders/>
          </w:tcPr>
          <w:p>
            <w:pPr>
              <w:pStyle w:val="NoSpacing"/>
              <w:jc w:val="both"/>
              <w:rPr>
                <w:rFonts w:ascii="Book Antiqua" w:hAnsi="Book Antiqua" w:cs="Arial"/>
                <w:sz w:val="24"/>
                <w:szCs w:val="24"/>
                <w:lang w:val="en-US"/>
              </w:rPr>
            </w:pPr>
            <w:r>
              <w:rPr>
                <w:rFonts w:cs="Arial" w:ascii="Book Antiqua" w:hAnsi="Book Antiqua"/>
                <w:sz w:val="24"/>
                <w:szCs w:val="24"/>
                <w:lang w:val="en-US"/>
              </w:rPr>
              <w:t>The directors had devised proper systems to ensure compliance with the provisions of all applicable laws and that such systems were adequate and operating effectively.</w:t>
            </w:r>
          </w:p>
        </w:tc>
      </w:tr>
    </w:tbl>
    <w:p>
      <w:pPr>
        <w:pStyle w:val="NoSpacing"/>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Book Antiqua"/>
          <w:sz w:val="24"/>
          <w:szCs w:val="24"/>
          <w:u w:val="single"/>
          <w:lang w:val="en-US" w:eastAsia="en-US"/>
        </w:rPr>
      </w:pPr>
      <w:r>
        <w:rPr>
          <w:rFonts w:cs="Arial" w:ascii="Book Antiqua" w:hAnsi="Book Antiqua"/>
          <w:b/>
          <w:bCs/>
          <w:sz w:val="24"/>
          <w:szCs w:val="24"/>
          <w:u w:val="single"/>
          <w:lang w:val="en-US" w:eastAsia="en-US"/>
        </w:rPr>
        <w:t>INTERNAL FINANCIAL CONTROLS</w:t>
      </w:r>
    </w:p>
    <w:p>
      <w:pPr>
        <w:pStyle w:val="Normal"/>
        <w:spacing w:lineRule="auto" w:line="240" w:before="0" w:after="0"/>
        <w:rPr>
          <w:rFonts w:ascii="Book Antiqua" w:hAnsi="Book Antiqua" w:cs="Arial"/>
          <w:sz w:val="24"/>
          <w:szCs w:val="24"/>
          <w:u w:val="single"/>
          <w:lang w:val="en-US" w:eastAsia="en-US"/>
        </w:rPr>
      </w:pPr>
      <w:r>
        <w:rPr>
          <w:rFonts w:cs="Arial" w:ascii="Book Antiqua" w:hAnsi="Book Antiqua"/>
          <w:sz w:val="24"/>
          <w:szCs w:val="24"/>
          <w:u w:val="single"/>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The Company has devised proper Internal Control System. Companies Internal Financial Control is able to maintain day to day accounts and various other records.</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INFORMATION ABOUT SUBSIDIARY / JOINT VENTURES / ASSOCIATE COMPANY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Company does not have any Subsidiary, Joint venture or Associate Company. </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DEPOSITS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pPr>
      <w:r>
        <w:rPr>
          <w:rFonts w:cs="Arial" w:ascii="Book Antiqua" w:hAnsi="Book Antiqua"/>
          <w:sz w:val="24"/>
          <w:szCs w:val="24"/>
          <w:lang w:val="en-US" w:eastAsia="en-US"/>
        </w:rPr>
        <w:t>The Company has not accepted deposits from public within the meaning of Section 73 of the Companies Act, 2013, The Company has not accepted unsecured loans from its directors and relative of directors under sub rule 1 clause (C) sub clause (Viii) of rule 2 of Companies (Acceptance of Deposits) Rules 2014.</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LOANS, GUARANTEES AND INVESTMENTS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Details of Loans, Guarantees and Investments covered under the provisions of Section 186 of the Companies Act, 2013 are given in Notes to the Financial Statements.</w:t>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RELATED PARTY TRANSACTIONS</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All related party transactions that were entered into during the financial year were on an arm’s length basis and were in the ordinary course of business. There are no materially significant related party transactions made by the Company with Promoters, Directors, Key Managerial Personnel or other designated persons which may have a potential conflict with the interest of the Company. Particulars of Transactions with Related party with noted on accounts forming part of the Financial Statements. Further all the necessary details of transaction entered with the related parties as defined under Section 188 of the Companies Act, as defined under Section 2 (76) of the said Act are attached herewith in form no. AOC-2 for your kind perusal and information.</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CORPORATE SOCIAL RESPONSIBILITY (CSR)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pPr>
      <w:r>
        <w:rPr>
          <w:rFonts w:cs="Arial" w:ascii="Book Antiqua" w:hAnsi="Book Antiqua"/>
          <w:sz w:val="24"/>
          <w:szCs w:val="24"/>
          <w:lang w:val="en-US" w:eastAsia="en-US"/>
        </w:rPr>
        <w:t>The Company does not meet the criteria of Section 135 of Companies Act, 2013 read with the Companies (Corporate Social Responsibility Policy) Rules, 2014, so there is no requirement to constitution of Corporate Social Responsibility Committee.</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ENERGY CONSERVATION, TECHNOLOGY ABSORPTION &amp; FOREIGN EXCHANGE EARNINGS AND OUT GO</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Information on conservation of Energy, Technology absorption, Foreign Exchange earnings and outgo required to be disclosed under Section 134 of the Companies Act, 2013 read with Companies (Accounts) Rules, 2014 are provided hereunder:</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eastAsia="en-US"/>
        </w:rPr>
      </w:pPr>
      <w:r>
        <w:rPr>
          <w:rFonts w:cs="Arial" w:ascii="Book Antiqua" w:hAnsi="Book Antiqua"/>
          <w:sz w:val="24"/>
          <w:szCs w:val="24"/>
          <w:lang w:val="en-US" w:eastAsia="en-US"/>
        </w:rPr>
      </w:r>
    </w:p>
    <w:tbl>
      <w:tblPr>
        <w:tblW w:w="10123" w:type="dxa"/>
        <w:jc w:val="start"/>
        <w:tblInd w:w="625" w:type="dxa"/>
        <w:tblLayout w:type="fixed"/>
        <w:tblCellMar>
          <w:top w:w="0" w:type="dxa"/>
          <w:start w:w="108" w:type="dxa"/>
          <w:bottom w:w="0" w:type="dxa"/>
          <w:end w:w="108" w:type="dxa"/>
        </w:tblCellMar>
      </w:tblPr>
      <w:tblGrid>
        <w:gridCol w:w="485"/>
        <w:gridCol w:w="75"/>
        <w:gridCol w:w="270"/>
        <w:gridCol w:w="558"/>
        <w:gridCol w:w="3727"/>
        <w:gridCol w:w="5008"/>
      </w:tblGrid>
      <w:tr>
        <w:trPr/>
        <w:tc>
          <w:tcPr>
            <w:tcW w:w="5115" w:type="dxa"/>
            <w:gridSpan w:val="5"/>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sz w:val="24"/>
                <w:szCs w:val="24"/>
                <w:lang w:val="en-US"/>
              </w:rPr>
            </w:pPr>
            <w:r>
              <w:rPr>
                <w:rFonts w:cs="Arial" w:ascii="Book Antiqua" w:hAnsi="Book Antiqua"/>
                <w:b/>
                <w:bCs/>
                <w:sz w:val="24"/>
                <w:szCs w:val="24"/>
                <w:lang w:val="en-US"/>
              </w:rPr>
              <w:t>PARTICULARS</w:t>
            </w:r>
          </w:p>
        </w:tc>
        <w:tc>
          <w:tcPr>
            <w:tcW w:w="5008"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sz w:val="24"/>
                <w:szCs w:val="24"/>
                <w:lang w:val="en-US"/>
              </w:rPr>
            </w:pPr>
            <w:r>
              <w:rPr>
                <w:rFonts w:cs="Arial" w:ascii="Book Antiqua" w:hAnsi="Book Antiqua"/>
                <w:b/>
                <w:bCs/>
                <w:sz w:val="24"/>
                <w:szCs w:val="24"/>
                <w:lang w:val="en-US"/>
              </w:rPr>
              <w:t>REMARKS</w:t>
            </w:r>
          </w:p>
        </w:tc>
      </w:tr>
      <w:tr>
        <w:trPr/>
        <w:tc>
          <w:tcPr>
            <w:tcW w:w="48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A)</w:t>
            </w:r>
          </w:p>
        </w:tc>
        <w:tc>
          <w:tcPr>
            <w:tcW w:w="4630" w:type="dxa"/>
            <w:gridSpan w:val="4"/>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b/>
                <w:bCs/>
                <w:sz w:val="24"/>
                <w:szCs w:val="24"/>
                <w:lang w:val="en-US"/>
              </w:rPr>
            </w:pPr>
            <w:r>
              <w:rPr>
                <w:rFonts w:cs="Arial" w:ascii="Book Antiqua" w:hAnsi="Book Antiqua"/>
                <w:b/>
                <w:bCs/>
                <w:sz w:val="24"/>
                <w:szCs w:val="24"/>
                <w:lang w:val="en-US"/>
              </w:rPr>
              <w:t>CONSERVATION OF ENERGY:</w:t>
            </w:r>
          </w:p>
        </w:tc>
        <w:tc>
          <w:tcPr>
            <w:tcW w:w="5008" w:type="dxa"/>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rPr>
                <w:rFonts w:ascii="Book Antiqua" w:hAnsi="Book Antiqua" w:cs="Arial"/>
                <w:b/>
                <w:bCs/>
                <w:sz w:val="24"/>
                <w:szCs w:val="24"/>
                <w:lang w:val="en-US"/>
              </w:rPr>
            </w:pPr>
            <w:r>
              <w:rPr>
                <w:rFonts w:cs="Arial" w:ascii="Book Antiqua" w:hAnsi="Book Antiqua"/>
                <w:b/>
                <w:bCs/>
                <w:sz w:val="24"/>
                <w:szCs w:val="24"/>
                <w:lang w:val="en-US"/>
              </w:rPr>
            </w:r>
          </w:p>
        </w:tc>
      </w:tr>
      <w:tr>
        <w:trPr/>
        <w:tc>
          <w:tcPr>
            <w:tcW w:w="485" w:type="dxa"/>
            <w:tcBorders>
              <w:start w:val="single" w:sz="4" w:space="0" w:color="000000"/>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&gt;</w:t>
            </w:r>
          </w:p>
        </w:tc>
        <w:tc>
          <w:tcPr>
            <w:tcW w:w="4285" w:type="dxa"/>
            <w:gridSpan w:val="2"/>
            <w:tcBorders>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the steps taken or impact on conservation of energy;</w:t>
            </w:r>
          </w:p>
        </w:tc>
        <w:tc>
          <w:tcPr>
            <w:tcW w:w="5008" w:type="dxa"/>
            <w:tcBorders>
              <w:start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 xml:space="preserve">The </w:t>
            </w:r>
            <w:r>
              <w:rPr>
                <w:rFonts w:cs="Arial" w:ascii="Book Antiqua" w:hAnsi="Book Antiqua"/>
                <w:sz w:val="24"/>
                <w:szCs w:val="24"/>
                <w:lang w:val="en-US"/>
              </w:rPr>
              <w:t>Company</w:t>
            </w:r>
            <w:r>
              <w:rPr>
                <w:rFonts w:cs="Arial" w:ascii="Book Antiqua" w:hAnsi="Book Antiqua"/>
                <w:sz w:val="24"/>
                <w:szCs w:val="24"/>
                <w:lang w:val="en-US"/>
              </w:rPr>
              <w:t xml:space="preserve"> is taking due care for using electricity in the office and its branches. The</w:t>
            </w:r>
            <w:r>
              <w:rPr>
                <w:rFonts w:cs="Arial" w:ascii="Book Antiqua" w:hAnsi="Book Antiqua"/>
                <w:sz w:val="24"/>
                <w:szCs w:val="24"/>
                <w:lang w:val="en-US"/>
              </w:rPr>
              <w:t xml:space="preserve"> </w:t>
            </w:r>
          </w:p>
        </w:tc>
      </w:tr>
      <w:tr>
        <w:trPr/>
        <w:tc>
          <w:tcPr>
            <w:tcW w:w="485" w:type="dxa"/>
            <w:tcBorders>
              <w:start w:val="single" w:sz="4" w:space="0" w:color="000000"/>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&gt;</w:t>
            </w:r>
          </w:p>
        </w:tc>
        <w:tc>
          <w:tcPr>
            <w:tcW w:w="4285" w:type="dxa"/>
            <w:gridSpan w:val="2"/>
            <w:tcBorders>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the steps taken by the company for utilizing alternate sources of energy;</w:t>
            </w:r>
          </w:p>
        </w:tc>
        <w:tc>
          <w:tcPr>
            <w:tcW w:w="5008" w:type="dxa"/>
            <w:tcBorders>
              <w:start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Company</w:t>
            </w:r>
            <w:r>
              <w:rPr>
                <w:rFonts w:cs="Arial" w:ascii="Book Antiqua" w:hAnsi="Book Antiqua"/>
                <w:sz w:val="24"/>
                <w:szCs w:val="24"/>
                <w:lang w:val="en-US"/>
              </w:rPr>
              <w:t xml:space="preserve"> usually takes care for optimum utilization of energy. No capital investment on  </w:t>
            </w:r>
          </w:p>
        </w:tc>
      </w:tr>
      <w:tr>
        <w:trPr/>
        <w:tc>
          <w:tcPr>
            <w:tcW w:w="485" w:type="dxa"/>
            <w:tcBorders>
              <w:start w:val="single" w:sz="4" w:space="0" w:color="000000"/>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bottom w:val="single" w:sz="6"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&gt;</w:t>
            </w:r>
          </w:p>
        </w:tc>
        <w:tc>
          <w:tcPr>
            <w:tcW w:w="4285" w:type="dxa"/>
            <w:gridSpan w:val="2"/>
            <w:tcBorders>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the capital investment on energy conservation equipments;</w:t>
            </w:r>
          </w:p>
        </w:tc>
        <w:tc>
          <w:tcPr>
            <w:tcW w:w="5008" w:type="dxa"/>
            <w:tcBorders>
              <w:start w:val="single" w:sz="4" w:space="0" w:color="000000"/>
              <w:bottom w:val="single" w:sz="6"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b/>
                <w:bCs/>
                <w:sz w:val="24"/>
                <w:szCs w:val="24"/>
                <w:lang w:val="en-US"/>
              </w:rPr>
            </w:pPr>
            <w:r>
              <w:rPr>
                <w:rFonts w:cs="Arial" w:ascii="Book Antiqua" w:hAnsi="Book Antiqua"/>
                <w:sz w:val="24"/>
                <w:szCs w:val="24"/>
                <w:lang w:val="en-US"/>
              </w:rPr>
              <w:t>energy Conservation equipment made during the financial year.</w:t>
            </w:r>
          </w:p>
        </w:tc>
      </w:tr>
      <w:tr>
        <w:trPr/>
        <w:tc>
          <w:tcPr>
            <w:tcW w:w="48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B)</w:t>
            </w:r>
          </w:p>
        </w:tc>
        <w:tc>
          <w:tcPr>
            <w:tcW w:w="4630" w:type="dxa"/>
            <w:gridSpan w:val="4"/>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Arial" w:ascii="Book Antiqua" w:hAnsi="Book Antiqua"/>
                <w:b/>
                <w:bCs/>
                <w:sz w:val="24"/>
                <w:szCs w:val="24"/>
                <w:lang w:val="en-US"/>
              </w:rPr>
              <w:t>TECHNOLOGY ABSORPTION:</w:t>
            </w:r>
          </w:p>
        </w:tc>
        <w:tc>
          <w:tcPr>
            <w:tcW w:w="5008" w:type="dxa"/>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rPr>
                <w:rFonts w:ascii="Book Antiqua" w:hAnsi="Book Antiqua" w:cs="Arial"/>
                <w:b/>
                <w:bCs/>
                <w:sz w:val="24"/>
                <w:szCs w:val="24"/>
                <w:lang w:val="en-US"/>
              </w:rPr>
            </w:pPr>
            <w:r>
              <w:rPr>
                <w:rFonts w:cs="Arial" w:ascii="Book Antiqua" w:hAnsi="Book Antiqua"/>
                <w:b/>
                <w:bCs/>
                <w:sz w:val="24"/>
                <w:szCs w:val="24"/>
                <w:lang w:val="en-US"/>
              </w:rPr>
            </w:r>
          </w:p>
        </w:tc>
      </w:tr>
      <w:tr>
        <w:trPr/>
        <w:tc>
          <w:tcPr>
            <w:tcW w:w="48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&gt;</w:t>
            </w:r>
          </w:p>
        </w:tc>
        <w:tc>
          <w:tcPr>
            <w:tcW w:w="4285" w:type="dxa"/>
            <w:gridSpan w:val="2"/>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efforts made towards technology absorption;</w:t>
            </w:r>
          </w:p>
        </w:tc>
        <w:tc>
          <w:tcPr>
            <w:tcW w:w="5008" w:type="dxa"/>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b/>
                <w:bCs/>
                <w:sz w:val="24"/>
                <w:szCs w:val="24"/>
                <w:lang w:val="en-US"/>
              </w:rPr>
            </w:pPr>
            <w:r>
              <w:rPr>
                <w:rFonts w:cs="Book Antiqua" w:ascii="Book Antiqua" w:hAnsi="Book Antiqua"/>
                <w:sz w:val="24"/>
                <w:szCs w:val="24"/>
                <w:lang w:val="en-US" w:eastAsia="en-US"/>
              </w:rPr>
              <w:t>NIL</w:t>
            </w:r>
          </w:p>
        </w:tc>
      </w:tr>
      <w:tr>
        <w:trPr/>
        <w:tc>
          <w:tcPr>
            <w:tcW w:w="48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&gt;</w:t>
            </w:r>
          </w:p>
        </w:tc>
        <w:tc>
          <w:tcPr>
            <w:tcW w:w="4285" w:type="dxa"/>
            <w:gridSpan w:val="2"/>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benefits derived like product improvement, cost reduction, product development or import substitution;</w:t>
            </w:r>
          </w:p>
        </w:tc>
        <w:tc>
          <w:tcPr>
            <w:tcW w:w="5008"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8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&gt;</w:t>
            </w:r>
          </w:p>
        </w:tc>
        <w:tc>
          <w:tcPr>
            <w:tcW w:w="4285" w:type="dxa"/>
            <w:gridSpan w:val="2"/>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in case of imported technology (imported during the last three years reckoned from the beginning of the financial year)-</w:t>
            </w:r>
          </w:p>
        </w:tc>
        <w:tc>
          <w:tcPr>
            <w:tcW w:w="5008"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8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558" w:type="dxa"/>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Arial" w:ascii="Book Antiqua" w:hAnsi="Book Antiqua"/>
                <w:sz w:val="24"/>
                <w:szCs w:val="24"/>
                <w:lang w:val="en-US"/>
              </w:rPr>
              <w:t>(a)</w:t>
            </w:r>
          </w:p>
        </w:tc>
        <w:tc>
          <w:tcPr>
            <w:tcW w:w="3727" w:type="dxa"/>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details of technology imported;</w:t>
            </w:r>
          </w:p>
        </w:tc>
        <w:tc>
          <w:tcPr>
            <w:tcW w:w="5008" w:type="dxa"/>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Book Antiqua" w:ascii="Book Antiqua" w:hAnsi="Book Antiqua"/>
                <w:sz w:val="24"/>
                <w:szCs w:val="24"/>
                <w:lang w:val="en-US" w:eastAsia="en-US"/>
              </w:rPr>
              <w:t>NIL</w:t>
            </w:r>
          </w:p>
        </w:tc>
      </w:tr>
      <w:tr>
        <w:trPr/>
        <w:tc>
          <w:tcPr>
            <w:tcW w:w="48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558"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Arial" w:ascii="Book Antiqua" w:hAnsi="Book Antiqua"/>
                <w:sz w:val="24"/>
                <w:szCs w:val="24"/>
                <w:lang w:val="en-US"/>
              </w:rPr>
              <w:t>(b)</w:t>
            </w:r>
          </w:p>
        </w:tc>
        <w:tc>
          <w:tcPr>
            <w:tcW w:w="3727" w:type="dxa"/>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year of import;</w:t>
            </w:r>
          </w:p>
        </w:tc>
        <w:tc>
          <w:tcPr>
            <w:tcW w:w="5008"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rPr>
                <w:rFonts w:ascii="Book Antiqua" w:hAnsi="Book Antiqua" w:cs="Arial"/>
                <w:sz w:val="24"/>
                <w:szCs w:val="24"/>
                <w:lang w:val="en-US"/>
              </w:rPr>
            </w:pPr>
            <w:r>
              <w:rPr>
                <w:rFonts w:cs="Arial" w:ascii="Book Antiqua" w:hAnsi="Book Antiqua"/>
                <w:sz w:val="24"/>
                <w:szCs w:val="24"/>
                <w:lang w:val="en-US"/>
              </w:rPr>
            </w:r>
          </w:p>
        </w:tc>
      </w:tr>
      <w:tr>
        <w:trPr/>
        <w:tc>
          <w:tcPr>
            <w:tcW w:w="48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558"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Arial" w:ascii="Book Antiqua" w:hAnsi="Book Antiqua"/>
                <w:sz w:val="24"/>
                <w:szCs w:val="24"/>
                <w:lang w:val="en-US"/>
              </w:rPr>
              <w:t>(c)</w:t>
            </w:r>
          </w:p>
        </w:tc>
        <w:tc>
          <w:tcPr>
            <w:tcW w:w="3727" w:type="dxa"/>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whether the technology been fully absorbed;</w:t>
            </w:r>
          </w:p>
        </w:tc>
        <w:tc>
          <w:tcPr>
            <w:tcW w:w="5008"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rPr>
                <w:rFonts w:ascii="Book Antiqua" w:hAnsi="Book Antiqua" w:cs="Arial"/>
                <w:sz w:val="24"/>
                <w:szCs w:val="24"/>
                <w:lang w:val="en-US"/>
              </w:rPr>
            </w:pPr>
            <w:r>
              <w:rPr>
                <w:rFonts w:cs="Arial" w:ascii="Book Antiqua" w:hAnsi="Book Antiqua"/>
                <w:sz w:val="24"/>
                <w:szCs w:val="24"/>
                <w:lang w:val="en-US"/>
              </w:rPr>
            </w:r>
          </w:p>
        </w:tc>
      </w:tr>
      <w:tr>
        <w:trPr/>
        <w:tc>
          <w:tcPr>
            <w:tcW w:w="485" w:type="dxa"/>
            <w:tcBorders>
              <w:top w:val="single" w:sz="4" w:space="0" w:color="000000"/>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558" w:type="dxa"/>
            <w:tcBorders>
              <w:top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Arial" w:ascii="Book Antiqua" w:hAnsi="Book Antiqua"/>
                <w:sz w:val="24"/>
                <w:szCs w:val="24"/>
                <w:lang w:val="en-US"/>
              </w:rPr>
              <w:t>(d)</w:t>
            </w:r>
          </w:p>
        </w:tc>
        <w:tc>
          <w:tcPr>
            <w:tcW w:w="3727" w:type="dxa"/>
            <w:tcBorders>
              <w:top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if not fully absorbed, areas where absorption has not taken place, and the reasons thereof; Not applicable since 5 years period is over</w:t>
            </w:r>
          </w:p>
        </w:tc>
        <w:tc>
          <w:tcPr>
            <w:tcW w:w="5008" w:type="dxa"/>
            <w:tcBorders>
              <w:top w:val="single" w:sz="4" w:space="0" w:color="000000"/>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rPr>
                <w:rFonts w:ascii="Book Antiqua" w:hAnsi="Book Antiqua" w:cs="Arial"/>
                <w:sz w:val="24"/>
                <w:szCs w:val="24"/>
                <w:lang w:val="en-US"/>
              </w:rPr>
            </w:pPr>
            <w:r>
              <w:rPr>
                <w:rFonts w:cs="Arial" w:ascii="Book Antiqua" w:hAnsi="Book Antiqua"/>
                <w:sz w:val="24"/>
                <w:szCs w:val="24"/>
                <w:lang w:val="en-US"/>
              </w:rPr>
            </w:r>
          </w:p>
        </w:tc>
      </w:tr>
      <w:tr>
        <w:trPr/>
        <w:tc>
          <w:tcPr>
            <w:tcW w:w="48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&gt;</w:t>
            </w:r>
          </w:p>
        </w:tc>
        <w:tc>
          <w:tcPr>
            <w:tcW w:w="4285" w:type="dxa"/>
            <w:gridSpan w:val="2"/>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expenditure incurred on Research and Development</w:t>
            </w:r>
          </w:p>
        </w:tc>
        <w:tc>
          <w:tcPr>
            <w:tcW w:w="5008" w:type="dxa"/>
            <w:tcBorders>
              <w:start w:val="single" w:sz="4" w:space="0" w:color="000000"/>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Book Antiqua"/>
                <w:sz w:val="24"/>
                <w:szCs w:val="24"/>
                <w:lang w:val="en-US" w:eastAsia="en-US"/>
              </w:rPr>
            </w:pPr>
            <w:r>
              <w:rPr>
                <w:rFonts w:cs="Book Antiqua" w:ascii="Book Antiqua" w:hAnsi="Book Antiqua"/>
                <w:sz w:val="24"/>
                <w:szCs w:val="24"/>
                <w:lang w:val="en-US" w:eastAsia="en-US"/>
              </w:rPr>
              <w:t>NIL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Book Antiqua"/>
                <w:sz w:val="24"/>
                <w:szCs w:val="24"/>
                <w:lang w:val="en-US" w:eastAsia="en-US"/>
              </w:rPr>
            </w:pPr>
            <w:r>
              <w:rPr>
                <w:rFonts w:cs="Book Antiqua"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Book Antiqua"/>
                <w:sz w:val="24"/>
                <w:szCs w:val="24"/>
                <w:lang w:val="en-US" w:eastAsia="en-US"/>
              </w:rPr>
            </w:pPr>
            <w:r>
              <w:rPr>
                <w:rFonts w:cs="Book Antiqua"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Book Antiqua"/>
                <w:sz w:val="24"/>
                <w:szCs w:val="24"/>
                <w:lang w:val="en-US" w:eastAsia="en-US"/>
              </w:rPr>
            </w:pPr>
            <w:r>
              <w:rPr>
                <w:rFonts w:cs="Book Antiqua"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Book Antiqua"/>
                <w:sz w:val="24"/>
                <w:szCs w:val="24"/>
                <w:lang w:val="en-US" w:eastAsia="en-US"/>
              </w:rPr>
            </w:pPr>
            <w:r>
              <w:rPr>
                <w:rFonts w:cs="Book Antiqua" w:ascii="Book Antiqua" w:hAnsi="Book Antiqua"/>
                <w:sz w:val="24"/>
                <w:szCs w:val="24"/>
                <w:lang w:val="en-US" w:eastAsia="en-US"/>
              </w:rPr>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eastAsia="en-US"/>
              </w:rPr>
            </w:pPr>
            <w:r>
              <w:rPr>
                <w:rFonts w:cs="Arial" w:ascii="Book Antiqua" w:hAnsi="Book Antiqua"/>
                <w:sz w:val="24"/>
                <w:szCs w:val="24"/>
                <w:lang w:val="en-US" w:eastAsia="en-US"/>
              </w:rPr>
            </w:r>
          </w:p>
        </w:tc>
      </w:tr>
      <w:tr>
        <w:trPr/>
        <w:tc>
          <w:tcPr>
            <w:tcW w:w="560" w:type="dxa"/>
            <w:gridSpan w:val="2"/>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(c)</w:t>
            </w:r>
          </w:p>
        </w:tc>
        <w:tc>
          <w:tcPr>
            <w:tcW w:w="9563" w:type="dxa"/>
            <w:gridSpan w:val="4"/>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Arial" w:ascii="Book Antiqua" w:hAnsi="Book Antiqua"/>
                <w:b/>
                <w:bCs/>
                <w:sz w:val="24"/>
                <w:szCs w:val="24"/>
                <w:lang w:val="en-US"/>
              </w:rPr>
              <w:t>FOREIGN EXCHANGE EARNINGS AND OUTGO:</w:t>
            </w:r>
          </w:p>
        </w:tc>
      </w:tr>
      <w:tr>
        <w:trPr/>
        <w:tc>
          <w:tcPr>
            <w:tcW w:w="485" w:type="dxa"/>
            <w:tcBorders>
              <w:start w:val="single" w:sz="4" w:space="0" w:color="000000"/>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napToGrid w:val="false"/>
              <w:jc w:val="center"/>
              <w:rPr>
                <w:rFonts w:ascii="Book Antiqua" w:hAnsi="Book Antiqua" w:cs="Arial"/>
                <w:b/>
                <w:bCs/>
                <w:sz w:val="24"/>
                <w:szCs w:val="24"/>
                <w:lang w:val="en-US"/>
              </w:rPr>
            </w:pPr>
            <w:r>
              <w:rPr>
                <w:rFonts w:cs="Arial" w:ascii="Book Antiqua" w:hAnsi="Book Antiqua"/>
                <w:b/>
                <w:bCs/>
                <w:sz w:val="24"/>
                <w:szCs w:val="24"/>
                <w:lang w:val="en-US"/>
              </w:rPr>
            </w:r>
          </w:p>
        </w:tc>
        <w:tc>
          <w:tcPr>
            <w:tcW w:w="345" w:type="dxa"/>
            <w:gridSpan w:val="2"/>
            <w:tcBorders>
              <w:bottom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center"/>
              <w:rPr>
                <w:rFonts w:ascii="Book Antiqua" w:hAnsi="Book Antiqua" w:cs="Arial"/>
                <w:b/>
                <w:bCs/>
                <w:sz w:val="24"/>
                <w:szCs w:val="24"/>
                <w:lang w:val="en-US"/>
              </w:rPr>
            </w:pPr>
            <w:r>
              <w:rPr>
                <w:rFonts w:cs="Arial" w:ascii="Book Antiqua" w:hAnsi="Book Antiqua"/>
                <w:b/>
                <w:bCs/>
                <w:sz w:val="24"/>
                <w:szCs w:val="24"/>
                <w:lang w:val="en-US"/>
              </w:rPr>
              <w:t>&gt;</w:t>
            </w:r>
          </w:p>
        </w:tc>
        <w:tc>
          <w:tcPr>
            <w:tcW w:w="4285" w:type="dxa"/>
            <w:gridSpan w:val="2"/>
            <w:tcBorders>
              <w:bottom w:val="single" w:sz="4" w:space="0" w:color="000000"/>
              <w:end w:val="single" w:sz="4" w:space="0" w:color="000000"/>
            </w:tcBorders>
          </w:tcPr>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rPr>
            </w:pPr>
            <w:r>
              <w:rPr>
                <w:rFonts w:cs="Arial" w:ascii="Book Antiqua" w:hAnsi="Book Antiqua"/>
                <w:sz w:val="24"/>
                <w:szCs w:val="24"/>
                <w:lang w:val="en-US"/>
              </w:rPr>
              <w:t>The Foreign Exchange earned in terms of actual inflows during the year and the Foreign Exchange outgo during the year in terms of actual outflows</w:t>
            </w:r>
          </w:p>
        </w:tc>
        <w:tc>
          <w:tcPr>
            <w:tcW w:w="5008" w:type="dxa"/>
            <w:tcBorders>
              <w:start w:val="single" w:sz="4" w:space="0" w:color="000000"/>
              <w:bottom w:val="single" w:sz="4" w:space="0" w:color="000000"/>
              <w:end w:val="single" w:sz="4" w:space="0" w:color="000000"/>
            </w:tcBorders>
          </w:tcPr>
          <w:p>
            <w:pPr>
              <w:pStyle w:val="Normal"/>
              <w:spacing w:lineRule="auto" w:line="240" w:before="0" w:after="0"/>
              <w:jc w:val="both"/>
              <w:rPr/>
            </w:pPr>
            <w:r>
              <w:rPr>
                <w:rFonts w:cs="Times New Roman" w:ascii="Book Antiqua" w:hAnsi="Book Antiqua"/>
                <w:sz w:val="24"/>
                <w:szCs w:val="24"/>
              </w:rPr>
              <w:t>During the year, the total foreign exchange used was Rs. NIL and the total foreign exchange earned was Rs. Nil</w:t>
            </w:r>
          </w:p>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Book Antiqua" w:hAnsi="Book Antiqua" w:cs="Arial"/>
                <w:sz w:val="24"/>
                <w:szCs w:val="24"/>
                <w:lang w:val="en-US"/>
              </w:rPr>
            </w:pPr>
            <w:r>
              <w:rPr>
                <w:rFonts w:cs="Arial" w:ascii="Book Antiqua" w:hAnsi="Book Antiqua"/>
                <w:sz w:val="24"/>
                <w:szCs w:val="24"/>
                <w:lang w:val="en-US"/>
              </w:rPr>
            </w:r>
          </w:p>
        </w:tc>
      </w:tr>
    </w:tbl>
    <w:p>
      <w:pPr>
        <w:pStyle w:val="NoSpacing"/>
        <w:tabs>
          <w:tab w:val="clear" w:pos="1134"/>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RISK MANAGEMENT</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Spacing"/>
        <w:ind w:start="709" w:end="0"/>
        <w:jc w:val="both"/>
        <w:rPr/>
      </w:pPr>
      <w:r>
        <w:rPr>
          <w:rFonts w:cs="Arial" w:ascii="Book Antiqua" w:hAnsi="Book Antiqua"/>
          <w:sz w:val="24"/>
          <w:szCs w:val="24"/>
          <w:lang w:val="en-US" w:eastAsia="en-US"/>
        </w:rPr>
        <w:t>Risks are events, situations or circumstances which may lead to negative consequences on the Company's businesses. Risk management is a structured approach to manage uncertainty. A formal enterprise wide approach to Risk Management is being adopted by the Company and key risks will now be managed within a unitary framework. As a formal roll-out, all business divisions and corporate functions will embrace Risk Management Policy and Guidelines, and make use of these in their decision making. Key business risks and their mitigation are considered in the annual/strategic business plans and in periodic management reviews. The risk management process in our multi-business, multi-site operations, over the period of time will become embedded into the Company’s business systems and processes, such that our responses to risks remain current and dynamic.</w:t>
      </w:r>
      <w:r>
        <w:rPr>
          <w:rFonts w:cs="Arial" w:ascii="Book Antiqua" w:hAnsi="Book Antiqua"/>
          <w:b/>
          <w:bCs/>
          <w:sz w:val="24"/>
          <w:szCs w:val="24"/>
          <w:lang w:val="en-US" w:eastAsia="en-US"/>
        </w:rPr>
        <w:t xml:space="preserve"> </w:t>
      </w:r>
    </w:p>
    <w:p>
      <w:pPr>
        <w:pStyle w:val="Normal"/>
        <w:spacing w:lineRule="auto" w:line="240" w:before="0" w:after="0"/>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 xml:space="preserve">REGULATORY ACTION </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There are no significant and material orders passed by the regulators or courts or Tribunals that could impact the going concern status and operations of the company in future.</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STATUTORY AUDITORS AND THEIR REPORT</w:t>
      </w:r>
    </w:p>
    <w:p>
      <w:pPr>
        <w:pStyle w:val="NoSpacing"/>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At the Annual General Meeting, M/s. [NAME] &amp; Co, Chartered Accountants was appointed as statutory auditors of the company In terms of the first proviso to Section 139 of the Companies Act, 2013.</w:t>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Company has received certificate from the Auditors to the effect they are not disqualified to continue as statutory auditors under the provisions of applicable laws.</w:t>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There are no observations (including any qualification, reservation, adverse remark or disclaimer) of the Auditors in their Audit Report that may call for any explanation from the Directors. Further, the notes to accounts referred to in the Auditor`s Report are self-explanatory.</w:t>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SECRETARIAL AUDITORS</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hanging="709" w:start="709" w:end="0"/>
        <w:jc w:val="both"/>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The Secretarial Audit is not applicable on the Company as it is not covered under the provisions of Section 204 of the Companies Act, 2013 and The Companies (Appointment and Remuneration of Managerial Personnel) Rules, 2014.</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DETAILS OF APPLICATION MADE OR PROCEEDING PENDING UNDER INSOLVENCY AND BANKRUPTCY CODE, 2016</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hanging="709" w:start="709"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 xml:space="preserve">           </w:t>
      </w:r>
      <w:r>
        <w:rPr>
          <w:rFonts w:cs="Arial" w:ascii="Book Antiqua" w:hAnsi="Book Antiqua"/>
          <w:color w:val="000000"/>
          <w:sz w:val="24"/>
          <w:szCs w:val="24"/>
          <w:lang w:val="en-US" w:eastAsia="en-US"/>
        </w:rPr>
        <w:t>During the year under review, there were no applications made or proceeding pending in the name of the company under the Insolvency and bankruptcy Code, 2016.</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DETAILS OF DIFFERENCE BETWEEN VALUATION AMOUNT ON ONE-TIME SETTLEMENT AND VALUATION WHILE AVAILING LOAN FROM BANKS AND FINANCIAL INSTITUTIONS</w:t>
      </w:r>
    </w:p>
    <w:p>
      <w:pPr>
        <w:pStyle w:val="Normal"/>
        <w:spacing w:lineRule="auto" w:line="240" w:before="0" w:after="0"/>
        <w:jc w:val="both"/>
        <w:rPr>
          <w:rFonts w:ascii="Book Antiqua" w:hAnsi="Book Antiqua" w:cs="Arial"/>
          <w:b/>
          <w:bCs/>
          <w:color w:val="000000"/>
          <w:sz w:val="24"/>
          <w:szCs w:val="24"/>
          <w:u w:val="single"/>
          <w:lang w:val="en-US" w:eastAsia="en-US"/>
        </w:rPr>
      </w:pPr>
      <w:r>
        <w:rPr>
          <w:rFonts w:cs="Arial" w:ascii="Book Antiqua" w:hAnsi="Book Antiqua"/>
          <w:b/>
          <w:bCs/>
          <w:color w:val="000000"/>
          <w:sz w:val="24"/>
          <w:szCs w:val="24"/>
          <w:u w:val="single"/>
          <w:lang w:val="en-US" w:eastAsia="en-US"/>
        </w:rPr>
      </w:r>
    </w:p>
    <w:p>
      <w:pPr>
        <w:pStyle w:val="Normal"/>
        <w:spacing w:lineRule="auto" w:line="240" w:before="0" w:after="0"/>
        <w:ind w:start="709" w:end="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t>During the year under review, there were no one-time settlement and valuation while availing loan from banks and financial institutions.</w:t>
      </w:r>
    </w:p>
    <w:p>
      <w:pPr>
        <w:pStyle w:val="Normal"/>
        <w:spacing w:lineRule="auto" w:line="240" w:before="0" w:after="0"/>
        <w:jc w:val="both"/>
        <w:rPr>
          <w:rFonts w:ascii="Book Antiqua" w:hAnsi="Book Antiqua" w:cs="Arial"/>
          <w:color w:val="000000"/>
          <w:sz w:val="24"/>
          <w:szCs w:val="24"/>
          <w:lang w:val="en-US" w:eastAsia="en-US"/>
        </w:rPr>
      </w:pPr>
      <w:r>
        <w:rPr>
          <w:rFonts w:cs="Arial" w:ascii="Book Antiqua" w:hAnsi="Book Antiqua"/>
          <w:color w:val="000000"/>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ANNUAL RETURN</w:t>
      </w:r>
    </w:p>
    <w:p>
      <w:pPr>
        <w:pStyle w:val="Normal"/>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r>
    </w:p>
    <w:p>
      <w:pPr>
        <w:pStyle w:val="Normal"/>
        <w:spacing w:lineRule="auto" w:line="240" w:before="0" w:after="0"/>
        <w:ind w:hanging="709" w:start="709" w:end="0"/>
        <w:jc w:val="both"/>
        <w:rPr>
          <w:rFonts w:ascii="Book Antiqua" w:hAnsi="Book Antiqua" w:cs="Arial"/>
          <w:bCs/>
          <w:sz w:val="24"/>
          <w:szCs w:val="24"/>
          <w:lang w:val="en-US" w:eastAsia="en-US"/>
        </w:rPr>
      </w:pPr>
      <w:r>
        <w:rPr>
          <w:rFonts w:cs="Arial" w:ascii="Book Antiqua" w:hAnsi="Book Antiqua"/>
          <w:bCs/>
          <w:sz w:val="24"/>
          <w:szCs w:val="24"/>
          <w:lang w:val="en-US" w:eastAsia="en-US"/>
        </w:rPr>
        <w:t xml:space="preserve">           As per MCA vide Notification dated [DATE] The Extract of Annual Return as required under section 92(3) of the Companies Act, 2013 in Form MGT-9 is not required to be prepared from Financial Year [FY] onwards &amp; hence not applicable.</w:t>
      </w:r>
      <w:r>
        <w:rPr>
          <w:rFonts w:cs="Arial" w:ascii="Book Antiqua" w:hAnsi="Book Antiqua"/>
          <w:bCs/>
          <w:sz w:val="24"/>
          <w:szCs w:val="24"/>
          <w:lang w:val="en-US" w:eastAsia="en-US"/>
        </w:rPr>
      </w:r>
    </w:p>
    <w:p>
      <w:pPr>
        <w:pStyle w:val="Normal"/>
        <w:spacing w:lineRule="auto" w:line="240" w:before="0" w:after="0"/>
        <w:jc w:val="both"/>
        <w:rPr>
          <w:rFonts w:ascii="Book Antiqua" w:hAnsi="Book Antiqua" w:cs="Arial"/>
          <w:bCs/>
          <w:sz w:val="24"/>
          <w:szCs w:val="24"/>
          <w:lang w:val="en-US" w:eastAsia="en-US"/>
        </w:rPr>
      </w:pPr>
      <w:r>
        <w:rPr>
          <w:rFonts w:cs="Arial" w:ascii="Book Antiqua" w:hAnsi="Book Antiqua"/>
          <w:bCs/>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DISCLOSURE UNDER THE SEXUAL HARASSMENT OF WOMEN AT WORKPLACE (PREVENTION, PROHIBITION AND REDRESSAL) ACT, 2013</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hanging="709" w:start="709" w:end="0"/>
        <w:jc w:val="both"/>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The Company has in place an Anti Sexual Harassment Policy in line with the requirements of The Sexual Harassment of Women at the Workplace (Prevention, Prohibition &amp; Redressal) Act, 2013.</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hanging="709" w:start="709" w:end="0"/>
        <w:jc w:val="both"/>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Internal Complaints Committee (ICC) has been set up to redress complaints received regarding sexual harassment. All employees (permanent, contractual, temporary, trainees) are covered under this policy.</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Your Directors state that during the year under review, there were no cases filed pursuant to the Sexual Harassment of Women at Workplace (Prevention, Prohibition and Redressal) Act, 2013.</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US" w:eastAsia="en-US"/>
        </w:rPr>
        <w:t>HUMAN RESOURCES AND INDUSTRIAL RELATIONS</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hanging="709" w:start="709" w:end="0"/>
        <w:jc w:val="both"/>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The Company takes pride in the commitment, competence and dedication of its employees in all areas of the business. The Company has a structured induction process at all locations and management development programs to upgrade skills of managers. Objective appraisal systems based on key result areas (KRAs) are in place for senior management staff.</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spacing w:lineRule="auto" w:line="240" w:before="0" w:after="0"/>
        <w:ind w:start="709" w:end="0"/>
        <w:jc w:val="both"/>
        <w:rPr>
          <w:rFonts w:ascii="Book Antiqua" w:hAnsi="Book Antiqua" w:cs="Arial"/>
          <w:sz w:val="24"/>
          <w:szCs w:val="24"/>
          <w:lang w:val="en-US" w:eastAsia="en-US"/>
        </w:rPr>
      </w:pPr>
      <w:r>
        <w:rPr>
          <w:rFonts w:cs="Arial" w:ascii="Book Antiqua" w:hAnsi="Book Antiqua"/>
          <w:sz w:val="24"/>
          <w:szCs w:val="24"/>
          <w:lang w:val="en-US" w:eastAsia="en-US"/>
        </w:rPr>
        <w:t>The Company is committed to nurturing, enhancing and retaining its top talent through superior learning and organizational development. This is a part of our Corporate HR function and is a critical pillar to support the organization’s growth.</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HEALTH, SAFETY AND ENVIRONMENT PROTECTION</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hanging="709" w:start="709" w:end="0"/>
        <w:jc w:val="both"/>
        <w:rPr/>
      </w:pPr>
      <w:r>
        <w:rPr>
          <w:rFonts w:cs="Arial" w:ascii="Book Antiqua" w:hAnsi="Book Antiqua"/>
          <w:sz w:val="24"/>
          <w:szCs w:val="24"/>
          <w:lang w:val="en-US" w:eastAsia="en-US"/>
        </w:rPr>
        <w:t xml:space="preserve">           </w:t>
      </w:r>
      <w:r>
        <w:rPr>
          <w:rFonts w:cs="Arial" w:ascii="Book Antiqua" w:hAnsi="Book Antiqua"/>
          <w:sz w:val="24"/>
          <w:szCs w:val="24"/>
          <w:lang w:val="en-US" w:eastAsia="en-US"/>
        </w:rPr>
        <w:t>Company's Health and Safety Policy commits to comply with applicable legal and other requirements connected with occupational Health, Safety and Environment matters and provide a healthy and safe work environment to all employees of the Company.</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Arial"/>
          <w:b/>
          <w:bCs/>
          <w:sz w:val="24"/>
          <w:szCs w:val="24"/>
          <w:u w:val="single"/>
          <w:lang w:val="en-US" w:eastAsia="en-US"/>
        </w:rPr>
      </w:pPr>
      <w:r>
        <w:rPr>
          <w:rFonts w:cs="Arial" w:ascii="Book Antiqua" w:hAnsi="Book Antiqua"/>
          <w:b/>
          <w:bCs/>
          <w:sz w:val="24"/>
          <w:szCs w:val="24"/>
          <w:u w:val="single"/>
          <w:lang w:val="en-US" w:eastAsia="en-US"/>
        </w:rPr>
        <w:t>SECRETARIAL STANDARDS</w:t>
      </w:r>
    </w:p>
    <w:p>
      <w:pPr>
        <w:pStyle w:val="Normal"/>
        <w:spacing w:lineRule="auto" w:line="240" w:before="0" w:after="0"/>
        <w:jc w:val="both"/>
        <w:rPr>
          <w:rFonts w:ascii="Book Antiqua" w:hAnsi="Book Antiqua" w:cs="Arial"/>
          <w:b/>
          <w:bCs/>
          <w:sz w:val="24"/>
          <w:szCs w:val="24"/>
          <w:u w:val="single"/>
          <w:lang w:val="en" w:eastAsia="en"/>
        </w:rPr>
      </w:pPr>
      <w:r>
        <w:rPr>
          <w:rFonts w:cs="Arial" w:ascii="Book Antiqua" w:hAnsi="Book Antiqua"/>
          <w:b/>
          <w:bCs/>
          <w:sz w:val="24"/>
          <w:szCs w:val="24"/>
          <w:u w:val="single"/>
          <w:lang w:val="en" w:eastAsia="en"/>
        </w:rPr>
      </w:r>
    </w:p>
    <w:p>
      <w:pPr>
        <w:pStyle w:val="Normal"/>
        <w:spacing w:lineRule="auto" w:line="240" w:before="0" w:after="0"/>
        <w:ind w:hanging="709" w:start="709" w:end="0"/>
        <w:jc w:val="both"/>
        <w:rPr/>
      </w:pPr>
      <w:r>
        <w:rPr>
          <w:rFonts w:cs="Arial" w:ascii="Book Antiqua" w:hAnsi="Book Antiqua"/>
          <w:sz w:val="24"/>
          <w:szCs w:val="24"/>
          <w:lang w:val="en" w:eastAsia="en"/>
        </w:rPr>
        <w:t xml:space="preserve">           </w:t>
      </w:r>
      <w:r>
        <w:rPr>
          <w:rFonts w:cs="Arial" w:ascii="Book Antiqua" w:hAnsi="Book Antiqua"/>
          <w:sz w:val="24"/>
          <w:szCs w:val="24"/>
          <w:lang w:val="en" w:eastAsia="en"/>
        </w:rPr>
        <w:t>The Company has complied with Secretarial Standards issued by the Institute of Company Secretaries of India on Board and General Meetings of the Company.</w:t>
      </w:r>
    </w:p>
    <w:p>
      <w:pPr>
        <w:pStyle w:val="Normal"/>
        <w:spacing w:lineRule="auto" w:line="240" w:before="0" w:after="0"/>
        <w:jc w:val="both"/>
        <w:rPr>
          <w:rFonts w:ascii="Book Antiqua" w:hAnsi="Book Antiqua" w:cs="Arial"/>
          <w:sz w:val="24"/>
          <w:szCs w:val="24"/>
          <w:lang w:val="en-US" w:eastAsia="en-US"/>
        </w:rPr>
      </w:pPr>
      <w:r>
        <w:rPr>
          <w:rFonts w:cs="Arial" w:ascii="Book Antiqua" w:hAnsi="Book Antiqua"/>
          <w:sz w:val="24"/>
          <w:szCs w:val="24"/>
          <w:lang w:val="en-US" w:eastAsia="en-US"/>
        </w:rPr>
      </w:r>
    </w:p>
    <w:p>
      <w:pPr>
        <w:pStyle w:val="Normal"/>
        <w:numPr>
          <w:ilvl w:val="0"/>
          <w:numId w:val="2"/>
        </w:numPr>
        <w:spacing w:lineRule="auto" w:line="240" w:before="0" w:after="0"/>
        <w:jc w:val="both"/>
        <w:rPr>
          <w:rFonts w:ascii="Book Antiqua" w:hAnsi="Book Antiqua" w:cs="Book Antiqua"/>
          <w:sz w:val="24"/>
          <w:szCs w:val="24"/>
          <w:u w:val="single"/>
          <w:lang w:val="en-US" w:eastAsia="en-US"/>
        </w:rPr>
      </w:pPr>
      <w:r>
        <w:rPr>
          <w:rFonts w:cs="Arial" w:ascii="Book Antiqua" w:hAnsi="Book Antiqua"/>
          <w:b/>
          <w:bCs/>
          <w:sz w:val="24"/>
          <w:szCs w:val="24"/>
          <w:u w:val="single"/>
          <w:lang w:val="en-US" w:eastAsia="en-US"/>
        </w:rPr>
        <w:t>APPRECIATION AND ACKNOWLEDGEMENT</w:t>
      </w:r>
    </w:p>
    <w:p>
      <w:pPr>
        <w:pStyle w:val="Normal"/>
        <w:spacing w:lineRule="auto" w:line="240" w:before="0" w:after="0"/>
        <w:rPr>
          <w:rFonts w:ascii="Book Antiqua" w:hAnsi="Book Antiqua" w:cs="Arial"/>
          <w:sz w:val="24"/>
          <w:szCs w:val="24"/>
          <w:u w:val="single"/>
          <w:lang w:val="en-US" w:eastAsia="en-US"/>
        </w:rPr>
      </w:pPr>
      <w:r>
        <w:rPr>
          <w:rFonts w:cs="Arial" w:ascii="Book Antiqua" w:hAnsi="Book Antiqua"/>
          <w:sz w:val="24"/>
          <w:szCs w:val="24"/>
          <w:u w:val="single"/>
          <w:lang w:val="en-US" w:eastAsia="en-US"/>
        </w:rPr>
      </w:r>
    </w:p>
    <w:p>
      <w:pPr>
        <w:pStyle w:val="Normal"/>
        <w:spacing w:lineRule="auto" w:line="240" w:before="0" w:after="0"/>
        <w:ind w:start="709" w:end="0"/>
        <w:jc w:val="both"/>
        <w:rPr/>
      </w:pPr>
      <w:r>
        <w:rPr>
          <w:rFonts w:cs="Arial" w:ascii="Book Antiqua" w:hAnsi="Book Antiqua"/>
          <w:sz w:val="24"/>
          <w:szCs w:val="24"/>
          <w:lang w:val="en-US" w:eastAsia="en-US"/>
        </w:rPr>
        <w:t>Your Directors place on record their deep appreciation to employees at all levels for their hard work, dedication and commitment. The Board places on record its appreciation for the support and co-operation, your company has been receiving from its Suppliers, Retailers, Dealers &amp; Distributors and others associated with the Company. The Directors also take this opportunity to thank all Clients, Vendors, Banks, Government and Regulatory Authorities for their continued support.</w:t>
      </w:r>
      <w:r>
        <w:rPr>
          <w:rFonts w:cs="Arial" w:ascii="Book Antiqua" w:hAnsi="Book Antiqua"/>
          <w:b/>
          <w:bCs/>
          <w:sz w:val="24"/>
          <w:szCs w:val="24"/>
          <w:lang w:val="en-US" w:eastAsia="en-US"/>
        </w:rPr>
        <w:t xml:space="preserve"> </w:t>
      </w:r>
    </w:p>
    <w:p>
      <w:pPr>
        <w:pStyle w:val="Normal"/>
        <w:spacing w:lineRule="auto" w:line="240" w:before="0" w:after="0"/>
        <w:jc w:val="both"/>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Spacing"/>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Spacing"/>
        <w:rPr>
          <w:rFonts w:ascii="Book Antiqua" w:hAnsi="Book Antiqua" w:cs="Arial"/>
          <w:b/>
          <w:bCs/>
          <w:sz w:val="24"/>
          <w:szCs w:val="24"/>
          <w:lang w:val="en-US" w:eastAsia="en-US"/>
        </w:rPr>
      </w:pPr>
      <w:r>
        <w:rPr>
          <w:rFonts w:cs="Arial" w:ascii="Book Antiqua" w:hAnsi="Book Antiqua"/>
          <w:b/>
          <w:bCs/>
          <w:sz w:val="24"/>
          <w:szCs w:val="24"/>
          <w:lang w:val="en-US" w:eastAsia="en-US"/>
        </w:rPr>
        <w:drawing>
          <wp:inline distT="0" distB="0" distL="0" distR="0">
            <wp:extent cx="4253230" cy="18942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rcRect l="-5" t="-11" r="-5" b="-11"/>
                    <a:stretch>
                      <a:fillRect/>
                    </a:stretch>
                  </pic:blipFill>
                  <pic:spPr bwMode="auto">
                    <a:xfrm>
                      <a:off x="0" y="0"/>
                      <a:ext cx="4253230" cy="1894205"/>
                    </a:xfrm>
                    <a:prstGeom prst="rect">
                      <a:avLst/>
                    </a:prstGeom>
                    <a:noFill/>
                  </pic:spPr>
                </pic:pic>
              </a:graphicData>
            </a:graphic>
          </wp:inline>
        </w:drawing>
      </w:r>
    </w:p>
    <w:p>
      <w:pPr>
        <w:pStyle w:val="NoSpacing"/>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Spacing"/>
        <w:rPr>
          <w:rFonts w:ascii="Book Antiqua" w:hAnsi="Book Antiqua" w:cs="Arial"/>
          <w:b/>
          <w:bCs/>
          <w:sz w:val="24"/>
          <w:szCs w:val="24"/>
          <w:lang w:val="en-US" w:eastAsia="en-US"/>
        </w:rPr>
      </w:pPr>
      <w:r>
        <w:rPr>
          <w:rFonts w:cs="Arial" w:ascii="Book Antiqua" w:hAnsi="Book Antiqua"/>
          <w:b/>
          <w:bCs/>
          <w:sz w:val="24"/>
          <w:szCs w:val="24"/>
          <w:lang w:val="en-US" w:eastAsia="en-US"/>
        </w:rPr>
        <w:t xml:space="preserve">      Date: [DATE]</w:t>
      </w:r>
      <w:r>
        <w:rPr>
          <w:rFonts w:cs="Arial" w:ascii="Book Antiqua" w:hAnsi="Book Antiqua"/>
          <w:b/>
          <w:bCs/>
          <w:sz w:val="24"/>
          <w:szCs w:val="24"/>
          <w:lang w:val="en-US" w:eastAsia="en-US"/>
        </w:rPr>
      </w:r>
      <w:r>
        <w:rPr>
          <w:rFonts w:cs="Arial" w:ascii="Book Antiqua" w:hAnsi="Book Antiqua"/>
          <w:b/>
          <w:bCs/>
          <w:sz w:val="24"/>
          <w:szCs w:val="24"/>
          <w:highlight w:val="yellow"/>
          <w:lang w:val="en-US" w:eastAsia="en-US"/>
        </w:rPr>
      </w:r>
      <w:r>
        <w:rPr>
          <w:rFonts w:cs="Arial" w:ascii="Book Antiqua" w:hAnsi="Book Antiqua"/>
          <w:b/>
          <w:bCs/>
          <w:sz w:val="24"/>
          <w:szCs w:val="24"/>
          <w:highlight w:val="yellow"/>
          <w:lang w:val="en-US" w:eastAsia="en-US"/>
        </w:rPr>
        <w:t xml:space="preserve">9 </w:t>
      </w:r>
      <w:r>
        <w:rPr>
          <w:rFonts w:cs="Arial" w:ascii="Book Antiqua" w:hAnsi="Book Antiqua"/>
          <w:b/>
          <w:bCs/>
          <w:sz w:val="24"/>
          <w:szCs w:val="24"/>
          <w:highlight w:val="yellow"/>
          <w:lang w:val="en-US" w:eastAsia="en-US"/>
        </w:rPr>
      </w:r>
      <w:r>
        <w:rPr>
          <w:rFonts w:cs="Arial" w:ascii="Book Antiqua" w:hAnsi="Book Antiqua"/>
          <w:b/>
          <w:bCs/>
          <w:sz w:val="24"/>
          <w:szCs w:val="24"/>
          <w:highlight w:val="yellow"/>
          <w:lang w:val="en-US" w:eastAsia="en-US"/>
        </w:rPr>
        <w:t>4</w:t>
      </w:r>
    </w:p>
    <w:p>
      <w:pPr>
        <w:pStyle w:val="NoSpacing"/>
        <w:rPr>
          <w:rFonts w:ascii="Book Antiqua" w:hAnsi="Book Antiqua" w:cs="Arial"/>
          <w:b/>
          <w:bCs/>
          <w:sz w:val="24"/>
          <w:szCs w:val="24"/>
          <w:lang w:val="en-US" w:eastAsia="en-US"/>
        </w:rPr>
      </w:pPr>
      <w:r>
        <w:rPr>
          <w:rFonts w:cs="Arial" w:ascii="Book Antiqua" w:hAnsi="Book Antiqua"/>
          <w:b/>
          <w:bCs/>
          <w:sz w:val="24"/>
          <w:szCs w:val="24"/>
          <w:lang w:val="en-US" w:eastAsia="en-US"/>
        </w:rPr>
        <w:t xml:space="preserve">      Place: [PLACE]</w:t>
      </w:r>
      <w:r>
        <w:rPr>
          <w:rFonts w:cs="Arial" w:ascii="Book Antiqua" w:hAnsi="Book Antiqua"/>
          <w:b/>
          <w:bCs/>
          <w:sz w:val="24"/>
          <w:szCs w:val="24"/>
          <w:lang w:val="en-US" w:eastAsia="en-US"/>
        </w:rPr>
        <w:t/>
      </w:r>
    </w:p>
    <w:p>
      <w:pPr>
        <w:pStyle w:val="NoSpacing"/>
        <w:rPr>
          <w:rFonts w:ascii="Book Antiqua" w:hAnsi="Book Antiqua" w:cs="Arial"/>
          <w:b/>
          <w:bCs/>
          <w:sz w:val="24"/>
          <w:szCs w:val="24"/>
          <w:lang w:val="en-US" w:eastAsia="en-US"/>
        </w:rPr>
      </w:pPr>
      <w:r>
        <w:rPr>
          <w:rFonts w:cs="Arial" w:ascii="Book Antiqua" w:hAnsi="Book Antiqua"/>
          <w:b/>
          <w:bCs/>
          <w:sz w:val="24"/>
          <w:szCs w:val="24"/>
          <w:lang w:val="en-US" w:eastAsia="en-US"/>
        </w:rPr>
      </w:r>
    </w:p>
    <w:p>
      <w:pPr>
        <w:pStyle w:val="Normal1"/>
        <w:rPr>
          <w:rFonts w:ascii="Book Antiqua" w:hAnsi="Book Antiqua" w:cs="Book Antiqua"/>
          <w:b/>
          <w:bCs/>
          <w:sz w:val="24"/>
          <w:szCs w:val="24"/>
          <w:lang w:val="en-US" w:eastAsia="en-US"/>
        </w:rPr>
      </w:pPr>
      <w:r>
        <w:rPr>
          <w:rFonts w:cs="Book Antiqua" w:ascii="Book Antiqua" w:hAnsi="Book Antiqua"/>
          <w:b/>
          <w:bCs/>
          <w:sz w:val="24"/>
          <w:szCs w:val="24"/>
          <w:lang w:val="en-US" w:eastAsia="en-US"/>
        </w:rPr>
      </w:r>
    </w:p>
    <w:p>
      <w:pPr>
        <w:pStyle w:val="Normal1"/>
        <w:rPr>
          <w:rFonts w:ascii="Book Antiqua" w:hAnsi="Book Antiqua" w:cs="Book Antiqua"/>
          <w:lang w:val="en-US" w:eastAsia="en-US"/>
        </w:rPr>
      </w:pPr>
      <w:r>
        <w:rPr>
          <w:rFonts w:cs="Book Antiqua" w:ascii="Book Antiqua" w:hAnsi="Book Antiqua"/>
          <w:lang w:val="en-US" w:eastAsia="en-US"/>
        </w:rPr>
      </w:r>
    </w:p>
    <w:sectPr>
      <w:headerReference w:type="default" r:id="rId8"/>
      <w:footerReference w:type="default" r:id="rId9"/>
      <w:headerReference w:type="even" r:id="rId10"/>
      <w:footerReference w:type="even" r:id="rId11"/>
      <w:headerReference w:type="first" r:id="rId12"/>
      <w:footerReference w:type="first" r:id="rId13"/>
      <w:type w:val="nextPage"/>
      <w:pgSz w:w="11906" w:h="16838"/>
      <w:pgMar w:left="1000" w:right="1000" w:gutter="0" w:header="0" w:top="709" w:footer="0" w:bottom="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Book Antiqua">
    <w:charset w:val="00" w:characterSet="windows-1252"/>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lvl>
  </w:abstractNum>
  <w:num w:numId="1">
    <w:abstractNumId w:val="1"/>
  </w:num>
  <w:num w:numId="2">
    <w:abstractNumId w:val="2"/>
  </w:num>
</w:numbering>
</file>

<file path=word/settings.xml><?xml version="1.0" encoding="utf-8"?>
<w:settings xmlns:w="http://schemas.openxmlformats.org/wordprocessingml/2006/main">
  <w:zoom w:percent="114"/>
  <w:trackRevisions/>
  <w:defaultTabStop w:val="1134"/>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autoSpaceDE w:val="false"/>
      <w:bidi w:val="0"/>
      <w:spacing w:lineRule="auto" w:line="276" w:before="0" w:after="200"/>
    </w:pPr>
    <w:rPr>
      <w:rFonts w:ascii="Calibri" w:hAnsi="Calibri" w:eastAsia="Times New Roman" w:cs="Calibri"/>
      <w:color w:val="auto"/>
      <w:sz w:val="22"/>
      <w:szCs w:val="22"/>
      <w:lang w:val="en-IN" w:bidi="ar-SA" w:eastAsia="zh-CN"/>
    </w:rPr>
  </w:style>
  <w:style w:type="paragraph" w:styleId="Heading9">
    <w:name w:val="heading 9"/>
    <w:basedOn w:val="Normal"/>
    <w:next w:val="Normal"/>
    <w:qFormat/>
    <w:pPr>
      <w:keepNext w:val="true"/>
      <w:numPr>
        <w:ilvl w:val="8"/>
        <w:numId w:val="1"/>
      </w:numPr>
      <w:spacing w:lineRule="auto" w:line="240" w:before="0" w:after="0"/>
      <w:outlineLvl w:val="8"/>
    </w:pPr>
    <w:rPr>
      <w:rFonts w:ascii="Cambria" w:hAnsi="Cambria" w:cs="Times New Roman"/>
      <w:sz w:val="20"/>
      <w:szCs w:val="20"/>
      <w:lang w:val="en-US"/>
    </w:rPr>
  </w:style>
  <w:style w:type="character" w:styleId="DefaultParagraphFont">
    <w:name w:val="Default Paragraph Font"/>
    <w:qFormat/>
    <w:rPr/>
  </w:style>
  <w:style w:type="character" w:styleId="HeaderChar">
    <w:name w:val="Header Char"/>
    <w:qFormat/>
    <w:rPr>
      <w:rFonts w:ascii="Calibri" w:hAnsi="Calibri" w:cs="Calibri"/>
      <w:lang w:val="en-US"/>
    </w:rPr>
  </w:style>
  <w:style w:type="character" w:styleId="Heading9Char">
    <w:name w:val="Heading 9 Char"/>
    <w:qFormat/>
    <w:rPr>
      <w:rFonts w:ascii="Cambria" w:hAnsi="Cambria" w:eastAsia="Times New Roman" w:cs="Times New Roman"/>
      <w:lang w:val="en-US"/>
    </w:rPr>
  </w:style>
  <w:style w:type="character" w:styleId="CommentReference">
    <w:name w:val="Comment Reference"/>
    <w:qFormat/>
    <w:rPr>
      <w:sz w:val="16"/>
      <w:szCs w:val="16"/>
    </w:rPr>
  </w:style>
  <w:style w:type="character" w:styleId="CommentTextChar">
    <w:name w:val="Comment Text Char"/>
    <w:qFormat/>
    <w:rPr>
      <w:rFonts w:cs="Calibri"/>
    </w:rPr>
  </w:style>
  <w:style w:type="character" w:styleId="BalloonTextChar">
    <w:name w:val="Balloon Text Char"/>
    <w:qFormat/>
    <w:rPr>
      <w:rFonts w:ascii="Tahoma" w:hAnsi="Tahoma" w:cs="Tahoma"/>
      <w:sz w:val="16"/>
      <w:szCs w:val="16"/>
    </w:rPr>
  </w:style>
  <w:style w:type="character" w:styleId="CommentSubjectChar">
    <w:name w:val="Comment Subject Char"/>
    <w:qFormat/>
    <w:rPr>
      <w:rFonts w:cs="Calibri"/>
      <w:b/>
      <w:bCs/>
    </w:rPr>
  </w:style>
  <w:style w:type="character" w:styleId="FooterChar">
    <w:name w:val="Footer Char"/>
    <w:qFormat/>
    <w:rPr>
      <w:rFonts w:cs="Calibri"/>
      <w:sz w:val="22"/>
      <w:szCs w:val="22"/>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name w:val="[Normal]"/>
    <w:qFormat/>
    <w:pPr>
      <w:widowControl w:val="false"/>
      <w:autoSpaceDE w:val="false"/>
      <w:bidi w:val="0"/>
    </w:pPr>
    <w:rPr>
      <w:rFonts w:ascii="Arial" w:hAnsi="Arial" w:eastAsia="Times New Roman" w:cs="Arial"/>
      <w:color w:val="auto"/>
      <w:sz w:val="24"/>
      <w:szCs w:val="24"/>
      <w:lang w:val="en-IN" w:bidi="ar-SA" w:eastAsia="zh-CN"/>
    </w:rPr>
  </w:style>
  <w:style w:type="paragraph" w:styleId="NoSpacing">
    <w:name w:val="No Spacing"/>
    <w:basedOn w:val="Normal1"/>
    <w:qFormat/>
    <w:pPr>
      <w:widowControl/>
    </w:pPr>
    <w:rPr>
      <w:rFonts w:ascii="Calibri" w:hAnsi="Calibri" w:cs="Calibri"/>
      <w:sz w:val="22"/>
      <w:szCs w:val="22"/>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Header">
    <w:name w:val="header"/>
    <w:basedOn w:val="Normal"/>
    <w:pPr>
      <w:tabs>
        <w:tab w:val="clear" w:pos="1134"/>
        <w:tab w:val="center" w:pos="4320" w:leader="none"/>
        <w:tab w:val="right" w:pos="8640" w:leader="none"/>
      </w:tabs>
      <w:spacing w:lineRule="auto" w:line="240" w:before="0" w:after="0"/>
    </w:pPr>
    <w:rPr>
      <w:rFonts w:cs="Times New Roman"/>
      <w:sz w:val="20"/>
      <w:szCs w:val="20"/>
      <w:lang w:val="en-US"/>
    </w:rPr>
  </w:style>
  <w:style w:type="paragraph" w:styleId="CommentText">
    <w:name w:val="Comment Text"/>
    <w:basedOn w:val="Normal"/>
    <w:qFormat/>
    <w:pPr/>
    <w:rPr>
      <w:rFonts w:cs="Times New Roman"/>
      <w:sz w:val="20"/>
      <w:szCs w:val="20"/>
      <w:lang w:val="en-US"/>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CommentSubject">
    <w:name w:val="Comment Subject"/>
    <w:basedOn w:val="CommentText"/>
    <w:next w:val="CommentText"/>
    <w:qFormat/>
    <w:pPr/>
    <w:rPr>
      <w:b/>
      <w:bCs/>
    </w:rPr>
  </w:style>
  <w:style w:type="paragraph" w:styleId="Footer">
    <w:name w:val="footer"/>
    <w:basedOn w:val="Normal"/>
    <w:pPr>
      <w:tabs>
        <w:tab w:val="clear" w:pos="1134"/>
        <w:tab w:val="center" w:pos="4513" w:leader="none"/>
        <w:tab w:val="right" w:pos="9026" w:leader="none"/>
      </w:tabs>
    </w:pPr>
    <w:rPr>
      <w:rFonts w:cs="Times New Roman"/>
      <w:lang w:val="en-US"/>
    </w:rPr>
  </w:style>
  <w:style w:type="paragraph" w:styleId="Revision">
    <w:name w:val="Revision"/>
    <w:qFormat/>
    <w:pPr>
      <w:widowControl/>
      <w:bidi w:val="0"/>
    </w:pPr>
    <w:rPr>
      <w:rFonts w:ascii="Calibri" w:hAnsi="Calibri" w:eastAsia="Times New Roman" w:cs="Calibri"/>
      <w:color w:val="auto"/>
      <w:sz w:val="22"/>
      <w:szCs w:val="22"/>
      <w:lang w:val="en-IN"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ealthcare.svizera@gmail.com" TargetMode="External"/><Relationship Id="rId3" Type="http://schemas.openxmlformats.org/officeDocument/2006/relationships/image" Target="media/image1.e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1776</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2020-12-02T11:23:00Z</dcterms:created>
  <dc:creator/>
  <dc:description/>
  <cp:keywords/>
  <dc:language>en-US</dc:language>
  <cp:lastModifiedBy/>
  <cp:lastPrinted>2023-02-16T20:04:00Z</cp:lastPrinted>
  <dcterms:modified xsi:type="dcterms:W3CDTF">2025-07-03T04:51:00Z</dcterms:modified>
  <cp:revision>70</cp:revision>
  <dc:subject/>
  <dc:title/>
</cp:coreProperties>
</file>