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the Board Meeting</w:t>
      </w:r>
    </w:p>
    <w:p>
      <w:r>
        <w:t>Synthetic benchmark document. All names, identifiers and figures are fictional.</w:t>
      </w:r>
    </w:p>
    <w:p>
      <w:r>
        <w:t>Minutes of the meeting of the Board of Directors of Larkspur Castings Pvt. Ltd. held on 18 July 2025 at 14 Canal Road, Riverton.</w:t>
      </w:r>
    </w:p>
    <w:p>
      <w:r>
        <w:t>Present: Arjun Mehta (Chairperson), M. Iyer, R. Pillai, L. Narayan. In attendance: S. Joshi, Company Secretary.</w:t>
      </w:r>
    </w:p>
    <w:p>
      <w:r>
        <w:t>1. Related party contract. The Board approved the renewal of the supply contract with M/s Kestrel Alloys LLP for alloy ingots up to INR 15,000,000 for FY 2025-26. Mr. Mehta disclosed his interest as a designated partner of Kestrel Alloys and did not take part in the vote.</w:t>
      </w:r>
    </w:p>
    <w:p>
      <w:r>
        <w:t>2. Corporate guarantee. The Board approved a corporate guarantee of INR 40,000,000 in favour of Seabright Cooperative Bank Limited for the term loan sanctioned to the wholly owned subsidiary Harbourline Logistics Pvt Ltd.</w:t>
      </w:r>
    </w:p>
    <w:p>
      <w:r>
        <w:t>3. Customers. The Board reviewed receivables from Kestrel Alloy Castings Ltd, the largest customer, and noted the sale of foundry scrap worth INR 850,000 to Larkspur Forgings Limited. Neither company is related to LCPL; Larkspur Forgings Limited only has a similar name.</w:t>
      </w:r>
    </w:p>
    <w:p>
      <w:r>
        <w:t>4. Audit committee. Ms. Iyer reported that the Audit Committee had reviewed the quarterly results with the statutory auditors, Sen and Varma LLP.</w:t>
      </w:r>
    </w:p>
    <w:p>
      <w:r>
        <w:t>The meeting ended with a vote of thanks to the Chair.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Larkspur Castings board minutes, July 2025 (synthetic)</dc:title>
  <dc:subject/>
  <dc:creator>Synthetic benchmark</dc:creator>
  <cp:keywords/>
  <dc:description>Synthetic benchmark document. All names, identifiers and figures are fictional.</dc:description>
  <cp:lastModifiedBy>Synthetic benchmark</cp:lastModifiedBy>
  <cp:revision>1</cp:revision>
  <dcterms:created xsi:type="dcterms:W3CDTF">2025-01-01T00:00:00Z</dcterms:created>
  <dcterms:modified xsi:type="dcterms:W3CDTF">2025-01-01T00:00:00Z</dcterms:modified>
  <cp:category/>
  <cp:lastPrinted>2025-01-01T00:00:00Z</cp:lastPrinted>
</cp:coreProperties>
</file>