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 &amp; VARMA LLP</w:t>
      </w:r>
    </w:p>
    <w:p>
      <w:r>
        <w:t>Chartered Accountants, 7 Mill Lane, Riverton</w:t>
      </w:r>
    </w:p>
    <w:p>
      <w:r>
        <w:t>Synthetic benchmark document. All names, identifiers and figures are fictional.</w:t>
      </w:r>
    </w:p>
    <w:p>
      <w:r>
        <w:t>To the Boards of Directors of Larkspur Castings Private Limited and Larkspur Foundry Services Private Limited</w:t>
      </w:r>
    </w:p>
    <w:p>
      <w:r>
        <w:t>Subject: Statutory audit engagement for FY 2025-26</w:t>
      </w:r>
    </w:p>
    <w:p>
      <w:r>
        <w:t>We confirm our re-appointment as statutory auditors of both companies. Arun Mehta, Partner, will lead both engagements.</w:t>
      </w:r>
    </w:p>
    <w:p>
      <w:r>
        <w:t>Proposed fees: Larkspur Castings INR 1,450,000; LFSPL INR 380,000, plus applicable taxes.</w:t>
      </w:r>
    </w:p>
    <w:p>
      <w:r>
        <w:t>Accepted on behalf of Larkspur Castings Private Limited by Rohan Pillai, Chief Financial Officer.</w:t>
      </w:r>
    </w:p>
    <w:p>
      <w:r>
        <w:t>Yours faithfully, for Sen &amp; Varma LLP</w:t>
      </w:r>
    </w:p>
    <w:p>
      <w:r>
        <w:t>A. Mehta, Partner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engagement letter (synthetic)</dc:title>
  <dc:subject/>
  <dc:creator>Synthetic benchmark</dc:creator>
  <cp:keywords/>
  <dc:description>Synthetic benchmark document. All names, identifiers and figures are fictional.</dc:description>
  <cp:lastModifiedBy>Synthetic benchmark</cp:lastModifiedBy>
  <cp:revision>1</cp:revision>
  <dcterms:created xsi:type="dcterms:W3CDTF">2025-01-01T00:00:00Z</dcterms:created>
  <dcterms:modified xsi:type="dcterms:W3CDTF">2025-01-01T00:00:00Z</dcterms:modified>
  <cp:category/>
  <cp:lastPrinted>2025-01-01T00:00:00Z</cp:lastPrinted>
</cp:coreProperties>
</file>