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Directors' Report</w:t>
      </w:r>
    </w:p>
    <w:p>
      <w:r>
        <w:t>Synthetic benchmark document. The company, its people and all figures are fictional.</w:t>
      </w:r>
    </w:p>
    <w:p>
      <w:r>
        <w:t>To the Members of Velmora Pumps and Valves Limited,</w:t>
      </w:r>
    </w:p>
    <w:p>
      <w:r>
        <w:t>Your Directors present the Annual Report of the Company together with the audited financial statements for the financial year ended 31/03/2024.</w:t>
      </w:r>
    </w:p>
    <w:p>
      <w:pPr>
        <w:pStyle w:val="Heading2"/>
      </w:pPr>
      <w:r>
        <w:t>Financial highlights</w:t>
      </w:r>
    </w:p>
    <w:p>
      <w:r>
        <w:t>Amount in Rs.</w:t>
      </w:r>
    </w:p>
    <w:tbl>
      <w:tblPr>
        <w:tblW w:type="auto" w:w="0"/>
        <w:tblLook w:firstColumn="1" w:firstRow="1" w:lastColumn="0" w:lastRow="0" w:noHBand="0" w:noVBand="1" w:val="04A0"/>
      </w:tblPr>
      <w:tblGrid>
        <w:gridCol w:w="2880"/>
        <w:gridCol w:w="2880"/>
        <w:gridCol w:w="2880"/>
      </w:tblGrid>
      <w:tr>
        <w:tc>
          <w:tcPr>
            <w:tcW w:type="dxa" w:w="2880"/>
          </w:tcPr>
          <w:p>
            <w:r>
              <w:t>Particulars</w:t>
            </w:r>
          </w:p>
        </w:tc>
        <w:tc>
          <w:tcPr>
            <w:tcW w:type="dxa" w:w="2880"/>
          </w:tcPr>
          <w:p>
            <w:r>
              <w:t>FY 2023-24</w:t>
            </w:r>
          </w:p>
        </w:tc>
        <w:tc>
          <w:tcPr>
            <w:tcW w:type="dxa" w:w="2880"/>
          </w:tcPr>
          <w:p>
            <w:r>
              <w:t>FY 2022-23</w:t>
            </w:r>
          </w:p>
        </w:tc>
      </w:tr>
      <w:tr>
        <w:tc>
          <w:tcPr>
            <w:tcW w:type="dxa" w:w="2880"/>
          </w:tcPr>
          <w:p>
            <w:r>
              <w:t>Revenue from operations</w:t>
            </w:r>
          </w:p>
        </w:tc>
        <w:tc>
          <w:tcPr>
            <w:tcW w:type="dxa" w:w="2880"/>
          </w:tcPr>
          <w:p>
            <w:r>
              <w:t>1,84,62,35,000</w:t>
            </w:r>
          </w:p>
        </w:tc>
        <w:tc>
          <w:tcPr>
            <w:tcW w:type="dxa" w:w="2880"/>
          </w:tcPr>
          <w:p>
            <w:r>
              <w:t>1,61,20,48,000</w:t>
            </w:r>
          </w:p>
        </w:tc>
      </w:tr>
      <w:tr>
        <w:tc>
          <w:tcPr>
            <w:tcW w:type="dxa" w:w="2880"/>
          </w:tcPr>
          <w:p>
            <w:r>
              <w:t>Profit before tax</w:t>
            </w:r>
          </w:p>
        </w:tc>
        <w:tc>
          <w:tcPr>
            <w:tcW w:type="dxa" w:w="2880"/>
          </w:tcPr>
          <w:p>
            <w:r>
              <w:t>19,76,21,333</w:t>
            </w:r>
          </w:p>
        </w:tc>
        <w:tc>
          <w:tcPr>
            <w:tcW w:type="dxa" w:w="2880"/>
          </w:tcPr>
          <w:p>
            <w:r>
              <w:t>14,74,32,000</w:t>
            </w:r>
          </w:p>
        </w:tc>
      </w:tr>
      <w:tr>
        <w:tc>
          <w:tcPr>
            <w:tcW w:type="dxa" w:w="2880"/>
          </w:tcPr>
          <w:p>
            <w:r>
              <w:t>Profit after tax</w:t>
            </w:r>
          </w:p>
        </w:tc>
        <w:tc>
          <w:tcPr>
            <w:tcW w:type="dxa" w:w="2880"/>
          </w:tcPr>
          <w:p>
            <w:r>
              <w:t>14,82,16,000</w:t>
            </w:r>
          </w:p>
        </w:tc>
        <w:tc>
          <w:tcPr>
            <w:tcW w:type="dxa" w:w="2880"/>
          </w:tcPr>
          <w:p>
            <w:r>
              <w:t>11,05,74,000</w:t>
            </w:r>
          </w:p>
        </w:tc>
      </w:tr>
    </w:tbl>
    <w:p>
      <w:pPr>
        <w:pStyle w:val="Heading2"/>
      </w:pPr>
      <w:r>
        <w:t>State of the Company's affairs</w:t>
      </w:r>
    </w:p>
    <w:p>
      <w:r>
        <w:t>The Company continues to be engaged in manufacture of industrial pumps and valves. There was no change in the nature of business during the year.</w:t>
      </w:r>
    </w:p>
    <w:p>
      <w:pPr>
        <w:pStyle w:val="Heading2"/>
      </w:pPr>
      <w:r>
        <w:t>Meetings of the Board</w:t>
      </w:r>
    </w:p>
    <w:p>
      <w:r>
        <w:t>During the year the Board met 4 times, on 12/05/2023, 08/08/2023, 07/11/2023 and 06/02/2024. The meeting held on 12/05/2023 approved the financial statements for the previous financial year.</w:t>
      </w:r>
    </w:p>
    <w:p>
      <w:pPr>
        <w:pStyle w:val="Heading2"/>
      </w:pPr>
      <w:r>
        <w:t>Subsidiaries and consolidated financial statements</w:t>
      </w:r>
    </w:p>
    <w:p>
      <w:r>
        <w:t>The Company does not have any subsidiary, joint venture or associate company. Hence, consolidated financial statements are not required to be prepared.</w:t>
      </w:r>
    </w:p>
    <w:p>
      <w:pPr>
        <w:pStyle w:val="Heading2"/>
      </w:pPr>
      <w:r>
        <w:t>Secretarial audit</w:t>
      </w:r>
    </w:p>
    <w:p>
      <w:r>
        <w:t>Pursuant to section 204 of the Companies Act, 2013, the Board appointed A. Sample &amp; Associates, Practising Company Secretaries, to conduct the Secretarial Audit of the Company for the year. The Secretarial Audit Report in Form MR-3 is annexed to this report as Annexure III.</w:t>
      </w:r>
    </w:p>
    <w:p>
      <w:pPr>
        <w:pStyle w:val="Heading2"/>
      </w:pPr>
      <w:r>
        <w:t>Annual General Meeting</w:t>
      </w:r>
    </w:p>
    <w:p>
      <w:r>
        <w:t>The 30th Annual General Meeting of the Company will be held on Friday, 26/07/2024 through video conferencing. The 29th Annual General Meeting was held on 28/07/2023.</w:t>
      </w:r>
    </w:p>
    <w:p>
      <w:pPr>
        <w:pStyle w:val="Heading2"/>
      </w:pPr>
      <w:r>
        <w:t>Dividend</w:t>
      </w:r>
    </w:p>
    <w:p>
      <w:r>
        <w:t>The Board has recommended a final dividend of Rs. 3.50 per equity share for the year, subject to the approval of the members.</w:t>
      </w:r>
    </w:p>
    <w:p>
      <w:pPr>
        <w:pStyle w:val="Heading2"/>
      </w:pPr>
      <w:r>
        <w:t>Committees of the Board</w:t>
      </w:r>
    </w:p>
    <w:p>
      <w:r>
        <w:t>The Audit Committee met 4 times during the year, on 13/05/2023, 09/08/2023, 08/11/2023 and 07/02/2024. The Corporate Social Responsibility Committee met on 11/08/2023.</w:t>
      </w:r>
    </w:p>
    <w:p>
      <w:pPr>
        <w:pStyle w:val="Heading2"/>
      </w:pPr>
      <w:r>
        <w:t>Statutory auditors</w:t>
      </w:r>
    </w:p>
    <w:p>
      <w:r>
        <w:t>Example and Co., Chartered Accountants (Firm Registration No. 000000Z), were appointed as the statutory auditors of the Company at the 27th Annual General Meeting held on 28/07/2021 for a term of five consecutive years. Their report on the financial statements does not contain any qualification, reservation or adverse remark.</w:t>
      </w:r>
    </w:p>
    <w:p>
      <w:pPr>
        <w:pStyle w:val="Heading2"/>
      </w:pPr>
      <w:r>
        <w:t>Management discussion and analysis</w:t>
      </w:r>
    </w:p>
    <w:p>
      <w:r>
        <w:t>The sector in which the Company operates grew steadily during the year, supported by stable input costs and improving demand from domestic customers. The Company continued to invest in capacity, automation and the training of its people. Key risks include competition, movements in commodity prices and interest rates, and delays in collections from customers; the Board reviews these risks every quarter.</w:t>
      </w:r>
    </w:p>
    <w:p>
      <w:pPr>
        <w:pStyle w:val="Heading2"/>
      </w:pPr>
      <w:r>
        <w:t>Deposits</w:t>
      </w:r>
    </w:p>
    <w:p>
      <w:r>
        <w:t>The Company has not accepted any deposits from the public within the meaning of Chapter V of the Act during the year, and no amount of principal or interest was outstanding at the end of the year.</w:t>
      </w:r>
    </w:p>
    <w:p>
      <w:pPr>
        <w:pStyle w:val="Heading2"/>
      </w:pPr>
      <w:r>
        <w:t>Internal financial controls</w:t>
      </w:r>
    </w:p>
    <w:p>
      <w:r>
        <w:t>The Company has adequate internal financial controls with reference to the financial statements. During the year such controls were tested and no reportable material weakness in their design or operation was observed.</w:t>
      </w:r>
    </w:p>
    <w:p>
      <w:pPr>
        <w:pStyle w:val="Heading2"/>
      </w:pPr>
      <w:r>
        <w:t>Cost records</w:t>
      </w:r>
    </w:p>
    <w:p>
      <w:r>
        <w:t>The maintenance of cost records under section 148(1) of the Act is not applicable to the Company's products for the year under review.</w:t>
      </w:r>
    </w:p>
    <w:p>
      <w:pPr>
        <w:pStyle w:val="Heading2"/>
      </w:pPr>
      <w:r>
        <w:t>Vigil mechanism</w:t>
      </w:r>
    </w:p>
    <w:p>
      <w:r>
        <w:t>The Company has a whistle blower policy under which directors and employees may report genuine concerns directly to the chairperson of the Audit Committee.</w:t>
      </w:r>
    </w:p>
    <w:p>
      <w:pPr>
        <w:pStyle w:val="Heading2"/>
      </w:pPr>
      <w:r>
        <w:t>Particulars of employees</w:t>
      </w:r>
    </w:p>
    <w:p>
      <w:r>
        <w:t>The information required under section 197(12) of the Act read with the relevant rules is available for inspection by the members at the registered office.</w:t>
      </w:r>
    </w:p>
    <w:p>
      <w:pPr>
        <w:pStyle w:val="Heading2"/>
      </w:pPr>
      <w:r>
        <w:t>Investor contact</w:t>
      </w:r>
    </w:p>
    <w:p>
      <w:r>
        <w:t>Members may write to the Company Secretary at secretarial@velmora-pumps.example or to the Registrar and Share Transfer Agent at investors@sampledesk-registrars.example.</w:t>
      </w:r>
    </w:p>
    <w:p>
      <w:r>
        <w:t>Registered office: Plot 14, Sector 9, Examplepur Industrial Area, Examplepur, Zedland 999014</w:t>
      </w:r>
    </w:p>
    <w:p>
      <w:r>
        <w:t>For and on behalf of the Board of Directors of Velmora Pumps and Valves Limited</w:t>
      </w:r>
    </w:p>
    <w:p>
      <w:r>
        <w:t>Place: Zedland    Date: 14/05/2024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Synthetic benchmark generator</dc:creator>
  <cp:keywords/>
  <dc:description>Synthetic benchmark document. The company, its people and all figures are fictional.</dc:description>
  <cp:lastModifiedBy>Synthetic benchmark generator</cp:lastModifiedBy>
  <cp:revision>1</cp:revision>
  <dcterms:created xsi:type="dcterms:W3CDTF">2026-01-01T00:00:00Z</dcterms:created>
  <dcterms:modified xsi:type="dcterms:W3CDTF">2026-01-01T00:00:00Z</dcterms:modified>
  <cp:category/>
</cp:coreProperties>
</file>