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color w:val="auto"/>
          <w:sz w:val="44"/>
          <w:szCs w:val="80"/>
          <w:highlight w:val="none"/>
        </w:rPr>
      </w:pPr>
      <w:r>
        <w:rPr>
          <w:rFonts w:hint="eastAsia" w:ascii="宋体" w:hAnsi="宋体" w:eastAsia="宋体"/>
          <w:color w:val="auto"/>
          <w:sz w:val="44"/>
          <w:szCs w:val="80"/>
          <w:highlight w:val="none"/>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仿宋_GB2312" w:hAnsi="仿宋_GB2312" w:cs="仿宋_GB2312"/>
        </w:rPr>
      </w:pPr>
    </w:p>
    <w:p>
      <w:pPr>
        <w:ind w:firstLine="632" w:firstLineChars="200"/>
        <w:rPr>
          <w:rFonts w:hint="eastAsia" w:ascii="仿宋_GB2312" w:hAnsi="仿宋_GB2312" w:cs="仿宋_GB2312"/>
        </w:rPr>
      </w:pPr>
      <w:r>
        <w:rPr>
          <w:rFonts w:hint="eastAsia" w:ascii="仿宋_GB2312" w:hAnsi="仿宋_GB2312" w:cs="仿宋_GB2312"/>
        </w:rPr>
        <w:t>《最高人民检察院关于废止部分司法解释和司法解释性文件的决定》已于2010年5月31日由最高人民检察院第十一届检察委员会第三十六次会议通过，现予公布，自2010年11月19日起施行。</w:t>
      </w:r>
    </w:p>
    <w:p>
      <w:pPr>
        <w:ind w:firstLine="632" w:firstLineChars="200"/>
        <w:jc w:val="right"/>
        <w:rPr>
          <w:rFonts w:hint="eastAsia" w:ascii="仿宋_GB2312" w:hAnsi="仿宋_GB2312" w:cs="仿宋_GB2312"/>
          <w:lang w:eastAsia="zh-CN"/>
        </w:rPr>
      </w:pPr>
    </w:p>
    <w:p>
      <w:pPr>
        <w:ind w:firstLine="632" w:firstLineChars="200"/>
        <w:jc w:val="right"/>
        <w:rPr>
          <w:rFonts w:hint="eastAsia" w:ascii="仿宋_GB2312" w:hAnsi="仿宋_GB2312" w:cs="仿宋_GB2312"/>
          <w:lang w:eastAsia="zh-CN"/>
        </w:rPr>
      </w:pPr>
    </w:p>
    <w:p>
      <w:pPr>
        <w:wordWrap w:val="0"/>
        <w:ind w:firstLine="632" w:firstLineChars="200"/>
        <w:jc w:val="right"/>
        <w:rPr>
          <w:rFonts w:hint="eastAsia" w:ascii="仿宋_GB2312" w:hAnsi="仿宋_GB2312" w:eastAsia="仿宋_GB2312" w:cs="仿宋_GB2312"/>
          <w:lang w:eastAsia="zh-CN"/>
        </w:rPr>
      </w:pPr>
      <w:r>
        <w:rPr>
          <w:rFonts w:hint="eastAsia" w:ascii="仿宋_GB2312" w:hAnsi="仿宋_GB2312" w:cs="仿宋_GB2312"/>
          <w:lang w:eastAsia="zh-CN"/>
        </w:rPr>
        <w:t>最高人民检察院</w:t>
      </w:r>
      <w:r>
        <w:rPr>
          <w:rFonts w:hint="eastAsia" w:ascii="仿宋_GB2312" w:hAnsi="仿宋_GB2312" w:cs="仿宋_GB2312"/>
          <w:lang w:val="en-US" w:eastAsia="zh-CN"/>
        </w:rPr>
        <w:t xml:space="preserve">    </w:t>
      </w:r>
    </w:p>
    <w:p>
      <w:pPr>
        <w:wordWrap w:val="0"/>
        <w:ind w:firstLine="632" w:firstLineChars="200"/>
        <w:jc w:val="right"/>
        <w:rPr>
          <w:rFonts w:hint="eastAsia" w:ascii="仿宋_GB2312" w:hAnsi="仿宋_GB2312" w:cs="仿宋_GB2312"/>
        </w:rPr>
      </w:pPr>
      <w:r>
        <w:rPr>
          <w:rFonts w:ascii="仿宋_GB2312" w:hAnsi="仿宋_GB2312" w:cs="仿宋_GB2312"/>
        </w:rPr>
        <w:t>2010</w:t>
      </w:r>
      <w:r>
        <w:rPr>
          <w:rFonts w:hint="eastAsia" w:ascii="仿宋_GB2312" w:hAnsi="仿宋_GB2312" w:cs="仿宋_GB2312"/>
        </w:rPr>
        <w:t>年</w:t>
      </w:r>
      <w:r>
        <w:rPr>
          <w:rFonts w:ascii="仿宋_GB2312" w:hAnsi="仿宋_GB2312" w:cs="仿宋_GB2312"/>
        </w:rPr>
        <w:t>11</w:t>
      </w:r>
      <w:r>
        <w:rPr>
          <w:rFonts w:hint="eastAsia" w:ascii="仿宋_GB2312" w:hAnsi="仿宋_GB2312" w:cs="仿宋_GB2312"/>
        </w:rPr>
        <w:t>月</w:t>
      </w:r>
      <w:r>
        <w:rPr>
          <w:rFonts w:ascii="仿宋_GB2312" w:hAnsi="仿宋_GB2312" w:cs="仿宋_GB2312"/>
        </w:rPr>
        <w:t>19</w:t>
      </w:r>
      <w:r>
        <w:rPr>
          <w:rFonts w:hint="eastAsia" w:ascii="仿宋_GB2312" w:hAnsi="仿宋_GB2312" w:cs="仿宋_GB2312"/>
        </w:rPr>
        <w:t>日</w:t>
      </w:r>
      <w:r>
        <w:rPr>
          <w:rFonts w:hint="eastAsia" w:ascii="仿宋_GB2312" w:hAnsi="仿宋_GB2312" w:cs="仿宋_GB2312"/>
          <w:lang w:val="en-US" w:eastAsia="zh-CN"/>
        </w:rPr>
        <w:t xml:space="preserve">    </w:t>
      </w:r>
    </w:p>
    <w:p>
      <w:pPr>
        <w:ind w:firstLine="632" w:firstLineChars="200"/>
        <w:rPr>
          <w:rFonts w:hint="eastAsia" w:ascii="仿宋_GB2312" w:hAnsi="仿宋_GB2312" w:cs="仿宋_GB2312"/>
        </w:rPr>
      </w:pP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rPr>
      </w:pPr>
    </w:p>
    <w:p>
      <w:pPr>
        <w:rPr>
          <w:rFonts w:hint="eastAsia"/>
        </w:rPr>
      </w:pPr>
    </w:p>
    <w:p>
      <w:pPr>
        <w:autoSpaceDN w:val="0"/>
        <w:spacing w:line="360" w:lineRule="atLeast"/>
        <w:jc w:val="center"/>
        <w:rPr>
          <w:rFonts w:ascii="宋体" w:hAnsi="宋体" w:eastAsia="宋体"/>
          <w:color w:val="000000"/>
          <w:sz w:val="44"/>
          <w:szCs w:val="44"/>
        </w:rPr>
      </w:pPr>
      <w:r>
        <w:rPr>
          <w:rFonts w:ascii="宋体" w:hAnsi="宋体" w:eastAsia="宋体"/>
          <w:color w:val="000000"/>
          <w:sz w:val="44"/>
          <w:szCs w:val="44"/>
        </w:rPr>
        <w:t>最高人民检察院关于废止部分司法解释</w:t>
      </w:r>
    </w:p>
    <w:p>
      <w:pPr>
        <w:autoSpaceDN w:val="0"/>
        <w:spacing w:line="360" w:lineRule="atLeast"/>
        <w:jc w:val="center"/>
        <w:rPr>
          <w:rFonts w:ascii="宋体" w:hAnsi="宋体" w:eastAsia="宋体"/>
          <w:color w:val="000000"/>
          <w:sz w:val="44"/>
          <w:szCs w:val="44"/>
        </w:rPr>
      </w:pPr>
      <w:r>
        <w:rPr>
          <w:rFonts w:ascii="宋体" w:hAnsi="宋体" w:eastAsia="宋体"/>
          <w:color w:val="000000"/>
          <w:sz w:val="44"/>
          <w:szCs w:val="44"/>
        </w:rPr>
        <w:t>和司法解释性文件的决定</w:t>
      </w:r>
    </w:p>
    <w:p>
      <w:pPr>
        <w:autoSpaceDN w:val="0"/>
        <w:spacing w:line="360" w:lineRule="atLeast"/>
        <w:jc w:val="center"/>
        <w:rPr>
          <w:rFonts w:hint="eastAsia" w:ascii="楷体_GB2312" w:hAnsi="楷体_GB2312" w:eastAsia="楷体_GB2312" w:cs="楷体_GB2312"/>
          <w:color w:val="000000"/>
          <w:szCs w:val="32"/>
        </w:rPr>
      </w:pPr>
    </w:p>
    <w:p>
      <w:pPr>
        <w:autoSpaceDN w:val="0"/>
        <w:spacing w:line="360" w:lineRule="atLeast"/>
        <w:jc w:val="center"/>
        <w:rPr>
          <w:rFonts w:hint="eastAsia" w:ascii="楷体_GB2312" w:hAnsi="楷体_GB2312" w:eastAsia="楷体_GB2312" w:cs="楷体_GB2312"/>
          <w:color w:val="000000"/>
          <w:szCs w:val="32"/>
        </w:rPr>
      </w:pPr>
    </w:p>
    <w:p>
      <w:pPr>
        <w:autoSpaceDN w:val="0"/>
        <w:spacing w:line="360" w:lineRule="atLeast"/>
        <w:jc w:val="center"/>
        <w:rPr>
          <w:rFonts w:hint="eastAsia" w:ascii="楷体_GB2312" w:hAnsi="楷体_GB2312" w:eastAsia="楷体_GB2312" w:cs="楷体_GB2312"/>
          <w:color w:val="000000"/>
          <w:szCs w:val="32"/>
          <w:lang w:val="en-US" w:eastAsia="zh-CN"/>
        </w:rPr>
      </w:pPr>
      <w:r>
        <w:rPr>
          <w:rFonts w:hint="eastAsia" w:ascii="楷体_GB2312" w:hAnsi="楷体_GB2312" w:eastAsia="楷体_GB2312" w:cs="楷体_GB2312"/>
          <w:color w:val="000000"/>
          <w:szCs w:val="32"/>
          <w:lang w:eastAsia="zh-CN"/>
        </w:rPr>
        <w:t>（2010年5月31日</w:t>
      </w:r>
      <w:r>
        <w:rPr>
          <w:rFonts w:hint="eastAsia" w:ascii="楷体_GB2312" w:hAnsi="楷体_GB2312" w:eastAsia="楷体_GB2312" w:cs="楷体_GB2312"/>
          <w:color w:val="000000"/>
          <w:szCs w:val="32"/>
          <w:lang w:val="en-US" w:eastAsia="zh-CN"/>
        </w:rPr>
        <w:t>最高人民检察院第十一届检察委员会</w:t>
      </w:r>
    </w:p>
    <w:p>
      <w:pPr>
        <w:autoSpaceDN w:val="0"/>
        <w:spacing w:line="360" w:lineRule="atLeast"/>
        <w:jc w:val="center"/>
        <w:rPr>
          <w:rFonts w:hint="eastAsia" w:ascii="楷体_GB2312" w:hAnsi="楷体_GB2312" w:eastAsia="楷体_GB2312" w:cs="楷体_GB2312"/>
          <w:color w:val="000000"/>
          <w:szCs w:val="32"/>
          <w:lang w:eastAsia="zh-CN"/>
        </w:rPr>
      </w:pPr>
      <w:r>
        <w:rPr>
          <w:rFonts w:hint="eastAsia" w:ascii="楷体_GB2312" w:hAnsi="楷体_GB2312" w:eastAsia="楷体_GB2312" w:cs="楷体_GB2312"/>
          <w:color w:val="000000"/>
          <w:szCs w:val="32"/>
          <w:lang w:val="en-US" w:eastAsia="zh-CN"/>
        </w:rPr>
        <w:t>第三十六次会议通过</w:t>
      </w:r>
      <w:r>
        <w:rPr>
          <w:rFonts w:hint="eastAsia" w:ascii="楷体_GB2312" w:hAnsi="楷体_GB2312" w:eastAsia="楷体_GB2312" w:cs="楷体_GB2312"/>
          <w:color w:val="000000"/>
          <w:szCs w:val="32"/>
          <w:lang w:eastAsia="zh-CN"/>
        </w:rPr>
        <w:t>）</w:t>
      </w:r>
    </w:p>
    <w:p>
      <w:pPr>
        <w:autoSpaceDN w:val="0"/>
        <w:spacing w:line="360" w:lineRule="atLeast"/>
        <w:jc w:val="center"/>
        <w:rPr>
          <w:rFonts w:hint="eastAsia" w:ascii="宋体" w:hAnsi="宋体" w:eastAsia="宋体" w:cs="宋体"/>
          <w:color w:val="000000"/>
          <w:szCs w:val="32"/>
          <w:lang w:eastAsia="zh-CN"/>
        </w:rPr>
      </w:pPr>
    </w:p>
    <w:p>
      <w:pPr>
        <w:jc w:val="center"/>
        <w:rPr>
          <w:rFonts w:hint="eastAsia" w:ascii="仿宋_GB2312" w:hAnsi="仿宋_GB2312"/>
        </w:rPr>
      </w:pPr>
      <w:r>
        <w:rPr>
          <w:rFonts w:hint="eastAsia" w:ascii="仿宋_GB2312" w:hAnsi="仿宋_GB2312"/>
        </w:rPr>
        <w:t>高检发释字〔2010〕1号</w:t>
      </w:r>
    </w:p>
    <w:p>
      <w:pPr>
        <w:ind w:firstLine="872" w:firstLineChars="200"/>
        <w:rPr>
          <w:rFonts w:hint="eastAsia"/>
          <w:sz w:val="44"/>
        </w:rPr>
      </w:pPr>
    </w:p>
    <w:p>
      <w:pPr>
        <w:ind w:firstLine="632" w:firstLineChars="200"/>
        <w:rPr>
          <w:rFonts w:hint="eastAsia" w:ascii="仿宋_GB2312" w:hAnsi="仿宋_GB2312"/>
        </w:rPr>
      </w:pPr>
      <w:r>
        <w:rPr>
          <w:rFonts w:hint="eastAsia" w:ascii="仿宋_GB2312" w:hAnsi="仿宋_GB2312"/>
        </w:rPr>
        <w:t>为了适应形势发展的需要，保证国家法律的统一正确实施，最高人民检察院对2008年底</w:t>
      </w:r>
      <w:r>
        <w:rPr>
          <w:rFonts w:hint="eastAsia" w:ascii="仿宋_GB2312" w:hAnsi="仿宋_GB2312"/>
          <w:color w:val="auto"/>
          <w:highlight w:val="none"/>
          <w:lang w:eastAsia="zh-CN"/>
        </w:rPr>
        <w:t>以前</w:t>
      </w:r>
      <w:r>
        <w:rPr>
          <w:rFonts w:hint="eastAsia" w:ascii="仿宋_GB2312" w:hAnsi="仿宋_GB2312"/>
          <w:color w:val="auto"/>
          <w:highlight w:val="none"/>
        </w:rPr>
        <w:t>单独制发</w:t>
      </w:r>
      <w:r>
        <w:rPr>
          <w:rFonts w:hint="eastAsia" w:ascii="仿宋_GB2312" w:hAnsi="仿宋_GB2312"/>
        </w:rPr>
        <w:t>和联合其他</w:t>
      </w:r>
      <w:r>
        <w:rPr>
          <w:rFonts w:hint="eastAsia" w:ascii="仿宋_GB2312" w:hAnsi="仿宋_GB2312"/>
          <w:lang w:eastAsia="zh-CN"/>
        </w:rPr>
        <w:t>部门</w:t>
      </w:r>
      <w:r>
        <w:rPr>
          <w:rFonts w:hint="eastAsia" w:ascii="仿宋_GB2312" w:hAnsi="仿宋_GB2312"/>
        </w:rPr>
        <w:t>制发的司法解释和司法解释性文件进行了集中清理。现决定：</w:t>
      </w:r>
    </w:p>
    <w:p>
      <w:pPr>
        <w:numPr>
          <w:ilvl w:val="0"/>
          <w:numId w:val="1"/>
        </w:numPr>
        <w:ind w:firstLine="632" w:firstLineChars="200"/>
        <w:rPr>
          <w:rFonts w:hint="eastAsia" w:ascii="仿宋_GB2312" w:hAnsi="仿宋_GB2312"/>
        </w:rPr>
      </w:pPr>
      <w:r>
        <w:rPr>
          <w:rFonts w:hint="eastAsia" w:ascii="仿宋_GB2312" w:hAnsi="仿宋_GB2312"/>
        </w:rPr>
        <w:t>对最高人民检察院单独制发的</w:t>
      </w:r>
      <w:r>
        <w:rPr>
          <w:rFonts w:hint="eastAsia" w:ascii="仿宋_GB2312" w:hAnsi="仿宋_GB2312"/>
          <w:color w:val="auto"/>
          <w:highlight w:val="none"/>
          <w:lang w:val="en-US" w:eastAsia="zh-CN"/>
        </w:rPr>
        <w:t>14</w:t>
      </w:r>
      <w:r>
        <w:rPr>
          <w:rFonts w:hint="eastAsia" w:ascii="仿宋_GB2312" w:hAnsi="仿宋_GB2312"/>
        </w:rPr>
        <w:t>件司法解释和司法解释性文件予以废止（见附件</w:t>
      </w:r>
      <w:r>
        <w:rPr>
          <w:rFonts w:hint="eastAsia" w:ascii="仿宋_GB2312" w:hAnsi="仿宋_GB2312"/>
          <w:color w:val="auto"/>
          <w:highlight w:val="none"/>
        </w:rPr>
        <w:t>1）</w:t>
      </w:r>
      <w:r>
        <w:rPr>
          <w:rFonts w:hint="eastAsia" w:ascii="仿宋_GB2312" w:hAnsi="仿宋_GB2312"/>
        </w:rPr>
        <w:t>。</w:t>
      </w:r>
    </w:p>
    <w:p>
      <w:pPr>
        <w:numPr>
          <w:ilvl w:val="0"/>
          <w:numId w:val="1"/>
        </w:numPr>
        <w:ind w:firstLine="632" w:firstLineChars="200"/>
        <w:rPr>
          <w:rFonts w:hint="eastAsia" w:ascii="仿宋_GB2312" w:hAnsi="仿宋_GB2312"/>
        </w:rPr>
      </w:pPr>
      <w:r>
        <w:rPr>
          <w:rFonts w:hint="eastAsia" w:ascii="仿宋_GB2312" w:hAnsi="仿宋_GB2312"/>
        </w:rPr>
        <w:t>经征得有关</w:t>
      </w:r>
      <w:r>
        <w:rPr>
          <w:rFonts w:hint="eastAsia" w:ascii="仿宋_GB2312" w:hAnsi="仿宋_GB2312"/>
          <w:lang w:eastAsia="zh-CN"/>
        </w:rPr>
        <w:t>部门</w:t>
      </w:r>
      <w:r>
        <w:rPr>
          <w:rFonts w:hint="eastAsia" w:ascii="仿宋_GB2312" w:hAnsi="仿宋_GB2312"/>
        </w:rPr>
        <w:t>同意，对由最高人民检察院与有关</w:t>
      </w:r>
      <w:r>
        <w:rPr>
          <w:rFonts w:hint="eastAsia" w:ascii="仿宋_GB2312" w:hAnsi="仿宋_GB2312"/>
          <w:color w:val="auto"/>
          <w:highlight w:val="none"/>
          <w:lang w:eastAsia="zh-CN"/>
        </w:rPr>
        <w:t>部门</w:t>
      </w:r>
      <w:r>
        <w:rPr>
          <w:rFonts w:hint="eastAsia" w:ascii="仿宋_GB2312" w:hAnsi="仿宋_GB2312"/>
        </w:rPr>
        <w:t>联合制发的2件司法解释和司法解释性文件予以废止（见附件</w:t>
      </w:r>
      <w:r>
        <w:rPr>
          <w:rFonts w:hint="eastAsia" w:ascii="仿宋_GB2312" w:hAnsi="仿宋_GB2312"/>
          <w:color w:val="auto"/>
          <w:highlight w:val="none"/>
        </w:rPr>
        <w:t>2）</w:t>
      </w:r>
      <w:r>
        <w:rPr>
          <w:rFonts w:hint="eastAsia" w:ascii="仿宋_GB2312" w:hAnsi="仿宋_GB2312"/>
        </w:rPr>
        <w:t>。</w:t>
      </w:r>
    </w:p>
    <w:p>
      <w:pPr>
        <w:numPr>
          <w:ilvl w:val="0"/>
          <w:numId w:val="1"/>
        </w:numPr>
        <w:ind w:firstLine="632" w:firstLineChars="200"/>
        <w:rPr>
          <w:rFonts w:hint="eastAsia" w:ascii="仿宋_GB2312" w:hAnsi="仿宋_GB2312"/>
        </w:rPr>
      </w:pPr>
      <w:r>
        <w:rPr>
          <w:rFonts w:hint="eastAsia" w:ascii="仿宋_GB2312" w:hAnsi="仿宋_GB2312"/>
        </w:rPr>
        <w:t>为便于工作和查询，对最高人民检察院</w:t>
      </w:r>
      <w:r>
        <w:rPr>
          <w:rFonts w:hint="eastAsia" w:ascii="仿宋_GB2312" w:hAnsi="仿宋_GB2312"/>
          <w:color w:val="auto"/>
          <w:highlight w:val="none"/>
        </w:rPr>
        <w:t>单独</w:t>
      </w:r>
      <w:r>
        <w:rPr>
          <w:rFonts w:hint="eastAsia" w:ascii="仿宋_GB2312" w:hAnsi="仿宋_GB2312"/>
          <w:color w:val="auto"/>
          <w:highlight w:val="none"/>
          <w:lang w:eastAsia="zh-CN"/>
        </w:rPr>
        <w:t>制发</w:t>
      </w:r>
      <w:r>
        <w:rPr>
          <w:rFonts w:hint="eastAsia" w:ascii="仿宋_GB2312" w:hAnsi="仿宋_GB2312"/>
          <w:color w:val="auto"/>
          <w:highlight w:val="none"/>
        </w:rPr>
        <w:t>或</w:t>
      </w:r>
      <w:r>
        <w:rPr>
          <w:rFonts w:hint="eastAsia" w:ascii="仿宋_GB2312" w:hAnsi="仿宋_GB2312"/>
          <w:color w:val="auto"/>
          <w:highlight w:val="none"/>
          <w:lang w:eastAsia="zh-CN"/>
        </w:rPr>
        <w:t>者</w:t>
      </w:r>
      <w:r>
        <w:rPr>
          <w:rFonts w:hint="eastAsia" w:ascii="仿宋_GB2312" w:hAnsi="仿宋_GB2312"/>
          <w:color w:val="auto"/>
          <w:highlight w:val="none"/>
        </w:rPr>
        <w:t>联合</w:t>
      </w:r>
      <w:r>
        <w:rPr>
          <w:rFonts w:hint="eastAsia" w:ascii="仿宋_GB2312" w:hAnsi="仿宋_GB2312"/>
          <w:color w:val="auto"/>
          <w:highlight w:val="none"/>
          <w:lang w:eastAsia="zh-CN"/>
        </w:rPr>
        <w:t>其他部门</w:t>
      </w:r>
      <w:r>
        <w:rPr>
          <w:rFonts w:hint="eastAsia" w:ascii="仿宋_GB2312" w:hAnsi="仿宋_GB2312"/>
        </w:rPr>
        <w:t>制发的文件中已经明确规定废止的</w:t>
      </w:r>
      <w:r>
        <w:rPr>
          <w:rFonts w:hint="eastAsia" w:ascii="仿宋_GB2312" w:hAnsi="仿宋_GB2312"/>
          <w:color w:val="auto"/>
          <w:highlight w:val="none"/>
          <w:lang w:val="en-US" w:eastAsia="zh-CN"/>
        </w:rPr>
        <w:t>10</w:t>
      </w:r>
      <w:r>
        <w:rPr>
          <w:rFonts w:hint="eastAsia" w:ascii="仿宋_GB2312" w:hAnsi="仿宋_GB2312"/>
          <w:color w:val="auto"/>
          <w:highlight w:val="none"/>
        </w:rPr>
        <w:t>件</w:t>
      </w:r>
      <w:r>
        <w:rPr>
          <w:rFonts w:hint="eastAsia" w:ascii="仿宋_GB2312" w:hAnsi="仿宋_GB2312"/>
        </w:rPr>
        <w:t>司法解释和司法解释性文件目录，予以统一公布（见附件</w:t>
      </w:r>
      <w:r>
        <w:rPr>
          <w:rFonts w:hint="eastAsia" w:ascii="仿宋_GB2312" w:hAnsi="仿宋_GB2312"/>
          <w:lang w:val="en-US" w:eastAsia="zh-CN"/>
        </w:rPr>
        <w:t>3</w:t>
      </w:r>
      <w:r>
        <w:rPr>
          <w:rFonts w:hint="eastAsia" w:ascii="仿宋_GB2312" w:hAnsi="仿宋_GB2312"/>
        </w:rPr>
        <w:t>）。</w:t>
      </w:r>
    </w:p>
    <w:p>
      <w:pPr>
        <w:ind w:firstLine="632" w:firstLineChars="200"/>
        <w:rPr>
          <w:rFonts w:hint="eastAsia" w:ascii="仿宋_GB2312" w:hAnsi="仿宋_GB2312"/>
        </w:rPr>
      </w:pPr>
    </w:p>
    <w:p>
      <w:pPr>
        <w:rPr>
          <w:rFonts w:hint="eastAsia" w:ascii="黑体" w:hAnsi="黑体" w:eastAsia="黑体"/>
          <w:bCs/>
          <w:highlight w:val="none"/>
        </w:rPr>
      </w:pPr>
      <w:r>
        <w:rPr>
          <w:rFonts w:hint="eastAsia" w:ascii="黑体" w:hAnsi="黑体" w:eastAsia="黑体"/>
          <w:bCs/>
        </w:rPr>
        <w:t>附件1</w:t>
      </w:r>
      <w:r>
        <w:rPr>
          <w:rFonts w:hint="eastAsia" w:ascii="黑体" w:hAnsi="黑体" w:eastAsia="黑体"/>
          <w:bCs/>
          <w:color w:val="auto"/>
          <w:highlight w:val="none"/>
        </w:rPr>
        <w:t>:</w:t>
      </w:r>
    </w:p>
    <w:p>
      <w:pPr>
        <w:rPr>
          <w:rFonts w:hint="eastAsia" w:ascii="黑体" w:hAnsi="黑体" w:eastAsia="黑体"/>
          <w:bCs/>
        </w:rPr>
      </w:pPr>
    </w:p>
    <w:p>
      <w:pPr>
        <w:ind w:right="-129" w:rightChars="-41"/>
        <w:jc w:val="center"/>
        <w:rPr>
          <w:rFonts w:hint="eastAsia" w:ascii="宋体" w:hAnsi="宋体" w:eastAsia="宋体" w:cs="宋体"/>
          <w:bCs/>
          <w:sz w:val="44"/>
          <w:szCs w:val="44"/>
        </w:rPr>
      </w:pPr>
      <w:r>
        <w:rPr>
          <w:rFonts w:hint="eastAsia" w:ascii="宋体" w:hAnsi="宋体" w:eastAsia="宋体" w:cs="宋体"/>
          <w:bCs/>
          <w:sz w:val="44"/>
          <w:szCs w:val="44"/>
        </w:rPr>
        <w:t>最高人民检察院决定废止的单独制发的</w:t>
      </w:r>
    </w:p>
    <w:p>
      <w:pPr>
        <w:ind w:right="-129" w:rightChars="-41"/>
        <w:jc w:val="center"/>
        <w:rPr>
          <w:rFonts w:hint="eastAsia" w:ascii="宋体" w:hAnsi="宋体" w:eastAsia="宋体" w:cs="宋体"/>
          <w:bCs/>
          <w:sz w:val="44"/>
          <w:szCs w:val="44"/>
        </w:rPr>
      </w:pPr>
      <w:r>
        <w:rPr>
          <w:rFonts w:hint="eastAsia" w:ascii="宋体" w:hAnsi="宋体" w:eastAsia="宋体" w:cs="宋体"/>
          <w:bCs/>
          <w:sz w:val="44"/>
          <w:szCs w:val="44"/>
        </w:rPr>
        <w:t>司法解释和司法解释性文件目录</w:t>
      </w:r>
    </w:p>
    <w:p>
      <w:pPr>
        <w:jc w:val="center"/>
        <w:rPr>
          <w:rFonts w:hint="eastAsia" w:ascii="楷体_GB2312" w:hAnsi="楷体_GB2312" w:eastAsia="楷体_GB2312" w:cs="楷体_GB2312"/>
        </w:rPr>
      </w:pPr>
      <w:r>
        <w:rPr>
          <w:rFonts w:hint="eastAsia" w:ascii="楷体_GB2312" w:hAnsi="楷体_GB2312" w:eastAsia="楷体_GB2312" w:cs="楷体_GB2312"/>
        </w:rPr>
        <w:t>（</w:t>
      </w:r>
      <w:r>
        <w:rPr>
          <w:rFonts w:hint="eastAsia" w:ascii="楷体_GB2312" w:hAnsi="楷体_GB2312" w:eastAsia="楷体_GB2312" w:cs="楷体_GB2312"/>
          <w:color w:val="auto"/>
          <w:highlight w:val="none"/>
          <w:lang w:val="en-US" w:eastAsia="zh-CN"/>
        </w:rPr>
        <w:t>14</w:t>
      </w:r>
      <w:r>
        <w:rPr>
          <w:rFonts w:hint="eastAsia" w:ascii="楷体_GB2312" w:hAnsi="楷体_GB2312" w:eastAsia="楷体_GB2312" w:cs="楷体_GB2312"/>
          <w:color w:val="auto"/>
          <w:highlight w:val="none"/>
        </w:rPr>
        <w:t>件</w:t>
      </w:r>
      <w:r>
        <w:rPr>
          <w:rFonts w:hint="eastAsia" w:ascii="楷体_GB2312" w:hAnsi="楷体_GB2312" w:eastAsia="楷体_GB2312" w:cs="楷体_GB2312"/>
        </w:rPr>
        <w:t>）</w:t>
      </w:r>
    </w:p>
    <w:p>
      <w:pPr>
        <w:jc w:val="center"/>
        <w:rPr>
          <w:rFonts w:hint="eastAsia" w:ascii="楷体_GB2312" w:hAnsi="楷体_GB2312" w:eastAsia="楷体_GB2312" w:cs="楷体_GB2312"/>
        </w:rPr>
      </w:pPr>
    </w:p>
    <w:tbl>
      <w:tblPr>
        <w:tblStyle w:val="11"/>
        <w:tblW w:w="961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3178"/>
        <w:gridCol w:w="1725"/>
        <w:gridCol w:w="4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jc w:val="center"/>
        </w:trPr>
        <w:tc>
          <w:tcPr>
            <w:tcW w:w="630" w:type="dxa"/>
            <w:vAlign w:val="center"/>
          </w:tcPr>
          <w:p>
            <w:pPr>
              <w:spacing w:line="260" w:lineRule="exact"/>
              <w:jc w:val="center"/>
              <w:rPr>
                <w:rFonts w:hint="eastAsia" w:ascii="宋体" w:hAnsi="宋体" w:eastAsia="宋体" w:cs="宋体"/>
                <w:b/>
                <w:color w:val="auto"/>
                <w:sz w:val="21"/>
                <w:szCs w:val="21"/>
                <w:highlight w:val="none"/>
              </w:rPr>
            </w:pPr>
            <w:r>
              <w:rPr>
                <w:rFonts w:hint="eastAsia" w:ascii="宋体" w:hAnsi="宋体" w:eastAsia="宋体" w:cs="宋体"/>
                <w:b/>
                <w:color w:val="auto"/>
                <w:sz w:val="21"/>
                <w:szCs w:val="21"/>
                <w:highlight w:val="none"/>
              </w:rPr>
              <w:t>序号</w:t>
            </w:r>
          </w:p>
        </w:tc>
        <w:tc>
          <w:tcPr>
            <w:tcW w:w="3178" w:type="dxa"/>
            <w:vAlign w:val="center"/>
          </w:tcPr>
          <w:p>
            <w:pPr>
              <w:spacing w:line="260" w:lineRule="exact"/>
              <w:jc w:val="center"/>
              <w:rPr>
                <w:rFonts w:hint="eastAsia" w:ascii="宋体" w:hAnsi="宋体" w:eastAsia="宋体" w:cs="宋体"/>
                <w:b/>
                <w:color w:val="auto"/>
                <w:sz w:val="21"/>
                <w:szCs w:val="21"/>
                <w:highlight w:val="none"/>
              </w:rPr>
            </w:pPr>
            <w:r>
              <w:rPr>
                <w:rFonts w:hint="eastAsia" w:ascii="宋体" w:hAnsi="宋体" w:eastAsia="宋体" w:cs="宋体"/>
                <w:b/>
                <w:color w:val="auto"/>
                <w:sz w:val="21"/>
                <w:szCs w:val="21"/>
                <w:highlight w:val="none"/>
              </w:rPr>
              <w:t>司法解释和司法解释性文件名称</w:t>
            </w:r>
          </w:p>
        </w:tc>
        <w:tc>
          <w:tcPr>
            <w:tcW w:w="1725" w:type="dxa"/>
            <w:vAlign w:val="center"/>
          </w:tcPr>
          <w:p>
            <w:pPr>
              <w:spacing w:line="260" w:lineRule="exact"/>
              <w:jc w:val="center"/>
              <w:rPr>
                <w:rFonts w:hint="eastAsia" w:ascii="宋体" w:hAnsi="宋体" w:eastAsia="宋体" w:cs="宋体"/>
                <w:b/>
                <w:color w:val="auto"/>
                <w:sz w:val="21"/>
                <w:szCs w:val="21"/>
                <w:highlight w:val="none"/>
              </w:rPr>
            </w:pPr>
            <w:r>
              <w:rPr>
                <w:rFonts w:hint="eastAsia" w:ascii="宋体" w:hAnsi="宋体" w:eastAsia="宋体" w:cs="宋体"/>
                <w:b/>
                <w:color w:val="auto"/>
                <w:sz w:val="21"/>
                <w:szCs w:val="21"/>
                <w:highlight w:val="none"/>
              </w:rPr>
              <w:t>发文日期</w:t>
            </w:r>
            <w:r>
              <w:rPr>
                <w:rFonts w:hint="eastAsia" w:ascii="宋体" w:hAnsi="宋体" w:eastAsia="宋体" w:cs="宋体"/>
                <w:b/>
                <w:color w:val="auto"/>
                <w:sz w:val="21"/>
                <w:szCs w:val="21"/>
                <w:highlight w:val="none"/>
                <w:lang w:eastAsia="zh-CN"/>
              </w:rPr>
              <w:t>、</w:t>
            </w:r>
            <w:r>
              <w:rPr>
                <w:rFonts w:hint="eastAsia" w:ascii="宋体" w:hAnsi="宋体" w:eastAsia="宋体" w:cs="宋体"/>
                <w:b/>
                <w:color w:val="auto"/>
                <w:sz w:val="21"/>
                <w:szCs w:val="21"/>
                <w:highlight w:val="none"/>
              </w:rPr>
              <w:t>文号</w:t>
            </w:r>
          </w:p>
        </w:tc>
        <w:tc>
          <w:tcPr>
            <w:tcW w:w="4080" w:type="dxa"/>
            <w:vAlign w:val="center"/>
          </w:tcPr>
          <w:p>
            <w:pPr>
              <w:spacing w:line="260" w:lineRule="exact"/>
              <w:jc w:val="center"/>
              <w:rPr>
                <w:rFonts w:hint="eastAsia" w:ascii="宋体" w:hAnsi="宋体" w:eastAsia="宋体" w:cs="宋体"/>
                <w:b/>
                <w:color w:val="auto"/>
                <w:sz w:val="21"/>
                <w:szCs w:val="21"/>
                <w:highlight w:val="none"/>
              </w:rPr>
            </w:pPr>
            <w:r>
              <w:rPr>
                <w:rFonts w:hint="eastAsia" w:ascii="宋体" w:hAnsi="宋体" w:eastAsia="宋体" w:cs="宋体"/>
                <w:b/>
                <w:color w:val="auto"/>
                <w:sz w:val="21"/>
                <w:szCs w:val="21"/>
                <w:highlight w:val="none"/>
              </w:rP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5"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最高人民检察院关于缓刑期间被告人是否有政治权利等问题的批复</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1957年4月16日</w:t>
            </w:r>
          </w:p>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〔57〕高检四字第756号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批复的内容已被1983年3月5日全国人大常委会《关于县级以下人民代表大会代表直接选举的若干规定》、1984年3月24日全国人大常委会法制工作委员会、最高人民法院、最高人民检察院、公安部、司法部、民政部《关于正在服刑的罪犯和被羁押的人的选举权问题的联合通知》和刑法的相关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0"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2</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最高人民检察院关于改判“死刑”案件的几点意见</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1983年9月14日</w:t>
            </w:r>
          </w:p>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〔83〕高检发电10号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死刑的适用以及死刑案件的办理在刑法、刑事诉讼法和相关司法解释中已经作出明确规定。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3</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最高人民检察院关于如何理解全国人大常委会《关于严惩严重危害社会治安的犯罪分子的决定》第一条第六项规定的答复</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1984年8月2日         〔84〕高检研函第12号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该答复所依据的1983年9月2日全国人大常委会《关于严惩严重危害社会治安的犯罪分子的决定》已被废止。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4</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最高人民检察院转发最高人民法院《关于个人非法制造、销售他人注册商标标识而构成犯罪的应按假冒商标罪惩处的批复》的通知</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1985年6月3日          高检研发字〔1985〕第16号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该通知所转发的最高人民法院相关批复已被1997年1月28日《最高人民法院决定废止的19</w:t>
            </w:r>
            <w:r>
              <w:rPr>
                <w:rFonts w:hint="eastAsia" w:ascii="宋体" w:hAnsi="宋体" w:eastAsia="宋体" w:cs="宋体"/>
                <w:color w:val="auto"/>
                <w:sz w:val="21"/>
                <w:szCs w:val="21"/>
                <w:highlight w:val="none"/>
                <w:lang w:val="en-US" w:eastAsia="zh-CN"/>
              </w:rPr>
              <w:t>79</w:t>
            </w:r>
            <w:r>
              <w:rPr>
                <w:rFonts w:hint="eastAsia" w:ascii="宋体" w:hAnsi="宋体" w:eastAsia="宋体" w:cs="宋体"/>
                <w:color w:val="auto"/>
                <w:sz w:val="21"/>
                <w:szCs w:val="21"/>
                <w:highlight w:val="none"/>
                <w:lang w:val="zh-CN"/>
              </w:rPr>
              <w:t>年至1989年间发布的司法解释目录（第二批）》废止。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5</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最高人民检察院《人民检察院控告申诉检察工作细则（试行）》</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1986年12月10日</w:t>
            </w:r>
          </w:p>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〔86〕高检发（信）字第18号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工作细则（试行）的内容已被最高人民检察院1998年6月16日《人民检察院复查刑事申诉案件规定》、1999年1月18日《人民检察院刑事诉讼规则》、2002年11月5日《关于加强和改进控告申诉检察工作的决定》、2007年3月26日《人民检察院信访工作规定》和2009年4月23日《人民检察院举报工作规定》等司法解释和规范性文件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6</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最高人民检察院关于无证开采的小煤矿从业人员亦属于刑法第一百一十四条犯罪主体的批复</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1987年7月10日          高检二发字〔1987〕第36号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《中华人民共和国刑法修正案（六）》已经扩大了重大责任事故罪的主体范围。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7</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 xml:space="preserve">最高人民检察院关于无照施工经营者能否构成重大责任事故罪主体的批复       </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1988年3月18日         高检二发字〔1988〕第10号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《中华人民共和国刑法修正案（六）》已经扩大了重大责任事故罪的主体范围。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8</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最高人民检察院关于在押犯能否构成重大责任事故罪主体的批复</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1989年4月3日          高检监发字〔1989〕第1号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《中华人民共和国刑法修正案（六）》已经扩大了重大责任事故罪的主体范围。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5"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9</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 xml:space="preserve">最高人民检察院关于转发财政部《关于加强公检法部门罚没收入管理和保证办案经费的通知》的通知            </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1990年8月22日           高检发装字〔1990〕7号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 xml:space="preserve">该通知转发的财政部相关通知已被1997年9月8日财政部发布的《关于公布废止和失效的财政规章目录（第六批）的通知》废止。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jc w:val="center"/>
        </w:trPr>
        <w:tc>
          <w:tcPr>
            <w:tcW w:w="63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w:t>
            </w:r>
            <w:r>
              <w:rPr>
                <w:rFonts w:hint="eastAsia" w:ascii="宋体" w:hAnsi="宋体" w:eastAsia="宋体" w:cs="宋体"/>
                <w:color w:val="auto"/>
                <w:sz w:val="21"/>
                <w:szCs w:val="21"/>
                <w:highlight w:val="none"/>
                <w:lang w:val="en-US" w:eastAsia="zh-CN"/>
              </w:rPr>
              <w:t>0</w:t>
            </w:r>
          </w:p>
        </w:tc>
        <w:tc>
          <w:tcPr>
            <w:tcW w:w="3178"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最高人民检察院《人民检察院侦查贪污贿赂犯罪案件工作细则（试行）》</w:t>
            </w:r>
          </w:p>
        </w:tc>
        <w:tc>
          <w:tcPr>
            <w:tcW w:w="1725"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1991年4月8日          高检发〔1991〕23号</w:t>
            </w:r>
          </w:p>
        </w:tc>
        <w:tc>
          <w:tcPr>
            <w:tcW w:w="4080" w:type="dxa"/>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该工作细则（试行）的内容已被最高人民检察院1999年1月18日《人民检察院刑事诉讼规则》、1999年11月8日《关于检察机关反贪污贿赂工作若干问题的决定》、200</w:t>
            </w:r>
            <w:r>
              <w:rPr>
                <w:rFonts w:hint="eastAsia" w:ascii="宋体" w:hAnsi="宋体" w:eastAsia="宋体" w:cs="宋体"/>
                <w:color w:val="auto"/>
                <w:sz w:val="21"/>
                <w:szCs w:val="21"/>
                <w:highlight w:val="none"/>
                <w:lang w:val="en-US" w:eastAsia="zh-CN"/>
              </w:rPr>
              <w:t>4</w:t>
            </w:r>
            <w:r>
              <w:rPr>
                <w:rFonts w:hint="eastAsia" w:ascii="宋体" w:hAnsi="宋体" w:eastAsia="宋体" w:cs="宋体"/>
                <w:color w:val="auto"/>
                <w:sz w:val="21"/>
                <w:szCs w:val="21"/>
                <w:highlight w:val="none"/>
                <w:lang w:val="zh-CN"/>
              </w:rPr>
              <w:t>年</w:t>
            </w:r>
            <w:r>
              <w:rPr>
                <w:rFonts w:hint="eastAsia" w:ascii="宋体" w:hAnsi="宋体" w:eastAsia="宋体" w:cs="宋体"/>
                <w:color w:val="auto"/>
                <w:sz w:val="21"/>
                <w:szCs w:val="21"/>
                <w:highlight w:val="none"/>
                <w:lang w:val="en-US" w:eastAsia="zh-CN"/>
              </w:rPr>
              <w:t>6</w:t>
            </w:r>
            <w:r>
              <w:rPr>
                <w:rFonts w:hint="eastAsia" w:ascii="宋体" w:hAnsi="宋体" w:eastAsia="宋体" w:cs="宋体"/>
                <w:color w:val="auto"/>
                <w:sz w:val="21"/>
                <w:szCs w:val="21"/>
                <w:highlight w:val="none"/>
                <w:lang w:val="zh-CN"/>
              </w:rPr>
              <w:t>月</w:t>
            </w:r>
            <w:r>
              <w:rPr>
                <w:rFonts w:hint="eastAsia" w:ascii="宋体" w:hAnsi="宋体" w:eastAsia="宋体" w:cs="宋体"/>
                <w:color w:val="auto"/>
                <w:sz w:val="21"/>
                <w:szCs w:val="21"/>
                <w:highlight w:val="none"/>
                <w:lang w:val="en-US" w:eastAsia="zh-CN"/>
              </w:rPr>
              <w:t>24</w:t>
            </w:r>
            <w:r>
              <w:rPr>
                <w:rFonts w:hint="eastAsia" w:ascii="宋体" w:hAnsi="宋体" w:eastAsia="宋体" w:cs="宋体"/>
                <w:color w:val="auto"/>
                <w:sz w:val="21"/>
                <w:szCs w:val="21"/>
                <w:highlight w:val="none"/>
                <w:lang w:val="zh-CN"/>
              </w:rPr>
              <w:t>日《关于人民检察院办理直接受理立案侦查案件实行内部制约的若干规定》等文件的规定代替。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30" w:type="dxa"/>
            <w:tcBorders>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11</w:t>
            </w:r>
          </w:p>
        </w:tc>
        <w:tc>
          <w:tcPr>
            <w:tcW w:w="3178" w:type="dxa"/>
            <w:tcBorders>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最高人民检察院奖励举报有功人员暂行办法</w:t>
            </w:r>
          </w:p>
        </w:tc>
        <w:tc>
          <w:tcPr>
            <w:tcW w:w="1725" w:type="dxa"/>
            <w:tcBorders>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1994年5月11日         高检法举字〔1994〕1号</w:t>
            </w:r>
          </w:p>
        </w:tc>
        <w:tc>
          <w:tcPr>
            <w:tcW w:w="4080" w:type="dxa"/>
            <w:tcBorders>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该暂行办法已被2009年4月23日最高人民检察院《人民检察院举报工作规定》的相关内容代替。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63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12</w:t>
            </w:r>
          </w:p>
        </w:tc>
        <w:tc>
          <w:tcPr>
            <w:tcW w:w="3178"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最高人民检察院关于严格徇私舞弊案件免诉工作的通知</w:t>
            </w:r>
          </w:p>
        </w:tc>
        <w:tc>
          <w:tcPr>
            <w:tcW w:w="1725"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1995年8月20日         高检办发〔1995〕31号</w:t>
            </w:r>
          </w:p>
        </w:tc>
        <w:tc>
          <w:tcPr>
            <w:tcW w:w="408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刑事诉讼法已经取消免予起诉的规定，该通知不再适用。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2" w:hRule="atLeast"/>
          <w:jc w:val="center"/>
        </w:trPr>
        <w:tc>
          <w:tcPr>
            <w:tcW w:w="63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13</w:t>
            </w:r>
          </w:p>
        </w:tc>
        <w:tc>
          <w:tcPr>
            <w:tcW w:w="3178"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最高人民检察院《人民检察院举报工作规定》</w:t>
            </w:r>
          </w:p>
        </w:tc>
        <w:tc>
          <w:tcPr>
            <w:tcW w:w="1725"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1996年9月4日          高检发举字〔1996〕2号</w:t>
            </w:r>
          </w:p>
        </w:tc>
        <w:tc>
          <w:tcPr>
            <w:tcW w:w="408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该规定已被2009年4月23日最高人民检察院《人民检察院举报工作规定》代替。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63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center"/>
              <w:outlineLvl w:val="9"/>
              <w:rPr>
                <w:rFonts w:hint="eastAsia" w:ascii="宋体" w:hAnsi="宋体" w:eastAsia="宋体" w:cs="宋体"/>
                <w:color w:val="auto"/>
                <w:sz w:val="21"/>
                <w:szCs w:val="21"/>
                <w:highlight w:val="none"/>
                <w:lang w:val="zh-CN" w:eastAsia="zh-CN"/>
              </w:rPr>
            </w:pPr>
            <w:r>
              <w:rPr>
                <w:rFonts w:hint="eastAsia" w:ascii="宋体" w:hAnsi="宋体" w:eastAsia="宋体" w:cs="宋体"/>
                <w:color w:val="auto"/>
                <w:sz w:val="21"/>
                <w:szCs w:val="21"/>
                <w:highlight w:val="none"/>
                <w:lang w:val="en-US" w:eastAsia="zh-CN"/>
              </w:rPr>
              <w:t>14</w:t>
            </w:r>
          </w:p>
        </w:tc>
        <w:tc>
          <w:tcPr>
            <w:tcW w:w="3178"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最高人民检察院关于认真做好署名举报答复工作的通知</w:t>
            </w:r>
          </w:p>
        </w:tc>
        <w:tc>
          <w:tcPr>
            <w:tcW w:w="1725"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2001年3月29日</w:t>
            </w:r>
          </w:p>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jc w:val="left"/>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高检发控字〔2001〕1号</w:t>
            </w:r>
          </w:p>
        </w:tc>
        <w:tc>
          <w:tcPr>
            <w:tcW w:w="4080" w:type="dxa"/>
            <w:tcBorders>
              <w:top w:val="single" w:color="auto" w:sz="4" w:space="0"/>
              <w:left w:val="single" w:color="auto" w:sz="4" w:space="0"/>
              <w:bottom w:val="single" w:color="auto" w:sz="4" w:space="0"/>
              <w:right w:val="single" w:color="auto" w:sz="4" w:space="0"/>
            </w:tcBorders>
            <w:vAlign w:val="top"/>
          </w:tcPr>
          <w:p>
            <w:pPr>
              <w:keepNext w:val="0"/>
              <w:keepLines w:val="0"/>
              <w:pageBreakBefore w:val="0"/>
              <w:widowControl w:val="0"/>
              <w:kinsoku/>
              <w:wordWrap/>
              <w:overflowPunct/>
              <w:topLinePunct w:val="0"/>
              <w:autoSpaceDE w:val="0"/>
              <w:autoSpaceDN w:val="0"/>
              <w:bidi w:val="0"/>
              <w:adjustRightInd w:val="0"/>
              <w:snapToGrid w:val="0"/>
              <w:spacing w:line="260" w:lineRule="exact"/>
              <w:ind w:left="0" w:leftChars="0" w:right="0" w:rightChars="0" w:firstLine="0" w:firstLineChars="0"/>
              <w:outlineLvl w:val="9"/>
              <w:rPr>
                <w:rFonts w:hint="eastAsia" w:ascii="宋体" w:hAnsi="宋体" w:eastAsia="宋体" w:cs="宋体"/>
                <w:color w:val="auto"/>
                <w:sz w:val="21"/>
                <w:szCs w:val="21"/>
                <w:highlight w:val="none"/>
                <w:lang w:val="zh-CN"/>
              </w:rPr>
            </w:pPr>
            <w:r>
              <w:rPr>
                <w:rFonts w:hint="eastAsia" w:ascii="宋体" w:hAnsi="宋体" w:eastAsia="宋体" w:cs="宋体"/>
                <w:color w:val="auto"/>
                <w:sz w:val="21"/>
                <w:szCs w:val="21"/>
                <w:highlight w:val="none"/>
                <w:lang w:val="zh-CN"/>
              </w:rPr>
              <w:t>该通知已被2009年4月23日最高人民检察院《人民检察院举报工作规定》的相关内容代替。</w:t>
            </w:r>
          </w:p>
        </w:tc>
      </w:tr>
    </w:tbl>
    <w:p>
      <w:pPr>
        <w:keepNext w:val="0"/>
        <w:keepLines w:val="0"/>
        <w:pageBreakBefore w:val="0"/>
        <w:widowControl w:val="0"/>
        <w:kinsoku/>
        <w:wordWrap/>
        <w:overflowPunct/>
        <w:topLinePunct w:val="0"/>
        <w:bidi w:val="0"/>
        <w:adjustRightInd w:val="0"/>
        <w:snapToGrid w:val="0"/>
        <w:spacing w:line="260" w:lineRule="exact"/>
        <w:ind w:left="0" w:leftChars="0" w:right="0" w:rightChars="0" w:firstLine="0" w:firstLineChars="0"/>
        <w:textAlignment w:val="baseline"/>
        <w:outlineLvl w:val="9"/>
        <w:rPr>
          <w:rFonts w:hint="eastAsia" w:ascii="宋体" w:hAnsi="宋体"/>
          <w:sz w:val="21"/>
          <w:szCs w:val="21"/>
        </w:rPr>
      </w:pPr>
    </w:p>
    <w:p>
      <w:pPr>
        <w:spacing w:before="360" w:beforeLines="0" w:line="400" w:lineRule="exact"/>
        <w:textAlignment w:val="baseline"/>
        <w:rPr>
          <w:rFonts w:hint="eastAsia" w:ascii="黑体" w:hAnsi="黑体" w:eastAsia="黑体"/>
          <w:b/>
        </w:rPr>
      </w:pPr>
    </w:p>
    <w:p>
      <w:pPr>
        <w:rPr>
          <w:rFonts w:hint="eastAsia" w:ascii="黑体" w:hAnsi="黑体" w:eastAsia="黑体" w:cs="黑体"/>
          <w:color w:val="auto"/>
          <w:highlight w:val="none"/>
        </w:rPr>
      </w:pPr>
      <w:r>
        <w:rPr>
          <w:rFonts w:hint="eastAsia" w:ascii="黑体" w:hAnsi="黑体" w:eastAsia="黑体" w:cs="黑体"/>
        </w:rPr>
        <w:t>附件2</w:t>
      </w:r>
      <w:r>
        <w:rPr>
          <w:rFonts w:hint="eastAsia" w:ascii="黑体" w:hAnsi="黑体" w:eastAsia="黑体" w:cs="黑体"/>
          <w:color w:val="auto"/>
          <w:highlight w:val="none"/>
        </w:rPr>
        <w:t>：</w:t>
      </w:r>
    </w:p>
    <w:p>
      <w:pPr>
        <w:rPr>
          <w:rFonts w:hint="eastAsia" w:ascii="黑体" w:hAnsi="黑体" w:eastAsia="黑体" w:cs="黑体"/>
        </w:rPr>
      </w:pPr>
    </w:p>
    <w:p>
      <w:pPr>
        <w:jc w:val="center"/>
        <w:textAlignment w:val="baseline"/>
        <w:rPr>
          <w:rFonts w:hint="eastAsia" w:ascii="宋体" w:hAnsi="宋体" w:eastAsia="宋体" w:cs="宋体"/>
          <w:bCs/>
          <w:color w:val="auto"/>
          <w:sz w:val="44"/>
          <w:szCs w:val="44"/>
          <w:highlight w:val="none"/>
        </w:rPr>
      </w:pPr>
      <w:r>
        <w:rPr>
          <w:rFonts w:hint="eastAsia" w:ascii="宋体" w:hAnsi="宋体" w:eastAsia="宋体" w:cs="宋体"/>
          <w:bCs/>
          <w:sz w:val="44"/>
          <w:szCs w:val="44"/>
        </w:rPr>
        <w:t>最高人民检察院决定废止的与有关</w:t>
      </w:r>
      <w:r>
        <w:rPr>
          <w:rFonts w:hint="eastAsia" w:ascii="宋体" w:hAnsi="宋体" w:eastAsia="宋体" w:cs="宋体"/>
          <w:bCs/>
          <w:color w:val="auto"/>
          <w:sz w:val="44"/>
          <w:szCs w:val="44"/>
          <w:highlight w:val="none"/>
        </w:rPr>
        <w:t>部门</w:t>
      </w:r>
    </w:p>
    <w:p>
      <w:pPr>
        <w:jc w:val="center"/>
        <w:textAlignment w:val="baseline"/>
        <w:rPr>
          <w:rFonts w:hint="eastAsia" w:ascii="宋体" w:hAnsi="宋体" w:eastAsia="宋体" w:cs="宋体"/>
          <w:bCs/>
          <w:sz w:val="44"/>
          <w:szCs w:val="44"/>
        </w:rPr>
      </w:pPr>
      <w:r>
        <w:rPr>
          <w:rFonts w:hint="eastAsia" w:ascii="宋体" w:hAnsi="宋体" w:eastAsia="宋体" w:cs="宋体"/>
          <w:bCs/>
          <w:sz w:val="44"/>
          <w:szCs w:val="44"/>
        </w:rPr>
        <w:t>联合制发的司法解释和司法解释性文件目录</w:t>
      </w:r>
    </w:p>
    <w:p>
      <w:pPr>
        <w:jc w:val="center"/>
        <w:rPr>
          <w:rFonts w:hint="eastAsia" w:ascii="楷体_GB2312" w:hAnsi="楷体_GB2312" w:eastAsia="楷体_GB2312" w:cs="楷体_GB2312"/>
        </w:rPr>
      </w:pPr>
      <w:r>
        <w:rPr>
          <w:rFonts w:hint="eastAsia" w:ascii="楷体_GB2312" w:hAnsi="楷体_GB2312" w:eastAsia="楷体_GB2312" w:cs="楷体_GB2312"/>
        </w:rPr>
        <w:t>（2件）</w:t>
      </w:r>
    </w:p>
    <w:tbl>
      <w:tblPr>
        <w:tblStyle w:val="11"/>
        <w:tblW w:w="94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4"/>
        <w:gridCol w:w="3206"/>
        <w:gridCol w:w="2197"/>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654" w:type="dxa"/>
            <w:vAlign w:val="center"/>
          </w:tcPr>
          <w:p>
            <w:pPr>
              <w:spacing w:line="280" w:lineRule="exact"/>
              <w:jc w:val="center"/>
              <w:rPr>
                <w:rFonts w:hint="eastAsia" w:ascii="宋体" w:hAnsi="宋体" w:eastAsia="宋体" w:cs="宋体"/>
                <w:b/>
                <w:sz w:val="21"/>
                <w:szCs w:val="21"/>
              </w:rPr>
            </w:pPr>
            <w:r>
              <w:rPr>
                <w:rFonts w:hint="eastAsia" w:ascii="宋体" w:hAnsi="宋体" w:eastAsia="宋体" w:cs="宋体"/>
                <w:b/>
                <w:sz w:val="21"/>
                <w:szCs w:val="21"/>
              </w:rPr>
              <w:t>序号</w:t>
            </w:r>
          </w:p>
        </w:tc>
        <w:tc>
          <w:tcPr>
            <w:tcW w:w="3206" w:type="dxa"/>
            <w:vAlign w:val="center"/>
          </w:tcPr>
          <w:p>
            <w:pPr>
              <w:spacing w:line="280" w:lineRule="exact"/>
              <w:jc w:val="center"/>
              <w:rPr>
                <w:rFonts w:hint="eastAsia" w:ascii="宋体" w:hAnsi="宋体" w:eastAsia="宋体" w:cs="宋体"/>
                <w:b/>
                <w:sz w:val="21"/>
                <w:szCs w:val="21"/>
              </w:rPr>
            </w:pPr>
            <w:r>
              <w:rPr>
                <w:rFonts w:hint="eastAsia" w:ascii="宋体" w:hAnsi="宋体" w:eastAsia="宋体" w:cs="宋体"/>
                <w:b/>
                <w:sz w:val="21"/>
                <w:szCs w:val="21"/>
              </w:rPr>
              <w:t>司法解释和司法解释性文件名称</w:t>
            </w:r>
          </w:p>
        </w:tc>
        <w:tc>
          <w:tcPr>
            <w:tcW w:w="2197" w:type="dxa"/>
            <w:vAlign w:val="center"/>
          </w:tcPr>
          <w:p>
            <w:pPr>
              <w:spacing w:line="280" w:lineRule="exact"/>
              <w:jc w:val="center"/>
              <w:rPr>
                <w:rFonts w:hint="eastAsia" w:ascii="宋体" w:hAnsi="宋体" w:eastAsia="宋体" w:cs="宋体"/>
                <w:b/>
                <w:sz w:val="21"/>
                <w:szCs w:val="21"/>
              </w:rPr>
            </w:pPr>
            <w:r>
              <w:rPr>
                <w:rFonts w:hint="eastAsia" w:ascii="宋体" w:hAnsi="宋体" w:eastAsia="宋体" w:cs="宋体"/>
                <w:b/>
                <w:sz w:val="21"/>
                <w:szCs w:val="21"/>
              </w:rPr>
              <w:t>发文</w:t>
            </w:r>
            <w:r>
              <w:rPr>
                <w:rFonts w:hint="eastAsia" w:ascii="宋体" w:hAnsi="宋体" w:eastAsia="宋体" w:cs="宋体"/>
                <w:b/>
                <w:color w:val="auto"/>
                <w:sz w:val="21"/>
                <w:szCs w:val="21"/>
                <w:highlight w:val="none"/>
              </w:rPr>
              <w:t>日期</w:t>
            </w:r>
            <w:r>
              <w:rPr>
                <w:rFonts w:hint="eastAsia" w:ascii="宋体" w:hAnsi="宋体" w:eastAsia="宋体" w:cs="宋体"/>
                <w:b/>
                <w:color w:val="auto"/>
                <w:sz w:val="21"/>
                <w:szCs w:val="21"/>
                <w:highlight w:val="none"/>
                <w:lang w:eastAsia="zh-CN"/>
              </w:rPr>
              <w:t>、</w:t>
            </w:r>
            <w:r>
              <w:rPr>
                <w:rFonts w:hint="eastAsia" w:ascii="宋体" w:hAnsi="宋体" w:eastAsia="宋体" w:cs="宋体"/>
                <w:b/>
                <w:color w:val="auto"/>
                <w:sz w:val="21"/>
                <w:szCs w:val="21"/>
                <w:highlight w:val="none"/>
              </w:rPr>
              <w:t>文</w:t>
            </w:r>
            <w:r>
              <w:rPr>
                <w:rFonts w:hint="eastAsia" w:ascii="宋体" w:hAnsi="宋体" w:eastAsia="宋体" w:cs="宋体"/>
                <w:b/>
                <w:sz w:val="21"/>
                <w:szCs w:val="21"/>
              </w:rPr>
              <w:t>号</w:t>
            </w:r>
          </w:p>
        </w:tc>
        <w:tc>
          <w:tcPr>
            <w:tcW w:w="3383" w:type="dxa"/>
            <w:vAlign w:val="center"/>
          </w:tcPr>
          <w:p>
            <w:pPr>
              <w:spacing w:line="280" w:lineRule="exact"/>
              <w:jc w:val="center"/>
              <w:rPr>
                <w:rFonts w:hint="eastAsia" w:ascii="宋体" w:hAnsi="宋体" w:eastAsia="宋体" w:cs="宋体"/>
                <w:b/>
                <w:sz w:val="21"/>
                <w:szCs w:val="21"/>
              </w:rPr>
            </w:pPr>
            <w:r>
              <w:rPr>
                <w:rFonts w:hint="eastAsia" w:ascii="宋体" w:hAnsi="宋体" w:eastAsia="宋体" w:cs="宋体"/>
                <w:b/>
                <w:sz w:val="21"/>
                <w:szCs w:val="21"/>
              </w:rP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jc w:val="center"/>
        </w:trPr>
        <w:tc>
          <w:tcPr>
            <w:tcW w:w="654" w:type="dxa"/>
            <w:vAlign w:val="top"/>
          </w:tcPr>
          <w:p>
            <w:pPr>
              <w:autoSpaceDE w:val="0"/>
              <w:autoSpaceDN w:val="0"/>
              <w:spacing w:line="280" w:lineRule="exact"/>
              <w:jc w:val="center"/>
              <w:rPr>
                <w:rFonts w:hint="eastAsia" w:ascii="宋体" w:hAnsi="宋体" w:eastAsia="宋体" w:cs="宋体"/>
                <w:sz w:val="21"/>
                <w:szCs w:val="21"/>
                <w:lang w:val="zh-CN"/>
              </w:rPr>
            </w:pPr>
            <w:r>
              <w:rPr>
                <w:rFonts w:hint="eastAsia" w:ascii="宋体" w:hAnsi="宋体" w:eastAsia="宋体" w:cs="宋体"/>
                <w:sz w:val="21"/>
                <w:szCs w:val="21"/>
                <w:lang w:val="zh-CN"/>
              </w:rPr>
              <w:t>1</w:t>
            </w:r>
          </w:p>
        </w:tc>
        <w:tc>
          <w:tcPr>
            <w:tcW w:w="3206" w:type="dxa"/>
            <w:vAlign w:val="top"/>
          </w:tcPr>
          <w:p>
            <w:pPr>
              <w:autoSpaceDE w:val="0"/>
              <w:autoSpaceDN w:val="0"/>
              <w:spacing w:line="280" w:lineRule="exact"/>
              <w:rPr>
                <w:rFonts w:hint="eastAsia" w:ascii="宋体" w:hAnsi="宋体" w:eastAsia="宋体" w:cs="宋体"/>
                <w:sz w:val="21"/>
                <w:szCs w:val="21"/>
                <w:lang w:val="zh-CN"/>
              </w:rPr>
            </w:pPr>
            <w:r>
              <w:rPr>
                <w:rFonts w:hint="eastAsia" w:ascii="宋体" w:hAnsi="宋体" w:eastAsia="宋体" w:cs="宋体"/>
                <w:sz w:val="21"/>
                <w:szCs w:val="21"/>
                <w:lang w:val="zh-CN"/>
              </w:rPr>
              <w:t>最高人民检察院、公安部关于人民检察院逮捕、拘留人犯由公安机关执行的通知</w:t>
            </w:r>
          </w:p>
        </w:tc>
        <w:tc>
          <w:tcPr>
            <w:tcW w:w="2197" w:type="dxa"/>
            <w:vAlign w:val="top"/>
          </w:tcPr>
          <w:p>
            <w:pPr>
              <w:autoSpaceDE w:val="0"/>
              <w:autoSpaceDN w:val="0"/>
              <w:spacing w:line="280" w:lineRule="exact"/>
              <w:jc w:val="left"/>
              <w:rPr>
                <w:rFonts w:hint="eastAsia" w:ascii="宋体" w:hAnsi="宋体" w:eastAsia="宋体" w:cs="宋体"/>
                <w:sz w:val="21"/>
                <w:szCs w:val="21"/>
                <w:lang w:val="zh-CN"/>
              </w:rPr>
            </w:pPr>
            <w:r>
              <w:rPr>
                <w:rFonts w:hint="eastAsia" w:ascii="宋体" w:hAnsi="宋体" w:eastAsia="宋体" w:cs="宋体"/>
                <w:sz w:val="21"/>
                <w:szCs w:val="21"/>
                <w:lang w:val="zh-CN"/>
              </w:rPr>
              <w:t xml:space="preserve">1979年3月27日                       〔79〕高检二字第1号 </w:t>
            </w:r>
          </w:p>
          <w:p>
            <w:pPr>
              <w:autoSpaceDE w:val="0"/>
              <w:autoSpaceDN w:val="0"/>
              <w:spacing w:line="280" w:lineRule="exact"/>
              <w:jc w:val="left"/>
              <w:rPr>
                <w:rFonts w:hint="eastAsia" w:ascii="宋体" w:hAnsi="宋体" w:eastAsia="宋体" w:cs="宋体"/>
                <w:sz w:val="21"/>
                <w:szCs w:val="21"/>
                <w:lang w:val="zh-CN"/>
              </w:rPr>
            </w:pPr>
            <w:r>
              <w:rPr>
                <w:rFonts w:hint="eastAsia" w:ascii="宋体" w:hAnsi="宋体" w:eastAsia="宋体" w:cs="宋体"/>
                <w:sz w:val="21"/>
                <w:szCs w:val="21"/>
                <w:lang w:val="zh-CN"/>
              </w:rPr>
              <w:t>公发〔1979〕第50号</w:t>
            </w:r>
          </w:p>
        </w:tc>
        <w:tc>
          <w:tcPr>
            <w:tcW w:w="3383" w:type="dxa"/>
            <w:vAlign w:val="top"/>
          </w:tcPr>
          <w:p>
            <w:pPr>
              <w:autoSpaceDE w:val="0"/>
              <w:autoSpaceDN w:val="0"/>
              <w:spacing w:line="280" w:lineRule="exact"/>
              <w:rPr>
                <w:rFonts w:hint="eastAsia" w:ascii="宋体" w:hAnsi="宋体" w:eastAsia="宋体" w:cs="宋体"/>
                <w:sz w:val="21"/>
                <w:szCs w:val="21"/>
                <w:lang w:val="zh-CN"/>
              </w:rPr>
            </w:pPr>
            <w:r>
              <w:rPr>
                <w:rFonts w:hint="eastAsia" w:ascii="宋体" w:hAnsi="宋体" w:eastAsia="宋体" w:cs="宋体"/>
                <w:sz w:val="21"/>
                <w:szCs w:val="21"/>
                <w:lang w:val="zh-CN"/>
              </w:rPr>
              <w:t>刑事诉讼过程中采取逮捕、拘留措施的条件、程序在刑事诉讼法中已经作出明确规定。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654" w:type="dxa"/>
            <w:vAlign w:val="top"/>
          </w:tcPr>
          <w:p>
            <w:pPr>
              <w:autoSpaceDE w:val="0"/>
              <w:autoSpaceDN w:val="0"/>
              <w:spacing w:line="280" w:lineRule="exact"/>
              <w:jc w:val="center"/>
              <w:rPr>
                <w:rFonts w:hint="eastAsia" w:ascii="宋体" w:hAnsi="宋体" w:eastAsia="宋体" w:cs="宋体"/>
                <w:sz w:val="21"/>
                <w:szCs w:val="21"/>
                <w:lang w:val="zh-CN"/>
              </w:rPr>
            </w:pPr>
            <w:r>
              <w:rPr>
                <w:rFonts w:hint="eastAsia" w:ascii="宋体" w:hAnsi="宋体" w:eastAsia="宋体" w:cs="宋体"/>
                <w:sz w:val="21"/>
                <w:szCs w:val="21"/>
                <w:lang w:val="zh-CN"/>
              </w:rPr>
              <w:t>2</w:t>
            </w:r>
          </w:p>
        </w:tc>
        <w:tc>
          <w:tcPr>
            <w:tcW w:w="3206" w:type="dxa"/>
            <w:vAlign w:val="top"/>
          </w:tcPr>
          <w:p>
            <w:pPr>
              <w:autoSpaceDE w:val="0"/>
              <w:autoSpaceDN w:val="0"/>
              <w:spacing w:line="280" w:lineRule="exact"/>
              <w:rPr>
                <w:rFonts w:hint="eastAsia" w:ascii="宋体" w:hAnsi="宋体" w:eastAsia="宋体" w:cs="宋体"/>
                <w:sz w:val="21"/>
                <w:szCs w:val="21"/>
                <w:lang w:val="zh-CN"/>
              </w:rPr>
            </w:pPr>
            <w:r>
              <w:rPr>
                <w:rFonts w:hint="eastAsia" w:ascii="宋体" w:hAnsi="宋体" w:eastAsia="宋体" w:cs="宋体"/>
                <w:sz w:val="21"/>
                <w:szCs w:val="21"/>
                <w:lang w:val="zh-CN"/>
              </w:rPr>
              <w:t>司法部、最高人民检察院关于认真办理公证人员玩忽职守案件的通知</w:t>
            </w:r>
          </w:p>
        </w:tc>
        <w:tc>
          <w:tcPr>
            <w:tcW w:w="2197" w:type="dxa"/>
            <w:vAlign w:val="top"/>
          </w:tcPr>
          <w:p>
            <w:pPr>
              <w:autoSpaceDE w:val="0"/>
              <w:autoSpaceDN w:val="0"/>
              <w:spacing w:line="280" w:lineRule="exact"/>
              <w:jc w:val="left"/>
              <w:rPr>
                <w:rFonts w:hint="eastAsia" w:ascii="宋体" w:hAnsi="宋体" w:eastAsia="宋体" w:cs="宋体"/>
                <w:sz w:val="21"/>
                <w:szCs w:val="21"/>
                <w:lang w:val="zh-CN"/>
              </w:rPr>
            </w:pPr>
            <w:r>
              <w:rPr>
                <w:rFonts w:hint="eastAsia" w:ascii="宋体" w:hAnsi="宋体" w:eastAsia="宋体" w:cs="宋体"/>
                <w:sz w:val="21"/>
                <w:szCs w:val="21"/>
                <w:lang w:val="zh-CN"/>
              </w:rPr>
              <w:t>1992年3月21日         司发通〔1992〕037号</w:t>
            </w:r>
          </w:p>
        </w:tc>
        <w:tc>
          <w:tcPr>
            <w:tcW w:w="3383" w:type="dxa"/>
            <w:vAlign w:val="top"/>
          </w:tcPr>
          <w:p>
            <w:pPr>
              <w:autoSpaceDE w:val="0"/>
              <w:autoSpaceDN w:val="0"/>
              <w:spacing w:line="280" w:lineRule="exact"/>
              <w:rPr>
                <w:rFonts w:hint="eastAsia" w:ascii="宋体" w:hAnsi="宋体" w:eastAsia="宋体" w:cs="宋体"/>
                <w:sz w:val="21"/>
                <w:szCs w:val="21"/>
                <w:lang w:val="zh-CN"/>
              </w:rPr>
            </w:pPr>
            <w:r>
              <w:rPr>
                <w:rFonts w:hint="eastAsia" w:ascii="宋体" w:hAnsi="宋体" w:eastAsia="宋体" w:cs="宋体"/>
                <w:sz w:val="21"/>
                <w:szCs w:val="21"/>
                <w:lang w:val="zh-CN"/>
              </w:rPr>
              <w:t>《中华人民共和国公证法》已于2006年3月1日起施行，按照《中华人民共和国公证法》和刑法的规定，公证人员玩忽职守构成犯罪的行为应当适用刑法第二百二十九条第三款的规定。</w:t>
            </w:r>
          </w:p>
        </w:tc>
      </w:tr>
    </w:tbl>
    <w:p>
      <w:pPr>
        <w:rPr>
          <w:rFonts w:hint="eastAsia" w:ascii="黑体" w:hAnsi="黑体" w:eastAsia="黑体"/>
          <w:b/>
        </w:rPr>
      </w:pPr>
    </w:p>
    <w:p>
      <w:pPr>
        <w:rPr>
          <w:rFonts w:hint="eastAsia" w:ascii="黑体" w:hAnsi="黑体" w:eastAsia="黑体" w:cs="黑体"/>
        </w:rPr>
      </w:pPr>
      <w:r>
        <w:rPr>
          <w:rFonts w:hint="eastAsia" w:ascii="黑体" w:hAnsi="黑体" w:eastAsia="黑体" w:cs="黑体"/>
        </w:rPr>
        <w:t>附件3</w:t>
      </w:r>
      <w:r>
        <w:rPr>
          <w:rFonts w:hint="eastAsia" w:ascii="黑体" w:hAnsi="黑体" w:eastAsia="黑体" w:cs="黑体"/>
          <w:color w:val="auto"/>
          <w:highlight w:val="none"/>
        </w:rPr>
        <w:t>：</w:t>
      </w:r>
    </w:p>
    <w:p>
      <w:pPr>
        <w:rPr>
          <w:rFonts w:hint="eastAsia" w:ascii="宋体" w:hAnsi="宋体" w:eastAsia="宋体" w:cs="宋体"/>
        </w:rPr>
      </w:pPr>
    </w:p>
    <w:p>
      <w:pPr>
        <w:jc w:val="center"/>
        <w:rPr>
          <w:rFonts w:hint="eastAsia" w:ascii="宋体" w:hAnsi="宋体" w:eastAsia="宋体" w:cs="宋体"/>
          <w:color w:val="auto"/>
          <w:sz w:val="44"/>
          <w:szCs w:val="44"/>
          <w:highlight w:val="none"/>
          <w:lang w:eastAsia="zh-CN"/>
        </w:rPr>
      </w:pPr>
      <w:r>
        <w:rPr>
          <w:rFonts w:hint="eastAsia" w:ascii="宋体" w:hAnsi="宋体" w:eastAsia="宋体" w:cs="宋体"/>
          <w:sz w:val="44"/>
          <w:szCs w:val="44"/>
        </w:rPr>
        <w:t>最高人民检察院单独</w:t>
      </w:r>
      <w:r>
        <w:rPr>
          <w:rFonts w:hint="eastAsia" w:ascii="宋体" w:hAnsi="宋体" w:eastAsia="宋体" w:cs="宋体"/>
          <w:sz w:val="44"/>
          <w:szCs w:val="44"/>
          <w:lang w:eastAsia="zh-CN"/>
        </w:rPr>
        <w:t>制发</w:t>
      </w:r>
      <w:r>
        <w:rPr>
          <w:rFonts w:hint="eastAsia" w:ascii="宋体" w:hAnsi="宋体" w:eastAsia="宋体" w:cs="宋体"/>
          <w:sz w:val="44"/>
          <w:szCs w:val="44"/>
        </w:rPr>
        <w:t>或者联合</w:t>
      </w:r>
      <w:r>
        <w:rPr>
          <w:rFonts w:hint="eastAsia" w:ascii="宋体" w:hAnsi="宋体" w:eastAsia="宋体" w:cs="宋体"/>
          <w:color w:val="auto"/>
          <w:sz w:val="44"/>
          <w:szCs w:val="44"/>
          <w:highlight w:val="none"/>
          <w:lang w:eastAsia="zh-CN"/>
        </w:rPr>
        <w:t>其他部门</w:t>
      </w:r>
    </w:p>
    <w:p>
      <w:pPr>
        <w:jc w:val="center"/>
        <w:rPr>
          <w:rFonts w:hint="eastAsia" w:ascii="宋体" w:hAnsi="宋体" w:eastAsia="宋体" w:cs="宋体"/>
          <w:sz w:val="44"/>
          <w:szCs w:val="44"/>
        </w:rPr>
      </w:pPr>
      <w:r>
        <w:rPr>
          <w:rFonts w:hint="eastAsia" w:ascii="宋体" w:hAnsi="宋体" w:eastAsia="宋体" w:cs="宋体"/>
          <w:color w:val="auto"/>
          <w:sz w:val="44"/>
          <w:szCs w:val="44"/>
          <w:highlight w:val="none"/>
        </w:rPr>
        <w:t>制</w:t>
      </w:r>
      <w:r>
        <w:rPr>
          <w:rFonts w:hint="eastAsia" w:ascii="宋体" w:hAnsi="宋体" w:eastAsia="宋体" w:cs="宋体"/>
          <w:sz w:val="44"/>
          <w:szCs w:val="44"/>
        </w:rPr>
        <w:t>发的文件中已明确规定废止的</w:t>
      </w:r>
    </w:p>
    <w:p>
      <w:pPr>
        <w:jc w:val="center"/>
        <w:rPr>
          <w:rFonts w:hint="eastAsia" w:ascii="宋体" w:hAnsi="宋体" w:eastAsia="宋体" w:cs="宋体"/>
          <w:sz w:val="44"/>
          <w:szCs w:val="44"/>
        </w:rPr>
      </w:pPr>
      <w:r>
        <w:rPr>
          <w:rFonts w:hint="eastAsia" w:ascii="宋体" w:hAnsi="宋体" w:eastAsia="宋体" w:cs="宋体"/>
          <w:sz w:val="44"/>
          <w:szCs w:val="44"/>
        </w:rPr>
        <w:t>司法解释和司法解释性文件目录</w:t>
      </w:r>
    </w:p>
    <w:p>
      <w:pPr>
        <w:jc w:val="center"/>
        <w:rPr>
          <w:rFonts w:hint="eastAsia" w:ascii="楷体_GB2312" w:hAnsi="楷体_GB2312" w:eastAsia="楷体_GB2312" w:cs="楷体_GB2312"/>
        </w:rPr>
      </w:pPr>
      <w:r>
        <w:rPr>
          <w:rFonts w:hint="eastAsia" w:ascii="楷体_GB2312" w:hAnsi="楷体_GB2312" w:eastAsia="楷体_GB2312" w:cs="楷体_GB2312"/>
        </w:rPr>
        <w:t>（</w:t>
      </w:r>
      <w:r>
        <w:rPr>
          <w:rFonts w:hint="eastAsia" w:ascii="楷体_GB2312" w:hAnsi="楷体_GB2312" w:eastAsia="楷体_GB2312" w:cs="楷体_GB2312"/>
          <w:lang w:val="en-US" w:eastAsia="zh-CN"/>
        </w:rPr>
        <w:t>10</w:t>
      </w:r>
      <w:r>
        <w:rPr>
          <w:rFonts w:hint="eastAsia" w:ascii="楷体_GB2312" w:hAnsi="楷体_GB2312" w:eastAsia="楷体_GB2312" w:cs="楷体_GB2312"/>
        </w:rPr>
        <w:t>件）</w:t>
      </w:r>
    </w:p>
    <w:p>
      <w:pPr>
        <w:jc w:val="center"/>
        <w:rPr>
          <w:rFonts w:hint="eastAsia" w:ascii="宋体" w:hAnsi="宋体"/>
          <w:b/>
          <w:sz w:val="24"/>
        </w:rPr>
      </w:pPr>
    </w:p>
    <w:tbl>
      <w:tblPr>
        <w:tblStyle w:val="11"/>
        <w:tblW w:w="9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3199"/>
        <w:gridCol w:w="2156"/>
        <w:gridCol w:w="3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jc w:val="center"/>
        </w:trPr>
        <w:tc>
          <w:tcPr>
            <w:tcW w:w="641" w:type="dxa"/>
            <w:vAlign w:val="center"/>
          </w:tcPr>
          <w:p>
            <w:pPr>
              <w:keepNext w:val="0"/>
              <w:pageBreakBefore w:val="0"/>
              <w:widowControl w:val="0"/>
              <w:kinsoku/>
              <w:wordWrap/>
              <w:overflowPunct/>
              <w:topLinePunct w:val="0"/>
              <w:bidi w:val="0"/>
              <w:adjustRightInd/>
              <w:snapToGrid/>
              <w:spacing w:line="260" w:lineRule="exact"/>
              <w:ind w:left="0" w:leftChars="0" w:right="0" w:rightChars="0" w:firstLine="0" w:firstLineChars="0"/>
              <w:jc w:val="center"/>
              <w:textAlignment w:val="auto"/>
              <w:outlineLvl w:val="9"/>
              <w:rPr>
                <w:rFonts w:hint="eastAsia" w:ascii="宋体" w:hAnsi="宋体" w:eastAsia="宋体" w:cs="宋体"/>
                <w:b/>
                <w:sz w:val="21"/>
                <w:szCs w:val="21"/>
              </w:rPr>
            </w:pPr>
            <w:r>
              <w:rPr>
                <w:rFonts w:hint="eastAsia" w:ascii="宋体" w:hAnsi="宋体" w:eastAsia="宋体" w:cs="宋体"/>
                <w:b/>
                <w:sz w:val="21"/>
                <w:szCs w:val="21"/>
              </w:rPr>
              <w:t>序号</w:t>
            </w:r>
          </w:p>
        </w:tc>
        <w:tc>
          <w:tcPr>
            <w:tcW w:w="3199" w:type="dxa"/>
            <w:vAlign w:val="center"/>
          </w:tcPr>
          <w:p>
            <w:pPr>
              <w:keepNext w:val="0"/>
              <w:pageBreakBefore w:val="0"/>
              <w:widowControl w:val="0"/>
              <w:kinsoku/>
              <w:wordWrap/>
              <w:overflowPunct/>
              <w:topLinePunct w:val="0"/>
              <w:bidi w:val="0"/>
              <w:adjustRightInd/>
              <w:snapToGrid/>
              <w:spacing w:line="260" w:lineRule="exact"/>
              <w:ind w:left="0" w:leftChars="0" w:right="0" w:rightChars="0" w:firstLine="0" w:firstLineChars="0"/>
              <w:jc w:val="center"/>
              <w:textAlignment w:val="auto"/>
              <w:outlineLvl w:val="9"/>
              <w:rPr>
                <w:rFonts w:hint="eastAsia" w:ascii="宋体" w:hAnsi="宋体" w:eastAsia="宋体" w:cs="宋体"/>
                <w:b/>
                <w:sz w:val="21"/>
                <w:szCs w:val="21"/>
              </w:rPr>
            </w:pPr>
            <w:r>
              <w:rPr>
                <w:rFonts w:hint="eastAsia" w:ascii="宋体" w:hAnsi="宋体" w:eastAsia="宋体" w:cs="宋体"/>
                <w:b/>
                <w:sz w:val="21"/>
                <w:szCs w:val="21"/>
              </w:rPr>
              <w:t>司法解释和司法解释性文件名称</w:t>
            </w:r>
          </w:p>
        </w:tc>
        <w:tc>
          <w:tcPr>
            <w:tcW w:w="2156" w:type="dxa"/>
            <w:vAlign w:val="center"/>
          </w:tcPr>
          <w:p>
            <w:pPr>
              <w:keepNext w:val="0"/>
              <w:pageBreakBefore w:val="0"/>
              <w:widowControl w:val="0"/>
              <w:kinsoku/>
              <w:wordWrap/>
              <w:overflowPunct/>
              <w:topLinePunct w:val="0"/>
              <w:bidi w:val="0"/>
              <w:adjustRightInd/>
              <w:snapToGrid/>
              <w:spacing w:line="260" w:lineRule="exact"/>
              <w:ind w:left="0" w:leftChars="0" w:right="0" w:rightChars="0" w:firstLine="0" w:firstLineChars="0"/>
              <w:jc w:val="center"/>
              <w:textAlignment w:val="auto"/>
              <w:outlineLvl w:val="9"/>
              <w:rPr>
                <w:rFonts w:hint="eastAsia" w:ascii="宋体" w:hAnsi="宋体" w:eastAsia="宋体" w:cs="宋体"/>
                <w:b/>
                <w:sz w:val="21"/>
                <w:szCs w:val="21"/>
              </w:rPr>
            </w:pPr>
            <w:r>
              <w:rPr>
                <w:rFonts w:hint="eastAsia" w:ascii="宋体" w:hAnsi="宋体" w:eastAsia="宋体" w:cs="宋体"/>
                <w:b/>
                <w:sz w:val="21"/>
                <w:szCs w:val="21"/>
              </w:rPr>
              <w:t>发文日期</w:t>
            </w:r>
            <w:r>
              <w:rPr>
                <w:rFonts w:hint="eastAsia" w:ascii="宋体" w:hAnsi="宋体" w:eastAsia="宋体" w:cs="宋体"/>
                <w:b/>
                <w:color w:val="auto"/>
                <w:sz w:val="21"/>
                <w:szCs w:val="21"/>
                <w:highlight w:val="none"/>
                <w:lang w:eastAsia="zh-CN"/>
              </w:rPr>
              <w:t>、</w:t>
            </w:r>
            <w:r>
              <w:rPr>
                <w:rFonts w:hint="eastAsia" w:ascii="宋体" w:hAnsi="宋体" w:eastAsia="宋体" w:cs="宋体"/>
                <w:b/>
                <w:sz w:val="21"/>
                <w:szCs w:val="21"/>
              </w:rPr>
              <w:t>文号</w:t>
            </w:r>
          </w:p>
        </w:tc>
        <w:tc>
          <w:tcPr>
            <w:tcW w:w="3409" w:type="dxa"/>
            <w:vAlign w:val="center"/>
          </w:tcPr>
          <w:p>
            <w:pPr>
              <w:keepNext w:val="0"/>
              <w:pageBreakBefore w:val="0"/>
              <w:widowControl w:val="0"/>
              <w:kinsoku/>
              <w:wordWrap/>
              <w:overflowPunct/>
              <w:topLinePunct w:val="0"/>
              <w:bidi w:val="0"/>
              <w:adjustRightInd/>
              <w:snapToGrid/>
              <w:spacing w:line="260" w:lineRule="exact"/>
              <w:ind w:left="0" w:leftChars="0" w:right="0" w:rightChars="0" w:firstLine="0" w:firstLineChars="0"/>
              <w:jc w:val="center"/>
              <w:textAlignment w:val="auto"/>
              <w:outlineLvl w:val="9"/>
              <w:rPr>
                <w:rFonts w:hint="eastAsia" w:ascii="宋体" w:hAnsi="宋体" w:eastAsia="宋体" w:cs="宋体"/>
                <w:b/>
                <w:sz w:val="21"/>
                <w:szCs w:val="21"/>
              </w:rPr>
            </w:pPr>
            <w:r>
              <w:rPr>
                <w:rFonts w:hint="eastAsia" w:ascii="宋体" w:hAnsi="宋体" w:eastAsia="宋体" w:cs="宋体"/>
                <w:b/>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1</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最高人民法院、最高人民检察院、公安部、总政治部关于军队和地方互涉案件几个问题的规定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1982年11月25日〔1982〕政联字8号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2009年8月1日施行的“两高”、公安部、国家安全部、司法部、解放军总政治部《办理军队和地方互涉刑事案件规定》废止。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2</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最高人民法院、最高人民检察院、司法部、公安部《人体重伤鉴定标准（试行）》</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1986年8月15日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〔86〕司发研字249号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该标准已被</w:t>
            </w:r>
            <w:r>
              <w:rPr>
                <w:rFonts w:hint="eastAsia" w:ascii="宋体" w:hAnsi="宋体" w:eastAsia="宋体"/>
                <w:sz w:val="21"/>
              </w:rPr>
              <w:t>1990年7月1日起施行的“两高”、司法部、公安部《人体重伤鉴定标准》废止。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3</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最高人民检察院关于印发《看守所检察工作细则（试行）》、《劳改检察工作细则（试行）》和《劳教检察工作办法（试行）》的通知</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1987年7月23日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〔87〕高检发（三）字第17号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该通知印发的文件已被</w:t>
            </w:r>
            <w:r>
              <w:rPr>
                <w:rFonts w:hint="eastAsia" w:ascii="宋体" w:hAnsi="宋体" w:eastAsia="宋体"/>
                <w:sz w:val="21"/>
              </w:rPr>
              <w:t>2008年3月23日最高人民检察院《关于印发&lt;人民检察院监狱检察办法&gt;、&lt;人民检察院劳教检察办法&gt;和&lt;人民检察院监外执行检察办法&gt;的通知》废止。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4</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最高人民检察院、公安部、总政治部关于军队和地方互涉案件侦查工作的补充规定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1987年12月21日〔1987〕政联字第14号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2009年8月1日起施行的“两高”、公安部、国家安全部、司法部、解放军总政治部《办理军队和地方互涉刑事案件规定》废止。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5</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最高人民检察院关于完善人民检察院侦查工作内部制约机制的若干规定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1998年10月21日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高检发〔1998〕27号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2004年6月24日最高人民检察院《关于人民检察院办理直接受理立案侦查案件实行内部制约的若干规定》废止。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6</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最高人民检察院、公安部关于经济犯罪案件追诉标准的规定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2001年4月18日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公发〔2001〕11号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2010年5月18日</w:t>
            </w:r>
            <w:r>
              <w:rPr>
                <w:rFonts w:hint="eastAsia" w:ascii="宋体" w:hAnsi="宋体" w:eastAsia="宋体"/>
                <w:sz w:val="21"/>
                <w:lang w:val="zh-CN"/>
              </w:rPr>
              <w:t>最高人民检察院、公安部《关于公安机关管辖的刑事案件立案追诉标准的规定（二）》废止。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7</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最高人民检察院《人民检察院扣押、冻结款物管理规定》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2001年4月29日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高检发研字〔2001〕1号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2006年3月27日最高人民检察院</w:t>
            </w:r>
            <w:r>
              <w:rPr>
                <w:rFonts w:hint="eastAsia" w:ascii="宋体" w:hAnsi="宋体" w:eastAsia="宋体"/>
                <w:sz w:val="21"/>
                <w:lang w:val="zh-CN"/>
              </w:rPr>
              <w:t>《人民检察院扣押、冻结款物工作规定》废止。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8</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最高人民检察院《人民检察院办理未成年人刑事案件的规定》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2002年4月22日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高检发〔2002〕8号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2007年1月9日最高人民检察院《人民检察院</w:t>
            </w:r>
            <w:r>
              <w:rPr>
                <w:rFonts w:hint="eastAsia" w:ascii="宋体" w:hAnsi="宋体" w:eastAsia="宋体"/>
                <w:sz w:val="21"/>
                <w:lang w:val="zh-CN"/>
              </w:rPr>
              <w:t>办理未成年人刑事案件的规定》废止。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9</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最高人民检察院《人民检察院扣押、冻结款物规定》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2006年3月27日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高检发研字〔2006〕1号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2010年5月9日最高人民检察院</w:t>
            </w:r>
            <w:r>
              <w:rPr>
                <w:rFonts w:hint="eastAsia" w:ascii="宋体" w:hAnsi="宋体" w:eastAsia="宋体"/>
                <w:sz w:val="21"/>
                <w:lang w:val="zh-CN"/>
              </w:rPr>
              <w:t>《人民检察院扣押、冻结涉案款物工作规定》废止。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jc w:val="center"/>
        </w:trPr>
        <w:tc>
          <w:tcPr>
            <w:tcW w:w="641"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jc w:val="center"/>
              <w:textAlignment w:val="auto"/>
              <w:outlineLvl w:val="9"/>
              <w:rPr>
                <w:rFonts w:hint="eastAsia" w:ascii="宋体" w:hAnsi="宋体" w:eastAsia="宋体" w:cs="宋体"/>
                <w:sz w:val="21"/>
                <w:szCs w:val="21"/>
                <w:lang w:val="zh-CN"/>
              </w:rPr>
            </w:pPr>
            <w:r>
              <w:rPr>
                <w:rFonts w:hint="eastAsia" w:ascii="宋体" w:hAnsi="宋体" w:eastAsia="宋体"/>
                <w:sz w:val="21"/>
              </w:rPr>
              <w:t>10</w:t>
            </w:r>
          </w:p>
        </w:tc>
        <w:tc>
          <w:tcPr>
            <w:tcW w:w="319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最高人民检察院、公安部关于经济犯罪案件追诉标准的补充规定</w:t>
            </w:r>
          </w:p>
        </w:tc>
        <w:tc>
          <w:tcPr>
            <w:tcW w:w="2156"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sz w:val="21"/>
              </w:rPr>
            </w:pPr>
            <w:r>
              <w:rPr>
                <w:rFonts w:hint="eastAsia" w:ascii="宋体" w:hAnsi="宋体" w:eastAsia="宋体"/>
                <w:sz w:val="21"/>
              </w:rPr>
              <w:t>2008年3月5日</w:t>
            </w:r>
          </w:p>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rPr>
              <w:t>高检发〔2008〕2号</w:t>
            </w:r>
          </w:p>
        </w:tc>
        <w:tc>
          <w:tcPr>
            <w:tcW w:w="3409" w:type="dxa"/>
            <w:vAlign w:val="top"/>
          </w:tcPr>
          <w:p>
            <w:pPr>
              <w:keepNext w:val="0"/>
              <w:keepLines/>
              <w:pageBreakBefore w:val="0"/>
              <w:widowControl w:val="0"/>
              <w:kinsoku/>
              <w:wordWrap/>
              <w:overflowPunct/>
              <w:topLinePunct w:val="0"/>
              <w:autoSpaceDE w:val="0"/>
              <w:autoSpaceDN w:val="0"/>
              <w:bidi w:val="0"/>
              <w:adjustRightInd/>
              <w:snapToGrid/>
              <w:spacing w:beforeLines="0" w:afterLines="0" w:line="260" w:lineRule="exact"/>
              <w:ind w:left="0" w:leftChars="0" w:right="0" w:rightChars="0" w:firstLine="0" w:firstLineChars="0"/>
              <w:textAlignment w:val="auto"/>
              <w:outlineLvl w:val="9"/>
              <w:rPr>
                <w:rFonts w:hint="eastAsia" w:ascii="宋体" w:hAnsi="宋体" w:eastAsia="宋体" w:cs="宋体"/>
                <w:sz w:val="21"/>
                <w:szCs w:val="21"/>
                <w:lang w:val="zh-CN"/>
              </w:rPr>
            </w:pPr>
            <w:r>
              <w:rPr>
                <w:rFonts w:hint="eastAsia" w:ascii="宋体" w:hAnsi="宋体" w:eastAsia="宋体"/>
                <w:sz w:val="21"/>
                <w:lang w:val="zh-CN"/>
              </w:rPr>
              <w:t>该规定已被</w:t>
            </w:r>
            <w:r>
              <w:rPr>
                <w:rFonts w:hint="eastAsia" w:ascii="宋体" w:hAnsi="宋体" w:eastAsia="宋体"/>
                <w:sz w:val="21"/>
              </w:rPr>
              <w:t>2010年5月18日</w:t>
            </w:r>
            <w:r>
              <w:rPr>
                <w:rFonts w:hint="eastAsia" w:ascii="宋体" w:hAnsi="宋体" w:eastAsia="宋体"/>
                <w:sz w:val="21"/>
                <w:lang w:val="zh-CN"/>
              </w:rPr>
              <w:t>最高人民检察院、公安部《关于公安机关管辖的刑事案件立案追诉标准的规定（二）》废止。</w:t>
            </w:r>
          </w:p>
        </w:tc>
      </w:tr>
    </w:tbl>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7</w:t>
                          </w:r>
                          <w:r>
                            <w:rPr>
                              <w:rFonts w:hint="eastAsia" w:ascii="宋体" w:hAnsi="宋体" w:eastAsia="宋体"/>
                              <w:sz w:val="28"/>
                            </w:rPr>
                            <w:fldChar w:fldCharType="end"/>
                          </w:r>
                          <w:r>
                            <w:rPr>
                              <w:rStyle w:val="13"/>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3"/>
                        <w:rFonts w:hint="eastAsia" w:ascii="宋体" w:hAnsi="宋体" w:eastAsia="宋体"/>
                        <w:sz w:val="28"/>
                      </w:rPr>
                    </w:pP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7</w:t>
                    </w:r>
                    <w:r>
                      <w:rPr>
                        <w:rFonts w:hint="eastAsia" w:ascii="宋体" w:hAnsi="宋体" w:eastAsia="宋体"/>
                        <w:sz w:val="28"/>
                      </w:rPr>
                      <w:fldChar w:fldCharType="end"/>
                    </w:r>
                    <w:r>
                      <w:rPr>
                        <w:rStyle w:val="13"/>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6</w:t>
                          </w:r>
                          <w:r>
                            <w:rPr>
                              <w:rFonts w:hint="eastAsia" w:ascii="宋体" w:hAnsi="宋体" w:eastAsia="宋体"/>
                              <w:sz w:val="28"/>
                            </w:rPr>
                            <w:fldChar w:fldCharType="end"/>
                          </w:r>
                          <w:r>
                            <w:rPr>
                              <w:rStyle w:val="13"/>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3"/>
                        <w:rFonts w:hint="eastAsia" w:ascii="仿宋_GB2312"/>
                        <w:sz w:val="28"/>
                      </w:rPr>
                    </w:pPr>
                    <w:r>
                      <w:rPr>
                        <w:rStyle w:val="13"/>
                        <w:rFonts w:hint="eastAsia" w:ascii="仿宋_GB2312"/>
                        <w:sz w:val="28"/>
                      </w:rPr>
                      <w:t>　</w:t>
                    </w:r>
                    <w:r>
                      <w:rPr>
                        <w:rStyle w:val="13"/>
                        <w:rFonts w:hint="eastAsia" w:ascii="宋体" w:hAnsi="宋体" w:eastAsia="宋体"/>
                        <w:sz w:val="28"/>
                      </w:rPr>
                      <w:t>－</w:t>
                    </w:r>
                    <w:r>
                      <w:rPr>
                        <w:rFonts w:hint="eastAsia" w:ascii="宋体" w:hAnsi="宋体" w:eastAsia="宋体"/>
                        <w:sz w:val="28"/>
                      </w:rPr>
                      <w:fldChar w:fldCharType="begin"/>
                    </w:r>
                    <w:r>
                      <w:rPr>
                        <w:rStyle w:val="13"/>
                        <w:rFonts w:hint="eastAsia" w:ascii="宋体" w:hAnsi="宋体" w:eastAsia="宋体"/>
                        <w:sz w:val="28"/>
                      </w:rPr>
                      <w:instrText xml:space="preserve">PAGE  </w:instrText>
                    </w:r>
                    <w:r>
                      <w:rPr>
                        <w:rFonts w:hint="eastAsia" w:ascii="宋体" w:hAnsi="宋体" w:eastAsia="宋体"/>
                        <w:sz w:val="28"/>
                      </w:rPr>
                      <w:fldChar w:fldCharType="separate"/>
                    </w:r>
                    <w:r>
                      <w:rPr>
                        <w:rStyle w:val="13"/>
                        <w:rFonts w:ascii="宋体" w:hAnsi="宋体" w:eastAsia="宋体"/>
                        <w:sz w:val="28"/>
                      </w:rPr>
                      <w:t>6</w:t>
                    </w:r>
                    <w:r>
                      <w:rPr>
                        <w:rFonts w:hint="eastAsia" w:ascii="宋体" w:hAnsi="宋体" w:eastAsia="宋体"/>
                        <w:sz w:val="28"/>
                      </w:rPr>
                      <w:fldChar w:fldCharType="end"/>
                    </w:r>
                    <w:r>
                      <w:rPr>
                        <w:rStyle w:val="13"/>
                        <w:rFonts w:hint="eastAsia" w:ascii="宋体" w:hAnsi="宋体" w:eastAsia="宋体"/>
                        <w:sz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5"/>
    <w:multiLevelType w:val="singleLevel"/>
    <w:tmpl w:val="0000000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00D17"/>
    <w:rsid w:val="04534560"/>
    <w:rsid w:val="093C003B"/>
    <w:rsid w:val="1D742CC1"/>
    <w:rsid w:val="2FD0205A"/>
    <w:rsid w:val="31CF7CF3"/>
    <w:rsid w:val="46EC1716"/>
    <w:rsid w:val="56936192"/>
    <w:rsid w:val="5E6366B2"/>
    <w:rsid w:val="666F2943"/>
    <w:rsid w:val="6C7D03CB"/>
    <w:rsid w:val="6E6C42C6"/>
    <w:rsid w:val="6FD57645"/>
    <w:rsid w:val="735D3D07"/>
    <w:rsid w:val="7803369F"/>
    <w:rsid w:val="796406E1"/>
    <w:rsid w:val="798C3E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2">
    <w:name w:val="Default Paragraph Font"/>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paragraph" w:styleId="10">
    <w:name w:val="Normal (Web)"/>
    <w:basedOn w:val="1"/>
    <w:qFormat/>
    <w:uiPriority w:val="0"/>
    <w:pPr>
      <w:spacing w:before="100" w:beforeLines="0" w:beforeAutospacing="1" w:after="100" w:afterLines="0" w:afterAutospacing="1"/>
      <w:ind w:left="0" w:right="0"/>
      <w:jc w:val="left"/>
    </w:pPr>
    <w:rPr>
      <w:kern w:val="0"/>
      <w:sz w:val="24"/>
      <w:lang w:val="en-US" w:eastAsia="zh-CN" w:bidi="ar-SA"/>
    </w:rPr>
  </w:style>
  <w:style w:type="character" w:styleId="13">
    <w:name w:val="page number"/>
    <w:basedOn w:val="12"/>
    <w:qFormat/>
    <w:uiPriority w:val="0"/>
  </w:style>
  <w:style w:type="character" w:styleId="14">
    <w:name w:val="Hyperlink"/>
    <w:basedOn w:val="12"/>
    <w:qFormat/>
    <w:uiPriority w:val="0"/>
    <w:rPr>
      <w:color w:val="0000FF"/>
      <w:u w:val="single"/>
    </w:rPr>
  </w:style>
  <w:style w:type="paragraph" w:customStyle="1" w:styleId="15">
    <w:name w:val="default paragraph font Char"/>
    <w:basedOn w:val="1"/>
    <w:qFormat/>
    <w:uiPriority w:val="0"/>
    <w:pPr>
      <w:spacing w:line="240" w:lineRule="atLeast"/>
      <w:ind w:left="420" w:firstLine="420"/>
    </w:pPr>
  </w:style>
  <w:style w:type="paragraph" w:customStyle="1" w:styleId="16">
    <w:name w:val="Char Char Char Char Char Char Char"/>
    <w:basedOn w:val="1"/>
    <w:qFormat/>
    <w:uiPriority w:val="0"/>
    <w:pPr>
      <w:ind w:firstLine="200" w:firstLineChars="200"/>
    </w:pPr>
  </w:style>
  <w:style w:type="paragraph" w:customStyle="1" w:styleId="17">
    <w:name w:val=" Char1 Char Char Char"/>
    <w:basedOn w:val="1"/>
    <w:qFormat/>
    <w:uiPriority w:val="0"/>
  </w:style>
  <w:style w:type="paragraph" w:customStyle="1" w:styleId="18">
    <w:name w:val="Char1"/>
    <w:basedOn w:val="1"/>
    <w:qFormat/>
    <w:uiPriority w:val="0"/>
    <w:pPr>
      <w:tabs>
        <w:tab w:val="left" w:pos="360"/>
      </w:tabs>
    </w:pPr>
  </w:style>
  <w:style w:type="paragraph" w:customStyle="1" w:styleId="19">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7</Pages>
  <Words>3411</Words>
  <Characters>3739</Characters>
  <Lines>34</Lines>
  <Paragraphs>9</Paragraphs>
  <TotalTime>0</TotalTime>
  <ScaleCrop>false</ScaleCrop>
  <LinksUpToDate>false</LinksUpToDate>
  <CharactersWithSpaces>3966</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2017-11-01T19:03:00Z</dcterms:created>
  <dc:creator>admin</dc:creator>
  <cp:lastModifiedBy>qgrd</cp:lastModifiedBy>
  <dcterms:modified xsi:type="dcterms:W3CDTF">2021-06-22T11:08:00Z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