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</w:p>
    <w:p>
      <w:pPr>
        <w:pStyle w:val="7"/>
      </w:pPr>
    </w:p>
    <w:p>
      <w:pPr>
        <w:pStyle w:val="10"/>
        <w:rPr>
          <w:rFonts w:hint="eastAsia"/>
        </w:rPr>
      </w:pPr>
      <w:r>
        <w:rPr>
          <w:rFonts w:hint="eastAsia"/>
        </w:rPr>
        <w:t>中华人民共和国最高人民法院</w:t>
      </w:r>
    </w:p>
    <w:p>
      <w:pPr>
        <w:pStyle w:val="10"/>
        <w:rPr>
          <w:rFonts w:hint="eastAsia"/>
        </w:rPr>
      </w:pPr>
      <w:r>
        <w:rPr>
          <w:rFonts w:hint="eastAsia"/>
        </w:rPr>
        <w:t>中华人民共和国最高人民检察院</w:t>
      </w:r>
    </w:p>
    <w:p>
      <w:pPr>
        <w:pStyle w:val="10"/>
      </w:pPr>
      <w:r>
        <w:rPr>
          <w:rFonts w:hint="eastAsia"/>
        </w:rPr>
        <w:t>公    告</w:t>
      </w:r>
    </w:p>
    <w:p>
      <w:pPr>
        <w:pStyle w:val="7"/>
      </w:pPr>
    </w:p>
    <w:p>
      <w:pPr>
        <w:pStyle w:val="7"/>
        <w:rPr>
          <w:rFonts w:hint="eastAsia"/>
          <w:lang w:eastAsia="zh-CN"/>
        </w:rPr>
      </w:pPr>
      <w:r>
        <w:t>《最高人民法院、最高人民检察院关于利用网络云盘制作、复制、贩卖、传播淫秽电子信息牟利行为定罪量刑问题的批复》已于2017年8月28日由最高人民法院审判委员会第1724次会议、2017年10月10日由最高人民检察院第十二届检察委员会第70次会议通过，现予公布，自2017年12月1日起施行。</w:t>
      </w:r>
    </w:p>
    <w:p>
      <w:pPr>
        <w:pStyle w:val="7"/>
      </w:pPr>
    </w:p>
    <w:p>
      <w:pPr>
        <w:pStyle w:val="7"/>
      </w:pPr>
    </w:p>
    <w:p>
      <w:pPr>
        <w:pStyle w:val="13"/>
      </w:pPr>
      <w:r>
        <w:t>2017年11月22日</w:t>
      </w:r>
    </w:p>
    <w:p>
      <w:pPr>
        <w:pStyle w:val="7"/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0"/>
          <w:cols w:space="720" w:num="1"/>
          <w:rtlGutter w:val="0"/>
          <w:docGrid w:type="lines" w:linePitch="312" w:charSpace="0"/>
        </w:sectPr>
      </w:pPr>
    </w:p>
    <w:p>
      <w:pPr>
        <w:pStyle w:val="7"/>
      </w:pPr>
    </w:p>
    <w:p>
      <w:pPr>
        <w:pStyle w:val="7"/>
      </w:pPr>
    </w:p>
    <w:p>
      <w:pPr>
        <w:pStyle w:val="10"/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10"/>
      </w:pPr>
      <w:r>
        <w:t>关于利用网络云盘制作、复制、贩卖、传播</w:t>
      </w:r>
    </w:p>
    <w:p>
      <w:pPr>
        <w:pStyle w:val="10"/>
      </w:pPr>
      <w:r>
        <w:t>淫秽电子信息牟利行为定罪量刑问题的批复</w:t>
      </w:r>
    </w:p>
    <w:p>
      <w:pPr>
        <w:pStyle w:val="7"/>
      </w:pPr>
    </w:p>
    <w:p>
      <w:pPr>
        <w:pStyle w:val="19"/>
      </w:pPr>
      <w:r>
        <w:t>法释〔2017〕19号</w:t>
      </w:r>
    </w:p>
    <w:p>
      <w:pPr>
        <w:pStyle w:val="7"/>
      </w:pPr>
    </w:p>
    <w:p>
      <w:pPr>
        <w:pStyle w:val="12"/>
        <w:rPr>
          <w:rFonts w:hint="eastAsia" w:eastAsia="楷体_GB2312"/>
          <w:lang w:eastAsia="zh-CN"/>
        </w:rPr>
      </w:pPr>
      <w:r>
        <w:rPr>
          <w:rFonts w:hint="eastAsia"/>
          <w:lang w:eastAsia="zh-CN"/>
        </w:rPr>
        <w:t>（</w:t>
      </w:r>
      <w:r>
        <w:t>2017年8月28日最高人民法院审判委员会第1724次会议、2017年10月10日最高人民检察院第十二届检察委员会第70次会议通过，自2017年12月1日起施行</w:t>
      </w:r>
      <w:r>
        <w:rPr>
          <w:rFonts w:hint="eastAsia"/>
          <w:lang w:eastAsia="zh-CN"/>
        </w:rPr>
        <w:t>）</w:t>
      </w:r>
    </w:p>
    <w:p>
      <w:pPr>
        <w:pStyle w:val="7"/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</w:pPr>
      <w:r>
        <w:t>各省、自治区、直辖市高级人民法院、人民检察院，解放军军事法院、军事检察院，新疆维吾尔自治区高级人民法院生产建设兵团分院、新疆生产建设兵团人民检察院：</w:t>
      </w:r>
    </w:p>
    <w:p>
      <w:pPr>
        <w:pStyle w:val="7"/>
      </w:pPr>
      <w:r>
        <w:t>近来，部分高级人民法院、省级人民检察院就如何对利用网络云盘制作、复制、贩卖、传播淫秽电子信息牟利行为定罪量刑的问题提出请示。经研究，批复如下：</w:t>
      </w:r>
    </w:p>
    <w:p>
      <w:pPr>
        <w:pStyle w:val="7"/>
      </w:pPr>
      <w:r>
        <w:rPr>
          <w:rStyle w:val="26"/>
        </w:rPr>
        <w:t>一、</w:t>
      </w:r>
      <w:r>
        <w:t>对于以牟利为目的，利用网络云盘制作、复制、贩卖、传播淫秽电子信息的行为，是否应当追究刑事责任，适用刑法和《最高人民法院、最高人民检察院关于办理利用互联网、移动通讯终端、声讯台制作、复制、出版、贩卖、传播淫秽电子信息刑事案件具体应用法律若干问题的解释》</w:t>
      </w:r>
      <w:r>
        <w:rPr>
          <w:rFonts w:hint="eastAsia"/>
          <w:lang w:eastAsia="zh-CN"/>
        </w:rPr>
        <w:t>（</w:t>
      </w:r>
      <w:r>
        <w:t>法释〔2004〕11号</w:t>
      </w:r>
      <w:r>
        <w:rPr>
          <w:rFonts w:hint="eastAsia"/>
          <w:lang w:eastAsia="zh-CN"/>
        </w:rPr>
        <w:t>）</w:t>
      </w:r>
      <w:r>
        <w:t>、《最高人民法院、最高人民检察院关于办理利用互联网、移动通讯终端、声讯台制作、复制、出版、贩卖、传播淫秽电子信息刑事案件具体应用法律若干问题的解释</w:t>
      </w: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（</w:t>
      </w:r>
      <w:r>
        <w:t>法释〔2010〕3号</w:t>
      </w:r>
      <w:r>
        <w:rPr>
          <w:rFonts w:hint="eastAsia"/>
          <w:lang w:eastAsia="zh-CN"/>
        </w:rPr>
        <w:t>）</w:t>
      </w:r>
      <w:r>
        <w:t>的有关规定。</w:t>
      </w:r>
    </w:p>
    <w:p>
      <w:pPr>
        <w:pStyle w:val="7"/>
      </w:pPr>
      <w:r>
        <w:rPr>
          <w:rStyle w:val="26"/>
        </w:rPr>
        <w:t>二、</w:t>
      </w:r>
      <w:r>
        <w:t>对于以牟利为目的，利用网络云盘制作、复制、贩卖、传播淫秽电子信息的行为，在追究刑事责任时，鉴于网络云盘的特点，不应单纯考虑制作、复制、贩卖、传播淫秽电子信息的数量，还应充分考虑传播范围、违法所得、行为人一贯表现以及淫秽电子信息、传播对象是否涉及未成年人等情节，综合评估社会危害性，恰当裁量刑罚，确保罪责刑相适应。</w:t>
      </w:r>
    </w:p>
    <w:p>
      <w:pPr>
        <w:pStyle w:val="7"/>
      </w:pPr>
      <w:r>
        <w:t>此复。</w:t>
      </w:r>
    </w:p>
    <w:p>
      <w:pPr>
        <w:rPr>
          <w:rFonts w:hint="eastAsia"/>
        </w:rPr>
      </w:pPr>
      <w:bookmarkStart w:id="0" w:name="_GoBack"/>
      <w:bookmarkEnd w:id="0"/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aePyQx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A4bVggbAgAAIQ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80"/>
    <w:rsid w:val="00323D76"/>
    <w:rsid w:val="004F0080"/>
    <w:rsid w:val="0072125E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0F227C"/>
    <w:rsid w:val="302E782D"/>
    <w:rsid w:val="324A1F1C"/>
    <w:rsid w:val="325C564C"/>
    <w:rsid w:val="348F021D"/>
    <w:rsid w:val="36AE6775"/>
    <w:rsid w:val="383A0A70"/>
    <w:rsid w:val="38787F7C"/>
    <w:rsid w:val="39191BFA"/>
    <w:rsid w:val="3C5C08F2"/>
    <w:rsid w:val="3D717517"/>
    <w:rsid w:val="3FBC61B7"/>
    <w:rsid w:val="48B67D66"/>
    <w:rsid w:val="4AEF215E"/>
    <w:rsid w:val="4BB72805"/>
    <w:rsid w:val="4DA15956"/>
    <w:rsid w:val="4E7D2A86"/>
    <w:rsid w:val="501B3EB2"/>
    <w:rsid w:val="5027117E"/>
    <w:rsid w:val="56C00D65"/>
    <w:rsid w:val="65586BE5"/>
    <w:rsid w:val="66953540"/>
    <w:rsid w:val="6A755808"/>
    <w:rsid w:val="6D800228"/>
    <w:rsid w:val="6DAD6BF0"/>
    <w:rsid w:val="6E1B4105"/>
    <w:rsid w:val="6EB66F23"/>
    <w:rsid w:val="75FA67F7"/>
    <w:rsid w:val="7FA34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7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8">
    <w:name w:val="一、"/>
    <w:basedOn w:val="1"/>
    <w:link w:val="26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9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10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11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2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3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6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7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paragraph" w:customStyle="1" w:styleId="21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2">
    <w:name w:val="抬头"/>
    <w:basedOn w:val="7"/>
    <w:qFormat/>
    <w:uiPriority w:val="0"/>
    <w:pPr>
      <w:ind w:firstLine="0" w:firstLineChars="0"/>
      <w:jc w:val="left"/>
    </w:pPr>
  </w:style>
  <w:style w:type="paragraph" w:customStyle="1" w:styleId="23">
    <w:name w:val="日期文号"/>
    <w:basedOn w:val="7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4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  <w:style w:type="character" w:customStyle="1" w:styleId="26">
    <w:name w:val="一、 Char"/>
    <w:link w:val="8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0851;&#20110;&#36866;&#29992;&#12298;&#20013;&#21326;&#20154;&#27665;&#20849;&#21644;&#22269;&#20210;&#35009;&#27861;&#12299;&#33509;&#24178;&#38382;&#39064;&#30340;&#35299;&#37322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关于适用《中华人民共和国仲裁法》若干问题的解释.wpt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2018-12-27T10:05:00Z</dcterms:created>
  <dc:creator> 麦莫瑞文化传播有限公司</dc:creator>
  <cp:lastModifiedBy> 麦莫瑞文化传播有限公司</cp:lastModifiedBy>
  <dcterms:modified xsi:type="dcterms:W3CDTF">2018-12-27T10:43:26Z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