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关于乡政府与其他单位签订的</w:t>
      </w:r>
    </w:p>
    <w:p>
      <w:pPr>
        <w:pStyle w:val="7"/>
        <w:rPr>
          <w:rFonts w:hint="eastAsia"/>
        </w:rPr>
      </w:pPr>
      <w:r>
        <w:t>联营协议效力问题的批复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1988</w:t>
      </w:r>
      <w:r>
        <w:t>年1月9日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复〔1988〕3号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江苏省高级人民法院：</w:t>
      </w:r>
    </w:p>
    <w:p>
      <w:pPr>
        <w:pStyle w:val="21"/>
        <w:rPr>
          <w:rFonts w:hint="eastAsia"/>
        </w:rPr>
      </w:pPr>
      <w:r>
        <w:t>河南省高级人民法院：</w:t>
      </w:r>
    </w:p>
    <w:p>
      <w:pPr>
        <w:pStyle w:val="12"/>
        <w:rPr>
          <w:rFonts w:hint="eastAsia"/>
        </w:rPr>
      </w:pPr>
      <w:r>
        <w:t>苏法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〔1987〕9号和〔1987〕豫法经字第12号《关于</w:t>
      </w:r>
      <w:r>
        <w:rPr>
          <w:rFonts w:hint="eastAsia"/>
        </w:rPr>
        <w:t>乡政府与其他企业签订的联营协议是否有效的请示》收悉。经研究，答复如下：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农村乡一级政权组织政企分开的工作正在进行，许多乡政府实际上仍在行使着政府和合作经济组织的职权。因此，对乡政府与其他单位联营办企业的协议效力认定问题应区别对待。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对于在中发〔1986〕6号《中共中央、国务院关于进一步制止党政机关和党政干部经商、办企业的规定》文件以后</w:t>
      </w:r>
      <w:r>
        <w:rPr>
          <w:rFonts w:hint="eastAsia"/>
        </w:rPr>
        <w:t>，</w:t>
      </w:r>
      <w:r>
        <w:t>政企尚未分开的乡政府</w:t>
      </w:r>
      <w:r>
        <w:rPr>
          <w:rFonts w:hint="eastAsia"/>
        </w:rPr>
        <w:t>，</w:t>
      </w:r>
      <w:r>
        <w:t>以其名义签订的联营协议</w:t>
      </w:r>
      <w:r>
        <w:rPr>
          <w:rFonts w:hint="eastAsia"/>
        </w:rPr>
        <w:t>，</w:t>
      </w:r>
      <w:r>
        <w:t>应视为乡政府在行使着政府和乡合作经济组织的双重职权</w:t>
      </w:r>
      <w:r>
        <w:rPr>
          <w:rFonts w:hint="eastAsia"/>
        </w:rPr>
        <w:t>，</w:t>
      </w:r>
      <w:r>
        <w:t>如无违法情况</w:t>
      </w:r>
      <w:r>
        <w:rPr>
          <w:rFonts w:hint="eastAsia"/>
        </w:rPr>
        <w:t>，</w:t>
      </w:r>
      <w:r>
        <w:t>可不按无效协议处理。需要继续履</w:t>
      </w:r>
      <w:r>
        <w:rPr>
          <w:rFonts w:hint="eastAsia"/>
        </w:rPr>
        <w:t>行的，应随着政企分开的进展，及时变更联营主体，完备各项法律手续。</w:t>
      </w:r>
    </w:p>
    <w:p>
      <w:pPr>
        <w:pStyle w:val="12"/>
        <w:rPr>
          <w:rFonts w:hint="eastAsia"/>
        </w:rPr>
      </w:pPr>
      <w:r>
        <w:rPr>
          <w:rStyle w:val="25"/>
        </w:rPr>
        <w:t>二、</w:t>
      </w:r>
      <w:r>
        <w:t>对于中发〔1986〕6号文件以后</w:t>
      </w:r>
      <w:r>
        <w:rPr>
          <w:rFonts w:hint="eastAsia"/>
        </w:rPr>
        <w:t>，</w:t>
      </w:r>
      <w:r>
        <w:t>政企已经分开的乡政府</w:t>
      </w:r>
      <w:r>
        <w:rPr>
          <w:rFonts w:hint="eastAsia"/>
        </w:rPr>
        <w:t>，</w:t>
      </w:r>
      <w:r>
        <w:t>仍以其为联营一方签订的联营协议</w:t>
      </w:r>
      <w:r>
        <w:rPr>
          <w:rFonts w:hint="eastAsia"/>
        </w:rPr>
        <w:t>，</w:t>
      </w:r>
      <w:r>
        <w:t>根据中发〔1986〕6号文件的规定原则上应认定无效。但在审判实践中</w:t>
      </w:r>
      <w:r>
        <w:rPr>
          <w:rFonts w:hint="eastAsia"/>
        </w:rPr>
        <w:t>，</w:t>
      </w:r>
      <w:r>
        <w:t>要注意对具体情况进行具体分析。如联营协议虽然是以乡政府名义签订的</w:t>
      </w:r>
      <w:r>
        <w:rPr>
          <w:rFonts w:hint="eastAsia"/>
        </w:rPr>
        <w:t>，</w:t>
      </w:r>
      <w:r>
        <w:t>实际上却是由乡合作经济组织执行的</w:t>
      </w:r>
      <w:r>
        <w:rPr>
          <w:rFonts w:hint="eastAsia"/>
        </w:rPr>
        <w:t>，</w:t>
      </w:r>
      <w:r>
        <w:t>协议的内容又不违背有关法律、政策规定</w:t>
      </w:r>
      <w:r>
        <w:rPr>
          <w:rFonts w:hint="eastAsia"/>
        </w:rPr>
        <w:t>，</w:t>
      </w:r>
      <w:r>
        <w:t>作无效协议处理</w:t>
      </w:r>
      <w:r>
        <w:rPr>
          <w:rFonts w:hint="eastAsia"/>
        </w:rPr>
        <w:t>，</w:t>
      </w:r>
      <w:r>
        <w:t>不利于经济发展的</w:t>
      </w:r>
      <w:r>
        <w:rPr>
          <w:rFonts w:hint="eastAsia"/>
        </w:rPr>
        <w:t>，</w:t>
      </w:r>
      <w:r>
        <w:t>也可不作无效协议处理。需要继续履行的</w:t>
      </w:r>
      <w:r>
        <w:rPr>
          <w:rFonts w:hint="eastAsia"/>
        </w:rPr>
        <w:t>，</w:t>
      </w:r>
      <w:r>
        <w:t>应对联营主体进行变更</w:t>
      </w:r>
      <w:r>
        <w:rPr>
          <w:rFonts w:hint="eastAsia"/>
        </w:rPr>
        <w:t>，</w:t>
      </w:r>
      <w:r>
        <w:t>完备各项法律手续。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E1F93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0A95504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79E1F93"/>
    <w:rsid w:val="65586BE5"/>
    <w:rsid w:val="6AA367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2017-10-30T14:10:00Z</dcterms:created>
  <dc:creator>Administrator</dc:creator>
  <cp:lastModifiedBy>Administrator</cp:lastModifiedBy>
  <dcterms:modified xsi:type="dcterms:W3CDTF">2017-10-31T08:33:02Z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