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A5" w:rsidRPr="00CC729C" w:rsidRDefault="00A71DA5" w:rsidP="00A71DA5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CC729C">
        <w:rPr>
          <w:rFonts w:ascii="华文中宋" w:eastAsia="华文中宋" w:hAnsi="华文中宋" w:cs="宋体" w:hint="eastAsia"/>
          <w:sz w:val="36"/>
          <w:szCs w:val="36"/>
        </w:rPr>
        <w:t>最高人民法院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CC729C">
        <w:rPr>
          <w:rFonts w:ascii="华文中宋" w:eastAsia="华文中宋" w:hAnsi="华文中宋" w:cs="宋体" w:hint="eastAsia"/>
          <w:sz w:val="36"/>
          <w:szCs w:val="36"/>
        </w:rPr>
        <w:t>关于人民法院对注册商标权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CC729C">
        <w:rPr>
          <w:rFonts w:ascii="华文中宋" w:eastAsia="华文中宋" w:hAnsi="华文中宋" w:cs="宋体" w:hint="eastAsia"/>
          <w:sz w:val="36"/>
          <w:szCs w:val="36"/>
        </w:rPr>
        <w:t>进行财产保全的解释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(2000年11月22日最高人民法院审判委员会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第1144次会议通过，根据2020年12月23日最高人民法院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审判委员会第1823次会议通过的《最高人民法院关于修改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〈最高人民法院关于审理侵犯专利权纠纷案件应用法律若干</w:t>
      </w:r>
    </w:p>
    <w:p w:rsidR="00A71DA5" w:rsidRPr="00CC729C" w:rsidRDefault="00A71DA5" w:rsidP="00A71DA5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问题的解释（二）〉等十八件知识产权类司法解释的决定》修正）</w:t>
      </w:r>
    </w:p>
    <w:p w:rsidR="00A71DA5" w:rsidRPr="00CC729C" w:rsidRDefault="00A71DA5" w:rsidP="00A71DA5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</w:p>
    <w:p w:rsidR="00A71DA5" w:rsidRPr="00CC729C" w:rsidRDefault="00A71DA5" w:rsidP="00A71DA5">
      <w:pPr>
        <w:pStyle w:val="a5"/>
        <w:spacing w:line="52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为了正确实施对注册商标权的财产保全措施，避免重复保全，现就人民法院对注册商标权进行财产保全有关问题解释如下：</w:t>
      </w:r>
    </w:p>
    <w:p w:rsidR="00A71DA5" w:rsidRPr="00CC729C" w:rsidRDefault="00A71DA5" w:rsidP="00A71DA5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第一条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人民法院根据民事诉讼法有关规定采取财产保全措施时，需要对注册商标权进行保全的，应当向国家知识产权局商标局（以下简称商标局）发出协助执行通知书，载明要求商标局协助保全的注册商标的名称、注册人、注册证号码、保全期限以及协助执行保全的内容，包括禁止转让、注销注册商标、变更注册事项和办理商标权质押登记等事项。</w:t>
      </w:r>
    </w:p>
    <w:p w:rsidR="00A71DA5" w:rsidRPr="00CC729C" w:rsidRDefault="00A71DA5" w:rsidP="00A71DA5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第二条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对注册商标权保全的期限一次不得超过一年，自商标局收到协助执行通知书之日起计算。如果仍然需要对该注册商标权继续采取保全措施的，人民法院应当在保全期限届满前向商标局重新发出协助执行通知书，要求继续保全。否则，视为自动解除对该注册商标权的财产保全。</w:t>
      </w:r>
    </w:p>
    <w:p w:rsidR="00A71DA5" w:rsidRPr="00CC729C" w:rsidRDefault="00A71DA5" w:rsidP="00A71DA5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第三条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人民法院对已经进行保全的注册商标权，不得重复进行保全。</w:t>
      </w:r>
    </w:p>
    <w:p w:rsidR="00981423" w:rsidRPr="00A71DA5" w:rsidRDefault="00981423"/>
    <w:sectPr w:rsidR="00981423" w:rsidRPr="00A7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423" w:rsidRDefault="00981423" w:rsidP="00A71DA5">
      <w:r>
        <w:separator/>
      </w:r>
    </w:p>
  </w:endnote>
  <w:endnote w:type="continuationSeparator" w:id="1">
    <w:p w:rsidR="00981423" w:rsidRDefault="00981423" w:rsidP="00A71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423" w:rsidRDefault="00981423" w:rsidP="00A71DA5">
      <w:r>
        <w:separator/>
      </w:r>
    </w:p>
  </w:footnote>
  <w:footnote w:type="continuationSeparator" w:id="1">
    <w:p w:rsidR="00981423" w:rsidRDefault="00981423" w:rsidP="00A71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DA5"/>
    <w:rsid w:val="00981423"/>
    <w:rsid w:val="00A7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DA5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A71DA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71DA5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实习生（民事处）</dc:creator>
  <cp:keywords/>
  <dc:description/>
  <cp:lastModifiedBy>实习生（民事处）</cp:lastModifiedBy>
  <cp:revision>2</cp:revision>
  <dcterms:created xsi:type="dcterms:W3CDTF">2021-04-01T02:16:00Z</dcterms:created>
  <dcterms:modified xsi:type="dcterms:W3CDTF">2021-04-01T02:17:00Z</dcterms:modified>
</cp:coreProperties>
</file>