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关于企业或个人欠国家银行贷款逾期两年</w:t>
      </w:r>
    </w:p>
    <w:p>
      <w:pPr>
        <w:pStyle w:val="7"/>
        <w:rPr>
          <w:rFonts w:hint="eastAsia"/>
        </w:rPr>
      </w:pPr>
      <w:r>
        <w:t>未还应当适用民法通则规定的</w:t>
      </w:r>
    </w:p>
    <w:p>
      <w:pPr>
        <w:pStyle w:val="7"/>
        <w:rPr>
          <w:rFonts w:hint="eastAsia"/>
        </w:rPr>
      </w:pPr>
      <w:r>
        <w:t>诉讼时效问题的批复</w:t>
      </w:r>
    </w:p>
    <w:p>
      <w:pPr>
        <w:pStyle w:val="12"/>
        <w:rPr>
          <w:rFonts w:hint="eastAsia" w:ascii="宋体" w:hAnsi="宋体" w:eastAsia="宋体" w:cs="宋体"/>
        </w:rPr>
      </w:pPr>
      <w:bookmarkStart w:id="0" w:name="_GoBack"/>
      <w:bookmarkEnd w:id="0"/>
    </w:p>
    <w:p>
      <w:pPr>
        <w:pStyle w:val="22"/>
        <w:rPr>
          <w:rFonts w:hint="eastAsia"/>
        </w:rPr>
      </w:pPr>
      <w:r>
        <w:rPr>
          <w:rFonts w:hint="eastAsia"/>
        </w:rPr>
        <w:t>1993</w:t>
      </w:r>
      <w:r>
        <w:t>年2月22日</w:t>
      </w:r>
      <w:r>
        <w:rPr>
          <w:rFonts w:hint="eastAsia"/>
          <w:lang w:val="en-US" w:eastAsia="zh-CN"/>
        </w:rPr>
        <w:t xml:space="preserve">      </w:t>
      </w:r>
      <w:r>
        <w:t>法复〔1993〕1号</w:t>
      </w:r>
    </w:p>
    <w:p>
      <w:pPr>
        <w:pStyle w:val="12"/>
        <w:rPr>
          <w:rFonts w:hint="eastAsia" w:ascii="宋体" w:hAnsi="宋体" w:eastAsia="宋体" w:cs="宋体"/>
        </w:rPr>
      </w:pPr>
    </w:p>
    <w:p>
      <w:pPr>
        <w:pStyle w:val="21"/>
        <w:rPr>
          <w:rFonts w:hint="eastAsia"/>
        </w:rPr>
      </w:pPr>
      <w:r>
        <w:t>河南省高级人民法院：</w:t>
      </w:r>
    </w:p>
    <w:p>
      <w:pPr>
        <w:pStyle w:val="12"/>
        <w:rPr>
          <w:rFonts w:hint="eastAsia"/>
        </w:rPr>
      </w:pPr>
      <w:r>
        <w:t>你院豫法研〔1990〕23号请示收悉。关于企业或个人欠国家银行贷款逾期两年未还是否适用民法通则规定的诉讼时效问题</w:t>
      </w:r>
      <w:r>
        <w:rPr>
          <w:rFonts w:hint="eastAsia"/>
        </w:rPr>
        <w:t>，</w:t>
      </w:r>
      <w:r>
        <w:t>经研究</w:t>
      </w:r>
      <w:r>
        <w:rPr>
          <w:rFonts w:hint="eastAsia"/>
        </w:rPr>
        <w:t>，</w:t>
      </w:r>
      <w:r>
        <w:t>答复如下：</w:t>
      </w:r>
    </w:p>
    <w:p>
      <w:pPr>
        <w:pStyle w:val="12"/>
        <w:rPr>
          <w:rFonts w:hint="eastAsia"/>
        </w:rPr>
      </w:pPr>
      <w:r>
        <w:t>国家各专业银行及其他金</w:t>
      </w:r>
      <w:r>
        <w:rPr>
          <w:rFonts w:hint="eastAsia"/>
        </w:rPr>
        <w:t>融机构系实行独立核算的经济实体。它们与借款的企业或公民之间的借贷关系，是平等主体之间的债权债务关系。国家各专业银行及其他金融机构向人民法院请求保护其追偿贷款权利的，应当适用民法通则关于诉讼时效的规定。确已超过诉讼时效期间，并且没有诉讼时效中止、中断或者延长诉讼时效期间情况的，人民法院应当判决驳回其诉讼请求。</w:t>
      </w:r>
    </w:p>
    <w:p>
      <w:pPr>
        <w:pStyle w:val="12"/>
        <w:rPr>
          <w:rFonts w:hint="eastAsia"/>
        </w:rPr>
      </w:pPr>
      <w:r>
        <w:rPr>
          <w:rFonts w:hint="eastAsia"/>
        </w:rP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AC77D5"/>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6C6C0D"/>
    <w:rsid w:val="56C00D65"/>
    <w:rsid w:val="60AC77D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2017-10-31T06:02:00Z</dcterms:created>
  <dc:creator>Administrator</dc:creator>
  <cp:lastModifiedBy>Administrator</cp:lastModifiedBy>
  <dcterms:modified xsi:type="dcterms:W3CDTF">2017-10-31T07:28:40Z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