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560" w:lineRule="exact"/>
        <w:jc w:val="center"/>
        <w:rPr>
          <w:rFonts w:hint="eastAsia" w:ascii="仿宋_GB2312" w:hAnsi="宋体" w:eastAsia="仿宋_GB2312" w:cs="宋体"/>
          <w:sz w:val="32"/>
          <w:szCs w:val="32"/>
        </w:rPr>
      </w:pPr>
    </w:p>
    <w:p>
      <w:pPr>
        <w:pStyle w:val="2"/>
        <w:spacing w:line="560" w:lineRule="exact"/>
        <w:jc w:val="center"/>
        <w:rPr>
          <w:rFonts w:ascii="仿宋_GB2312" w:hAnsi="宋体" w:eastAsia="仿宋_GB2312" w:cs="宋体"/>
          <w:sz w:val="32"/>
          <w:szCs w:val="32"/>
        </w:rPr>
      </w:pPr>
    </w:p>
    <w:p>
      <w:pPr>
        <w:pStyle w:val="2"/>
        <w:spacing w:line="560" w:lineRule="exact"/>
        <w:jc w:val="center"/>
        <w:rPr>
          <w:rFonts w:hint="eastAsia" w:cs="宋体" w:asciiTheme="majorEastAsia" w:hAnsiTheme="majorEastAsia" w:eastAsiaTheme="majorEastAsia"/>
          <w:sz w:val="44"/>
          <w:szCs w:val="44"/>
        </w:rPr>
      </w:pPr>
      <w:bookmarkStart w:id="0" w:name="_GoBack"/>
      <w:bookmarkEnd w:id="0"/>
      <w:r>
        <w:rPr>
          <w:rFonts w:hint="eastAsia" w:cs="宋体" w:asciiTheme="majorEastAsia" w:hAnsiTheme="majorEastAsia" w:eastAsiaTheme="majorEastAsia"/>
          <w:sz w:val="44"/>
          <w:szCs w:val="44"/>
        </w:rPr>
        <w:t>最高人民法院关于修改</w:t>
      </w:r>
    </w:p>
    <w:p>
      <w:pPr>
        <w:pStyle w:val="2"/>
        <w:spacing w:line="560" w:lineRule="exact"/>
        <w:jc w:val="center"/>
        <w:rPr>
          <w:rFonts w:cs="宋体" w:asciiTheme="majorEastAsia" w:hAnsiTheme="majorEastAsia" w:eastAsiaTheme="majorEastAsia"/>
          <w:sz w:val="44"/>
          <w:szCs w:val="44"/>
        </w:rPr>
      </w:pPr>
      <w:r>
        <w:rPr>
          <w:rFonts w:hint="eastAsia" w:cs="宋体" w:asciiTheme="majorEastAsia" w:hAnsiTheme="majorEastAsia" w:eastAsiaTheme="majorEastAsia"/>
          <w:sz w:val="44"/>
          <w:szCs w:val="44"/>
        </w:rPr>
        <w:t>《关于上海金融法院案件管辖的规定》的决定</w:t>
      </w:r>
    </w:p>
    <w:p>
      <w:pPr>
        <w:pStyle w:val="2"/>
        <w:spacing w:line="560" w:lineRule="exact"/>
        <w:jc w:val="center"/>
        <w:rPr>
          <w:rFonts w:ascii="仿宋_GB2312" w:hAnsi="宋体" w:eastAsia="仿宋_GB2312" w:cs="宋体"/>
          <w:sz w:val="32"/>
          <w:szCs w:val="32"/>
        </w:rPr>
      </w:pPr>
    </w:p>
    <w:p>
      <w:pPr>
        <w:pStyle w:val="2"/>
        <w:spacing w:line="560" w:lineRule="exact"/>
        <w:jc w:val="center"/>
        <w:rPr>
          <w:rFonts w:ascii="楷体_GB2312" w:hAnsi="宋体" w:eastAsia="楷体_GB2312" w:cs="宋体"/>
          <w:sz w:val="32"/>
          <w:szCs w:val="32"/>
        </w:rPr>
      </w:pPr>
      <w:r>
        <w:rPr>
          <w:rFonts w:hint="eastAsia" w:ascii="楷体_GB2312" w:hAnsi="宋体" w:eastAsia="楷体_GB2312" w:cs="宋体"/>
          <w:sz w:val="32"/>
          <w:szCs w:val="32"/>
        </w:rPr>
        <w:t>法释〔2021〕9号</w:t>
      </w:r>
    </w:p>
    <w:p>
      <w:pPr>
        <w:pStyle w:val="2"/>
        <w:spacing w:line="560" w:lineRule="exact"/>
        <w:rPr>
          <w:rFonts w:ascii="仿宋_GB2312" w:hAnsi="宋体" w:eastAsia="仿宋_GB2312" w:cs="宋体"/>
          <w:sz w:val="32"/>
          <w:szCs w:val="32"/>
        </w:rPr>
      </w:pPr>
    </w:p>
    <w:p>
      <w:pPr>
        <w:pStyle w:val="2"/>
        <w:spacing w:line="560" w:lineRule="exact"/>
        <w:ind w:left="630" w:leftChars="300" w:right="630" w:rightChars="300"/>
        <w:rPr>
          <w:rFonts w:ascii="楷体_GB2312" w:hAnsi="宋体" w:eastAsia="楷体_GB2312" w:cs="宋体"/>
          <w:sz w:val="32"/>
          <w:szCs w:val="32"/>
        </w:rPr>
      </w:pPr>
      <w:r>
        <w:rPr>
          <w:rFonts w:hint="eastAsia" w:ascii="楷体_GB2312" w:hAnsi="宋体" w:eastAsia="楷体_GB2312" w:cs="宋体"/>
          <w:sz w:val="32"/>
          <w:szCs w:val="32"/>
        </w:rPr>
        <w:t>（2021年3月1日最高人民法院审判委员会第1833次会议通过，自2021年4月22日起施行）</w:t>
      </w:r>
    </w:p>
    <w:p>
      <w:pPr>
        <w:pStyle w:val="2"/>
        <w:spacing w:line="560" w:lineRule="exact"/>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根据审判实践需要，经最高人民法院审判委员会第1833次会议决定，对《关于上海金融法院案件管辖的规定》作如下修改：</w:t>
      </w:r>
    </w:p>
    <w:p>
      <w:pPr>
        <w:pStyle w:val="2"/>
        <w:spacing w:line="560" w:lineRule="exact"/>
        <w:ind w:firstLine="640" w:firstLineChars="200"/>
        <w:rPr>
          <w:rFonts w:ascii="仿宋_GB2312" w:hAnsi="宋体" w:eastAsia="仿宋_GB2312" w:cs="宋体"/>
          <w:sz w:val="32"/>
          <w:szCs w:val="32"/>
        </w:rPr>
      </w:pPr>
      <w:r>
        <w:rPr>
          <w:rFonts w:hint="eastAsia" w:ascii="黑体" w:hAnsi="宋体" w:eastAsia="黑体" w:cs="宋体"/>
          <w:sz w:val="32"/>
          <w:szCs w:val="32"/>
        </w:rPr>
        <w:t>一、</w:t>
      </w:r>
      <w:r>
        <w:rPr>
          <w:rFonts w:hint="eastAsia" w:ascii="仿宋_GB2312" w:hAnsi="宋体" w:eastAsia="仿宋_GB2312" w:cs="宋体"/>
          <w:sz w:val="32"/>
          <w:szCs w:val="32"/>
        </w:rPr>
        <w:t>将第一条修改为：</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“上海金融法院管辖上海市辖区内应由中级人民法院受理的下列第一审金融民商事案件：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（一）证券、期货交易、营业信托、保险、票据、信用证、独立保函、保理、金融借款合同、银行卡、融资租赁合同、委托理财合同、储蓄存款合同、典当、银行结算合同等金融民商事纠纷；</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（二）资产管理业务、资产支持证券业务、私募基金业务、外汇业务、金融产品销售和适当性管理、征信业务、支付业务及经有权机关批准的其他金融业务引发的金融民商事纠纷;</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（三）涉金融机构的与公司有关的纠纷；</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（四）以金融机构为债务人的破产纠纷；</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（五）金融民商事纠纷的仲裁司法审查案件；</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（六）申请认可和执行香港特别行政区、澳门特别行政区、台湾地区法院金融民商事纠纷的判决、裁定案件，以及申请承认和执行外国法院金融民商事纠纷的判决、裁定案件。”</w:t>
      </w:r>
    </w:p>
    <w:p>
      <w:pPr>
        <w:pStyle w:val="2"/>
        <w:spacing w:line="560" w:lineRule="exact"/>
        <w:ind w:firstLine="640" w:firstLineChars="200"/>
        <w:rPr>
          <w:rFonts w:ascii="仿宋_GB2312" w:hAnsi="宋体" w:eastAsia="仿宋_GB2312" w:cs="宋体"/>
          <w:sz w:val="32"/>
          <w:szCs w:val="32"/>
        </w:rPr>
      </w:pPr>
      <w:r>
        <w:rPr>
          <w:rFonts w:hint="eastAsia" w:ascii="黑体" w:hAnsi="宋体" w:eastAsia="黑体" w:cs="宋体"/>
          <w:sz w:val="32"/>
          <w:szCs w:val="32"/>
        </w:rPr>
        <w:t>二、</w:t>
      </w:r>
      <w:r>
        <w:rPr>
          <w:rFonts w:hint="eastAsia" w:ascii="仿宋_GB2312" w:hAnsi="宋体" w:eastAsia="仿宋_GB2312" w:cs="宋体"/>
          <w:sz w:val="32"/>
          <w:szCs w:val="32"/>
        </w:rPr>
        <w:t>将第二条修改为第六条：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“上海市辖区内应由中级人民法院受理的对金融监管机构以及法律、法规、规章授权的组织因履行金融监管职责作出的行政行为不服提起诉讼的第一审涉金融行政案件，由上海金融法院管辖。”</w:t>
      </w:r>
    </w:p>
    <w:p>
      <w:pPr>
        <w:pStyle w:val="2"/>
        <w:spacing w:line="560" w:lineRule="exact"/>
        <w:ind w:firstLine="640" w:firstLineChars="200"/>
        <w:rPr>
          <w:rFonts w:ascii="仿宋_GB2312" w:hAnsi="宋体" w:eastAsia="仿宋_GB2312" w:cs="宋体"/>
          <w:sz w:val="32"/>
          <w:szCs w:val="32"/>
        </w:rPr>
      </w:pPr>
      <w:r>
        <w:rPr>
          <w:rFonts w:hint="eastAsia" w:ascii="黑体" w:hAnsi="宋体" w:eastAsia="黑体" w:cs="宋体"/>
          <w:sz w:val="32"/>
          <w:szCs w:val="32"/>
        </w:rPr>
        <w:t>三、</w:t>
      </w:r>
      <w:r>
        <w:rPr>
          <w:rFonts w:hint="eastAsia" w:ascii="仿宋_GB2312" w:hAnsi="宋体" w:eastAsia="仿宋_GB2312" w:cs="宋体"/>
          <w:sz w:val="32"/>
          <w:szCs w:val="32"/>
        </w:rPr>
        <w:t>增加一条作为第二条：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“下列金融纠纷案件，由上海金融法院管辖：</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（一）境内投资者以发生在中华人民共和国境外的证券发行、交易活动或者期货交易活动损害其合法权益为由向上海金融法院提起的诉讼；</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（二）境内个人或者机构以中华人民共和国境外金融机构销售的金融产品或者提供的金融服务损害其合法权益为由向上海金融法院提起的诉讼。”</w:t>
      </w:r>
    </w:p>
    <w:p>
      <w:pPr>
        <w:pStyle w:val="2"/>
        <w:spacing w:line="560" w:lineRule="exact"/>
        <w:ind w:firstLine="640" w:firstLineChars="200"/>
        <w:rPr>
          <w:rFonts w:ascii="仿宋_GB2312" w:hAnsi="宋体" w:eastAsia="仿宋_GB2312" w:cs="宋体"/>
          <w:sz w:val="32"/>
          <w:szCs w:val="32"/>
        </w:rPr>
      </w:pPr>
      <w:r>
        <w:rPr>
          <w:rFonts w:hint="eastAsia" w:ascii="黑体" w:hAnsi="宋体" w:eastAsia="黑体" w:cs="宋体"/>
          <w:sz w:val="32"/>
          <w:szCs w:val="32"/>
        </w:rPr>
        <w:t>四、</w:t>
      </w:r>
      <w:r>
        <w:rPr>
          <w:rFonts w:hint="eastAsia" w:ascii="仿宋_GB2312" w:hAnsi="宋体" w:eastAsia="仿宋_GB2312" w:cs="宋体"/>
          <w:sz w:val="32"/>
          <w:szCs w:val="32"/>
        </w:rPr>
        <w:t>将第三条修改为第五条：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“以住所地在上海市并依法设立的金融基础设施机构为被告或者第三人的与其履行职责相关的第一审金融民商事案件，由上海金融法院管辖。”</w:t>
      </w:r>
    </w:p>
    <w:p>
      <w:pPr>
        <w:pStyle w:val="2"/>
        <w:spacing w:line="560" w:lineRule="exact"/>
        <w:ind w:firstLine="640" w:firstLineChars="200"/>
        <w:rPr>
          <w:rFonts w:ascii="仿宋_GB2312" w:hAnsi="宋体" w:eastAsia="仿宋_GB2312" w:cs="宋体"/>
          <w:sz w:val="32"/>
          <w:szCs w:val="32"/>
        </w:rPr>
      </w:pPr>
      <w:r>
        <w:rPr>
          <w:rFonts w:hint="eastAsia" w:ascii="黑体" w:hAnsi="宋体" w:eastAsia="黑体" w:cs="宋体"/>
          <w:sz w:val="32"/>
          <w:szCs w:val="32"/>
        </w:rPr>
        <w:t>五、</w:t>
      </w:r>
      <w:r>
        <w:rPr>
          <w:rFonts w:hint="eastAsia" w:ascii="仿宋_GB2312" w:hAnsi="宋体" w:eastAsia="仿宋_GB2312" w:cs="宋体"/>
          <w:sz w:val="32"/>
          <w:szCs w:val="32"/>
        </w:rPr>
        <w:t>增加一条作为第三条：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“在上海证券交易所科创板上市公司的证券发行纠纷、证券承销合同纠纷、证券上市保荐合同纠纷、证券上市合同纠纷和证券欺诈责任纠纷等第一审民商事案件，由上海金融法院管辖。”</w:t>
      </w:r>
    </w:p>
    <w:p>
      <w:pPr>
        <w:pStyle w:val="2"/>
        <w:spacing w:line="560" w:lineRule="exact"/>
        <w:ind w:firstLine="640" w:firstLineChars="200"/>
        <w:rPr>
          <w:rFonts w:ascii="仿宋_GB2312" w:hAnsi="宋体" w:eastAsia="仿宋_GB2312" w:cs="宋体"/>
          <w:sz w:val="32"/>
          <w:szCs w:val="32"/>
        </w:rPr>
      </w:pPr>
      <w:r>
        <w:rPr>
          <w:rFonts w:hint="eastAsia" w:ascii="黑体" w:hAnsi="宋体" w:eastAsia="黑体" w:cs="宋体"/>
          <w:sz w:val="32"/>
          <w:szCs w:val="32"/>
        </w:rPr>
        <w:t>六、</w:t>
      </w:r>
      <w:r>
        <w:rPr>
          <w:rFonts w:hint="eastAsia" w:ascii="仿宋_GB2312" w:hAnsi="宋体" w:eastAsia="仿宋_GB2312" w:cs="宋体"/>
          <w:sz w:val="32"/>
          <w:szCs w:val="32"/>
        </w:rPr>
        <w:t>增加一条作为第四条：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“以上海证券交易所为被告或者第三人的与证券交易所监管职能相关的第一审金融民商事和涉金融行政案件，由上海金融法院管辖。”</w:t>
      </w:r>
    </w:p>
    <w:p>
      <w:pPr>
        <w:pStyle w:val="2"/>
        <w:spacing w:line="560" w:lineRule="exact"/>
        <w:ind w:firstLine="640" w:firstLineChars="200"/>
        <w:rPr>
          <w:rFonts w:ascii="仿宋_GB2312" w:hAnsi="宋体" w:eastAsia="仿宋_GB2312" w:cs="宋体"/>
          <w:sz w:val="32"/>
          <w:szCs w:val="32"/>
        </w:rPr>
      </w:pPr>
      <w:r>
        <w:rPr>
          <w:rFonts w:hint="eastAsia" w:ascii="黑体" w:hAnsi="宋体" w:eastAsia="黑体" w:cs="宋体"/>
          <w:sz w:val="32"/>
          <w:szCs w:val="32"/>
        </w:rPr>
        <w:t>七、</w:t>
      </w:r>
      <w:r>
        <w:rPr>
          <w:rFonts w:hint="eastAsia" w:ascii="仿宋_GB2312" w:hAnsi="宋体" w:eastAsia="仿宋_GB2312" w:cs="宋体"/>
          <w:sz w:val="32"/>
          <w:szCs w:val="32"/>
        </w:rPr>
        <w:t>将第四条修改为第七条：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“当事人对上海市基层人民法院作出的涉及本规定第一条第一至三项的第一审金融民商事案件和涉金融行政案件判决、裁定提起的上诉案件和申请再审案件，由上海金融法院审理。”</w:t>
      </w:r>
    </w:p>
    <w:p>
      <w:pPr>
        <w:pStyle w:val="2"/>
        <w:spacing w:line="560" w:lineRule="exact"/>
        <w:ind w:firstLine="640" w:firstLineChars="200"/>
        <w:rPr>
          <w:rFonts w:ascii="仿宋_GB2312" w:hAnsi="宋体" w:eastAsia="仿宋_GB2312" w:cs="宋体"/>
          <w:sz w:val="32"/>
          <w:szCs w:val="32"/>
        </w:rPr>
      </w:pPr>
      <w:r>
        <w:rPr>
          <w:rFonts w:hint="eastAsia" w:ascii="黑体" w:hAnsi="宋体" w:eastAsia="黑体" w:cs="宋体"/>
          <w:sz w:val="32"/>
          <w:szCs w:val="32"/>
        </w:rPr>
        <w:t>八、</w:t>
      </w:r>
      <w:r>
        <w:rPr>
          <w:rFonts w:hint="eastAsia" w:ascii="仿宋_GB2312" w:hAnsi="宋体" w:eastAsia="仿宋_GB2312" w:cs="宋体"/>
          <w:sz w:val="32"/>
          <w:szCs w:val="32"/>
        </w:rPr>
        <w:t>增加一条作为第八条：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“上海市辖区内应由中级人民法院受理的金融民商事案件、涉金融行政案件的再审案件，由上海金融法院审理。”</w:t>
      </w:r>
    </w:p>
    <w:p>
      <w:pPr>
        <w:pStyle w:val="2"/>
        <w:spacing w:line="560" w:lineRule="exact"/>
        <w:ind w:firstLine="640" w:firstLineChars="200"/>
        <w:rPr>
          <w:rFonts w:ascii="仿宋_GB2312" w:hAnsi="宋体" w:eastAsia="仿宋_GB2312" w:cs="宋体"/>
          <w:sz w:val="32"/>
          <w:szCs w:val="32"/>
        </w:rPr>
      </w:pPr>
      <w:r>
        <w:rPr>
          <w:rFonts w:hint="eastAsia" w:ascii="黑体" w:hAnsi="宋体" w:eastAsia="黑体" w:cs="宋体"/>
          <w:sz w:val="32"/>
          <w:szCs w:val="32"/>
        </w:rPr>
        <w:t>九、</w:t>
      </w:r>
      <w:r>
        <w:rPr>
          <w:rFonts w:hint="eastAsia" w:ascii="仿宋_GB2312" w:hAnsi="宋体" w:eastAsia="仿宋_GB2312" w:cs="宋体"/>
          <w:sz w:val="32"/>
          <w:szCs w:val="32"/>
        </w:rPr>
        <w:t>增加一条作为第九条：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“上海金融法院作出的第一审民商事案件和涉金融行政案件生效裁判，以及上海市辖区内应由中级人民法院执行的涉金融民商事纠纷的仲裁裁决，由上海金融法院执行。</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上海金融法院执行过程中发生的执行异议案件、执行异议之诉案件，以及上海市基层人民法院涉金融案件执行过程中发生的执行复议案件、执行异议之诉上诉案件，由上海金融法院审理。”</w:t>
      </w:r>
    </w:p>
    <w:p>
      <w:pPr>
        <w:pStyle w:val="2"/>
        <w:spacing w:line="560" w:lineRule="exact"/>
        <w:ind w:firstLine="640" w:firstLineChars="200"/>
        <w:rPr>
          <w:rFonts w:ascii="仿宋_GB2312" w:hAnsi="宋体" w:eastAsia="仿宋_GB2312" w:cs="宋体"/>
          <w:sz w:val="32"/>
          <w:szCs w:val="32"/>
        </w:rPr>
      </w:pPr>
      <w:r>
        <w:rPr>
          <w:rFonts w:hint="eastAsia" w:ascii="黑体" w:hAnsi="宋体" w:eastAsia="黑体" w:cs="宋体"/>
          <w:sz w:val="32"/>
          <w:szCs w:val="32"/>
        </w:rPr>
        <w:t>十、</w:t>
      </w:r>
      <w:r>
        <w:rPr>
          <w:rFonts w:hint="eastAsia" w:ascii="仿宋_GB2312" w:hAnsi="宋体" w:eastAsia="仿宋_GB2312" w:cs="宋体"/>
          <w:sz w:val="32"/>
          <w:szCs w:val="32"/>
        </w:rPr>
        <w:t>将第五条修改为第十条。</w:t>
      </w:r>
    </w:p>
    <w:p>
      <w:pPr>
        <w:pStyle w:val="2"/>
        <w:spacing w:line="560" w:lineRule="exact"/>
        <w:ind w:firstLine="640" w:firstLineChars="200"/>
        <w:rPr>
          <w:rFonts w:ascii="仿宋_GB2312" w:hAnsi="宋体" w:eastAsia="仿宋_GB2312" w:cs="宋体"/>
          <w:sz w:val="32"/>
          <w:szCs w:val="32"/>
        </w:rPr>
      </w:pPr>
      <w:r>
        <w:rPr>
          <w:rFonts w:hint="eastAsia" w:ascii="黑体" w:hAnsi="宋体" w:eastAsia="黑体" w:cs="宋体"/>
          <w:sz w:val="32"/>
          <w:szCs w:val="32"/>
        </w:rPr>
        <w:t>十一、</w:t>
      </w:r>
      <w:r>
        <w:rPr>
          <w:rFonts w:hint="eastAsia" w:ascii="仿宋_GB2312" w:hAnsi="宋体" w:eastAsia="仿宋_GB2312" w:cs="宋体"/>
          <w:sz w:val="32"/>
          <w:szCs w:val="32"/>
        </w:rPr>
        <w:t>将第六条修改为第十一条。</w:t>
      </w:r>
    </w:p>
    <w:p>
      <w:pPr>
        <w:pStyle w:val="2"/>
        <w:spacing w:line="560" w:lineRule="exact"/>
        <w:ind w:firstLine="640" w:firstLineChars="200"/>
        <w:rPr>
          <w:rFonts w:ascii="仿宋_GB2312" w:hAnsi="宋体" w:eastAsia="仿宋_GB2312" w:cs="宋体"/>
          <w:sz w:val="32"/>
          <w:szCs w:val="32"/>
        </w:rPr>
      </w:pPr>
      <w:r>
        <w:rPr>
          <w:rFonts w:hint="eastAsia" w:ascii="黑体" w:hAnsi="宋体" w:eastAsia="黑体" w:cs="宋体"/>
          <w:sz w:val="32"/>
          <w:szCs w:val="32"/>
        </w:rPr>
        <w:t>十二、</w:t>
      </w:r>
      <w:r>
        <w:rPr>
          <w:rFonts w:hint="eastAsia" w:ascii="仿宋_GB2312" w:hAnsi="宋体" w:eastAsia="仿宋_GB2312" w:cs="宋体"/>
          <w:sz w:val="32"/>
          <w:szCs w:val="32"/>
        </w:rPr>
        <w:t>将第七条修改为第十二条。</w:t>
      </w:r>
    </w:p>
    <w:p>
      <w:pPr>
        <w:pStyle w:val="2"/>
        <w:spacing w:line="560" w:lineRule="exact"/>
        <w:ind w:firstLine="640" w:firstLineChars="200"/>
        <w:rPr>
          <w:rFonts w:ascii="仿宋_GB2312" w:hAnsi="宋体" w:eastAsia="仿宋_GB2312" w:cs="宋体"/>
          <w:sz w:val="32"/>
          <w:szCs w:val="32"/>
        </w:rPr>
      </w:pPr>
      <w:r>
        <w:rPr>
          <w:rFonts w:hint="eastAsia" w:ascii="仿宋_GB2312" w:hAnsi="宋体" w:eastAsia="仿宋_GB2312" w:cs="宋体"/>
          <w:sz w:val="32"/>
          <w:szCs w:val="32"/>
        </w:rPr>
        <w:t>本决定自2021年4月22日起施行。</w:t>
      </w:r>
    </w:p>
    <w:p>
      <w:pPr>
        <w:pStyle w:val="2"/>
        <w:spacing w:line="560" w:lineRule="exact"/>
        <w:ind w:firstLine="640" w:firstLineChars="200"/>
        <w:rPr>
          <w:rFonts w:hint="eastAsia" w:ascii="仿宋_GB2312" w:hAnsi="宋体" w:eastAsia="仿宋_GB2312" w:cs="宋体"/>
          <w:sz w:val="30"/>
          <w:szCs w:val="30"/>
        </w:rPr>
      </w:pPr>
      <w:r>
        <w:rPr>
          <w:rFonts w:hint="eastAsia" w:ascii="仿宋_GB2312" w:hAnsi="宋体" w:eastAsia="仿宋_GB2312" w:cs="宋体"/>
          <w:sz w:val="32"/>
          <w:szCs w:val="32"/>
        </w:rPr>
        <w:t>根据本决定，《最高人民法院关于上海金融法院案件管辖的规定》作相应修改后，重新公布。</w:t>
      </w:r>
    </w:p>
    <w:p>
      <w:pPr>
        <w:pStyle w:val="2"/>
        <w:spacing w:line="560" w:lineRule="exact"/>
        <w:ind w:firstLine="640" w:firstLineChars="200"/>
        <w:rPr>
          <w:rFonts w:ascii="仿宋_GB2312" w:hAnsi="宋体" w:eastAsia="仿宋_GB2312" w:cs="宋体"/>
          <w:sz w:val="32"/>
          <w:szCs w:val="32"/>
        </w:rPr>
      </w:pPr>
    </w:p>
    <w:p>
      <w:pPr>
        <w:pStyle w:val="2"/>
        <w:spacing w:line="560" w:lineRule="exact"/>
        <w:ind w:firstLine="640" w:firstLineChars="200"/>
        <w:rPr>
          <w:rFonts w:ascii="仿宋_GB2312" w:hAnsi="宋体" w:eastAsia="仿宋_GB2312" w:cs="宋体"/>
          <w:sz w:val="32"/>
          <w:szCs w:val="32"/>
        </w:rPr>
      </w:pPr>
    </w:p>
    <w:sectPr>
      <w:footerReference r:id="rId3" w:type="default"/>
      <w:footerReference r:id="rId4" w:type="even"/>
      <w:pgSz w:w="11906" w:h="16838"/>
      <w:pgMar w:top="2098" w:right="1474" w:bottom="1985" w:left="1588"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pPr>
    <w:r>
      <w:pict>
        <v:shape id="_x0000_s2049" o:spid="_x0000_s2049" o:spt="202" type="#_x0000_t202" style="position:absolute;left:0pt;margin-left:407.2pt;margin-top:-5.4pt;height:144pt;width:144pt;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pPr>
                  <w:pStyle w:val="4"/>
                  <w:rPr>
                    <w:rStyle w:val="8"/>
                    <w:rFonts w:hint="eastAsia" w:ascii="Times" w:hAnsi="Times"/>
                    <w:sz w:val="28"/>
                  </w:rPr>
                </w:pPr>
                <w:r>
                  <w:rPr>
                    <w:rStyle w:val="8"/>
                    <w:rFonts w:hint="eastAsia" w:ascii="宋体" w:hAnsi="宋体" w:cs="宋体"/>
                    <w:sz w:val="28"/>
                  </w:rPr>
                  <w:fldChar w:fldCharType="begin"/>
                </w:r>
                <w:r>
                  <w:rPr>
                    <w:rStyle w:val="8"/>
                    <w:rFonts w:hint="eastAsia" w:ascii="宋体" w:hAnsi="宋体" w:cs="宋体"/>
                    <w:sz w:val="28"/>
                  </w:rPr>
                  <w:instrText xml:space="preserve">PAGE  </w:instrText>
                </w:r>
                <w:r>
                  <w:rPr>
                    <w:rStyle w:val="8"/>
                    <w:rFonts w:hint="eastAsia" w:ascii="宋体" w:hAnsi="宋体" w:cs="宋体"/>
                    <w:sz w:val="28"/>
                  </w:rPr>
                  <w:fldChar w:fldCharType="separate"/>
                </w:r>
                <w:r>
                  <w:rPr>
                    <w:rStyle w:val="8"/>
                    <w:rFonts w:ascii="宋体" w:hAnsi="宋体" w:cs="宋体"/>
                    <w:sz w:val="28"/>
                  </w:rPr>
                  <w:t>- 1 -</w:t>
                </w:r>
                <w:r>
                  <w:rPr>
                    <w:rStyle w:val="8"/>
                    <w:rFonts w:hint="eastAsia" w:ascii="宋体" w:hAnsi="宋体" w:cs="宋体"/>
                    <w:sz w:val="28"/>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r>
      <w:pict>
        <v:shape id="_x0000_s2050" o:spid="_x0000_s2050" o:spt="202" type="#_x0000_t202" style="position:absolute;left:0pt;margin-left:0pt;margin-top:-5.4pt;height:144pt;width:144pt;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pStyle w:val="4"/>
                  <w:rPr>
                    <w:rStyle w:val="8"/>
                  </w:rPr>
                </w:pPr>
                <w:r>
                  <w:rPr>
                    <w:rStyle w:val="8"/>
                    <w:rFonts w:hint="eastAsia" w:ascii="宋体" w:hAnsi="宋体" w:cs="宋体"/>
                    <w:sz w:val="28"/>
                    <w:szCs w:val="28"/>
                  </w:rPr>
                  <w:fldChar w:fldCharType="begin"/>
                </w:r>
                <w:r>
                  <w:rPr>
                    <w:rStyle w:val="8"/>
                    <w:rFonts w:hint="eastAsia" w:ascii="宋体" w:hAnsi="宋体" w:cs="宋体"/>
                    <w:sz w:val="28"/>
                    <w:szCs w:val="28"/>
                  </w:rPr>
                  <w:instrText xml:space="preserve">PAGE  </w:instrText>
                </w:r>
                <w:r>
                  <w:rPr>
                    <w:rStyle w:val="8"/>
                    <w:rFonts w:hint="eastAsia" w:ascii="宋体" w:hAnsi="宋体" w:cs="宋体"/>
                    <w:sz w:val="28"/>
                    <w:szCs w:val="28"/>
                  </w:rPr>
                  <w:fldChar w:fldCharType="separate"/>
                </w:r>
                <w:r>
                  <w:rPr>
                    <w:rStyle w:val="8"/>
                    <w:rFonts w:ascii="宋体" w:hAnsi="宋体" w:cs="宋体"/>
                    <w:sz w:val="28"/>
                    <w:szCs w:val="28"/>
                  </w:rPr>
                  <w:t>- 2 -</w:t>
                </w:r>
                <w:r>
                  <w:rPr>
                    <w:rStyle w:val="8"/>
                    <w:rFonts w:hint="eastAsia" w:ascii="宋体" w:hAnsi="宋体" w:cs="宋体"/>
                    <w:sz w:val="28"/>
                    <w:szCs w:val="2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2D6C55"/>
    <w:rsid w:val="000051BA"/>
    <w:rsid w:val="00007DC9"/>
    <w:rsid w:val="000218EF"/>
    <w:rsid w:val="00022FF2"/>
    <w:rsid w:val="000246CF"/>
    <w:rsid w:val="00026B55"/>
    <w:rsid w:val="000300E0"/>
    <w:rsid w:val="000309FC"/>
    <w:rsid w:val="0004157A"/>
    <w:rsid w:val="00041639"/>
    <w:rsid w:val="00046FD0"/>
    <w:rsid w:val="00060A39"/>
    <w:rsid w:val="00060B3A"/>
    <w:rsid w:val="000658AA"/>
    <w:rsid w:val="00070A8B"/>
    <w:rsid w:val="000720A0"/>
    <w:rsid w:val="00072E51"/>
    <w:rsid w:val="000831A5"/>
    <w:rsid w:val="00092662"/>
    <w:rsid w:val="00093500"/>
    <w:rsid w:val="00094871"/>
    <w:rsid w:val="000A67EC"/>
    <w:rsid w:val="000B1F15"/>
    <w:rsid w:val="000B47FF"/>
    <w:rsid w:val="000C4793"/>
    <w:rsid w:val="000D7352"/>
    <w:rsid w:val="000E4EE9"/>
    <w:rsid w:val="000E5187"/>
    <w:rsid w:val="000E56CF"/>
    <w:rsid w:val="000E6D88"/>
    <w:rsid w:val="000F150B"/>
    <w:rsid w:val="000F2196"/>
    <w:rsid w:val="000F2D91"/>
    <w:rsid w:val="00105EA6"/>
    <w:rsid w:val="001066EE"/>
    <w:rsid w:val="00106D59"/>
    <w:rsid w:val="00114E8F"/>
    <w:rsid w:val="001211C7"/>
    <w:rsid w:val="00125415"/>
    <w:rsid w:val="0012789D"/>
    <w:rsid w:val="00133F36"/>
    <w:rsid w:val="00135979"/>
    <w:rsid w:val="00141FB6"/>
    <w:rsid w:val="00156266"/>
    <w:rsid w:val="001614DD"/>
    <w:rsid w:val="001617A2"/>
    <w:rsid w:val="00162880"/>
    <w:rsid w:val="0016489F"/>
    <w:rsid w:val="0016665A"/>
    <w:rsid w:val="00170A71"/>
    <w:rsid w:val="001A7520"/>
    <w:rsid w:val="001B131A"/>
    <w:rsid w:val="001B153F"/>
    <w:rsid w:val="001B6523"/>
    <w:rsid w:val="001D4E14"/>
    <w:rsid w:val="001D5662"/>
    <w:rsid w:val="001E1AB1"/>
    <w:rsid w:val="001F6C7B"/>
    <w:rsid w:val="002064F7"/>
    <w:rsid w:val="00206B2B"/>
    <w:rsid w:val="0021638E"/>
    <w:rsid w:val="002216B9"/>
    <w:rsid w:val="0023259F"/>
    <w:rsid w:val="00233F94"/>
    <w:rsid w:val="00235183"/>
    <w:rsid w:val="00241E35"/>
    <w:rsid w:val="002428F9"/>
    <w:rsid w:val="0025742F"/>
    <w:rsid w:val="002671B1"/>
    <w:rsid w:val="00271C80"/>
    <w:rsid w:val="00277543"/>
    <w:rsid w:val="00281EEF"/>
    <w:rsid w:val="0028710F"/>
    <w:rsid w:val="002A0E27"/>
    <w:rsid w:val="002A0E47"/>
    <w:rsid w:val="002A1765"/>
    <w:rsid w:val="002A1BB0"/>
    <w:rsid w:val="002A7E25"/>
    <w:rsid w:val="002B5E8C"/>
    <w:rsid w:val="002C11D2"/>
    <w:rsid w:val="002D6C55"/>
    <w:rsid w:val="002E52C2"/>
    <w:rsid w:val="002E71C4"/>
    <w:rsid w:val="00311EB0"/>
    <w:rsid w:val="00313AEE"/>
    <w:rsid w:val="0031621E"/>
    <w:rsid w:val="00327650"/>
    <w:rsid w:val="00334544"/>
    <w:rsid w:val="003370AB"/>
    <w:rsid w:val="00337E4D"/>
    <w:rsid w:val="003407E4"/>
    <w:rsid w:val="00340A51"/>
    <w:rsid w:val="00340D0A"/>
    <w:rsid w:val="00342C41"/>
    <w:rsid w:val="00344576"/>
    <w:rsid w:val="00356973"/>
    <w:rsid w:val="00356AAC"/>
    <w:rsid w:val="00357579"/>
    <w:rsid w:val="00357968"/>
    <w:rsid w:val="0036275A"/>
    <w:rsid w:val="00374592"/>
    <w:rsid w:val="00384827"/>
    <w:rsid w:val="003854B1"/>
    <w:rsid w:val="003871CA"/>
    <w:rsid w:val="003902DE"/>
    <w:rsid w:val="00390825"/>
    <w:rsid w:val="00394561"/>
    <w:rsid w:val="00395336"/>
    <w:rsid w:val="003B50D6"/>
    <w:rsid w:val="003C0536"/>
    <w:rsid w:val="003D7E4C"/>
    <w:rsid w:val="003E737D"/>
    <w:rsid w:val="003F534F"/>
    <w:rsid w:val="003F661F"/>
    <w:rsid w:val="00403942"/>
    <w:rsid w:val="00422EA0"/>
    <w:rsid w:val="00424C9C"/>
    <w:rsid w:val="00431DB2"/>
    <w:rsid w:val="00432CA7"/>
    <w:rsid w:val="004358E6"/>
    <w:rsid w:val="00440B14"/>
    <w:rsid w:val="00447D9F"/>
    <w:rsid w:val="00454D12"/>
    <w:rsid w:val="00463561"/>
    <w:rsid w:val="004724D5"/>
    <w:rsid w:val="00473BA4"/>
    <w:rsid w:val="004745A3"/>
    <w:rsid w:val="0048272B"/>
    <w:rsid w:val="00493ABE"/>
    <w:rsid w:val="004A69A0"/>
    <w:rsid w:val="004B0465"/>
    <w:rsid w:val="004B1A57"/>
    <w:rsid w:val="004B2619"/>
    <w:rsid w:val="004B7D8C"/>
    <w:rsid w:val="004C1EAA"/>
    <w:rsid w:val="004C4DF7"/>
    <w:rsid w:val="004C569C"/>
    <w:rsid w:val="004D0BBA"/>
    <w:rsid w:val="004F5158"/>
    <w:rsid w:val="00506C84"/>
    <w:rsid w:val="005142A1"/>
    <w:rsid w:val="00517CAB"/>
    <w:rsid w:val="00536EBF"/>
    <w:rsid w:val="0053713F"/>
    <w:rsid w:val="005433C2"/>
    <w:rsid w:val="005502F2"/>
    <w:rsid w:val="00562083"/>
    <w:rsid w:val="0057423C"/>
    <w:rsid w:val="0058350A"/>
    <w:rsid w:val="00586344"/>
    <w:rsid w:val="00594376"/>
    <w:rsid w:val="005A56F6"/>
    <w:rsid w:val="005A6C12"/>
    <w:rsid w:val="005C1972"/>
    <w:rsid w:val="005D3469"/>
    <w:rsid w:val="005E2A4A"/>
    <w:rsid w:val="005E48B7"/>
    <w:rsid w:val="005F1B3D"/>
    <w:rsid w:val="00602816"/>
    <w:rsid w:val="00604ACB"/>
    <w:rsid w:val="00606C5B"/>
    <w:rsid w:val="00612F03"/>
    <w:rsid w:val="006171AA"/>
    <w:rsid w:val="006178C3"/>
    <w:rsid w:val="00621BAF"/>
    <w:rsid w:val="0062410E"/>
    <w:rsid w:val="00626CE8"/>
    <w:rsid w:val="00661621"/>
    <w:rsid w:val="006711F4"/>
    <w:rsid w:val="0068140B"/>
    <w:rsid w:val="00685825"/>
    <w:rsid w:val="0069347C"/>
    <w:rsid w:val="006B086F"/>
    <w:rsid w:val="006E1FF4"/>
    <w:rsid w:val="006E7630"/>
    <w:rsid w:val="006F0A7E"/>
    <w:rsid w:val="006F6FC3"/>
    <w:rsid w:val="006F7D77"/>
    <w:rsid w:val="00715180"/>
    <w:rsid w:val="00720A73"/>
    <w:rsid w:val="00720CAF"/>
    <w:rsid w:val="00722ED9"/>
    <w:rsid w:val="00724377"/>
    <w:rsid w:val="007276B4"/>
    <w:rsid w:val="00733E0F"/>
    <w:rsid w:val="00745D25"/>
    <w:rsid w:val="007506EE"/>
    <w:rsid w:val="0075447F"/>
    <w:rsid w:val="00754A2D"/>
    <w:rsid w:val="007643CE"/>
    <w:rsid w:val="00766157"/>
    <w:rsid w:val="00767F68"/>
    <w:rsid w:val="00771E84"/>
    <w:rsid w:val="0077490A"/>
    <w:rsid w:val="00776CB2"/>
    <w:rsid w:val="007775EF"/>
    <w:rsid w:val="007A51E0"/>
    <w:rsid w:val="007A6544"/>
    <w:rsid w:val="007A7FD3"/>
    <w:rsid w:val="007B0C61"/>
    <w:rsid w:val="007B2410"/>
    <w:rsid w:val="007C01D1"/>
    <w:rsid w:val="007C5705"/>
    <w:rsid w:val="007D13B8"/>
    <w:rsid w:val="007D77CE"/>
    <w:rsid w:val="007E3C61"/>
    <w:rsid w:val="00802CDC"/>
    <w:rsid w:val="00805E1D"/>
    <w:rsid w:val="00813FEC"/>
    <w:rsid w:val="00814E29"/>
    <w:rsid w:val="00823C1E"/>
    <w:rsid w:val="00826D77"/>
    <w:rsid w:val="0083338D"/>
    <w:rsid w:val="008701AB"/>
    <w:rsid w:val="0087139A"/>
    <w:rsid w:val="00877798"/>
    <w:rsid w:val="008802DB"/>
    <w:rsid w:val="00881967"/>
    <w:rsid w:val="00884D26"/>
    <w:rsid w:val="00885F48"/>
    <w:rsid w:val="00890F76"/>
    <w:rsid w:val="0089274E"/>
    <w:rsid w:val="008962F5"/>
    <w:rsid w:val="008A08FA"/>
    <w:rsid w:val="008E70E5"/>
    <w:rsid w:val="008F50DB"/>
    <w:rsid w:val="008F5238"/>
    <w:rsid w:val="008F7723"/>
    <w:rsid w:val="00904BC8"/>
    <w:rsid w:val="00911248"/>
    <w:rsid w:val="00913A4E"/>
    <w:rsid w:val="00925F75"/>
    <w:rsid w:val="00971108"/>
    <w:rsid w:val="0097410F"/>
    <w:rsid w:val="00974280"/>
    <w:rsid w:val="00974393"/>
    <w:rsid w:val="0097704C"/>
    <w:rsid w:val="00986E71"/>
    <w:rsid w:val="00992211"/>
    <w:rsid w:val="009942EB"/>
    <w:rsid w:val="009A1862"/>
    <w:rsid w:val="009A78E1"/>
    <w:rsid w:val="009A7FCF"/>
    <w:rsid w:val="009B548C"/>
    <w:rsid w:val="009C6F84"/>
    <w:rsid w:val="009D18B6"/>
    <w:rsid w:val="009E6F62"/>
    <w:rsid w:val="009E7F86"/>
    <w:rsid w:val="009F1030"/>
    <w:rsid w:val="009F1B6D"/>
    <w:rsid w:val="009F5C4B"/>
    <w:rsid w:val="00A02039"/>
    <w:rsid w:val="00A04BD7"/>
    <w:rsid w:val="00A20EDD"/>
    <w:rsid w:val="00A212C7"/>
    <w:rsid w:val="00A23406"/>
    <w:rsid w:val="00A27EDD"/>
    <w:rsid w:val="00A35D41"/>
    <w:rsid w:val="00A40953"/>
    <w:rsid w:val="00A42C49"/>
    <w:rsid w:val="00A459E3"/>
    <w:rsid w:val="00A571FE"/>
    <w:rsid w:val="00A636AF"/>
    <w:rsid w:val="00A773EC"/>
    <w:rsid w:val="00A9726C"/>
    <w:rsid w:val="00AA03DB"/>
    <w:rsid w:val="00AA164E"/>
    <w:rsid w:val="00AA3B2D"/>
    <w:rsid w:val="00AA7268"/>
    <w:rsid w:val="00AB0D6D"/>
    <w:rsid w:val="00AB68DD"/>
    <w:rsid w:val="00AC2B0B"/>
    <w:rsid w:val="00AD35D8"/>
    <w:rsid w:val="00AD6BB8"/>
    <w:rsid w:val="00AF6D19"/>
    <w:rsid w:val="00B018B8"/>
    <w:rsid w:val="00B1436F"/>
    <w:rsid w:val="00B17FDC"/>
    <w:rsid w:val="00B22148"/>
    <w:rsid w:val="00B25C4D"/>
    <w:rsid w:val="00B32A99"/>
    <w:rsid w:val="00B364E6"/>
    <w:rsid w:val="00B47F03"/>
    <w:rsid w:val="00B62010"/>
    <w:rsid w:val="00B6417D"/>
    <w:rsid w:val="00B671E8"/>
    <w:rsid w:val="00B712AC"/>
    <w:rsid w:val="00B82084"/>
    <w:rsid w:val="00B95E1A"/>
    <w:rsid w:val="00BB4808"/>
    <w:rsid w:val="00BD62E5"/>
    <w:rsid w:val="00BD715F"/>
    <w:rsid w:val="00BD7A11"/>
    <w:rsid w:val="00BE0134"/>
    <w:rsid w:val="00BE421E"/>
    <w:rsid w:val="00BE428E"/>
    <w:rsid w:val="00BE6A42"/>
    <w:rsid w:val="00BF009A"/>
    <w:rsid w:val="00BF2167"/>
    <w:rsid w:val="00BF4E21"/>
    <w:rsid w:val="00BF6AB5"/>
    <w:rsid w:val="00C03182"/>
    <w:rsid w:val="00C10C97"/>
    <w:rsid w:val="00C4182D"/>
    <w:rsid w:val="00C41CE2"/>
    <w:rsid w:val="00C452E4"/>
    <w:rsid w:val="00C532CE"/>
    <w:rsid w:val="00C53D36"/>
    <w:rsid w:val="00C57E0D"/>
    <w:rsid w:val="00C636EE"/>
    <w:rsid w:val="00C7181C"/>
    <w:rsid w:val="00C73C73"/>
    <w:rsid w:val="00C748B2"/>
    <w:rsid w:val="00C75F27"/>
    <w:rsid w:val="00C76A21"/>
    <w:rsid w:val="00C85BE4"/>
    <w:rsid w:val="00CA3B61"/>
    <w:rsid w:val="00CA3DA8"/>
    <w:rsid w:val="00CB05CD"/>
    <w:rsid w:val="00CB268F"/>
    <w:rsid w:val="00CD046D"/>
    <w:rsid w:val="00CD15F8"/>
    <w:rsid w:val="00CD207F"/>
    <w:rsid w:val="00CF0128"/>
    <w:rsid w:val="00CF0812"/>
    <w:rsid w:val="00CF245A"/>
    <w:rsid w:val="00CF41FE"/>
    <w:rsid w:val="00CF4321"/>
    <w:rsid w:val="00CF5E94"/>
    <w:rsid w:val="00CF7BE1"/>
    <w:rsid w:val="00D0443A"/>
    <w:rsid w:val="00D07F94"/>
    <w:rsid w:val="00D16B69"/>
    <w:rsid w:val="00D21DEB"/>
    <w:rsid w:val="00D3514F"/>
    <w:rsid w:val="00D5052C"/>
    <w:rsid w:val="00D6266A"/>
    <w:rsid w:val="00D91F48"/>
    <w:rsid w:val="00D97443"/>
    <w:rsid w:val="00DA3276"/>
    <w:rsid w:val="00DB1764"/>
    <w:rsid w:val="00DB2440"/>
    <w:rsid w:val="00DB3C8A"/>
    <w:rsid w:val="00DB5F18"/>
    <w:rsid w:val="00DC5F89"/>
    <w:rsid w:val="00DD0C51"/>
    <w:rsid w:val="00DD7AE6"/>
    <w:rsid w:val="00DE2F11"/>
    <w:rsid w:val="00E06E17"/>
    <w:rsid w:val="00E11578"/>
    <w:rsid w:val="00E2376E"/>
    <w:rsid w:val="00E25C09"/>
    <w:rsid w:val="00E31392"/>
    <w:rsid w:val="00E35402"/>
    <w:rsid w:val="00E379EC"/>
    <w:rsid w:val="00E42D97"/>
    <w:rsid w:val="00E42DA2"/>
    <w:rsid w:val="00E47E0D"/>
    <w:rsid w:val="00E526C3"/>
    <w:rsid w:val="00E56A87"/>
    <w:rsid w:val="00E56E52"/>
    <w:rsid w:val="00E715B9"/>
    <w:rsid w:val="00E854B0"/>
    <w:rsid w:val="00E9403C"/>
    <w:rsid w:val="00E956E5"/>
    <w:rsid w:val="00E95DF8"/>
    <w:rsid w:val="00E97496"/>
    <w:rsid w:val="00EB642C"/>
    <w:rsid w:val="00EB67B5"/>
    <w:rsid w:val="00EB6A82"/>
    <w:rsid w:val="00EB79DB"/>
    <w:rsid w:val="00EB7B8D"/>
    <w:rsid w:val="00EC667E"/>
    <w:rsid w:val="00EE1F86"/>
    <w:rsid w:val="00EE4190"/>
    <w:rsid w:val="00F01156"/>
    <w:rsid w:val="00F11389"/>
    <w:rsid w:val="00F11CAA"/>
    <w:rsid w:val="00F14865"/>
    <w:rsid w:val="00F3114F"/>
    <w:rsid w:val="00F3147A"/>
    <w:rsid w:val="00F31FF1"/>
    <w:rsid w:val="00F347B6"/>
    <w:rsid w:val="00F37571"/>
    <w:rsid w:val="00F44A15"/>
    <w:rsid w:val="00F46B3C"/>
    <w:rsid w:val="00F4779A"/>
    <w:rsid w:val="00F60EF5"/>
    <w:rsid w:val="00F64D94"/>
    <w:rsid w:val="00F70562"/>
    <w:rsid w:val="00F744B5"/>
    <w:rsid w:val="00F74986"/>
    <w:rsid w:val="00F845F5"/>
    <w:rsid w:val="00F84788"/>
    <w:rsid w:val="00F865EA"/>
    <w:rsid w:val="00F90AF4"/>
    <w:rsid w:val="00F92C7B"/>
    <w:rsid w:val="00FA21BD"/>
    <w:rsid w:val="00FB46C7"/>
    <w:rsid w:val="00FC2B5F"/>
    <w:rsid w:val="00FD0009"/>
    <w:rsid w:val="00FD51B5"/>
    <w:rsid w:val="00FE28F8"/>
    <w:rsid w:val="00FE313B"/>
    <w:rsid w:val="00FF402A"/>
    <w:rsid w:val="00FF690A"/>
    <w:rsid w:val="0A3343E0"/>
    <w:rsid w:val="117829A5"/>
    <w:rsid w:val="18EA5A4A"/>
    <w:rsid w:val="348A5124"/>
    <w:rsid w:val="34F3048A"/>
    <w:rsid w:val="3DB12FE4"/>
    <w:rsid w:val="41E92B6B"/>
    <w:rsid w:val="4C6C036A"/>
    <w:rsid w:val="6E352EEC"/>
    <w:rsid w:val="7FD348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Plain Text"/>
    <w:basedOn w:val="1"/>
    <w:link w:val="12"/>
    <w:qFormat/>
    <w:uiPriority w:val="99"/>
    <w:rPr>
      <w:rFonts w:ascii="宋体" w:hAnsi="Courier New" w:cs="Courier New"/>
      <w:szCs w:val="21"/>
    </w:rPr>
  </w:style>
  <w:style w:type="paragraph" w:styleId="3">
    <w:name w:val="Balloon Text"/>
    <w:basedOn w:val="1"/>
    <w:link w:val="11"/>
    <w:qFormat/>
    <w:uiPriority w:val="0"/>
    <w:rPr>
      <w:sz w:val="18"/>
      <w:szCs w:val="18"/>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character" w:styleId="8">
    <w:name w:val="page number"/>
    <w:basedOn w:val="7"/>
    <w:qFormat/>
    <w:uiPriority w:val="0"/>
  </w:style>
  <w:style w:type="paragraph" w:customStyle="1" w:styleId="9">
    <w:name w:val="默认段落字体 Para Char Char Char Char Char Char Char"/>
    <w:basedOn w:val="1"/>
    <w:qFormat/>
    <w:uiPriority w:val="0"/>
  </w:style>
  <w:style w:type="character" w:customStyle="1" w:styleId="10">
    <w:name w:val="页眉 Char"/>
    <w:basedOn w:val="7"/>
    <w:link w:val="5"/>
    <w:qFormat/>
    <w:uiPriority w:val="0"/>
    <w:rPr>
      <w:kern w:val="2"/>
      <w:sz w:val="18"/>
      <w:szCs w:val="18"/>
    </w:rPr>
  </w:style>
  <w:style w:type="character" w:customStyle="1" w:styleId="11">
    <w:name w:val="批注框文本 Char"/>
    <w:basedOn w:val="7"/>
    <w:link w:val="3"/>
    <w:qFormat/>
    <w:uiPriority w:val="0"/>
    <w:rPr>
      <w:kern w:val="2"/>
      <w:sz w:val="18"/>
      <w:szCs w:val="18"/>
    </w:rPr>
  </w:style>
  <w:style w:type="character" w:customStyle="1" w:styleId="12">
    <w:name w:val="纯文本 Char"/>
    <w:basedOn w:val="7"/>
    <w:link w:val="2"/>
    <w:qFormat/>
    <w:uiPriority w:val="99"/>
    <w:rPr>
      <w:rFonts w:ascii="宋体" w:hAnsi="Courier New" w:cs="Courier New"/>
      <w:kern w:val="2"/>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0"/>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853C80-8B57-4BD8-A725-ECB2A89F6100}">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4</Pages>
  <Words>217</Words>
  <Characters>1239</Characters>
  <Lines>10</Lines>
  <Paragraphs>2</Paragraphs>
  <TotalTime>4</TotalTime>
  <ScaleCrop>false</ScaleCrop>
  <LinksUpToDate>false</LinksUpToDate>
  <CharactersWithSpaces>1454</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2021-04-21T08:18:00Z</dcterms:created>
  <dc:creator>Lenovo User</dc:creator>
  <cp:lastModifiedBy>PC400</cp:lastModifiedBy>
  <cp:lastPrinted>2014-04-03T09:04:00Z</cp:lastPrinted>
  <dcterms:modified xsi:type="dcterms:W3CDTF">2021-11-12T06:07:53Z</dcterms:modified>
  <dc:title>《最高人民法院、最高人民检察院关于废止1980年1月1日至1997年6月30日期间制发的部分司法解释和司法解释性质文件的决定》已于2012年11月19日由最高人民法院审判委员会第1560次会议、2012年12月19日由最高人民检察院第十一届检察委员会第83次会议通过，现予公布，自2013年1月18日起施行</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CABC9AF3CDA44A7B93732F66E9C2B48C</vt:lpwstr>
  </property>
</Properties>
</file>