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60" w:lineRule="exact"/>
        <w:jc w:val="center"/>
        <w:rPr>
          <w:rFonts w:ascii="仿宋_GB2312" w:hAnsi="宋体" w:eastAsia="仿宋_GB2312" w:cs="宋体"/>
          <w:sz w:val="32"/>
          <w:szCs w:val="32"/>
        </w:rPr>
      </w:pPr>
    </w:p>
    <w:p>
      <w:pPr>
        <w:pStyle w:val="2"/>
        <w:spacing w:line="560" w:lineRule="exact"/>
        <w:jc w:val="center"/>
        <w:rPr>
          <w:rFonts w:ascii="仿宋_GB2312" w:hAnsi="宋体" w:eastAsia="仿宋_GB2312" w:cs="宋体"/>
          <w:sz w:val="32"/>
          <w:szCs w:val="32"/>
        </w:rPr>
      </w:pPr>
    </w:p>
    <w:p>
      <w:pPr>
        <w:pStyle w:val="2"/>
        <w:spacing w:line="560" w:lineRule="exact"/>
        <w:jc w:val="center"/>
        <w:rPr>
          <w:rFonts w:hint="eastAsia" w:cs="宋体" w:asciiTheme="majorEastAsia" w:hAnsiTheme="majorEastAsia" w:eastAsiaTheme="majorEastAsia"/>
          <w:sz w:val="44"/>
          <w:szCs w:val="44"/>
        </w:rPr>
      </w:pPr>
      <w:r>
        <w:rPr>
          <w:rFonts w:hint="eastAsia" w:cs="宋体" w:asciiTheme="majorEastAsia" w:hAnsiTheme="majorEastAsia" w:eastAsiaTheme="majorEastAsia"/>
          <w:sz w:val="44"/>
          <w:szCs w:val="44"/>
        </w:rPr>
        <w:t>最高人民法院</w:t>
      </w:r>
      <w:bookmarkStart w:id="0" w:name="_GoBack"/>
      <w:bookmarkEnd w:id="0"/>
      <w:r>
        <w:rPr>
          <w:rFonts w:hint="eastAsia" w:cs="宋体" w:asciiTheme="majorEastAsia" w:hAnsiTheme="majorEastAsia" w:eastAsiaTheme="majorEastAsia"/>
          <w:sz w:val="44"/>
          <w:szCs w:val="44"/>
        </w:rPr>
        <w:t>关于修改</w:t>
      </w:r>
    </w:p>
    <w:p>
      <w:pPr>
        <w:pStyle w:val="2"/>
        <w:spacing w:line="560" w:lineRule="exact"/>
        <w:jc w:val="center"/>
        <w:rPr>
          <w:rFonts w:cs="宋体" w:asciiTheme="majorEastAsia" w:hAnsiTheme="majorEastAsia" w:eastAsiaTheme="majorEastAsia"/>
          <w:sz w:val="44"/>
          <w:szCs w:val="44"/>
        </w:rPr>
      </w:pPr>
      <w:r>
        <w:rPr>
          <w:rFonts w:hint="eastAsia" w:cs="宋体" w:asciiTheme="majorEastAsia" w:hAnsiTheme="majorEastAsia" w:eastAsiaTheme="majorEastAsia"/>
          <w:sz w:val="44"/>
          <w:szCs w:val="44"/>
        </w:rPr>
        <w:t>《关于审理掩饰、隐瞒犯罪所得、犯罪所得收益刑事案件适用法律若干问题的解释》的决定</w:t>
      </w:r>
    </w:p>
    <w:p>
      <w:pPr>
        <w:pStyle w:val="2"/>
        <w:spacing w:line="560" w:lineRule="exact"/>
        <w:jc w:val="center"/>
        <w:rPr>
          <w:rFonts w:ascii="仿宋_GB2312" w:hAnsi="宋体" w:eastAsia="仿宋_GB2312" w:cs="宋体"/>
          <w:sz w:val="32"/>
          <w:szCs w:val="32"/>
        </w:rPr>
      </w:pPr>
    </w:p>
    <w:p>
      <w:pPr>
        <w:pStyle w:val="2"/>
        <w:spacing w:line="560" w:lineRule="exact"/>
        <w:jc w:val="center"/>
        <w:rPr>
          <w:rFonts w:ascii="楷体_GB2312" w:hAnsi="宋体" w:eastAsia="楷体_GB2312" w:cs="宋体"/>
          <w:sz w:val="32"/>
          <w:szCs w:val="32"/>
        </w:rPr>
      </w:pPr>
      <w:r>
        <w:rPr>
          <w:rFonts w:hint="eastAsia" w:ascii="楷体_GB2312" w:hAnsi="宋体" w:eastAsia="楷体_GB2312" w:cs="宋体"/>
          <w:sz w:val="32"/>
          <w:szCs w:val="32"/>
        </w:rPr>
        <w:t>法释〔2021〕8号</w:t>
      </w:r>
    </w:p>
    <w:p>
      <w:pPr>
        <w:pStyle w:val="2"/>
        <w:spacing w:line="560" w:lineRule="exact"/>
        <w:jc w:val="center"/>
        <w:rPr>
          <w:rFonts w:ascii="仿宋_GB2312" w:hAnsi="宋体" w:eastAsia="仿宋_GB2312" w:cs="宋体"/>
          <w:sz w:val="32"/>
          <w:szCs w:val="32"/>
        </w:rPr>
      </w:pPr>
    </w:p>
    <w:p>
      <w:pPr>
        <w:pStyle w:val="2"/>
        <w:spacing w:line="560" w:lineRule="exact"/>
        <w:ind w:left="630" w:leftChars="300" w:right="630" w:rightChars="300"/>
        <w:rPr>
          <w:rFonts w:ascii="楷体_GB2312" w:hAnsi="宋体" w:eastAsia="楷体_GB2312" w:cs="宋体"/>
          <w:sz w:val="32"/>
          <w:szCs w:val="32"/>
        </w:rPr>
      </w:pPr>
      <w:r>
        <w:rPr>
          <w:rFonts w:hint="eastAsia" w:ascii="楷体_GB2312" w:hAnsi="宋体" w:eastAsia="楷体_GB2312" w:cs="宋体"/>
          <w:sz w:val="32"/>
          <w:szCs w:val="32"/>
        </w:rPr>
        <w:t>（2021年4月7日最高人民法院审判委员会第1835次会议通过，自2021年4月15日起施行）</w:t>
      </w:r>
    </w:p>
    <w:p>
      <w:pPr>
        <w:pStyle w:val="2"/>
        <w:spacing w:line="560" w:lineRule="exact"/>
        <w:rPr>
          <w:rFonts w:ascii="仿宋_GB2312" w:hAnsi="宋体" w:eastAsia="仿宋_GB2312" w:cs="宋体"/>
          <w:sz w:val="32"/>
          <w:szCs w:val="32"/>
        </w:rPr>
      </w:pPr>
    </w:p>
    <w:p>
      <w:pPr>
        <w:pStyle w:val="2"/>
        <w:spacing w:line="560" w:lineRule="exact"/>
        <w:ind w:firstLine="640" w:firstLineChars="200"/>
        <w:rPr>
          <w:rFonts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根据审判实践需要，经最高人民法院审判委员会第1835次会议决定，对《关于审理掩饰、隐瞒犯罪所得、犯罪所得收益刑事案件适用法律若干问题的解释》（法释〔2015〕11号）作如下修改：</w:t>
      </w:r>
    </w:p>
    <w:p>
      <w:pPr>
        <w:pStyle w:val="2"/>
        <w:spacing w:line="560" w:lineRule="exact"/>
        <w:ind w:firstLine="640" w:firstLineChars="200"/>
        <w:jc w:val="left"/>
        <w:rPr>
          <w:rFonts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自本决定实施之日起，《关于审理掩饰、隐瞒犯罪所得、犯罪所得收益刑事案件适用法律若干问题的解释》（法释〔2015〕11号）第一条第一款第（一）项、第二款和第二条第二款规定的掩饰、隐瞒犯罪所得、犯罪所得收益罪的数额标准不再适用。人民法院审理掩饰、隐瞒犯罪所得、犯罪所得收益刑事案件，应综合考虑上游犯罪的性质、掩饰、隐瞒犯罪所得及其收益的情节、后果及社会危害程度等，依法定罪处罚。</w:t>
      </w:r>
    </w:p>
    <w:p>
      <w:pPr>
        <w:pStyle w:val="2"/>
        <w:spacing w:line="560" w:lineRule="exact"/>
        <w:ind w:firstLine="640" w:firstLineChars="200"/>
        <w:jc w:val="left"/>
        <w:rPr>
          <w:rFonts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本决定自2021年4月15日起施行。</w:t>
      </w:r>
    </w:p>
    <w:p>
      <w:pPr>
        <w:pStyle w:val="2"/>
        <w:spacing w:line="560" w:lineRule="exact"/>
        <w:rPr>
          <w:rFonts w:ascii="仿宋_GB2312" w:hAnsi="宋体" w:eastAsia="仿宋_GB2312" w:cs="宋体"/>
          <w:sz w:val="32"/>
          <w:szCs w:val="32"/>
        </w:rPr>
      </w:pPr>
    </w:p>
    <w:p>
      <w:pPr>
        <w:pStyle w:val="2"/>
        <w:spacing w:line="560" w:lineRule="exact"/>
        <w:rPr>
          <w:rFonts w:ascii="仿宋_GB2312" w:hAnsi="宋体" w:eastAsia="仿宋_GB2312" w:cs="宋体"/>
          <w:sz w:val="32"/>
          <w:szCs w:val="32"/>
        </w:rPr>
      </w:pPr>
    </w:p>
    <w:p>
      <w:pPr>
        <w:pStyle w:val="2"/>
        <w:spacing w:line="560" w:lineRule="exact"/>
        <w:rPr>
          <w:rFonts w:ascii="仿宋_GB2312" w:hAnsi="宋体" w:eastAsia="仿宋_GB2312" w:cs="宋体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2098" w:right="1474" w:bottom="1985" w:left="1588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</w:pPr>
    <w:r>
      <w:pict>
        <v:shape id="_x0000_s3073" o:spid="_x0000_s3073" o:spt="202" type="#_x0000_t202" style="position:absolute;left:0pt;margin-left:407.2pt;margin-top:-5.4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Style w:val="8"/>
                    <w:rFonts w:hint="eastAsia" w:ascii="Times" w:hAnsi="Times"/>
                    <w:sz w:val="28"/>
                  </w:rPr>
                </w:pPr>
                <w:r>
                  <w:rPr>
                    <w:rStyle w:val="8"/>
                    <w:rFonts w:hint="eastAsia" w:ascii="宋体" w:hAnsi="宋体" w:cs="宋体"/>
                    <w:sz w:val="28"/>
                  </w:rPr>
                  <w:fldChar w:fldCharType="begin"/>
                </w:r>
                <w:r>
                  <w:rPr>
                    <w:rStyle w:val="8"/>
                    <w:rFonts w:hint="eastAsia" w:ascii="宋体" w:hAnsi="宋体" w:cs="宋体"/>
                    <w:sz w:val="28"/>
                  </w:rPr>
                  <w:instrText xml:space="preserve">PAGE  </w:instrText>
                </w:r>
                <w:r>
                  <w:rPr>
                    <w:rStyle w:val="8"/>
                    <w:rFonts w:hint="eastAsia" w:ascii="宋体" w:hAnsi="宋体" w:cs="宋体"/>
                    <w:sz w:val="28"/>
                  </w:rPr>
                  <w:fldChar w:fldCharType="separate"/>
                </w:r>
                <w:r>
                  <w:rPr>
                    <w:rStyle w:val="8"/>
                    <w:rFonts w:ascii="宋体" w:hAnsi="宋体" w:cs="宋体"/>
                    <w:sz w:val="28"/>
                  </w:rPr>
                  <w:t>- 1 -</w:t>
                </w:r>
                <w:r>
                  <w:rPr>
                    <w:rStyle w:val="8"/>
                    <w:rFonts w:hint="eastAsia" w:ascii="宋体" w:hAnsi="宋体" w:cs="宋体"/>
                    <w:sz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 w:firstLine="360"/>
    </w:pPr>
    <w:r>
      <w:pict>
        <v:shape id="_x0000_s3074" o:spid="_x0000_s3074" o:spt="202" type="#_x0000_t202" style="position:absolute;left:0pt;margin-left:0pt;margin-top:-5.4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Style w:val="8"/>
                  </w:rPr>
                </w:pPr>
                <w:r>
                  <w:rPr>
                    <w:rStyle w:val="8"/>
                    <w:rFonts w:hint="eastAsia"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Style w:val="8"/>
                    <w:rFonts w:hint="eastAsia" w:ascii="宋体" w:hAnsi="宋体" w:cs="宋体"/>
                    <w:sz w:val="28"/>
                    <w:szCs w:val="28"/>
                  </w:rPr>
                  <w:instrText xml:space="preserve">PAGE  </w:instrText>
                </w:r>
                <w:r>
                  <w:rPr>
                    <w:rStyle w:val="8"/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Style w:val="8"/>
                    <w:rFonts w:ascii="宋体" w:hAnsi="宋体" w:cs="宋体"/>
                    <w:sz w:val="28"/>
                    <w:szCs w:val="28"/>
                  </w:rPr>
                  <w:t>- 2 -</w:t>
                </w:r>
                <w:r>
                  <w:rPr>
                    <w:rStyle w:val="8"/>
                    <w:rFonts w:hint="eastAsia" w:ascii="宋体" w:hAnsi="宋体" w:cs="宋体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C55"/>
    <w:rsid w:val="000051BA"/>
    <w:rsid w:val="00007DC9"/>
    <w:rsid w:val="000218EF"/>
    <w:rsid w:val="00022FF2"/>
    <w:rsid w:val="000246CF"/>
    <w:rsid w:val="00026B55"/>
    <w:rsid w:val="000300E0"/>
    <w:rsid w:val="0004157A"/>
    <w:rsid w:val="00041639"/>
    <w:rsid w:val="00046FD0"/>
    <w:rsid w:val="0005389D"/>
    <w:rsid w:val="000562C0"/>
    <w:rsid w:val="00060A39"/>
    <w:rsid w:val="00060B3A"/>
    <w:rsid w:val="000658AA"/>
    <w:rsid w:val="00070A8B"/>
    <w:rsid w:val="000720A0"/>
    <w:rsid w:val="00072E51"/>
    <w:rsid w:val="000831A5"/>
    <w:rsid w:val="00092662"/>
    <w:rsid w:val="00093500"/>
    <w:rsid w:val="00094419"/>
    <w:rsid w:val="00094871"/>
    <w:rsid w:val="000A67EC"/>
    <w:rsid w:val="000B1F15"/>
    <w:rsid w:val="000B47FF"/>
    <w:rsid w:val="000C4793"/>
    <w:rsid w:val="000D7352"/>
    <w:rsid w:val="000E4EE9"/>
    <w:rsid w:val="000E5187"/>
    <w:rsid w:val="000E56CF"/>
    <w:rsid w:val="000E6D88"/>
    <w:rsid w:val="000F150B"/>
    <w:rsid w:val="000F2196"/>
    <w:rsid w:val="000F2D91"/>
    <w:rsid w:val="00105EA6"/>
    <w:rsid w:val="001066EE"/>
    <w:rsid w:val="00106D59"/>
    <w:rsid w:val="001211C7"/>
    <w:rsid w:val="00125415"/>
    <w:rsid w:val="00133F36"/>
    <w:rsid w:val="00135979"/>
    <w:rsid w:val="00141FB6"/>
    <w:rsid w:val="00156266"/>
    <w:rsid w:val="001614DD"/>
    <w:rsid w:val="001617A2"/>
    <w:rsid w:val="00162880"/>
    <w:rsid w:val="0016489F"/>
    <w:rsid w:val="0016665A"/>
    <w:rsid w:val="00170A71"/>
    <w:rsid w:val="00181C67"/>
    <w:rsid w:val="001A7520"/>
    <w:rsid w:val="001B131A"/>
    <w:rsid w:val="001B153F"/>
    <w:rsid w:val="001B6523"/>
    <w:rsid w:val="001D4E14"/>
    <w:rsid w:val="001D5662"/>
    <w:rsid w:val="001E1AB1"/>
    <w:rsid w:val="001F6C7B"/>
    <w:rsid w:val="002064F7"/>
    <w:rsid w:val="00206B2B"/>
    <w:rsid w:val="0021638E"/>
    <w:rsid w:val="002216B9"/>
    <w:rsid w:val="0023259F"/>
    <w:rsid w:val="00233F94"/>
    <w:rsid w:val="00235183"/>
    <w:rsid w:val="00241E35"/>
    <w:rsid w:val="002428F9"/>
    <w:rsid w:val="0025742F"/>
    <w:rsid w:val="002671B1"/>
    <w:rsid w:val="00271C80"/>
    <w:rsid w:val="00277543"/>
    <w:rsid w:val="00281EEF"/>
    <w:rsid w:val="002853AA"/>
    <w:rsid w:val="0028710F"/>
    <w:rsid w:val="002A0E27"/>
    <w:rsid w:val="002A0E47"/>
    <w:rsid w:val="002A1765"/>
    <w:rsid w:val="002A1BB0"/>
    <w:rsid w:val="002A7E25"/>
    <w:rsid w:val="002B5E8C"/>
    <w:rsid w:val="002C11D2"/>
    <w:rsid w:val="002D6C55"/>
    <w:rsid w:val="002E52C2"/>
    <w:rsid w:val="002E71C4"/>
    <w:rsid w:val="00311EB0"/>
    <w:rsid w:val="00313AEE"/>
    <w:rsid w:val="0031621E"/>
    <w:rsid w:val="00327650"/>
    <w:rsid w:val="00334544"/>
    <w:rsid w:val="003370AB"/>
    <w:rsid w:val="00337E4D"/>
    <w:rsid w:val="003407E4"/>
    <w:rsid w:val="00340D0A"/>
    <w:rsid w:val="00342C41"/>
    <w:rsid w:val="00344576"/>
    <w:rsid w:val="00356973"/>
    <w:rsid w:val="00356AAC"/>
    <w:rsid w:val="00357579"/>
    <w:rsid w:val="00357968"/>
    <w:rsid w:val="0036275A"/>
    <w:rsid w:val="00374592"/>
    <w:rsid w:val="00384827"/>
    <w:rsid w:val="003854B1"/>
    <w:rsid w:val="003871CA"/>
    <w:rsid w:val="003902DE"/>
    <w:rsid w:val="00390825"/>
    <w:rsid w:val="00394561"/>
    <w:rsid w:val="00395336"/>
    <w:rsid w:val="003B50D6"/>
    <w:rsid w:val="003C0536"/>
    <w:rsid w:val="003D7E4C"/>
    <w:rsid w:val="003E737D"/>
    <w:rsid w:val="003F534F"/>
    <w:rsid w:val="003F661F"/>
    <w:rsid w:val="00403942"/>
    <w:rsid w:val="00422EA0"/>
    <w:rsid w:val="00424C9C"/>
    <w:rsid w:val="00431DB2"/>
    <w:rsid w:val="00432CA7"/>
    <w:rsid w:val="004358E6"/>
    <w:rsid w:val="00440B14"/>
    <w:rsid w:val="00447D9F"/>
    <w:rsid w:val="00454D12"/>
    <w:rsid w:val="004609E3"/>
    <w:rsid w:val="00463561"/>
    <w:rsid w:val="004724D5"/>
    <w:rsid w:val="00473BA4"/>
    <w:rsid w:val="004745A3"/>
    <w:rsid w:val="0048272B"/>
    <w:rsid w:val="00493ABE"/>
    <w:rsid w:val="004A69A0"/>
    <w:rsid w:val="004B0465"/>
    <w:rsid w:val="004B1A57"/>
    <w:rsid w:val="004B2619"/>
    <w:rsid w:val="004B7D8C"/>
    <w:rsid w:val="004C1EAA"/>
    <w:rsid w:val="004C4DF7"/>
    <w:rsid w:val="004C569C"/>
    <w:rsid w:val="004F5158"/>
    <w:rsid w:val="00506C84"/>
    <w:rsid w:val="005142A1"/>
    <w:rsid w:val="00517CAB"/>
    <w:rsid w:val="00536EBF"/>
    <w:rsid w:val="0053713F"/>
    <w:rsid w:val="005433C2"/>
    <w:rsid w:val="005502F2"/>
    <w:rsid w:val="00562083"/>
    <w:rsid w:val="0057423C"/>
    <w:rsid w:val="0058350A"/>
    <w:rsid w:val="00586344"/>
    <w:rsid w:val="00594376"/>
    <w:rsid w:val="005A56F6"/>
    <w:rsid w:val="005A6C12"/>
    <w:rsid w:val="005C1972"/>
    <w:rsid w:val="005D3469"/>
    <w:rsid w:val="005E2A4A"/>
    <w:rsid w:val="005E48B7"/>
    <w:rsid w:val="005F1B3D"/>
    <w:rsid w:val="00602816"/>
    <w:rsid w:val="00604ACB"/>
    <w:rsid w:val="00606C5B"/>
    <w:rsid w:val="00612F03"/>
    <w:rsid w:val="006171AA"/>
    <w:rsid w:val="006178C3"/>
    <w:rsid w:val="00621BAF"/>
    <w:rsid w:val="0062410E"/>
    <w:rsid w:val="00626CE8"/>
    <w:rsid w:val="00661621"/>
    <w:rsid w:val="006711F4"/>
    <w:rsid w:val="0068140B"/>
    <w:rsid w:val="00685825"/>
    <w:rsid w:val="0069347C"/>
    <w:rsid w:val="006B086F"/>
    <w:rsid w:val="006E1FF4"/>
    <w:rsid w:val="006E7630"/>
    <w:rsid w:val="006F0A7E"/>
    <w:rsid w:val="006F6FC3"/>
    <w:rsid w:val="006F7D77"/>
    <w:rsid w:val="00715180"/>
    <w:rsid w:val="00720A73"/>
    <w:rsid w:val="00720CAF"/>
    <w:rsid w:val="00721EEA"/>
    <w:rsid w:val="00722ED9"/>
    <w:rsid w:val="00724377"/>
    <w:rsid w:val="007276B4"/>
    <w:rsid w:val="00733E0F"/>
    <w:rsid w:val="00745D25"/>
    <w:rsid w:val="007506EE"/>
    <w:rsid w:val="0075447F"/>
    <w:rsid w:val="00754A2D"/>
    <w:rsid w:val="007643CE"/>
    <w:rsid w:val="00766157"/>
    <w:rsid w:val="00767F68"/>
    <w:rsid w:val="0077490A"/>
    <w:rsid w:val="007775EF"/>
    <w:rsid w:val="007A51E0"/>
    <w:rsid w:val="007A6544"/>
    <w:rsid w:val="007A7FD3"/>
    <w:rsid w:val="007B2410"/>
    <w:rsid w:val="007C01D1"/>
    <w:rsid w:val="007C5705"/>
    <w:rsid w:val="007D13B8"/>
    <w:rsid w:val="007D77CE"/>
    <w:rsid w:val="00802CDC"/>
    <w:rsid w:val="00805E1D"/>
    <w:rsid w:val="00813FEC"/>
    <w:rsid w:val="00814E29"/>
    <w:rsid w:val="00823C1E"/>
    <w:rsid w:val="00826D77"/>
    <w:rsid w:val="0083338D"/>
    <w:rsid w:val="008701AB"/>
    <w:rsid w:val="0087139A"/>
    <w:rsid w:val="00877798"/>
    <w:rsid w:val="008802DB"/>
    <w:rsid w:val="00881967"/>
    <w:rsid w:val="00883D69"/>
    <w:rsid w:val="00884D26"/>
    <w:rsid w:val="00885F48"/>
    <w:rsid w:val="00890F76"/>
    <w:rsid w:val="0089274E"/>
    <w:rsid w:val="008A08FA"/>
    <w:rsid w:val="008E70E5"/>
    <w:rsid w:val="008F50DB"/>
    <w:rsid w:val="008F5238"/>
    <w:rsid w:val="008F7723"/>
    <w:rsid w:val="00904BC8"/>
    <w:rsid w:val="00911248"/>
    <w:rsid w:val="00913A4E"/>
    <w:rsid w:val="00925F75"/>
    <w:rsid w:val="00951345"/>
    <w:rsid w:val="00971108"/>
    <w:rsid w:val="0097410F"/>
    <w:rsid w:val="00974280"/>
    <w:rsid w:val="00974393"/>
    <w:rsid w:val="0097704C"/>
    <w:rsid w:val="00986E71"/>
    <w:rsid w:val="00992211"/>
    <w:rsid w:val="009942EB"/>
    <w:rsid w:val="009A1862"/>
    <w:rsid w:val="009A78E1"/>
    <w:rsid w:val="009A7FCF"/>
    <w:rsid w:val="009B548C"/>
    <w:rsid w:val="009C6F84"/>
    <w:rsid w:val="009D18B6"/>
    <w:rsid w:val="009E6F62"/>
    <w:rsid w:val="009E7F86"/>
    <w:rsid w:val="009F1030"/>
    <w:rsid w:val="009F1B6D"/>
    <w:rsid w:val="00A02039"/>
    <w:rsid w:val="00A04BD7"/>
    <w:rsid w:val="00A20EDD"/>
    <w:rsid w:val="00A212C7"/>
    <w:rsid w:val="00A22B93"/>
    <w:rsid w:val="00A23406"/>
    <w:rsid w:val="00A27EDD"/>
    <w:rsid w:val="00A35D41"/>
    <w:rsid w:val="00A40953"/>
    <w:rsid w:val="00A459E3"/>
    <w:rsid w:val="00A571FE"/>
    <w:rsid w:val="00A636AF"/>
    <w:rsid w:val="00A773EC"/>
    <w:rsid w:val="00A829DD"/>
    <w:rsid w:val="00AA03DB"/>
    <w:rsid w:val="00AA164E"/>
    <w:rsid w:val="00AA3B2D"/>
    <w:rsid w:val="00AA7268"/>
    <w:rsid w:val="00AB0D6D"/>
    <w:rsid w:val="00AB68DD"/>
    <w:rsid w:val="00AC2B0B"/>
    <w:rsid w:val="00AD35D8"/>
    <w:rsid w:val="00AD6BB8"/>
    <w:rsid w:val="00AF6D19"/>
    <w:rsid w:val="00B018B8"/>
    <w:rsid w:val="00B1436F"/>
    <w:rsid w:val="00B17FDC"/>
    <w:rsid w:val="00B22148"/>
    <w:rsid w:val="00B25C4D"/>
    <w:rsid w:val="00B32A99"/>
    <w:rsid w:val="00B364E6"/>
    <w:rsid w:val="00B47F03"/>
    <w:rsid w:val="00B62010"/>
    <w:rsid w:val="00B6417D"/>
    <w:rsid w:val="00B712AC"/>
    <w:rsid w:val="00B77B95"/>
    <w:rsid w:val="00B82084"/>
    <w:rsid w:val="00B91719"/>
    <w:rsid w:val="00B95E1A"/>
    <w:rsid w:val="00BB4808"/>
    <w:rsid w:val="00BD62E5"/>
    <w:rsid w:val="00BD715F"/>
    <w:rsid w:val="00BD7A11"/>
    <w:rsid w:val="00BE0134"/>
    <w:rsid w:val="00BE421E"/>
    <w:rsid w:val="00BE428E"/>
    <w:rsid w:val="00BE6A42"/>
    <w:rsid w:val="00BF009A"/>
    <w:rsid w:val="00BF2167"/>
    <w:rsid w:val="00BF4E21"/>
    <w:rsid w:val="00BF6AB5"/>
    <w:rsid w:val="00C03182"/>
    <w:rsid w:val="00C10C97"/>
    <w:rsid w:val="00C41CE2"/>
    <w:rsid w:val="00C452E4"/>
    <w:rsid w:val="00C532CE"/>
    <w:rsid w:val="00C53D36"/>
    <w:rsid w:val="00C57E0D"/>
    <w:rsid w:val="00C636EE"/>
    <w:rsid w:val="00C7181C"/>
    <w:rsid w:val="00C73C73"/>
    <w:rsid w:val="00C748B2"/>
    <w:rsid w:val="00C75F27"/>
    <w:rsid w:val="00C76A21"/>
    <w:rsid w:val="00C85BE4"/>
    <w:rsid w:val="00CA3B61"/>
    <w:rsid w:val="00CB05CD"/>
    <w:rsid w:val="00CB268F"/>
    <w:rsid w:val="00CD046D"/>
    <w:rsid w:val="00CD15F8"/>
    <w:rsid w:val="00CD207F"/>
    <w:rsid w:val="00CF0128"/>
    <w:rsid w:val="00CF0812"/>
    <w:rsid w:val="00CF245A"/>
    <w:rsid w:val="00CF41FE"/>
    <w:rsid w:val="00CF4321"/>
    <w:rsid w:val="00CF5E94"/>
    <w:rsid w:val="00CF7BE1"/>
    <w:rsid w:val="00D0443A"/>
    <w:rsid w:val="00D05FE4"/>
    <w:rsid w:val="00D07F94"/>
    <w:rsid w:val="00D16B69"/>
    <w:rsid w:val="00D21DEB"/>
    <w:rsid w:val="00D3514F"/>
    <w:rsid w:val="00D5052C"/>
    <w:rsid w:val="00D6266A"/>
    <w:rsid w:val="00D91F48"/>
    <w:rsid w:val="00D97443"/>
    <w:rsid w:val="00DA3276"/>
    <w:rsid w:val="00DA5C02"/>
    <w:rsid w:val="00DB1764"/>
    <w:rsid w:val="00DB2440"/>
    <w:rsid w:val="00DB3C8A"/>
    <w:rsid w:val="00DB5F18"/>
    <w:rsid w:val="00DC5F89"/>
    <w:rsid w:val="00DD0C51"/>
    <w:rsid w:val="00DD7AE6"/>
    <w:rsid w:val="00DE2F11"/>
    <w:rsid w:val="00E06E17"/>
    <w:rsid w:val="00E11578"/>
    <w:rsid w:val="00E2376E"/>
    <w:rsid w:val="00E25C09"/>
    <w:rsid w:val="00E35402"/>
    <w:rsid w:val="00E379EC"/>
    <w:rsid w:val="00E42D97"/>
    <w:rsid w:val="00E42DA2"/>
    <w:rsid w:val="00E47E0D"/>
    <w:rsid w:val="00E526C3"/>
    <w:rsid w:val="00E56A87"/>
    <w:rsid w:val="00E56E52"/>
    <w:rsid w:val="00E715B9"/>
    <w:rsid w:val="00E854B0"/>
    <w:rsid w:val="00E9403C"/>
    <w:rsid w:val="00E956E5"/>
    <w:rsid w:val="00E95DF8"/>
    <w:rsid w:val="00E97496"/>
    <w:rsid w:val="00EB642C"/>
    <w:rsid w:val="00EB67B5"/>
    <w:rsid w:val="00EB6A82"/>
    <w:rsid w:val="00EB79DB"/>
    <w:rsid w:val="00EB7B8D"/>
    <w:rsid w:val="00EC0A5E"/>
    <w:rsid w:val="00ED1677"/>
    <w:rsid w:val="00EE1F86"/>
    <w:rsid w:val="00EE4190"/>
    <w:rsid w:val="00F01156"/>
    <w:rsid w:val="00F11389"/>
    <w:rsid w:val="00F11CAA"/>
    <w:rsid w:val="00F14865"/>
    <w:rsid w:val="00F3114F"/>
    <w:rsid w:val="00F3147A"/>
    <w:rsid w:val="00F31FF1"/>
    <w:rsid w:val="00F347B6"/>
    <w:rsid w:val="00F37571"/>
    <w:rsid w:val="00F44A15"/>
    <w:rsid w:val="00F46B3C"/>
    <w:rsid w:val="00F4779A"/>
    <w:rsid w:val="00F64D94"/>
    <w:rsid w:val="00F70562"/>
    <w:rsid w:val="00F744B5"/>
    <w:rsid w:val="00F74986"/>
    <w:rsid w:val="00F845F5"/>
    <w:rsid w:val="00F84788"/>
    <w:rsid w:val="00F865EA"/>
    <w:rsid w:val="00F90AF4"/>
    <w:rsid w:val="00F92C7B"/>
    <w:rsid w:val="00FA21BD"/>
    <w:rsid w:val="00FB46C7"/>
    <w:rsid w:val="00FC2B5F"/>
    <w:rsid w:val="00FD0009"/>
    <w:rsid w:val="00FD51B5"/>
    <w:rsid w:val="00FF402A"/>
    <w:rsid w:val="00FF690A"/>
    <w:rsid w:val="0F876D5A"/>
    <w:rsid w:val="13C00C51"/>
    <w:rsid w:val="32F827D3"/>
    <w:rsid w:val="3A676D82"/>
    <w:rsid w:val="4C6428F1"/>
    <w:rsid w:val="4DFC1AFA"/>
    <w:rsid w:val="50DC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iPriority w:val="99"/>
    <w:rPr>
      <w:rFonts w:ascii="宋体" w:hAnsi="Courier New" w:cs="Courier New"/>
      <w:szCs w:val="21"/>
    </w:rPr>
  </w:style>
  <w:style w:type="paragraph" w:styleId="3">
    <w:name w:val="Balloon Text"/>
    <w:basedOn w:val="1"/>
    <w:link w:val="11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paragraph" w:customStyle="1" w:styleId="9">
    <w:name w:val="默认段落字体 Para Char Char Char Char Char Char Char"/>
    <w:basedOn w:val="1"/>
    <w:qFormat/>
    <w:uiPriority w:val="0"/>
  </w:style>
  <w:style w:type="character" w:customStyle="1" w:styleId="10">
    <w:name w:val="页眉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2">
    <w:name w:val="纯文本 Char"/>
    <w:basedOn w:val="7"/>
    <w:link w:val="2"/>
    <w:qFormat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9B6DC-3ABF-4165-A76A-CAB50FE876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2</Pages>
  <Words>62</Words>
  <Characters>354</Characters>
  <Lines>2</Lines>
  <Paragraphs>1</Paragraphs>
  <TotalTime>5</TotalTime>
  <ScaleCrop>false</ScaleCrop>
  <LinksUpToDate>false</LinksUpToDate>
  <CharactersWithSpaces>415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2021-04-13T08:14:00Z</dcterms:created>
  <dc:creator>Lenovo User</dc:creator>
  <cp:lastModifiedBy>PC400</cp:lastModifiedBy>
  <cp:lastPrinted>2014-04-03T09:04:00Z</cp:lastPrinted>
  <dcterms:modified xsi:type="dcterms:W3CDTF">2021-11-12T08:04:29Z</dcterms:modified>
  <dc:title>《最高人民法院、最高人民检察院关于废止1980年1月1日至1997年6月30日期间制发的部分司法解释和司法解释性质文件的决定》已于2012年11月19日由最高人民法院审判委员会第1560次会议、2012年12月19日由最高人民检察院第十一届检察委员会第83次会议通过，现予公布，自2013年1月18日起施行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975E664ECF344A6E8CCD5037B76B08D3</vt:lpwstr>
  </property>
</Properties>
</file>