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最高人民法院</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关于修改《最高人民法院关于人民法院</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民事调解工作若干问题的规定》等十九件民事诉讼类司法解释的决定</w:t>
      </w:r>
    </w:p>
    <w:p>
      <w:pPr>
        <w:pStyle w:val="3"/>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rPr>
      </w:pPr>
      <w:r>
        <w:rPr>
          <w:rFonts w:hint="eastAsia" w:ascii="仿宋_GB2312" w:hAnsi="仿宋_GB2312" w:eastAsia="仿宋_GB2312" w:cs="仿宋_GB2312"/>
          <w:kern w:val="2"/>
          <w:sz w:val="32"/>
          <w:szCs w:val="32"/>
          <w:lang w:val="en-US" w:eastAsia="zh-CN" w:bidi="ar-SA"/>
        </w:rPr>
        <w:t>法释〔</w:t>
      </w:r>
      <w:r>
        <w:rPr>
          <w:rFonts w:hint="default" w:ascii="Times New Roman" w:hAnsi="Times New Roman" w:eastAsia="仿宋_GB2312" w:cs="Times New Roman"/>
          <w:kern w:val="2"/>
          <w:sz w:val="32"/>
          <w:szCs w:val="32"/>
          <w:lang w:val="en-US" w:eastAsia="zh-CN" w:bidi="ar-SA"/>
        </w:rPr>
        <w:t>2020</w:t>
      </w:r>
      <w:r>
        <w:rPr>
          <w:rFonts w:hint="eastAsia" w:ascii="仿宋_GB2312" w:hAnsi="仿宋_GB2312" w:eastAsia="仿宋_GB2312" w:cs="仿宋_GB2312"/>
          <w:kern w:val="2"/>
          <w:sz w:val="32"/>
          <w:szCs w:val="32"/>
          <w:lang w:val="en-US" w:eastAsia="zh-CN" w:bidi="ar-SA"/>
        </w:rPr>
        <w:t>〕</w:t>
      </w:r>
      <w:r>
        <w:rPr>
          <w:rFonts w:hint="default" w:ascii="Times New Roman" w:hAnsi="Times New Roman" w:eastAsia="仿宋_GB2312" w:cs="Times New Roman"/>
          <w:kern w:val="2"/>
          <w:sz w:val="32"/>
          <w:szCs w:val="32"/>
          <w:lang w:val="en-US" w:eastAsia="zh-CN" w:bidi="ar-SA"/>
        </w:rPr>
        <w:t>20</w:t>
      </w:r>
      <w:r>
        <w:rPr>
          <w:rFonts w:hint="eastAsia" w:ascii="仿宋_GB2312" w:hAnsi="仿宋_GB2312" w:eastAsia="仿宋_GB2312" w:cs="仿宋_GB2312"/>
          <w:kern w:val="2"/>
          <w:sz w:val="32"/>
          <w:szCs w:val="32"/>
          <w:lang w:val="en-US" w:eastAsia="zh-CN" w:bidi="ar-SA"/>
        </w:rPr>
        <w:t>号</w:t>
      </w:r>
    </w:p>
    <w:p>
      <w:pPr>
        <w:pStyle w:val="3"/>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rPr>
          <w:rFonts w:hint="eastAsia" w:ascii="楷体_GB2312" w:hAnsi="楷体_GB2312" w:eastAsia="楷体_GB2312" w:cs="楷体_GB2312"/>
          <w:szCs w:val="32"/>
        </w:rPr>
      </w:pPr>
      <w:r>
        <w:rPr>
          <w:rFonts w:hint="eastAsia" w:ascii="楷体_GB2312" w:hAnsi="楷体_GB2312" w:eastAsia="楷体_GB2312" w:cs="楷体_GB2312"/>
        </w:rPr>
        <w:t>（</w:t>
      </w:r>
      <w:r>
        <w:rPr>
          <w:rFonts w:hint="default" w:ascii="Times New Roman" w:hAnsi="Times New Roman" w:eastAsia="楷体_GB2312" w:cs="Times New Roman"/>
        </w:rPr>
        <w:t>2020年12月23日最高人民法院审判委员会第1823次会议通过，自2021年1月1日起施行</w:t>
      </w:r>
      <w:r>
        <w:rPr>
          <w:rFonts w:hint="eastAsia" w:ascii="楷体_GB2312" w:hAnsi="楷体_GB2312" w:eastAsia="楷体_GB2312" w:cs="楷体_GB2312"/>
        </w:rPr>
        <w:t>）</w:t>
      </w:r>
    </w:p>
    <w:p>
      <w:pPr>
        <w:pStyle w:val="3"/>
        <w:keepNext w:val="0"/>
        <w:keepLines w:val="0"/>
        <w:pageBreakBefore w:val="0"/>
        <w:widowControl w:val="0"/>
        <w:kinsoku/>
        <w:wordWrap/>
        <w:overflowPunct/>
        <w:topLinePunct w:val="0"/>
        <w:autoSpaceDE/>
        <w:autoSpaceDN/>
        <w:bidi w:val="0"/>
        <w:adjustRightInd/>
        <w:snapToGrid/>
        <w:spacing w:line="240" w:lineRule="auto"/>
        <w:textAlignment w:val="auto"/>
        <w:rPr>
          <w:rFonts w:ascii="仿宋_GB2312" w:hAnsi="宋体" w:eastAsia="仿宋_GB2312"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根据审判实践需要，经最高人民法院审判委员会第</w:t>
      </w:r>
      <w:r>
        <w:rPr>
          <w:rFonts w:hint="eastAsia" w:ascii="Times New Roman" w:hAnsi="Times New Roman" w:eastAsia="仿宋_GB2312" w:cs="Times New Roman"/>
          <w:sz w:val="32"/>
          <w:szCs w:val="32"/>
        </w:rPr>
        <w:t>1823</w:t>
      </w:r>
      <w:r>
        <w:rPr>
          <w:rFonts w:hint="eastAsia" w:ascii="仿宋_GB2312" w:hAnsi="宋体" w:eastAsia="仿宋_GB2312" w:cs="宋体"/>
          <w:sz w:val="32"/>
          <w:szCs w:val="32"/>
        </w:rPr>
        <w:t>次会议决定，对《最高人民法院关于人民法院民事调解工作若干问题的规定》等十九件司法解释作如下修改：</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一、修改《最高人民法院关于人民法院民事调解工作若干问题的规定》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w:t>
      </w:r>
      <w:r>
        <w:rPr>
          <w:rFonts w:hint="eastAsia" w:ascii="仿宋_GB2312" w:hAnsi="宋体" w:eastAsia="仿宋_GB2312" w:cs="宋体"/>
          <w:sz w:val="32"/>
          <w:szCs w:val="32"/>
        </w:rPr>
        <w:t>.删除第一条、第二条、第十三条、第十八条。</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2</w:t>
      </w:r>
      <w:r>
        <w:rPr>
          <w:rFonts w:hint="eastAsia" w:ascii="仿宋_GB2312" w:hAnsi="宋体" w:eastAsia="仿宋_GB2312" w:cs="宋体"/>
          <w:sz w:val="32"/>
          <w:szCs w:val="32"/>
        </w:rPr>
        <w:t>.将第三条修改为：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根据民事诉讼法第九十五条的规定，人民法院可以邀请与当事人有特定关系或者与案件有一定联系的企业事业单位、社会团体或者其他组织，和具有专门知识、特定社会经验、与当事人有特定关系并有利于促成调解的个人协助调解工作。</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经各方当事人同意，人民法院可以委托前款规定的单位或者个人对案件进行调解，达成调解协议后，人民法院应当依法予以确认。”</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3</w:t>
      </w:r>
      <w:r>
        <w:rPr>
          <w:rFonts w:hint="eastAsia" w:ascii="仿宋_GB2312" w:hAnsi="宋体" w:eastAsia="仿宋_GB2312" w:cs="宋体"/>
          <w:sz w:val="32"/>
          <w:szCs w:val="32"/>
        </w:rPr>
        <w:t>.将第十一条修改为：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“调解协议约定一方提供担保或者案外人同意为当事人提供担保的，人民法院应当准许。</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案外人提供担保的，人民法院制作调解书应当列明担保人，并将调解书送交担保人。担保人不签收调解书的，不影响调解书生效。</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当事人或者案外人提供的担保符合民法典规定的条件时生效。”</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4</w:t>
      </w:r>
      <w:r>
        <w:rPr>
          <w:rFonts w:hint="eastAsia" w:ascii="仿宋_GB2312" w:hAnsi="宋体" w:eastAsia="仿宋_GB2312" w:cs="宋体"/>
          <w:sz w:val="32"/>
          <w:szCs w:val="32"/>
        </w:rPr>
        <w:t>.将第十九条修改为：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“调解书确定的担保条款条件或者承担民事责任的条件成就时，当事人申请执行的，人民法院应当依法执行。</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不履行调解协议的当事人按照前款规定承担了调解书确定的民事责任后，对方当事人又要求其承担民事诉讼法第二百五十三条规定的迟延履行责任的，人民法院不予支持。”</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5</w:t>
      </w:r>
      <w:r>
        <w:rPr>
          <w:rFonts w:hint="eastAsia" w:ascii="仿宋_GB2312" w:hAnsi="宋体" w:eastAsia="仿宋_GB2312" w:cs="宋体"/>
          <w:sz w:val="32"/>
          <w:szCs w:val="32"/>
        </w:rPr>
        <w:t>.将第二十条修改为：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“调解书约定给付特定标的物的，调解协议达成前该物上已经存在的第三人的物权和优先权不受影响。第三人在执行过程中对执行标的物提出异议的，应当按照民事诉讼法第二百二十七条规定处理。”</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6</w:t>
      </w:r>
      <w:r>
        <w:rPr>
          <w:rFonts w:hint="eastAsia" w:ascii="仿宋_GB2312" w:hAnsi="宋体" w:eastAsia="仿宋_GB2312" w:cs="宋体"/>
          <w:sz w:val="32"/>
          <w:szCs w:val="32"/>
        </w:rPr>
        <w:t>.条文顺序作相应调整。</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二、修改《最高人民法院关于适用〈中华人民共和国民事诉讼法〉的解释》</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w:t>
      </w:r>
      <w:r>
        <w:rPr>
          <w:rFonts w:hint="eastAsia" w:ascii="仿宋_GB2312" w:hAnsi="宋体" w:eastAsia="仿宋_GB2312" w:cs="宋体"/>
          <w:sz w:val="32"/>
          <w:szCs w:val="32"/>
        </w:rPr>
        <w:t>.将第六十八条修改为：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“居民委员会、村民委员会或者村民小组与他人发生民事纠纷的，居民委员会、村民委员会或者有独立财产的村民小组为当事人。”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2</w:t>
      </w:r>
      <w:r>
        <w:rPr>
          <w:rFonts w:hint="eastAsia" w:ascii="仿宋_GB2312" w:hAnsi="宋体" w:eastAsia="仿宋_GB2312" w:cs="宋体"/>
          <w:sz w:val="32"/>
          <w:szCs w:val="32"/>
        </w:rPr>
        <w:t>.将第七十一条修改为：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“原告起诉被代理人和代理人，要求承担连带责任的，被代理人和代理人为共同被告。</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原告起诉代理人和相对人，要求承担连带责任的，代理人和相对人为共同被告。”</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3</w:t>
      </w:r>
      <w:r>
        <w:rPr>
          <w:rFonts w:hint="eastAsia" w:ascii="仿宋_GB2312" w:hAnsi="宋体" w:eastAsia="仿宋_GB2312" w:cs="宋体"/>
          <w:sz w:val="32"/>
          <w:szCs w:val="32"/>
        </w:rPr>
        <w:t>.将第八十三条修改为：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在诉讼中，无民事行为能力人、限制民事行为能力人的监护人是他的法定代理人。事先没有确定监护人的，可以由有监护资格的人协商确定；协商不成的，由人民法院在他们之中指定诉讼中的法定代理人。当事人没有民法典第二十七条、第二十八条规定的监护人的，可以指定民法典第三十二条规定的有关组织担任诉讼中的法定代理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lang w:eastAsia="zh-CN"/>
        </w:rPr>
      </w:pPr>
      <w:r>
        <w:rPr>
          <w:rFonts w:hint="eastAsia" w:ascii="Times New Roman" w:hAnsi="Times New Roman" w:eastAsia="仿宋_GB2312" w:cs="Times New Roman"/>
          <w:sz w:val="32"/>
          <w:szCs w:val="32"/>
        </w:rPr>
        <w:t>4</w:t>
      </w:r>
      <w:r>
        <w:rPr>
          <w:rFonts w:hint="eastAsia" w:ascii="仿宋_GB2312" w:hAnsi="宋体" w:eastAsia="仿宋_GB2312" w:cs="宋体"/>
          <w:sz w:val="32"/>
          <w:szCs w:val="32"/>
        </w:rPr>
        <w:t>.将第三百四十三条修改为</w:t>
      </w:r>
      <w:r>
        <w:rPr>
          <w:rFonts w:hint="eastAsia" w:ascii="仿宋_GB2312" w:hAnsi="宋体" w:eastAsia="仿宋_GB2312" w:cs="宋体"/>
          <w:sz w:val="32"/>
          <w:szCs w:val="32"/>
          <w:lang w:eastAsia="zh-CN"/>
        </w:rPr>
        <w:t>：</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宣告失踪或者宣告死亡案件，人民法院可以根据申请人的请求，清理下落不明人的财产，并指定案件审理期间的财产管理人。公告期满后，人民法院判决宣告失踪的，应当同时依照民法典第四十二条的规定指定失踪人的财产代管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5</w:t>
      </w:r>
      <w:r>
        <w:rPr>
          <w:rFonts w:hint="eastAsia" w:ascii="仿宋_GB2312" w:hAnsi="宋体" w:eastAsia="仿宋_GB2312" w:cs="宋体"/>
          <w:sz w:val="32"/>
          <w:szCs w:val="32"/>
        </w:rPr>
        <w:t>.将第三百五十一条修改为：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被指定的监护人不服居民委员会、村民委员会或者民政部门指定，应当自接到通知之日起三十日内向人民法院提出异议。经审理，认为指定并无不当的，裁定驳回异议；指定不当的，判决撤销指定，同时另行指定监护人。判决书应当送达异议人、原指定单位及判决指定的监护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有关当事人依照民法典第三十一条第一款规定直接向人民法院申请指定监护人的，适用特别程序审理，判决指定监护人。判决书应当送达申请人、判决指定的监护人。”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6</w:t>
      </w:r>
      <w:r>
        <w:rPr>
          <w:rFonts w:hint="eastAsia" w:ascii="仿宋_GB2312" w:hAnsi="宋体" w:eastAsia="仿宋_GB2312" w:cs="宋体"/>
          <w:sz w:val="32"/>
          <w:szCs w:val="32"/>
        </w:rPr>
        <w:t>.将第三百五十二条修改为：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申请认定公民无民事行为能力或者限制民事行为能力的案件，被申请人没有近亲属的，人民法院可以指定经被申请人住所地的居民委员会、村民委员会或者民政部门同意，且愿意担任代理人的个人或者组织为代理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没有前款规定的代理人的，由被申请人住所地的居民委员会、村民委员会或者民政部门担任代理人。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代理人可以是一人，也可以是同一顺序中的两人。”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7</w:t>
      </w:r>
      <w:r>
        <w:rPr>
          <w:rFonts w:hint="eastAsia" w:ascii="仿宋_GB2312" w:hAnsi="宋体" w:eastAsia="仿宋_GB2312" w:cs="宋体"/>
          <w:sz w:val="32"/>
          <w:szCs w:val="32"/>
        </w:rPr>
        <w:t>.将第三百六十五条修改为：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依照民法典第三百九十二条的规定，被担保的债权既有物的担保又有人的担保，当事人对实现担保物权的顺序有约定，实现担保物权的申请违反该约定的，人民法院裁定不予受理；没有约定或者约定不明的，人民法院应当受理。”</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8</w:t>
      </w:r>
      <w:r>
        <w:rPr>
          <w:rFonts w:hint="eastAsia" w:ascii="仿宋_GB2312" w:hAnsi="宋体" w:eastAsia="仿宋_GB2312" w:cs="宋体"/>
          <w:sz w:val="32"/>
          <w:szCs w:val="32"/>
        </w:rPr>
        <w:t>.将第四百七十条修改为：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“根据民事诉讼法第二百三十一条规定向人民法院提供执行担保的，可以由被执行人或者他人提供财产担保，也可以由他人提供保证。担保人应当具有代为履行或者代为承担赔偿责任的能力。</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他人提供执行保证的，应当向执行法院出具保证书，并将保证书副本送交申请执行人。被执行人或者他人提供财产担保的，应当参照民法典的有关规定办理相应手续。”</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三、修改《最高人民法院、最高人民检察院关于检察公益诉讼案件适用法律若干问题的解释》</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w:t>
      </w:r>
      <w:r>
        <w:rPr>
          <w:rFonts w:hint="eastAsia" w:ascii="仿宋_GB2312" w:hAnsi="宋体" w:eastAsia="仿宋_GB2312" w:cs="宋体"/>
          <w:sz w:val="32"/>
          <w:szCs w:val="32"/>
        </w:rPr>
        <w:t>.将第一条修改为：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“为正确适用《中华人民共和国民法典》《中华人民共和国民事诉讼法》《中华人民共和国行政诉讼法》关于人民检察院提起公益诉讼制度的规定，结合审判、检察工作实际，制定本解释。”</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2</w:t>
      </w:r>
      <w:r>
        <w:rPr>
          <w:rFonts w:hint="eastAsia" w:ascii="仿宋_GB2312" w:hAnsi="宋体" w:eastAsia="仿宋_GB2312" w:cs="宋体"/>
          <w:sz w:val="32"/>
          <w:szCs w:val="32"/>
        </w:rPr>
        <w:t>.将第七条修改为：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“人民法院审理人民检察院提起的第一审公益诉讼案件，适用人民陪审制。”</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3</w:t>
      </w:r>
      <w:r>
        <w:rPr>
          <w:rFonts w:hint="eastAsia" w:ascii="仿宋_GB2312" w:hAnsi="宋体" w:eastAsia="仿宋_GB2312" w:cs="宋体"/>
          <w:sz w:val="32"/>
          <w:szCs w:val="32"/>
        </w:rPr>
        <w:t>.将第十三条修改为：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检察院在履行职责中发现破坏生态环境和资源保护，食品药品安全领域侵害众多消费者合法权益，侵害英雄烈士等的姓名、肖像、名誉、荣誉等损害社会公共利益的行为，拟提起公益诉讼的，应当依法公告，公告期间为三十日。</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公告期满，法律规定的机关和有关组织、英雄烈士等的近亲属不提起诉讼的，人民检察院可以向人民法院提起诉讼。</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人民检察院办理侵害英雄烈士等的姓名、肖像、名誉、荣誉的民事公益诉讼案件，也可以直接征询英雄烈士等的近亲属的意见。”</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4</w:t>
      </w:r>
      <w:r>
        <w:rPr>
          <w:rFonts w:hint="eastAsia" w:ascii="仿宋_GB2312" w:hAnsi="宋体" w:eastAsia="仿宋_GB2312" w:cs="宋体"/>
          <w:sz w:val="32"/>
          <w:szCs w:val="32"/>
        </w:rPr>
        <w:t>.将第十四条修改为：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“人民检察院提起民事公益诉讼应当提交下列材料：</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（一）民事公益诉讼起诉书，并按照被告人数提出副本；</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（二）被告的行为已经损害社会公共利益的初步证明材料；</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（三）已经履行公告程序、征询英雄烈士等的近亲属意见的证明材料。”</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5</w:t>
      </w:r>
      <w:r>
        <w:rPr>
          <w:rFonts w:hint="eastAsia" w:ascii="仿宋_GB2312" w:hAnsi="宋体" w:eastAsia="仿宋_GB2312" w:cs="宋体"/>
          <w:sz w:val="32"/>
          <w:szCs w:val="32"/>
        </w:rPr>
        <w:t>.将第二十条修改为：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检察院对破坏生态环境和资源保护，食品药品安全领域侵害众多消费者合法权益，侵害英雄烈士等的姓名、肖像、名誉、荣誉等损害社会公共利益的犯罪行为提起刑事公诉时，可以向人民法院一并提起附带民事公益诉讼，由人民法院同一审判组织审理。</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人民检察院提起的刑事附带民事公益诉讼案件由审理刑事案件的人民法院管辖。”</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6</w:t>
      </w:r>
      <w:r>
        <w:rPr>
          <w:rFonts w:hint="eastAsia" w:ascii="仿宋_GB2312" w:hAnsi="宋体" w:eastAsia="仿宋_GB2312" w:cs="宋体"/>
          <w:sz w:val="32"/>
          <w:szCs w:val="32"/>
        </w:rPr>
        <w:t>.将第二十二条修改为：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“人民检察院提起行政公益诉讼应当提交下列材料：</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（一）行政公益诉讼起诉书，并按照被告人数提出副本；</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（二）被告违法行使职权或者不作为，致使国家利益或者社会公共利益受到侵害的证明材料；</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（三）已经履行诉前程序，行政机关仍不依法履行职责或者纠正违法行为的证明材料。”</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7</w:t>
      </w:r>
      <w:r>
        <w:rPr>
          <w:rFonts w:hint="eastAsia" w:ascii="仿宋_GB2312" w:hAnsi="宋体" w:eastAsia="仿宋_GB2312" w:cs="宋体"/>
          <w:sz w:val="32"/>
          <w:szCs w:val="32"/>
        </w:rPr>
        <w:t>.将第二十五条修改为：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“人民法院区分下列情形作出行政公益诉讼判决：</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（一）被诉行政行为具有行政诉讼法第七十四条、第七十五条规定情形之一的，判决确认违法或者确认无效，并可以同时判决责令行政机关采取补救措施；</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（二）被诉行政行为具有行政诉讼法第七十条规定情形之一的，判决撤销或者部分撤销，并可以判决被诉行政机关重新作出行政行为；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（三）被诉行政机关不履行法定职责的，判决在一定期限内履行；</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（四）被诉行政机关作出的行政处罚明显不当，或者其他行政行为涉及对款额的确定、认定确有错误的，可以判决予以变更；</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（五）被诉行政行为证据确凿，适用法律、法规正确，符合法定程序，未超越职权，未滥用职权，无明显不当，或者人民检察院诉请被诉行政机关履行法定职责理由不成立的，判决驳回诉讼请求。</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人民法院可以将判决结果告知被诉行政机关所属的人民政府或者其他相关的职能部门。”</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四、修改《最高人民法院关于审理环境民事公益诉讼案件适用法律若干问题的解释》</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w:t>
      </w:r>
      <w:r>
        <w:rPr>
          <w:rFonts w:hint="eastAsia" w:ascii="仿宋_GB2312" w:hAnsi="宋体" w:eastAsia="仿宋_GB2312" w:cs="宋体"/>
          <w:sz w:val="32"/>
          <w:szCs w:val="32"/>
        </w:rPr>
        <w:t>.将引言修改为：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“为正确审理环境民事公益诉讼案件，根据《中华人民共和国民法典》《中华人民共和国环境保护法》《中华人民共和国民事诉讼法》等法律的规定，结合审判实践，制定本解释。”</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2</w:t>
      </w:r>
      <w:r>
        <w:rPr>
          <w:rFonts w:hint="eastAsia" w:ascii="仿宋_GB2312" w:hAnsi="宋体" w:eastAsia="仿宋_GB2312" w:cs="宋体"/>
          <w:sz w:val="32"/>
          <w:szCs w:val="32"/>
        </w:rPr>
        <w:t>.将第二条修改为：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“依照法律、法规的规定，在设区的市级以上人民政府民政部门登记的社会团体、基金会以及社会服务机构等，可以认定为环境保护法第五十八条规定的社会组织。”</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3</w:t>
      </w:r>
      <w:r>
        <w:rPr>
          <w:rFonts w:hint="eastAsia" w:ascii="仿宋_GB2312" w:hAnsi="宋体" w:eastAsia="仿宋_GB2312" w:cs="宋体"/>
          <w:sz w:val="32"/>
          <w:szCs w:val="32"/>
        </w:rPr>
        <w:t>.将第九条修改为：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“人民法院认为原告提出的诉讼请求不足以保护社会公共利益的，可以向其释明变更或者增加停止侵害、修复生态环境等诉讼请求。”</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4</w:t>
      </w:r>
      <w:r>
        <w:rPr>
          <w:rFonts w:hint="eastAsia" w:ascii="仿宋_GB2312" w:hAnsi="宋体" w:eastAsia="仿宋_GB2312" w:cs="宋体"/>
          <w:sz w:val="32"/>
          <w:szCs w:val="32"/>
        </w:rPr>
        <w:t>.将第十一条修改为：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检察机关、负有环境资源保护监督管理职责的部门及其他机关、社会组织、企业事业单位依据民事诉讼法第十五条的规定，可以通过提供法律咨询、提交书面意见、协助调查取证等方式支持社会组织依法提起环境民事公益诉讼。”</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5</w:t>
      </w:r>
      <w:r>
        <w:rPr>
          <w:rFonts w:hint="eastAsia" w:ascii="仿宋_GB2312" w:hAnsi="宋体" w:eastAsia="仿宋_GB2312" w:cs="宋体"/>
          <w:sz w:val="32"/>
          <w:szCs w:val="32"/>
        </w:rPr>
        <w:t>.将第十二条修改为：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“人民法院受理环境民事公益诉讼后，应当在十日内告知对被告行为负有环境资源保护监督管理职责的部门。”</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6</w:t>
      </w:r>
      <w:r>
        <w:rPr>
          <w:rFonts w:hint="eastAsia" w:ascii="仿宋_GB2312" w:hAnsi="宋体" w:eastAsia="仿宋_GB2312" w:cs="宋体"/>
          <w:sz w:val="32"/>
          <w:szCs w:val="32"/>
        </w:rPr>
        <w:t>.将第十五条修改为：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当事人申请通知有专门知识的人出庭，就鉴定人作出的鉴定意见或者就因果关系、生态环境修复方式、生态环境修复费用以及生态环境受到损害至修复完成期间服务功能丧失导致的损失等专门性问题提出意见的，人民法院可以准许。</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前款规定的专家意见经质证，可以作为认定事实的根据。”</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7</w:t>
      </w:r>
      <w:r>
        <w:rPr>
          <w:rFonts w:hint="eastAsia" w:ascii="仿宋_GB2312" w:hAnsi="宋体" w:eastAsia="仿宋_GB2312" w:cs="宋体"/>
          <w:sz w:val="32"/>
          <w:szCs w:val="32"/>
        </w:rPr>
        <w:t>.将第十八条修改为：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“对污染环境、破坏生态，已经损害社会公共利益或者具有损害社会公共利益重大风险的行为，原告可以请求被告承担停止侵害、排除妨碍、消除危险、修复生态环境、赔偿损失、赔礼道歉等民事责任。”</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8</w:t>
      </w:r>
      <w:r>
        <w:rPr>
          <w:rFonts w:hint="eastAsia" w:ascii="仿宋_GB2312" w:hAnsi="宋体" w:eastAsia="仿宋_GB2312" w:cs="宋体"/>
          <w:sz w:val="32"/>
          <w:szCs w:val="32"/>
        </w:rPr>
        <w:t>.将第二十条修改为：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“原告请求修复生态环境的，人民法院可以依法判决被告将生态环境修复到损害发生之前的状态和功能。无法完全修复的，可以准许采用替代性修复方式。</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人民法院可以在判决被告修复生态环境的同时，确定被告不履行修复义务时应承担的生态环境修复费用；也可以直接判决被告承担生态环境修复费用。</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生态环境修复费用包括制定、实施修复方案的费用，修复期间的监测、监管费用，以及修复完成后的验收费用、修复效果后评估费用等。”</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9</w:t>
      </w:r>
      <w:r>
        <w:rPr>
          <w:rFonts w:hint="eastAsia" w:ascii="仿宋_GB2312" w:hAnsi="宋体" w:eastAsia="仿宋_GB2312" w:cs="宋体"/>
          <w:sz w:val="32"/>
          <w:szCs w:val="32"/>
        </w:rPr>
        <w:t>.将第二十一条修改为：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“原告请求被告赔偿生态环境受到损害至修复完成期间服务功能丧失导致的损失、生态环境功能永久性损害造成的损失的，人民法院可以依法予以支持。”</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10</w:t>
      </w:r>
      <w:r>
        <w:rPr>
          <w:rFonts w:hint="eastAsia" w:ascii="仿宋_GB2312" w:hAnsi="宋体" w:eastAsia="仿宋_GB2312" w:cs="宋体"/>
          <w:sz w:val="32"/>
          <w:szCs w:val="32"/>
        </w:rPr>
        <w:t>.将第二十二条修改为：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“原告请求被告承担以下费用的，人民法院可以依法予以支持：</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（一）生态环境损害调查、鉴定评估等费用；</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（二）清除污染以及防止损害的发生和扩大所支出的合理费用；</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（三）合理的律师费以及为诉讼支出的其他合理费用。”</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11</w:t>
      </w:r>
      <w:r>
        <w:rPr>
          <w:rFonts w:hint="eastAsia" w:ascii="仿宋_GB2312" w:hAnsi="宋体" w:eastAsia="仿宋_GB2312" w:cs="宋体"/>
          <w:sz w:val="32"/>
          <w:szCs w:val="32"/>
        </w:rPr>
        <w:t>.将第二十三条修改为：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生态环境修复费用难以确定或者确定具体数额所需鉴定费用明显过高的，人民法院可以结合污染环境、破坏生态的范围和程度，生态环境的稀缺性，生态环境恢复的难易程度，防治污染设备的运行成本，被告因侵害行为所获得的利益以及过错程度等因素，并可以参考负有环境资源保护监督管理职责的部门的意见、专家意见等，予以合理确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12</w:t>
      </w:r>
      <w:r>
        <w:rPr>
          <w:rFonts w:hint="eastAsia" w:ascii="仿宋_GB2312" w:hAnsi="宋体" w:eastAsia="仿宋_GB2312" w:cs="宋体"/>
          <w:sz w:val="32"/>
          <w:szCs w:val="32"/>
        </w:rPr>
        <w:t>.将第二十四条修改为：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“人民法院判决被告承担的生态环境修复费用、生态环境受到损害至修复完成期间服务功能丧失导致的损失、生态环境功能永久性损害造成的损失等款项，应当用于修复被损害的生态环境。</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其他环境民事公益诉讼中败诉原告所需承担的调查取证、专家咨询、检验、鉴定等必要费用，可以酌情从上述款项中支付。”</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13</w:t>
      </w:r>
      <w:r>
        <w:rPr>
          <w:rFonts w:hint="eastAsia" w:ascii="仿宋_GB2312" w:hAnsi="宋体" w:eastAsia="仿宋_GB2312" w:cs="宋体"/>
          <w:sz w:val="32"/>
          <w:szCs w:val="32"/>
        </w:rPr>
        <w:t>.将第二十六条修改为：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“负有环境资源保护监督管理职责的部门依法履行监管职责而使原告诉讼请求全部实现，原告申请撤诉的，人民法院应予准许。”</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五、修改《最高人民法院关于当事人申请承认澳大利亚法院出具的离婚证明书人民法院应否受理问题的批复》</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将答复内容修改为：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当事人持澳大利亚法院出具的离婚证明书向人民法院申请承认其效力的，人民法院应予受理，并依照《中华人民共和国民事诉讼法》第二百八十一条和第二百八十二条以及最高人民法院《关于中国公民申请承认外国法院离婚判决程序问题的规定》的有关规定进行审查，依法作出承认或者不予承认的裁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六、修改《最高人民法院关于对与证券交易所监管职能相关的诉讼案件管辖与受理问题的规定》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将第一条修改为：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根据《中华人民共和国民事诉讼法》第三十七条和《中华人民共和国行政诉讼法》第二十三条的有关规定，指定上海证券交易所和深圳证券交易所所在地的中级人民法院分别管辖以上海证券交易所和深圳证券交易所为被告或第三人的与证券交易所监管职能相关的第一审民事和行政案件。”</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七、修改《最高人民法院关于审理民事级别管辖异议案件若干问题的规定》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w:t>
      </w:r>
      <w:r>
        <w:rPr>
          <w:rFonts w:hint="eastAsia" w:ascii="仿宋_GB2312" w:hAnsi="宋体" w:eastAsia="仿宋_GB2312" w:cs="宋体"/>
          <w:sz w:val="32"/>
          <w:szCs w:val="32"/>
        </w:rPr>
        <w:t>.删除第四条。</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2</w:t>
      </w:r>
      <w:r>
        <w:rPr>
          <w:rFonts w:hint="eastAsia" w:ascii="仿宋_GB2312" w:hAnsi="宋体" w:eastAsia="仿宋_GB2312" w:cs="宋体"/>
          <w:sz w:val="32"/>
          <w:szCs w:val="32"/>
        </w:rPr>
        <w:t>.条文顺序作相应调整。</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八、修改《最高人民法院关于军事法院管辖民事案件若干问题的规定》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lang w:eastAsia="zh-CN"/>
        </w:rPr>
      </w:pPr>
      <w:r>
        <w:rPr>
          <w:rFonts w:hint="eastAsia" w:ascii="仿宋_GB2312" w:hAnsi="宋体" w:eastAsia="仿宋_GB2312" w:cs="宋体"/>
          <w:sz w:val="32"/>
          <w:szCs w:val="32"/>
        </w:rPr>
        <w:t>将第二条第（四）项修改为</w:t>
      </w:r>
      <w:r>
        <w:rPr>
          <w:rFonts w:hint="eastAsia" w:ascii="仿宋_GB2312" w:hAnsi="宋体" w:eastAsia="仿宋_GB2312" w:cs="宋体"/>
          <w:sz w:val="32"/>
          <w:szCs w:val="32"/>
          <w:lang w:eastAsia="zh-CN"/>
        </w:rPr>
        <w:t>：</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“民事诉讼法第三十三条规定的不动产所在地、港口所在地、被继承人死亡时住所地或者主要遗产所在地在营区内，且当事人一方为军人或者军队单位的案件；”</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九、修改《最高人民法院关于产品侵权案件的受害人能否以产品的商标所有人为被告提起民事诉讼的批复》</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将正文修改为：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“你院京高法〔</w:t>
      </w:r>
      <w:r>
        <w:rPr>
          <w:rFonts w:hint="eastAsia" w:ascii="Times New Roman" w:hAnsi="Times New Roman" w:eastAsia="仿宋_GB2312" w:cs="Times New Roman"/>
          <w:sz w:val="32"/>
          <w:szCs w:val="32"/>
        </w:rPr>
        <w:t>2001</w:t>
      </w:r>
      <w:r>
        <w:rPr>
          <w:rFonts w:hint="eastAsia" w:ascii="仿宋_GB2312" w:hAnsi="宋体" w:eastAsia="仿宋_GB2312" w:cs="宋体"/>
          <w:sz w:val="32"/>
          <w:szCs w:val="32"/>
        </w:rPr>
        <w:t>〕</w:t>
      </w:r>
      <w:r>
        <w:rPr>
          <w:rFonts w:hint="eastAsia" w:ascii="Times New Roman" w:hAnsi="Times New Roman" w:eastAsia="仿宋_GB2312" w:cs="Times New Roman"/>
          <w:sz w:val="32"/>
          <w:szCs w:val="32"/>
        </w:rPr>
        <w:t>271</w:t>
      </w:r>
      <w:r>
        <w:rPr>
          <w:rFonts w:hint="eastAsia" w:ascii="仿宋_GB2312" w:hAnsi="宋体" w:eastAsia="仿宋_GB2312" w:cs="宋体"/>
          <w:sz w:val="32"/>
          <w:szCs w:val="32"/>
        </w:rPr>
        <w:t>号《关于荆其廉、张新荣等诉美国通用汽车公司、美国通用汽车海外公司损害赔偿案诉讼主体确立问题处理结果的请示报告》收悉。经研究，我们认为，任何将自己的姓名、名称、商标或者可资识别的其他标识体现在产品上，表示其为产品制造者的企业或个人，均属于《中华人民共和国民法典》和《中华人民共和国产品质量法》规定的‘生产者’。本案中美国通用汽车公司为事故车的商标所有人，根据受害人的起诉和本案的实际情况，本案以通用汽车公司、通用汽车海外公司、通用汽车巴西公司为被告并无不当。”</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十、修改《最高人民法院关于诉讼代理人查阅民事案件材料的规定》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将第九条修改为：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“诉讼代理人查阅案件材料时不得涂改、损毁、抽取案件材料。</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人民法院对修改、损毁、抽取案卷材料的诉讼代理人，可以参照民事诉讼法第一百一十一条第一款第（一）项的规定处理。”</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十一、修改《最高人民法院关于适用〈中华人民共和国民事诉讼法〉审判监督程序若干问题的解释》</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w:t>
      </w:r>
      <w:r>
        <w:rPr>
          <w:rFonts w:hint="eastAsia" w:ascii="仿宋_GB2312" w:hAnsi="宋体" w:eastAsia="仿宋_GB2312" w:cs="宋体"/>
          <w:sz w:val="32"/>
          <w:szCs w:val="32"/>
        </w:rPr>
        <w:t>.将引言修改为：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“为了保障当事人申请再审权利，规范审判监督程序，维护各方当事人的合法权益，根据《中华人民共和国民事诉讼法》，结合审判实践，对审判监督程序中适用法律的若干问题作出如下解释：”</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2</w:t>
      </w:r>
      <w:r>
        <w:rPr>
          <w:rFonts w:hint="eastAsia" w:ascii="仿宋_GB2312" w:hAnsi="宋体" w:eastAsia="仿宋_GB2312" w:cs="宋体"/>
          <w:sz w:val="32"/>
          <w:szCs w:val="32"/>
        </w:rPr>
        <w:t>.将第一条修改为：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“当事人在民事诉讼法第二百零五条规定的期限内，以民事诉讼法第二百条所列明的再审事由，向原审人民法院的上一级人民法院申请再审的，上一级人民法院应当依法受理。”</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3</w:t>
      </w:r>
      <w:r>
        <w:rPr>
          <w:rFonts w:hint="eastAsia" w:ascii="仿宋_GB2312" w:hAnsi="宋体" w:eastAsia="仿宋_GB2312" w:cs="宋体"/>
          <w:sz w:val="32"/>
          <w:szCs w:val="32"/>
        </w:rPr>
        <w:t>.将第二条修改为：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“民事诉讼法第二百零五条规定的申请再审期间不适用中止、中断和延长的规定。”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4</w:t>
      </w:r>
      <w:r>
        <w:rPr>
          <w:rFonts w:hint="eastAsia" w:ascii="仿宋_GB2312" w:hAnsi="宋体" w:eastAsia="仿宋_GB2312" w:cs="宋体"/>
          <w:sz w:val="32"/>
          <w:szCs w:val="32"/>
        </w:rPr>
        <w:t>.删除第五条、第十条、第十一条、第十三条至第十五条、第十七条、第十八条、第二十五条、第三十二条、第三十三条、第三十九条、第四十二条。</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5</w:t>
      </w:r>
      <w:r>
        <w:rPr>
          <w:rFonts w:hint="eastAsia" w:ascii="仿宋_GB2312" w:hAnsi="宋体" w:eastAsia="仿宋_GB2312" w:cs="宋体"/>
          <w:sz w:val="32"/>
          <w:szCs w:val="32"/>
        </w:rPr>
        <w:t>.将第十二条修改为：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“民事诉讼法第二百条第（五）项规定的‘对审理案件需要的主要证据’，是指人民法院认定案件基本事实所必需的证据。”</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6</w:t>
      </w:r>
      <w:r>
        <w:rPr>
          <w:rFonts w:hint="eastAsia" w:ascii="仿宋_GB2312" w:hAnsi="宋体" w:eastAsia="仿宋_GB2312" w:cs="宋体"/>
          <w:sz w:val="32"/>
          <w:szCs w:val="32"/>
        </w:rPr>
        <w:t>.将第十六条修改为：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“原判决、裁定对基本事实和案件性质的认定系根据其他法律文书作出，而上述其他法律文书被撤销或变更的，人民法院可以认定为民事诉讼法第二百条第（十二）项规定的情形。”</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7</w:t>
      </w:r>
      <w:r>
        <w:rPr>
          <w:rFonts w:hint="eastAsia" w:ascii="仿宋_GB2312" w:hAnsi="宋体" w:eastAsia="仿宋_GB2312" w:cs="宋体"/>
          <w:sz w:val="32"/>
          <w:szCs w:val="32"/>
        </w:rPr>
        <w:t>.将第十九条修改为：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“人民法院经审查再审申请书等材料，认为申请再审事由成立的，应当径行裁定再审。</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当事人申请再审超过民事诉讼法第二百零五条规定的期限，或者超出民事诉讼法第二百条所列明的再审事由范围的，人民法院应当裁定驳回再审申请。”</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8</w:t>
      </w:r>
      <w:r>
        <w:rPr>
          <w:rFonts w:hint="eastAsia" w:ascii="仿宋_GB2312" w:hAnsi="宋体" w:eastAsia="仿宋_GB2312" w:cs="宋体"/>
          <w:sz w:val="32"/>
          <w:szCs w:val="32"/>
        </w:rPr>
        <w:t>.将第二十六条修改为：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“人民法院审查再审申请期间，人民检察院对该案提出抗诉的，人民法院应依照民事诉讼法第二百一十一条的规定裁定再审。申请再审人提出的具体再审请求应纳入审理范围。”</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9</w:t>
      </w:r>
      <w:r>
        <w:rPr>
          <w:rFonts w:hint="eastAsia" w:ascii="仿宋_GB2312" w:hAnsi="宋体" w:eastAsia="仿宋_GB2312" w:cs="宋体"/>
          <w:sz w:val="32"/>
          <w:szCs w:val="32"/>
        </w:rPr>
        <w:t>.将第二十八条修改为：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“上一级人民法院可以根据案件的影响程度以及案件参与人等情况，决定是否指定再审。需要指定再审的，应当考虑便利当事人行使诉讼权利以及便利人民法院审理等因素。</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接受指定再审的人民法院，应当按照民事诉讼法第二百零七条第一款规定的程序审理。”</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10</w:t>
      </w:r>
      <w:r>
        <w:rPr>
          <w:rFonts w:hint="eastAsia" w:ascii="仿宋_GB2312" w:hAnsi="宋体" w:eastAsia="仿宋_GB2312" w:cs="宋体"/>
          <w:sz w:val="32"/>
          <w:szCs w:val="32"/>
        </w:rPr>
        <w:t>.将第三十条修改为：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“当事人未申请再审、人民检察院未抗诉的案件，人民法院发现原判决、裁定、调解协议有损害国家利益、社会公共利益等确有错误情形的，应当依照民事诉讼法第一百九十八条的规定提起再审。”</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11</w:t>
      </w:r>
      <w:r>
        <w:rPr>
          <w:rFonts w:hint="eastAsia" w:ascii="仿宋_GB2312" w:hAnsi="宋体" w:eastAsia="仿宋_GB2312" w:cs="宋体"/>
          <w:sz w:val="32"/>
          <w:szCs w:val="32"/>
        </w:rPr>
        <w:t>.将第三十一条修改为：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“人民法院应当依照民事诉讼法第二百零七条的规定，按照第一审程序或者第二审程序审理再审案件。</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人民法院审理再审案件应当开庭审理。但按照第二审程序审理的，双方当事人已经其他方式充分表达意见，且书面同意不开庭审理的除外。”</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12</w:t>
      </w:r>
      <w:r>
        <w:rPr>
          <w:rFonts w:hint="eastAsia" w:ascii="仿宋_GB2312" w:hAnsi="宋体" w:eastAsia="仿宋_GB2312" w:cs="宋体"/>
          <w:sz w:val="32"/>
          <w:szCs w:val="32"/>
        </w:rPr>
        <w:t>.条文顺序作相应调整。</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十二、修改《最高人民法院关于涉外民商事案件诉讼管辖若干问题的规定》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将引言修改为：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“为正确审理涉外民商事案件，依法保护中外当事人的合法权益，根据《中华人民共和国民事诉讼法》第十八条的规定，现将有关涉外民商事案件诉讼管辖的问题规定如下：”</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十三、修改《最高人民法院关于涉外民事或商事案件司法文书送达问题若干规定》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w:t>
      </w:r>
      <w:r>
        <w:rPr>
          <w:rFonts w:hint="eastAsia" w:ascii="仿宋_GB2312" w:hAnsi="宋体" w:eastAsia="仿宋_GB2312" w:cs="宋体"/>
          <w:sz w:val="32"/>
          <w:szCs w:val="32"/>
        </w:rPr>
        <w:t>.将第四条修改为：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除受送达人在授权委托书中明确表明其诉讼代理人无权代为接收有关司法文书外，其委托的诉讼代理人为民事诉讼法第二百六十七条第（四）项规定的有权代其接受送达的诉讼代理人，人民法院可以向该诉讼代理人送达。”</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2</w:t>
      </w:r>
      <w:r>
        <w:rPr>
          <w:rFonts w:hint="eastAsia" w:ascii="仿宋_GB2312" w:hAnsi="宋体" w:eastAsia="仿宋_GB2312" w:cs="宋体"/>
          <w:sz w:val="32"/>
          <w:szCs w:val="32"/>
        </w:rPr>
        <w:t>.将第六条修改为：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向在中华人民共和国领域内没有住所的受送达人送达司法文书时，若该受送达人所在国与中华人民共和国签订有司法协助协定，可以依照司法协助协定规定的方式送达；若该受送达人所在国是《关于向国外送达民事或商事司法文书和司法外文书公约》的成员国，可以依照该公约规定的方式送达。</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依照受送达人所在国与中华人民共和国缔结或者共同参加的国际条约中规定的方式送达的，根据《最高人民法院关于依据国际公约和双边司法协助条约办理民商事案件司法文书送达和调查取证司法协助请求的规定》办理。”</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3</w:t>
      </w:r>
      <w:r>
        <w:rPr>
          <w:rFonts w:hint="eastAsia" w:ascii="仿宋_GB2312" w:hAnsi="宋体" w:eastAsia="仿宋_GB2312" w:cs="宋体"/>
          <w:sz w:val="32"/>
          <w:szCs w:val="32"/>
        </w:rPr>
        <w:t>.将第八条修改为：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“受送达人所在国允许邮寄送达的，人民法院可以邮寄送达。</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邮寄送达时应附有送达回证。受送达人未在送达回证上签收但在邮件回执上签收的，视为送达，签收日期为送达日期。</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自邮寄之日起满三个月，如果未能收到送达与否的证明文件，且根据各种情况不足以认定已经送达的，视为不能用邮寄方式送达。”</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4</w:t>
      </w:r>
      <w:r>
        <w:rPr>
          <w:rFonts w:hint="eastAsia" w:ascii="仿宋_GB2312" w:hAnsi="宋体" w:eastAsia="仿宋_GB2312" w:cs="宋体"/>
          <w:sz w:val="32"/>
          <w:szCs w:val="32"/>
        </w:rPr>
        <w:t>.将第九条修改为：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“人民法院依照民事诉讼法第二百六十七条第（八）项规定的公告方式送达时，公告内容应在国内外公开发行的报刊上刊登。”</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十四、修改《最高人民法院关于依据国际公约和双边司法协助条约办理民商事案件司法文书送达和调查取证司法协助请求的规定》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将第五条修改为：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“人民法院委托外国送达民商事案件司法文书和进行民商事案件调查取证，需要提供译文的，应当委托中华人民共和国领域内的翻译机构进行翻译。</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翻译件不加盖人民法院印章，但应由翻译机构或翻译人员签名或盖章证明译文与原文一致。”</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十五、修改《最高人民法院关于审理涉及公证活动相关民事案件的若干规定》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将引言修改为：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“为正确审理涉及公证活动相关民事案件，维护当事人的合法权益，根据《中华人民共和国民法典》《中华人民共和国公证法》《中华人民共和国民事诉讼法》等法律的规定，结合审判实践，制定本规定。”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十六、修改《最高人民法院关于审理消费民事公益诉讼案件适用法律若干问题的解释》</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w:t>
      </w:r>
      <w:r>
        <w:rPr>
          <w:rFonts w:hint="eastAsia" w:ascii="仿宋_GB2312" w:hAnsi="宋体" w:eastAsia="仿宋_GB2312" w:cs="宋体"/>
          <w:sz w:val="32"/>
          <w:szCs w:val="32"/>
        </w:rPr>
        <w:t>.将引言修改为：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“为正确审理消费民事公益诉讼案件，根据《中华人民共和国民事诉讼法》《中华人民共和国民法典》《中华人民共和国消费者权益保护法》等法律规定，结合审判实践，制定本解释。”</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2</w:t>
      </w:r>
      <w:r>
        <w:rPr>
          <w:rFonts w:hint="eastAsia" w:ascii="仿宋_GB2312" w:hAnsi="宋体" w:eastAsia="仿宋_GB2312" w:cs="宋体"/>
          <w:sz w:val="32"/>
          <w:szCs w:val="32"/>
        </w:rPr>
        <w:t>.将第二条修改为：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“经营者提供的商品或者服务具有下列情形之一的，适用消费者权益保护法第四十七条规定：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（一）提供的商品或者服务存在缺陷，侵害众多不特定消费者合法权益的；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提供的商品或者服务可能危及消费者人身、财产安全，未作出真实的说明和明确的警示，未标明正确使用商品或者接受服务的方法以及防止危害发生方法的；对提供的商品或者服务质量、性能、用途、有效期限等信息作虚假或引人误解宣传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（三）宾馆、商场、餐馆、银行、机场、车站、港口、影剧院、景区、体育场馆、娱乐场所等经营场所存在危及消费者人身、财产安全危险的；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（四）以格式条款、通知、声明、店堂告示等方式，作出排除或者限制消费者权利、减轻或者免除经营者责任、加重消费者责任等对消费者不公平、不合理规定的；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（五）其他侵害众多不特定消费者合法权益或者具有危及消费者人身、财产安全危险等损害社会公共利益的行为。”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3</w:t>
      </w:r>
      <w:r>
        <w:rPr>
          <w:rFonts w:hint="eastAsia" w:ascii="仿宋_GB2312" w:hAnsi="宋体" w:eastAsia="仿宋_GB2312" w:cs="宋体"/>
          <w:sz w:val="32"/>
          <w:szCs w:val="32"/>
        </w:rPr>
        <w:t>.将第十三条修改为：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“原告在消费民事公益诉讼案件中，请求被告承担停止侵害、排除妨碍、消除危险、赔礼道歉等民事责任的，人民法院可予支持。</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经营者利用格式条款或者通知、声明、店堂告示等，排除或者限制消费者权利、减轻或者免除经营者责任、加重消费者责任，原告认为对消费者不公平、不合理主张无效的，人民法院应依法予以支持。”</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4</w:t>
      </w:r>
      <w:r>
        <w:rPr>
          <w:rFonts w:hint="eastAsia" w:ascii="仿宋_GB2312" w:hAnsi="宋体" w:eastAsia="仿宋_GB2312" w:cs="宋体"/>
          <w:sz w:val="32"/>
          <w:szCs w:val="32"/>
        </w:rPr>
        <w:t>.将第十七条修改为：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“原告为停止侵害、排除妨碍、消除危险采取合理预防、处置措施而发生的费用，请求被告承担的，人民法院应依法予以支持。”</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十七、修改《最高人民法院关于适用简易程序审理民事案件的若干规定》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w:t>
      </w:r>
      <w:r>
        <w:rPr>
          <w:rFonts w:hint="eastAsia" w:ascii="仿宋_GB2312" w:hAnsi="宋体" w:eastAsia="仿宋_GB2312" w:cs="宋体"/>
          <w:sz w:val="32"/>
          <w:szCs w:val="32"/>
        </w:rPr>
        <w:t>.将引言修改为：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“为保障和方便当事人依法行使诉讼权利，保证人民法院公正、及时审理民事案件，根据《中华人民共和国民事诉讼法》的有关规定，结合审判实践，制定本规定。”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2</w:t>
      </w:r>
      <w:r>
        <w:rPr>
          <w:rFonts w:hint="eastAsia" w:ascii="仿宋_GB2312" w:hAnsi="宋体" w:eastAsia="仿宋_GB2312" w:cs="宋体"/>
          <w:sz w:val="32"/>
          <w:szCs w:val="32"/>
        </w:rPr>
        <w:t>.将第一条修改为：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“基层人民法院根据民事诉讼法第一百五十七条规定审理简单的民事案件，适用本规定，但有下列情形之一的案件除外：</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（一）起诉时被告下落不明的；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（二）发回重审的；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（三）共同诉讼中一方或者双方当事人人数众多的；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（四）法律规定应当适用特别程序、审判监督程序、督促程序、公示催告程序和企业法人破产还债程序的；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（五）人民法院认为不宜适用简易程序进行审理的。”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3</w:t>
      </w:r>
      <w:r>
        <w:rPr>
          <w:rFonts w:hint="eastAsia" w:ascii="仿宋_GB2312" w:hAnsi="宋体" w:eastAsia="仿宋_GB2312" w:cs="宋体"/>
          <w:sz w:val="32"/>
          <w:szCs w:val="32"/>
        </w:rPr>
        <w:t>.将第四条修改为：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“原告本人不能书写起诉状，委托他人代写起诉状确有困难的，可以口头起诉。</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原告口头起诉的，人民法院应当将当事人的基本情况、联系方式、诉讼请求、事实及理由予以准确记录，将相关证据予以登记。人民法院应当将上述记录和登记的内容向原告当面宣读，原告认为无误后应当签名或者按指印。”</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4</w:t>
      </w:r>
      <w:r>
        <w:rPr>
          <w:rFonts w:hint="eastAsia" w:ascii="仿宋_GB2312" w:hAnsi="宋体" w:eastAsia="仿宋_GB2312" w:cs="宋体"/>
          <w:sz w:val="32"/>
          <w:szCs w:val="32"/>
        </w:rPr>
        <w:t>.将第五条修改为：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“当事人应当在起诉或者答辩时向人民法院提供自己准确的送达地址、收件人、电话号码等其他联系方式，并签名或者按指印确认。</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送达地址应当写明受送达人住所地的邮政编码和详细地址；受送达人是有固定职业的自然人的，其从业的场所可以视为送达地址。”</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5</w:t>
      </w:r>
      <w:r>
        <w:rPr>
          <w:rFonts w:hint="eastAsia" w:ascii="仿宋_GB2312" w:hAnsi="宋体" w:eastAsia="仿宋_GB2312" w:cs="宋体"/>
          <w:sz w:val="32"/>
          <w:szCs w:val="32"/>
        </w:rPr>
        <w:t>.将第七条修改为：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双方当事人到庭后，被告同意口头答辩的，人民法院可以当即开庭审理；被告要求书面答辩的，人民法院应当将提交答辩状的期限和开庭的具体日期告知各方当事人，并向当事人说明逾期举证以及拒不到庭的法律后果，由各方当事人在笔录和开庭传票的送达回证上签名或者按指印。”</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6</w:t>
      </w:r>
      <w:r>
        <w:rPr>
          <w:rFonts w:hint="eastAsia" w:ascii="仿宋_GB2312" w:hAnsi="宋体" w:eastAsia="仿宋_GB2312" w:cs="宋体"/>
          <w:sz w:val="32"/>
          <w:szCs w:val="32"/>
        </w:rPr>
        <w:t>.将第九条修改为：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“被告到庭后拒绝提供自己的送达地址和联系方式的，人民法院应当告知其拒不提供送达地址的后果；经人民法院告知后被告仍然拒不提供的，按下列方式处理：</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（一）被告是自然人的，以其户籍登记中的住所或者经常居所为送达地址；</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（二）被告是法人或者非法人组织的，应当以其在登记机关登记、备案中的住所为送达地址。</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人民法院应当将上述告知的内容记入笔录。”</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7</w:t>
      </w:r>
      <w:r>
        <w:rPr>
          <w:rFonts w:hint="eastAsia" w:ascii="仿宋_GB2312" w:hAnsi="宋体" w:eastAsia="仿宋_GB2312" w:cs="宋体"/>
          <w:sz w:val="32"/>
          <w:szCs w:val="32"/>
        </w:rPr>
        <w:t>.将第十一条修改为：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受送达的自然人以及他的同住成年家属拒绝签收诉讼文书的，或者法人、非法人组织负责收件的人拒绝签收诉讼文书的，送达人应当依据民事诉讼法第八十六条的规定邀请有关基层组织或者所在单位的代表到场见证，被邀请的人不愿到场见证的，送达人应当在送达回证上记明拒收事由、时间和地点以及被邀请人不愿到场见证的情形，将诉讼文书留在受送达人的住所或者从业场所，即视为送达。</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受送达人的同住成年家属或者法人、非法人组织负责收件的人是同一案件中另一方当事人的，不适用前款规定。”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8</w:t>
      </w:r>
      <w:r>
        <w:rPr>
          <w:rFonts w:hint="eastAsia" w:ascii="仿宋_GB2312" w:hAnsi="宋体" w:eastAsia="仿宋_GB2312" w:cs="宋体"/>
          <w:sz w:val="32"/>
          <w:szCs w:val="32"/>
        </w:rPr>
        <w:t>.将第十二条修改为：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“适用简易程序审理的民事案件，当事人及其诉讼代理人申请证人出庭作证，应当在举证期限届满前提出。”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9</w:t>
      </w:r>
      <w:r>
        <w:rPr>
          <w:rFonts w:hint="eastAsia" w:ascii="仿宋_GB2312" w:hAnsi="宋体" w:eastAsia="仿宋_GB2312" w:cs="宋体"/>
          <w:sz w:val="32"/>
          <w:szCs w:val="32"/>
        </w:rPr>
        <w:t>.将第十四条修改为：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“下列民事案件，人民法院在开庭审理时应当先行调解：</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（一）婚姻家庭纠纷和继承纠纷；</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（二）劳务合同纠纷；</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（三）交通事故和工伤事故引起的权利义务关系较为明确的损害赔偿纠纷；</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（四）宅基地和相邻关系纠纷；</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（五）合伙合同纠纷；</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（六）诉讼标的额较小的纠纷。</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但是根据案件的性质和当事人的实际情况不能调解或者显然没有调解必要的除外。”</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10</w:t>
      </w:r>
      <w:r>
        <w:rPr>
          <w:rFonts w:hint="eastAsia" w:ascii="仿宋_GB2312" w:hAnsi="宋体" w:eastAsia="仿宋_GB2312" w:cs="宋体"/>
          <w:sz w:val="32"/>
          <w:szCs w:val="32"/>
        </w:rPr>
        <w:t>.将第十五条修改为：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“调解达成协议并经审判人员审核后，双方当事人同意该调解协议经双方签名或者按指印生效的，该调解协议自双方签名或者按指印之日起发生法律效力。当事人要求摘录或者复制该调解协议的，应予准许。</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调解协议符合前款规定，且不属于不需要制作调解书的，人民法院应当另行制作民事调解书。调解协议生效后一方拒不履行的，另一方可以持民事调解书申请强制执行。”</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11</w:t>
      </w:r>
      <w:r>
        <w:rPr>
          <w:rFonts w:hint="eastAsia" w:ascii="仿宋_GB2312" w:hAnsi="宋体" w:eastAsia="仿宋_GB2312" w:cs="宋体"/>
          <w:sz w:val="32"/>
          <w:szCs w:val="32"/>
        </w:rPr>
        <w:t>.将第三十二条修改为：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“适用简易程序审理的民事案件，有下列情形之一的，人民法院在制作裁判文书时对认定事实或者判决理由部分可以适当简化：</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（一）当事人达成调解协议并需要制作民事调解书的；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（二）一方当事人在诉讼过程中明确表示承认对方全部诉讼请求或者部分诉讼请求的；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（三）当事人对案件事实没有争议或者争议不大的；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（四）涉及自然人的隐私、个人信息，或者商业秘密的案件，当事人一方要求简化裁判文书中的相关内容，人民法院认为理由正当的；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（五）当事人双方一致同意简化裁判文书的。”</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十八、修改《最高人民法院关于人民法院受理申请承认外国法院离婚判决案件有关问题的规定》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将第二条修改为：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外国公民向人民法院申请承认外国法院离婚判决，如果其离婚的原配偶是中国公民的，人民法院应予受理；如果其离婚的原配偶是外国公民的，人民法院不予受理，但可告知其直接向婚姻登记机关申请结婚登记。”</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黑体" w:hAnsi="黑体" w:eastAsia="黑体" w:cs="黑体"/>
          <w:sz w:val="32"/>
          <w:szCs w:val="32"/>
        </w:rPr>
        <w:t>十九、修改《最高人民法院关于中国公民申请承认外国法院离婚判决程序问题的规定》</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1</w:t>
      </w:r>
      <w:r>
        <w:rPr>
          <w:rFonts w:hint="eastAsia" w:ascii="仿宋_GB2312" w:hAnsi="宋体" w:eastAsia="仿宋_GB2312" w:cs="宋体"/>
          <w:sz w:val="32"/>
          <w:szCs w:val="32"/>
        </w:rPr>
        <w:t>.将第十条修改为：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按照第八条、第九条要求提供的证明文件，应经该外国公证部门公证和我国驻该国使、领馆认证，或者履行中华人民共和国与该所在国订立的有关条约中规定的证明手续。同时应由申请人提供经证明无误的中文译本。”</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Times New Roman" w:hAnsi="Times New Roman" w:eastAsia="仿宋_GB2312" w:cs="Times New Roman"/>
          <w:sz w:val="32"/>
          <w:szCs w:val="32"/>
        </w:rPr>
        <w:t>2</w:t>
      </w:r>
      <w:r>
        <w:rPr>
          <w:rFonts w:hint="eastAsia" w:ascii="仿宋_GB2312" w:hAnsi="宋体" w:eastAsia="仿宋_GB2312" w:cs="宋体"/>
          <w:sz w:val="32"/>
          <w:szCs w:val="32"/>
        </w:rPr>
        <w:t>.将第十七条修改为：</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申请承认外国法院的离婚判决，委托他人代理的，必须向人民法院提交由委托人签名或盖章的授权委托书。委托人在国外出具的委托书，必须经我国驻该国的使、领馆证明，或者履行中华人民共和国与该所在国订立的有关条约中规定的证明手续。”</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本决定自</w:t>
      </w:r>
      <w:r>
        <w:rPr>
          <w:rFonts w:hint="default" w:ascii="Times New Roman" w:hAnsi="Times New Roman" w:eastAsia="仿宋_GB2312" w:cs="Times New Roman"/>
          <w:sz w:val="32"/>
          <w:szCs w:val="32"/>
        </w:rPr>
        <w:t>2021年1月1</w:t>
      </w:r>
      <w:r>
        <w:rPr>
          <w:rFonts w:hint="eastAsia" w:ascii="仿宋_GB2312" w:hAnsi="宋体" w:eastAsia="仿宋_GB2312" w:cs="宋体"/>
          <w:sz w:val="32"/>
          <w:szCs w:val="32"/>
        </w:rPr>
        <w:t>日起施行。</w:t>
      </w:r>
    </w:p>
    <w:p>
      <w:pPr>
        <w:pStyle w:val="3"/>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根据本决定，《最高人民法院关于人民法院民事调解工作若干问题的规定》等十九件民事诉讼类司法解释作相应修改后重新公布。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944D98"/>
    <w:rsid w:val="05EE09DC"/>
    <w:rsid w:val="096077C5"/>
    <w:rsid w:val="0D9804AC"/>
    <w:rsid w:val="11E4354D"/>
    <w:rsid w:val="16DC7373"/>
    <w:rsid w:val="1C1F7E4E"/>
    <w:rsid w:val="344634A2"/>
    <w:rsid w:val="3479602A"/>
    <w:rsid w:val="36415851"/>
    <w:rsid w:val="3DE63740"/>
    <w:rsid w:val="47820474"/>
    <w:rsid w:val="481351D2"/>
    <w:rsid w:val="53543565"/>
    <w:rsid w:val="558A062C"/>
    <w:rsid w:val="57367FFD"/>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Salutation"/>
    <w:basedOn w:val="1"/>
    <w:next w:val="1"/>
    <w:unhideWhenUsed/>
    <w:qFormat/>
    <w:uiPriority w:val="99"/>
    <w:pPr>
      <w:jc w:val="center"/>
    </w:pPr>
    <w:rPr>
      <w:rFonts w:ascii="Times New Roman" w:hAnsi="Times New Roman" w:eastAsia="楷体" w:cs="Times New Roman"/>
      <w:sz w:val="32"/>
    </w:rPr>
  </w:style>
  <w:style w:type="paragraph" w:styleId="3">
    <w:name w:val="Plain Text"/>
    <w:basedOn w:val="1"/>
    <w:qFormat/>
    <w:uiPriority w:val="99"/>
    <w:rPr>
      <w:rFonts w:ascii="宋体" w:hAnsi="Courier New" w:eastAsia="宋体"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2023-12-03T12:04:00Z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