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仿宋" w:hAnsi="仿宋" w:eastAsia="仿宋" w:cs="仿宋"/>
          <w:sz w:val="32"/>
          <w:szCs w:val="32"/>
        </w:rPr>
      </w:pPr>
    </w:p>
    <w:p>
      <w:pPr>
        <w:pStyle w:val="3"/>
        <w:spacing w:line="520" w:lineRule="exact"/>
        <w:rPr>
          <w:rFonts w:ascii="仿宋" w:hAnsi="仿宋" w:eastAsia="仿宋" w:cs="仿宋"/>
          <w:sz w:val="32"/>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最高人民法院关于修改</w:t>
      </w:r>
    </w:p>
    <w:p>
      <w:pPr>
        <w:spacing w:line="560" w:lineRule="exact"/>
        <w:jc w:val="center"/>
        <w:rPr>
          <w:rFonts w:ascii="宋体" w:hAnsi="宋体" w:eastAsia="宋体" w:cs="宋体"/>
          <w:sz w:val="44"/>
          <w:szCs w:val="44"/>
        </w:rPr>
      </w:pPr>
      <w:r>
        <w:rPr>
          <w:rFonts w:hint="eastAsia" w:ascii="宋体" w:hAnsi="宋体" w:eastAsia="宋体" w:cs="宋体"/>
          <w:sz w:val="44"/>
          <w:szCs w:val="44"/>
        </w:rPr>
        <w:t>《最高人民法院关于审理侵犯专利权纠纷案件应用法律若干问题的解释（二）》等十八件知识产权类司法解释的决定</w:t>
      </w:r>
    </w:p>
    <w:p>
      <w:pPr>
        <w:pStyle w:val="3"/>
        <w:jc w:val="center"/>
        <w:rPr>
          <w:rFonts w:ascii="仿宋" w:hAnsi="仿宋" w:eastAsia="仿宋" w:cs="仿宋"/>
          <w:sz w:val="32"/>
          <w:szCs w:val="32"/>
        </w:rPr>
      </w:pPr>
    </w:p>
    <w:p>
      <w:pPr>
        <w:pStyle w:val="2"/>
        <w:rPr>
          <w:rFonts w:ascii="仿宋_GB2312" w:hAnsi="宋体" w:eastAsia="仿宋_GB2312" w:cs="宋体"/>
          <w:szCs w:val="32"/>
        </w:rPr>
      </w:pPr>
      <w:r>
        <w:rPr>
          <w:rFonts w:hint="eastAsia"/>
        </w:rPr>
        <w:t>法释〔2020〕19号</w:t>
      </w:r>
    </w:p>
    <w:p>
      <w:pPr>
        <w:pStyle w:val="3"/>
        <w:jc w:val="center"/>
        <w:rPr>
          <w:rFonts w:ascii="仿宋" w:hAnsi="仿宋" w:eastAsia="仿宋" w:cs="仿宋"/>
          <w:sz w:val="32"/>
          <w:szCs w:val="32"/>
        </w:rPr>
      </w:pPr>
    </w:p>
    <w:p>
      <w:pPr>
        <w:pStyle w:val="2"/>
      </w:pPr>
      <w:r>
        <w:rPr>
          <w:rFonts w:hint="eastAsia"/>
        </w:rPr>
        <w:t>（2020年12月23日最高人民法院审判委员会</w:t>
      </w:r>
    </w:p>
    <w:p>
      <w:pPr>
        <w:pStyle w:val="2"/>
        <w:rPr>
          <w:rFonts w:ascii="仿宋_GB2312" w:hAnsi="宋体" w:eastAsia="仿宋_GB2312" w:cs="宋体"/>
          <w:szCs w:val="32"/>
        </w:rPr>
      </w:pPr>
      <w:r>
        <w:rPr>
          <w:rFonts w:hint="eastAsia"/>
        </w:rPr>
        <w:t>第1823次会议通过，自2021年1月1日起施行）</w:t>
      </w: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根据审判实践需要，经最高人民法院审判委员会第1823次会议决定，对《最高人民法院关于审理侵犯专利权纠纷案件应用法律若干问题的解释（二）》等十八件司法解释作如下修改：</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一、</w:t>
      </w:r>
      <w:r>
        <w:rPr>
          <w:rFonts w:hint="eastAsia" w:ascii="仿宋_GB2312" w:hAnsi="宋体" w:eastAsia="仿宋_GB2312" w:cs="宋体"/>
          <w:sz w:val="32"/>
          <w:szCs w:val="32"/>
        </w:rPr>
        <w:t>修改《最高人民法院关于审理侵犯专利权纠纷案件应用法律若干问题的解释（二）》</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“为正确审理侵犯专利权纠纷案件，根据《中华人民共和国民法典》《中华人民共和国专利法》《中华人民共和国民事诉讼法》等有关法律规定，结合审判实践，制定本解释。”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“权利人在专利侵权诉讼中主张的权利要求被国务院专利行政部门宣告无效的，审理侵犯专利权纠纷案件的人民法院可以裁定驳回权利人基于该无效权利要求的起诉。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有证据证明宣告上述权利要求无效的决定被生效的行政判决撤销的，权利人可以另行起诉。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专利权人另行起诉的，诉讼时效期间从本条第二款所称行政判决书送达之日起计算。”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“人民法院可以运用与涉案专利存在分案申请关系的其他专利及其专利审查档案、生效的专利授权确权裁判文书解释涉案专利的权利要求。</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专利审查档案，包括专利审查、复审、无效程序中专利申请人或者专利权人提交的书面材料，国务院专利行政部门制作的审查意见通知书、会晤记录、口头审理记录、生效的专利复审请求审查决定书和专利权无效宣告请求审查决定书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4.将第二十一条修改为：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明知有关产品系专门用于实施专利的材料、设备、零部件、中间物等，未经专利权人许可，为生产经营目的将该产品提供给他人实施了侵犯专利权的行为，权利人主张该提供者的行为属于民法典第一千一百六十九条规定的帮助他人实施侵权行为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明知有关产品、方法被授予专利权，未经专利权人许可，为生产经营目的积极诱导他人实施了侵犯专利权的行为，权利人主张该诱导者的行为属于民法典第一千一百六十九条规定的教唆他人实施侵权行为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二、</w:t>
      </w:r>
      <w:r>
        <w:rPr>
          <w:rFonts w:hint="eastAsia" w:ascii="仿宋_GB2312" w:hAnsi="宋体" w:eastAsia="仿宋_GB2312" w:cs="宋体"/>
          <w:sz w:val="32"/>
          <w:szCs w:val="32"/>
        </w:rPr>
        <w:t>修改《最高人民法院关于审理专利纠纷案件适用法律问题的若干规定》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“为了正确审理专利纠纷案件，根据《中华人民共和国民法典》《中华人民共和国专利法》《中华人民共和国民事诉讼法》和《中华人民共和国行政诉讼法》等法律的规定，作如下规定：”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“人民法院受理下列专利纠纷案件：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1.专利申请权权属纠纷案件；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2.专利权权属纠纷案件；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3.专利合同纠纷案件；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4.侵害专利权纠纷案件；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5.假冒他人专利纠纷案件；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6.发明专利临时保护期使用费纠纷案件；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7.职务发明创造发明人、设计人奖励、报酬纠纷案件；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8.诉前申请行为保全纠纷案件；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9.诉前申请财产保全纠纷案件；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10.因申请行为保全损害责任纠纷案件；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11.因申请财产保全损害责任纠纷案件；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12.发明创造发明人、设计人署名权纠纷案件；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13.确认不侵害专利权纠纷案件；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14.专利权宣告无效后返还费用纠纷案件；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15.因恶意提起专利权诉讼损害责任纠纷案件；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16.标准必要专利使用费纠纷案件；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17.不服国务院专利行政部门维持驳回申请复审决定案件；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18.不服国务院专利行政部门专利权无效宣告请求决定案件；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19.不服国务院专利行政部门实施强制许可决定案件；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20.不服国务院专利行政部门实施强制许可使用费裁决案件；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21.不服国务院专利行政部门行政复议决定案件；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22.不服国务院专利行政部门作出的其他行政决定案件；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23.不服管理专利工作的部门行政决定案件；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24.确认是否落入专利权保护范围纠纷案件；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25.其他专利纠纷案件。”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3.删除第二条、第三条、第四条、第七条、第十八条、第十九条。</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4.将第十一条修改为：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“人民法院受理的侵犯发明专利权纠纷案件或者经国务院专利行政部门审查维持专利权的侵犯实用新型、外观设计专利权纠纷案件，被告在答辩期间内请求宣告该项专利权无效的，人民法院可以不中止诉讼。”</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5.将第十六条修改为：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“专利法第二十三条第三款所称的合法权利，包括就作品、商标、地理标志、姓名、企业名称、肖像，以及有一定影响的商品名称、包装、装潢等享有的合法权利或者权益。”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6.将第二十三条修改为：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侵犯专利权的诉讼时效为三年，自专利权人或者利害关系人知道或者应当知道权利受到损害以及义务人之日起计算。权利人超过三年起诉的，如果侵权行为在起诉时仍在继续，在该项专利权有效期内，人民法院应当判决被告停止侵权行为，侵权损害赔偿数额应当自权利人向人民法院起诉之日起向前推算三年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7.条文顺序作相应调整。</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三、</w:t>
      </w:r>
      <w:r>
        <w:rPr>
          <w:rFonts w:hint="eastAsia" w:ascii="仿宋_GB2312" w:hAnsi="宋体" w:eastAsia="仿宋_GB2312" w:cs="宋体"/>
          <w:sz w:val="32"/>
          <w:szCs w:val="32"/>
        </w:rPr>
        <w:t>修改《最高人民法院关于审理商标案件有关管辖和法律适用范围问题的解释》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“人民法院受理以下商标案件：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1.不服国家知识产权局作出的复审决定或者裁定的行政案件；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2.不服国家知识产权局作出的有关商标的其他行政行为的案件；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3.商标权权属纠纷案件；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4.侵害商标权纠纷案件；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5.确认不侵害商标权纠纷案件；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6.商标权转让合同纠纷案件；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7.商标使用许可合同纠纷案件；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8.商标代理合同纠纷案件；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9.申请诉前停止侵害注册商标专用权案件；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10.申请停止侵害注册商标专用权损害责任案件；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11.申请诉前财产保全案件；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12.申请诉前证据保全案件；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13.其他商标案件。”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“商标注册人或者利害关系人向国家知识产权局就侵犯商标权行为请求处理，又向人民法院提起侵害商标权诉讼请求损害赔偿的，人民法院应当受理。”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“国家知识产权局在商标法修改决定施行前受理的案件，于该决定施行后作出复审决定或裁定，当事人对复审决定或裁定不服向人民法院起诉的，人民法院应当受理。”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除本解释另行规定外，对商标法修改决定施行前发生，属于修改后商标法第四条、第五条、第八条、第九条第一款、第十条第一款第（二）、（三）、（四）项、第十条第二款、第十一条、第十二条、第十三条、第十五条、第十六条、第二十四条、第二十五条、第三十一条所列举的情形，国家知识产权局于商标法修改决定施行后作出复审决定或者裁定，当事人不服向人民法院起诉的行政案件，适用修改后商标法的相应规定进行审查；属于其他情形的，适用修改前商标法的相应规定进行审查。”</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5.将第六条修改为：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就商标法修改决定施行时已满一年的注册商标发生争议，不服国家知识产权局作出的裁定向人民法院起诉的，适用修改前商标法第二十七条第二款规定的提出申请的期限处理；商标法修改决定施行时商标注册不满一年的，适用修改后商标法第四十一条第二款、第三款规定的提出申请的期限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6.将第十条修改为：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“人民法院受理的侵犯商标权纠纷案件，已经过行政管理部门处理的，人民法院仍应当就当事人民事争议的事实进行审查。”</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四、</w:t>
      </w:r>
      <w:r>
        <w:rPr>
          <w:rFonts w:hint="eastAsia" w:ascii="仿宋_GB2312" w:hAnsi="宋体" w:eastAsia="仿宋_GB2312" w:cs="宋体"/>
          <w:sz w:val="32"/>
          <w:szCs w:val="32"/>
        </w:rPr>
        <w:t>修改《最高人民法院关于审理商标民事纠纷案件适用法律若干问题的解释》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“为了正确审理商标纠纷案件，根据《中华人民共和国民法典》《中华人民共和国商标法》《中华人民共和国民事诉讼法》等法律的规定，就适用法律若干问题解释如下：”</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“下列行为属于商标法第五十七条第（七）项规定的给他人注册商标专用权造成其他损害的行为：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（一）将与他人注册商标相同或者相近似的文字作为企业的字号在相同或者类似商品上突出使用，容易使相关公众产生误认的；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（二）复制、摹仿、翻译他人注册的驰名商标或其主要部分在不相同或者不相类似商品上作为商标使用，误导公众，致使该驰名商标注册人的利益可能受到损害的；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（三）将与他人注册商标相同或者相近似的文字注册为域名，并且通过该域名进行相关商品交易的电子商务，容易使相关公众产生误认的。”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“依据商标法第十三条第二款的规定，复制、摹仿、翻译他人未在中国注册的驰名商标或其主要部分，在相同或者类似商品上作为商标使用，容易导致混淆的，应当承担停止侵害的民事法律责任。”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“商标法第四十三条规定的商标使用许可包括以下三类：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（一）独占使用许可，是指商标注册人在约定的期间、地域和以约定的方式，将该注册商标仅许可一个被许可人使用，商标注册人依约定不得使用该注册商标；</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（二）排他使用许可，是指商标注册人在约定的期间、地域和以约定的方式，将该注册商标仅许可一个被许可人使用，商标注册人依约定可以使用该注册商标但不得另行许可他人使用该注册商标；</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（三）普通使用许可，是指商标注册人在约定的期间、地域和以约定的方式，许可他人使用其注册商标，并可自行使用该注册商标和许可他人使用其注册商标。”</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5.将第四条修改为：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“商标法第六十条第一款规定的利害关系人，包括注册商标使用许可合同的被许可人、注册商标财产权利的合法继承人等。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在发生注册商标专用权被侵害时，独占使用许可合同的被许可人可以向人民法院提起诉讼；排他使用许可合同的被许可人可以和商标注册人共同起诉，也可以在商标注册人不起诉的情况下，自行提起诉讼；普通使用许可合同的被许可人经商标注册人明确授权，可以提起诉讼。”</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6.将第六条修改为：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“因侵犯注册商标专用权行为提起的民事诉讼，由商标法第十三条、第五十七条所规定侵权行为的实施地、侵权商品的储藏地或者查封扣押地、被告住所地人民法院管辖。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前款规定的侵权商品的储藏地，是指大量或者经常性储存、隐匿侵权商品所在地；查封扣押地，是指海关等行政机关依法查封、扣押侵权商品所在地。”</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7.将第九条修改为：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“商标法第五十七条第（一）（二）项规定的商标相同，是指被控侵权的商标与原告的注册商标相比较，二者在视觉上基本无差别。</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商标法第五十七条第（二）项规定的商标近似，是指被控侵权的商标与原告的注册商标相比较，其文字的字形、读音、含义或者图形的构图及颜色，或者其各要素组合后的整体结构相似，或者其立体形状、颜色组合近似，易使相关公众对商品的来源产生误认或者认为其来源与原告注册商标的商品有特定的联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8.将第十条修改为：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“人民法院依据商标法第五十七条第（一）（二）项的规定，认定商标相同或者近似按照以下原则进行：</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（一）以相关公众的一般注意力为标准；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（二）既要进行对商标的整体比对，又要进行对商标主要部分的比对，比对应当在比对对象隔离的状态下分别进行；</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（三）判断商标是否近似，应当考虑请求保护注册商标的显著性和知名度。”</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9.将第十一条修改为：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“商标法第五十七条第（二）项规定的类似商品，是指在功能、用途、生产部门、销售渠道、消费对象等方面相同，或者相关公众一般认为其存在特定联系、容易造成混淆的商品。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类似服务，是指在服务的目的、内容、方式、对象等方面相同，或者相关公众一般认为存在特定联系、容易造成混淆的服务。</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商品与服务类似，是指商品和服务之间存在特定联系，容易使相关公众混淆。”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10.将第十二条修改为：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依据商标法第五十七条第（二）项的规定，认定商品或者服务是否类似，应当以相关公众对商品或者服务的一般认识综合判断；《商标注册用商品和服务国际分类表》《类似商品和服务区分表》可以作为判断类似商品或者服务的参考。”</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11.将第十三条修改为：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“人民法院依据商标法第六十三条第一款的规定确定侵权人的赔偿责任时，可以根据权利人选择的计算方法计算赔偿数额。”</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12.将第十四条修改为：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“商标法第六十三条第一款规定的侵权所获得的利益，可以根据侵权商品销售量与该商品单位利润乘积计算；该商品单位利润无法查明的，按照注册商标商品的单位利润计算。”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13.将第十五条修改为：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“商标法第六十三条第一款规定的因被侵权所受到的损失，可以根据权利人因侵权所造成商品销售减少量或者侵权商品销售量与该注册商标商品的单位利润乘积计算。”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14.将第十六条修改为：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“权利人因被侵权所受到的实际损失、侵权人因侵权所获得的利益、注册商标使用许可费均难以确定的，人民法院可以根据当事人的请求或者依职权适用商标法第六十三条第三款的规定确定赔偿数额。</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人民法院在适用商标法第六十三条第三款规定确定赔偿数额时，应当考虑侵权行为的性质、期间、后果，侵权人的主观过错程度，商标的声誉及制止侵权行为的合理开支等因素综合确定。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当事人按照本条第一款的规定就赔偿数额达成协议的，应当准许。”</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15.将第十七条修改为：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“商标法第六十三条第一款规定的制止侵权行为所支付的合理开支，包括权利人或者委托代理人对侵权行为进行调查、取证的合理费用。</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人民法院根据当事人的诉讼请求和案件具体情况，可以将符合国家有关部门规定的律师费用计算在赔偿范围内。”</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16.将第十八条修改为：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侵犯注册商标专用权的诉讼时效为三年，自商标注册人或者利害权利人知道或者应当知道权利受到损害以及义务人之日起计算。商标注册人或者利害关系人超过三年起诉的，如果侵权行为在起诉时仍在持续，在该注册商标专用权有效期限内，人民法院应当判决被告停止侵权行为，侵权损害赔偿数额应当自权利人向人民法院起诉之日起向前推算三年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17.删除第十九条第二款。</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18.将第二十一条修改为：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在审理侵犯注册商标专用权纠纷案件中，依据民法典第一百七十九条、商标法第六十条的规定和案件具体情况，可以判决侵权人承担停止侵害、排除妨碍、消除危险、赔偿损失、消除影响等民事责任，还可以作出罚款，收缴侵权商品、伪造的商标标识和主要用于生产侵权商品的材料、工具、设备等财物的民事制裁决定。罚款数额可以参照商标法第六十条第二款的有关规定确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行政管理部门对同一侵犯注册商标专用权行为已经给予行政处罚的，人民法院不再予以民事制裁。”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五、</w:t>
      </w:r>
      <w:r>
        <w:rPr>
          <w:rFonts w:hint="eastAsia" w:ascii="仿宋_GB2312" w:hAnsi="宋体" w:eastAsia="仿宋_GB2312" w:cs="宋体"/>
          <w:sz w:val="32"/>
          <w:szCs w:val="32"/>
        </w:rPr>
        <w:t>修改《最高人民法院关于审理注册商标、企业名称与在先权利冲突的民事纠纷案件若干问题的规定》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正确审理注册商标、企业名称与在先权利冲突的民事纠纷案件，根据《中华人民共和国民法典》《中华人民共和国商标法》《中华人民共和国反不正当竞争法》和《中华人民共和国民事诉讼法》等法律的规定，结合审判实践，制定本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“原告以他人注册商标使用的文字、图形等侵犯其著作权、外观设计专利权、企业名称权等在先权利为由提起诉讼，符合民事诉讼法第一百一十九条规定的，人民法院应当受理。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原告以他人使用在核定商品上的注册商标与其在先的注册商标相同或者近似为由提起诉讼的，人民法院应当根据民事诉讼法第一百二十四条第（三）项的规定，告知原告向有关行政主管机关申请解决。但原告以他人超出核定商品的范围或者以改变显著特征、拆分、组合等方式使用的注册商标，与其注册商标相同或者近似为由提起诉讼的，人民法院应当受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原告以他人企业名称与其在先的企业名称相同或者近似，足以使相关公众对其商品的来源产生混淆，违反反不正当竞争法第六条第（二）项的规定为由提起诉讼，符合民事诉讼法第一百一十九条规定的，人民法院应当受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六、</w:t>
      </w:r>
      <w:r>
        <w:rPr>
          <w:rFonts w:hint="eastAsia" w:ascii="仿宋_GB2312" w:hAnsi="宋体" w:eastAsia="仿宋_GB2312" w:cs="宋体"/>
          <w:sz w:val="32"/>
          <w:szCs w:val="32"/>
        </w:rPr>
        <w:t>修改《最高人民法院关于审理涉及驰名商标保护的民事纠纷案件应用法律若干问题的解释》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“本解释所称驰名商标，是指在中国境内为相关公众所熟知的商标。”</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“人民法院认定商标是否驰名，应当以证明其驰名的事实为依据，综合考虑商标法第十四条第一款规定的各项因素，但是根据案件具体情况无需考虑该条规定的全部因素即足以认定商标驰名的情形除外。”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3.将第七条修改为：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被诉侵犯商标权或者不正当竞争行为发生前，曾被人民法院或者行政管理部门认定驰名的商标，被告对该商标驰名的事实不持异议的，人民法院应当予以认定。被告提出异议的，原告仍应当对该商标驰名的事实负举证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除本解释另有规定外，人民法院对于商标驰名的事实，不适用民事诉讼证据的自认规则。”</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4.将第八条修改为：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“对于在中国境内为社会公众所熟知的商标，原告已提供其商标驰名的基本证据，或者被告不持异议的，人民法院对该商标驰名的事实予以认定。”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5.将第九条修改为：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足以使相关公众对使用驰名商标和被诉商标的商品来源产生误认，或者足以使相关公众认为使用驰名商标和被诉商标的经营者之间具有许可使用、关联企业关系等特定联系的，属于商标法第十三条第二款规定的‘容易导致混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足以使相关公众认为被诉商标与驰名商标具有相当程度的联系，而减弱驰名商标的显著性、贬损驰名商标的市场声誉，或者不正当利用驰名商标的市场声誉的，属于商标法第十三条第三款规定的‘误导公众，致使该驰名商标注册人的利益可能受到损害’。”</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6.将第十一条修改为：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被告使用的注册商标违反商标法第十三条的规定，复制、摹仿或者翻译原告驰名商标，构成侵犯商标权的，人民法院应当根据原告的请求，依法判决禁止被告使用该商标，但被告的注册商标有下列情形之一的，人民法院对原告的请求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（一）已经超过商标法第四十五条第一款规定的请求宣告无效期限的；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（二）被告提出注册申请时，原告的商标并不驰名的。”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七、</w:t>
      </w:r>
      <w:r>
        <w:rPr>
          <w:rFonts w:hint="eastAsia" w:ascii="仿宋_GB2312" w:hAnsi="宋体" w:eastAsia="仿宋_GB2312" w:cs="宋体"/>
          <w:sz w:val="32"/>
          <w:szCs w:val="32"/>
        </w:rPr>
        <w:t>修改《最高人民法院关于商标法修改决定施行后商标案件管辖和法律适用问题的解释》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“人民法院受理以下商标案件：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1.不服国家知识产权局作出的复审决定或者裁定的行政案件；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2.不服国家知识产权局作出的有关商标的其他行政行为的案件；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3.商标权权属纠纷案件；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4.侵害商标权纠纷案件；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5.确认不侵害商标权纠纷案件；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6.商标权转让合同纠纷案件；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7.商标使用许可合同纠纷案件；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8.商标代理合同纠纷案件；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9.申请诉前停止侵害注册商标专用权案件；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10.申请停止侵害注册商标专用权损害责任案件；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11.申请诉前财产保全案件；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12.申请诉前证据保全案件；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13.其他商标案件。”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“不服国家知识产权局作出的复审决定或者裁定的行政案件及国家知识产权局作出的有关商标的行政行为案件，由北京市有关中级人民法院管辖。”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“在行政管理部门查处侵害商标权行为过程中，当事人就相关商标提起商标权权属或者侵害商标权民事诉讼的，人民法院应当受理。”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“对于在商标法修改决定施行前提出的商标注册及续展申请，国家知识产权局于决定施行后作出对该商标申请不予受理或者不予续展的决定，当事人提起行政诉讼的，人民法院审查时适用修改后的商标法。</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对于在商标法修改决定施行前提出的商标异议申请，国家知识产权局于决定施行后作出对该异议不予受理的决定，当事人提起行政诉讼的，人民法院审查时适用修改前的商标法。”</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5.将第六条修改为: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“对于在商标法修改决定施行前当事人就尚未核准注册的商标申请复审，国家知识产权局于决定施行后作出复审决定或者裁定，当事人提起行政诉讼的，人民法院审查时适用修改后的商标法。</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于在商标法修改决定施行前受理的商标复审申请，国家知识产权局于决定施行后作出核准注册决定，当事人提起行政诉讼的，人民法院不予受理；国家知识产权局于决定施行后作出不予核准注册决定，当事人提起行政诉讼的，人民法院审查相关诉权和主体资格问题时，适用修改前的商标法。”</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6.将第七条修改为：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于在商标法修改决定施行前已经核准注册的商标，国家知识产权局于决定施行前受理、在决定施行后作出复审决定或者裁定，当事人提起行政诉讼的，人民法院审查相关程序问题适用修改后的商标法，审查实体问题适用修改前的商标法。”</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7.将第八条修改为：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于在商标法修改决定施行前受理的相关商标案件，国家知识产权局于决定施行后作出决定或者裁定，当事人提起行政诉讼的，人民法院认定该决定或者裁定是否符合商标法有关审查时限规定时，应当从修改决定施行之日起计算该审查时限。”</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八、</w:t>
      </w:r>
      <w:r>
        <w:rPr>
          <w:rFonts w:hint="eastAsia" w:ascii="仿宋_GB2312" w:hAnsi="宋体" w:eastAsia="仿宋_GB2312" w:cs="宋体"/>
          <w:sz w:val="32"/>
          <w:szCs w:val="32"/>
        </w:rPr>
        <w:t>修改《最高人民法院关于审理商标授权确权行政案件若干问题的规定》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本规定所称商标授权确权行政案件，是指相对人或者利害关系人因不服国家知识产权局作出的商标驳回复审、商标不予注册复审、商标撤销复审、商标无效宣告及无效宣告复审等行政行为，向人民法院提起诉讼的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对商标授权确权行政行为进行审查的范围，一般应根据原告的诉讼请求及理由确定。原告在诉讼中未提出主张，但国家知识产权局相关认定存在明显不当的，人民法院在各方当事人陈述意见后，可以对相关事由进行审查并作出裁判。”</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“商标标志或者其构成要素带有欺骗性，容易使公众对商品的质量等特点或者产地产生误认，国家知识产权局认定其属于2001年修正的商标法第十条第一款第（七）项规定情形的，人民法院予以支持。”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4.将第十四条修改为: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主张诉争商标构成对其已注册的驰名商标的复制、摹仿或者翻译而不应予以注册或者应予无效，国家知识产权局依据商标法第三十条规定裁决支持其主张的，如果诉争商标注册未满五年，人民法院在当事人陈述意见之后，可以按照商标法第三十条规定进行审理；如果诉争商标注册已满五年，应当适用商标法第十三条第三款进行审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5.将第二十七条修改为: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“当事人主张国家知识产权局下列情形属于行政诉讼法第七十条第（三）项规定的‘违反法定程序’的，人民法院予以支持：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（一）遗漏当事人提出的评审理由，对当事人权利产生实际影响的；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（二）评审程序中未告知合议组成员，经审查确有应当回避事由而未回避的；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（三）未通知适格当事人参加评审，该方当事人明确提出异议的；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（四）其他违反法定程序的情形。”</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6.将第二十八条修改为：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审理商标授权确权行政案件的过程中，国家知识产权局对诉争商标予以驳回、不予核准注册或者予以无效宣告的事由不复存在的，人民法院可以依据新的事实撤销国家知识产权局相关裁决，并判令其根据变更后的事实重新作出裁决。”</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7.将第二十九条修改为：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依据在原行政行为之后新发现的证据，或者在原行政程序中因客观原因无法取得或在规定的期限内不能提供的证据，或者新的法律依据提出的评审申请，不属于‘以相同的事实和理由’再次提出评审申请。</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在商标驳回复审程序中，国家知识产权局以申请商标与引证商标不构成使用在同一种或者类似商品上的相同或者近似商标为由准予申请商标初步审定公告后，以下情形不视为‘以相同的事实和理由’再次提出评审申请：</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（一）引证商标所有人或者利害关系人依据该引证商标提出异议，国家知识产权局予以支持，被异议商标申请人申请复审的；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（二）引证商标所有人或者利害关系人在申请商标获准注册后依据该引证商标申请宣告其无效的。”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8.将第三十条修改为：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生效裁判对于相关事实和法律适用已作出明确认定，相对人或者利害关系人对于国家知识产权局依据该生效裁判重新作出的裁决提起诉讼的，人民法院依法裁定不予受理；已经受理的，裁定驳回起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九、</w:t>
      </w:r>
      <w:r>
        <w:rPr>
          <w:rFonts w:hint="eastAsia" w:ascii="仿宋_GB2312" w:hAnsi="宋体" w:eastAsia="仿宋_GB2312" w:cs="宋体"/>
          <w:sz w:val="32"/>
          <w:szCs w:val="32"/>
        </w:rPr>
        <w:t>修改《最高人民法院关于人民法院对注册商标权进行财产保全的解释》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根据民事诉讼法有关规定采取财产保全措施时，需要对注册商标权进行保全的，应当向国家知识产权局商标局（以下简称商标局）发出协助执行通知书，载明要求商标局协助保全的注册商标的名称、注册人、注册证号码、保全期限以及协助执行保全的内容，包括禁止转让、注销注册商标、变更注册事项和办理商标权质押登记等事项。”</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注册商标权保全的期限一次不得超过一年，自商标局收到协助执行通知书之日起计算。如果仍然需要对该注册商标权继续采取保全措施的，人民法院应当在保全期限届满前向商标局重新发出协助执行通知书，要求继续保全。否则，视为自动解除对该注册商标权的财产保全。”</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十、</w:t>
      </w:r>
      <w:r>
        <w:rPr>
          <w:rFonts w:hint="eastAsia" w:ascii="仿宋_GB2312" w:hAnsi="宋体" w:eastAsia="仿宋_GB2312" w:cs="宋体"/>
          <w:sz w:val="32"/>
          <w:szCs w:val="32"/>
        </w:rPr>
        <w:t>修改《最高人民法院关于审理著作权民事纠纷案件适用法律若干问题的解释》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“为了正确审理著作权民事纠纷案件，根据《中华人民共和国民法典》《中华人民共和国著作权法》《中华人民共和国民事诉讼法》等法律的规定，就适用法律若干问题解释如下：”</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“人民法院受理以下著作权民事纠纷案件：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（一）著作权及与著作权有关权益权属、侵权、合同纠纷案件；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（二）申请诉前停止侵害著作权、与著作权有关权益行为，申请诉前财产保全、诉前证据保全案件；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（三）其他著作权、与著作权有关权益纠纷案件。”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“著作权民事纠纷案件，由中级以上人民法院管辖。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各高级人民法院根据本辖区的实际情况，可以报请最高人民法院批准，由若干基层人民法院管辖第一审著作权民事纠纷案件。”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“对著作权行政管理部门查处的侵害著作权行为，当事人向人民法院提起诉讼追究该行为人民事责任的，人民法院应当受理。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人民法院审理已经过著作权行政管理部门处理的侵害著作权行为的民事纠纷案件，应当对案件事实进行全面审查。”</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5.将第四条修改为：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“因侵害著作权行为提起的民事诉讼，由著作权法第四十七条、第四十八条所规定侵权行为的实施地、侵权复制品储藏地或者查封扣押地、被告住所地人民法院管辖。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前款规定的侵权复制品储藏地，是指大量或者经常性储存、隐匿侵权复制品所在地；</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查封扣押地，是指海关、版权等行政机关依法查封、扣押侵权复制品所在地。”</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6.将第五条修改为：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“对涉及不同侵权行为实施地的多个被告提起的共同诉讼，原告可以选择向其中一个被告的侵权行为实施地人民法院提起诉讼；</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仅对其中某一被告提起的诉讼，该被告侵权行为实施地的人民法院有管辖权。”</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7.将第七条修改为：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“当事人提供的涉及著作权的底稿、原件、合法出版物、著作权登记证书、认证机构出具的证明、取得权利的合同等，可以作为证据。</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在作品或者制品上署名的自然人、法人或者非法人组织视为著作权、与著作权有关权益的权利人，但有相反证明的除外。”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8.将第十条修改为：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“著作权法第十五条第二款所指的作品，著作权人是自然人的，其保护期适用著作权法第二十一条第一款的规定；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著作权人是法人或非法人组织的，其保护期适用著作权法第二十一条第二款的规定。”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9.将第十七条修改为：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“著作权法第三十三条第二款规定的转载，是指报纸、期刊登载其他报刊已发表作品的行为。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转载未注明被转载作品的作者和最初登载的报刊出处的，应当承担消除影响、赔礼道歉等民事责任。”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10.将第十九条修改为：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“出版者、制作者应当对其出版、制作有合法授权承担举证责任，发行者、出租者应当对其发行或者出租的复制品有合法来源承担举证责任。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举证不能的，依据著作权法第四十七条、第四十八条的相应规定承担法律责任。”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11.将第二十条修改为：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“出版物侵害他人著作权的，出版者应当根据其过错、侵权程度及损害后果等承担赔偿损失的责任。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出版者对其出版行为的授权、稿件来源和署名、所编辑出版物的内容等未尽到合理注意义务的，依据著作权法第四十九条的规定，承担赔偿损失的责任。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出版者应对其已尽合理注意义务承担举证责任。”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12.将第二十一条修改为：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“计算机软件用户未经许可或者超过许可范围商业使用计算机软件的，依据著作权法第四十八条第（一）项、《计算机软件保护条例》第二十四条第（一）项的规定承担民事责任。”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13.将第二十二条修改为：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“著作权转让合同未采取书面形式的，人民法院依据民法典第四百九十条的规定审查合同是否成立。”</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14.将第二十三条修改为：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“出版者将著作权人交付出版的作品丢失、毁损致使出版合同不能履行的，著作权人有权依据民法典第一百八十六条、第二百三十八条、第一千一百八十四条等规定要求出版者承担相应的民事责任。”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15.将第二十五条修改为：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“权利人的实际损失或者侵权人的违法所得无法确定的，人民法院根据当事人的请求或者依职权适用著作权法第四十九条第二款的规定确定赔偿数额。</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人民法院在确定赔偿数额时，应当考虑作品类型、合理使用费、侵权行为性质、后果等情节综合确定。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当事人按照本条第一款的规定就赔偿数额达成协议的，应当准许。”</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16.将第二十六条修改为：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“著作权法第四十九条第一款规定的制止侵权行为所支付的合理开支，包括权利人或者委托代理人对侵权行为进行调查、取证的合理费用。</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人民法院根据当事人的诉讼请求和具体案情，可以将符合国家有关部门规定的律师费用计算在赔偿范围内。”</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17.删除第二十七条、第二十九条。</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18.将第二十八条修改为：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“侵害著作权的诉讼时效为三年，自著作权人知道或者应当知道权利受到损害以及义务人之日起计算。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权利人超过三年起诉的，如果侵权行为在起诉时仍在持续，在该著作权保护期内，人民法院应当判决被告停止侵权行为；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侵权损害赔偿数额应当自权利人向人民法院起诉之日起向前推算三年计算。”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19.将第三十条修改为：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“人民法院采取保全措施的，依据民事诉讼法及《最高人民法院关于审查知识产权纠纷行为保全案件适用法律若干问题的规定》的有关规定办理。”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20.将第三十一条修改为：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“除本解释另行规定外，人民法院受理的著作权民事纠纷案件，涉及著作权法修改前发生的民事行为的，适用修改前著作权法的规定；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涉及著作权法修改以后发生的民事行为的，适用修改后著作权法的规定；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涉及著作权法修改前发生，持续到著作权法修改后的民事行为的，适用修改后著作权法的规定。”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21.条文顺序作相应调整。</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十一、</w:t>
      </w:r>
      <w:r>
        <w:rPr>
          <w:rFonts w:hint="eastAsia" w:ascii="仿宋_GB2312" w:hAnsi="宋体" w:eastAsia="仿宋_GB2312" w:cs="宋体"/>
          <w:sz w:val="32"/>
          <w:szCs w:val="32"/>
        </w:rPr>
        <w:t>修改《最高人民法院关于审理侵害信息网络传播权民事纠纷案件适用法律若干问题的规定》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正确审理侵害信息网络传播权民事纠纷案件，依法保护信息网络传播权，促进信息网络产业健康发展，维护公共利益，根据《中华人民共和国民法典》《中华人民共和国著作权法》《中华人民共和国民事诉讼法》等有关法律规定，结合审判实际，制定本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2.将第十三条修改为：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“网络服务提供者接到权利人以书信、传真、电子邮件等方式提交的通知及构成侵权的初步证据，未及时根据初步证据和服务类型采取必要措施的，人民法院应当认定其明知相关侵害信息网络传播权行为。”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3.将第十四条修改为：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认定网络服务提供者转送通知、采取必要措施是否及时，应当根据权利人提交通知的形式，通知的准确程度，采取措施的难易程度，网络服务的性质，所涉作品、表演、录音录像制品的类型、知名度、数量等因素综合判断。”</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十二、</w:t>
      </w:r>
      <w:r>
        <w:rPr>
          <w:rFonts w:hint="eastAsia" w:ascii="仿宋_GB2312" w:hAnsi="宋体" w:eastAsia="仿宋_GB2312" w:cs="宋体"/>
          <w:sz w:val="32"/>
          <w:szCs w:val="32"/>
        </w:rPr>
        <w:t>修改《最高人民法院关于审理植物新品种纠纷案件若干问题的解释》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依法受理和审判植物新品种纠纷案件，根据《中华人民共和国民法典》《中华人民共和国种子法》《中华人民共和国民事诉讼法》《中华人民共和国行政诉讼法》《全国人民代表大会常务委员会关于在北京、上海、广州设立知识产权法院的决定》和《全国人民代表大会常务委员会关于专利等知识产权案件诉讼程序若干问题的决定》的有关规定，现就有关问题解释如下：”</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“人民法院受理的植物新品种纠纷案件主要包括以下几类：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（一）植物新品种申请驳回复审行政纠纷案件；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（二）植物新品种权无效行政纠纷案件；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（三）植物新品种权更名行政纠纷案件；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（四）植物新品种权强制许可纠纷案件；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（五）植物新品种权实施强制许可使用费纠纷案件；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（六）植物新品种申请权权属纠纷案件；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（七）植物新品种权权属纠纷案件；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（八）植物新品种申请权转让合同纠纷案件；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（九）植物新品种权转让合同纠纷案件；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（十）侵害植物新品种权纠纷案件；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（十一）假冒他人植物新品种权纠纷案件；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（十二）植物新品种培育人署名权纠纷案件；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（十三）植物新品种临时保护期使用费纠纷案件；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（十四）植物新品种行政处罚纠纷案件；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（十五）植物新品种行政复议纠纷案件；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（十六）植物新品种行政赔偿纠纷案件；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（十七）植物新品种行政奖励纠纷案件；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（十八）其他植物新品种权纠纷案件。”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在依法审查当事人涉及植物新品种权的起诉时，只要符合《中华人民共和国民事诉讼法》第一百一十九条、《中华人民共和国行政诉讼法》第四十九条规定的民事案件或者行政案件的起诉条件，均应当依法予以受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本解释第一条所列第一至五类案件，由北京知识产权法院作为第一审人民法院审理；第六至十八类案件，由知识产权法院，各省、自治区、直辖市人民政府所在地和最高人民法院指定的中级人民法院作为第一审人民法院审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当事人对植物新品种纠纷民事、行政案件第一审判决、裁定不服，提起上诉的，由最高人民法院审理。”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5.将第四条修改为：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以侵权行为地确定人民法院管辖的侵害植物新品种权的民事案件，其所称的侵权行为地，是指未经品种权所有人许可，生产、繁殖或者销售该授权植物新品种的繁殖材料的所在地，或者为商业目的将该授权品种的繁殖材料重复使用于生产另一品种的繁殖材料的所在地。”</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6.将第五条修改为：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关于植物新品种申请驳回复审行政纠纷案件、植物新品种权无效或者更名行政纠纷案件，应当以植物新品种审批机关为被告；关于植物新品种强制许可纠纷案件，应当以植物新品种审批机关为被告；关于实施强制许可使用费纠纷案件，应当根据原告所请求的事项和所起诉的当事人确定被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7.将第六条修改为：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“人民法院审理侵害植物新品种权纠纷案件，被告在答辩期间内向植物新品种审批机关请求宣告该植物新品种权无效的，人民法院一般不中止诉讼。”</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十三、</w:t>
      </w:r>
      <w:r>
        <w:rPr>
          <w:rFonts w:hint="eastAsia" w:ascii="仿宋_GB2312" w:hAnsi="宋体" w:eastAsia="仿宋_GB2312" w:cs="宋体"/>
          <w:sz w:val="32"/>
          <w:szCs w:val="32"/>
        </w:rPr>
        <w:t>修改《最高人民法院关于审理侵犯植物新品种权纠纷案件具体应用法律问题的若干规定》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1.将名称、第一条、第三条、第八条中的“侵犯”修改为“侵害”。</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正确处理侵害植物新品种权纠纷案件，根据《中华人民共和国民法典》《中华人民共和国种子法》《中华人民共和国民事诉讼法》《全国人民代表大会常务委员会关于在北京、上海、广州设立知识产权法院的决定》和《全国人民代表大会常务委员会关于专利等知识产权案件诉讼程序若干问题的决定》等有关规定，结合侵害植物新品种权纠纷案件的审判经验和实际情况，就具体应用法律的若干问题规定如下：”</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“未经品种权人许可，生产、繁殖或者销售授权品种的繁殖材料，或者为商业目的将授权品种的繁殖材料重复使用于生产另一品种的繁殖材料的，人民法院应当认定为侵害植物新品种权。</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被诉侵权物的特征、特性与授权品种的特征、特性相同，或者特征、特性的不同是因非遗传变异所致的，人民法院一般应当认定被诉侵权物属于生产、繁殖或者销售授权品种的繁殖材料。</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被诉侵权人重复以授权品种的繁殖材料为亲本与其他亲本另行繁殖的，人民法院一般应当认定属于为商业目的将授权品种的繁殖材料重复使用于生产另一品种的繁殖材料。”</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“对于侵害植物新品种权纠纷案件涉及的专门性问题可以采取田间观察检测、基因指纹图谱检测等方法鉴定。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对采取前款规定方法作出的鉴定意见，人民法院应当依法质证，认定其证明力。”</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5.将第五条修改为：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“品种权人或者利害关系人向人民法院提起侵害植物新品种权诉讼前，可以提出行为保全或者证据保全请求，人民法院经审查作出裁定。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人民法院采取证据保全措施时，可以根据案件具体情况，邀请有关专业技术人员按照相应的技术规程协助取证。”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6.将第六条修改为：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“人民法院审理侵害植物新品种权纠纷案件，应当依照民法典第一百七十九条、第一千一百八十五条和种子法第七十三条的规定，结合案件具体情况，判决侵权人承担停止侵害、赔偿损失等民事责任。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可以根据权利人的请求，按照权利人因被侵权所受实际损失或者侵权人因侵权所得利益确定赔偿数额。权利人的损失或者侵权人获得的利益难以确定的，可以参照该植物新品种权许可使用费的倍数合理确定。权利人为制止侵权行为所支付的合理开支应当另行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依照前款规定难以确定赔偿数额的，人民法院可以综合考虑侵权的性质、期间、后果，植物新品种权许可使用费的数额，植物新品种实施许可的种类、时间、范围及权利人调查、制止侵权所支付的合理费用等因素，在300万元以下确定赔偿数额。</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故意侵害他人植物新品种权，情节严重的，可以按照第二款确定数额的一倍以上三倍以下确定赔偿数额。”</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7.将第七条修改为：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权利人和侵权人均同意将侵权物折价抵扣权利人所受损失的，人民法院应当准许。权利人或者侵权人不同意折价抵扣的，人民法院依照当事人的请求，责令侵权人对侵权物作消灭活性等使其不能再被用作繁殖材料的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侵权物正处于生长期或者销毁侵权物将导致重大不利后果的，人民法院可以不采取责令销毁侵权物的方法，而判令其支付相应的合理费用。但法律、行政法规另有规定的除外。”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十四、</w:t>
      </w:r>
      <w:r>
        <w:rPr>
          <w:rFonts w:hint="eastAsia" w:ascii="仿宋_GB2312" w:hAnsi="宋体" w:eastAsia="仿宋_GB2312" w:cs="宋体"/>
          <w:sz w:val="32"/>
          <w:szCs w:val="32"/>
        </w:rPr>
        <w:t>修改《最高人民法院关于审理不正当竞争民事案件应用法律若干问题的解释》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了正确审理不正当竞争民事案件，依法保护经营者的合法权益，维护市场竞争秩序，依照《中华人民共和国民法典》《中华人民共和国反不正当竞争法》《中华人民共和国民事诉讼法》等法律的有关规定，结合审判实践经验和实际情况，制定本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十五、</w:t>
      </w:r>
      <w:r>
        <w:rPr>
          <w:rFonts w:hint="eastAsia" w:ascii="仿宋_GB2312" w:hAnsi="宋体" w:eastAsia="仿宋_GB2312" w:cs="宋体"/>
          <w:sz w:val="32"/>
          <w:szCs w:val="32"/>
        </w:rPr>
        <w:t>修改《最高人民法院关于审理因垄断行为引发的民事纠纷案件应用法律若干问题的规定》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正确审理因垄断行为引发的民事纠纷案件，制止垄断行为，保护和促进市场公平竞争，维护消费者利益和社会公共利益，根据《中华人民共和国民法典》《中华人民共和国反垄断法》和《中华人民共和国民事诉讼法》等法律的相关规定，制定本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本规定所称因垄断行为引发的民事纠纷案件（以下简称垄断民事纠纷案件），是指因垄断行为受到损失以及因合同内容、行业协会的章程等违反反垄断法而发生争议的自然人、法人或者非法人组织，向人民法院提起的民事诉讼案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“第一审垄断民事纠纷案件，由知识产权法院，省、自治区、直辖市人民政府所在地的市、计划单列市中级人民法院以及最高人民法院指定的中级人民法院管辖。”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4.将第十三条修改为：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“当事人可以向人民法院申请委托专业机构或者专业人员就案件的专门性问题作出市场调查或者经济分析报告。经人民法院同意，双方当事人可以协商确定专业机构或者专业人员；协商不成的，由人民法院指定。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人民法院可以参照民事诉讼法及相关司法解释有关鉴定意见的规定，对前款规定的市场调查或者经济分析报告进行审查判断。”</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5.将第十五条修改为：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“被诉合同内容、行业协会的章程等违反反垄断法或者其他法律、行政法规的强制性规定的，人民法院应当依法认定其无效。但是，该强制性规定不导致该民事法律行为无效的除外。”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6.将第十六条修改为：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“因垄断行为产生的损害赔偿请求权诉讼时效期间，从原告知道或者应当知道权益受到损害以及义务人之日起计算。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原告向反垄断执法机构举报被诉垄断行为的，诉讼时效从其举报之日起中断。反垄断执法机构决定不立案、撤销案件或者决定终止调查的，诉讼时效期间从原告知道或者应当知道不立案、撤销案件或者终止调查之日起重新计算。反垄断执法机构调查后认定构成垄断行为的，诉讼时效期间从原告知道或者应当知道反垄断执法机构认定构成垄断行为的处理决定发生法律效力之日起重新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原告知道或者应当知道权益受到损害以及义务人之日起超过三年，如果起诉时被诉垄断行为仍然持续，被告提出诉讼时效抗辩的，损害赔偿应当自原告向人民法院起诉之日起向前推算三年计算。自权利受到损害之日起超过二十年的，人民法院不予保护，有特殊情况的，人民法院可以根据权利人的申请决定延长。”</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十六、</w:t>
      </w:r>
      <w:r>
        <w:rPr>
          <w:rFonts w:hint="eastAsia" w:ascii="仿宋_GB2312" w:hAnsi="宋体" w:eastAsia="仿宋_GB2312" w:cs="宋体"/>
          <w:sz w:val="32"/>
          <w:szCs w:val="32"/>
        </w:rPr>
        <w:t>修改《最高人民法院关于审理涉及计算机网络域名民事纠纷案件适用法律若干问题的解释》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了正确审理涉及计算机网络域名注册、使用等行为的民事纠纷案件（以下简称域名纠纷案件），根据《中华人民共和国民法典》《中华人民共和国反不正当竞争法》和《中华人民共和国民事诉讼法》（以下简称民事诉讼法）等法律的规定，作如下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“对于涉及计算机网络域名注册、使用等行为的民事纠纷，当事人向人民法院提起诉讼，经审查符合民事诉讼法第一百一十九条规定的，人民法院应当受理。”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3.删除第七条。</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4.将第八条修改为：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“人民法院认定域名注册、使用等行为构成侵权或者不正当竞争的，可以判令被告停止侵权、注销域名，或者依原告的请求判令由原告注册使用该域名；给权利人造成实际损害的，可以判令被告赔偿损失。</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侵权人故意侵权且情节严重，原告有权向人民法院请求惩罚性赔偿。”</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5.条文顺序作相应调整。</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十七、</w:t>
      </w:r>
      <w:r>
        <w:rPr>
          <w:rFonts w:hint="eastAsia" w:ascii="仿宋_GB2312" w:hAnsi="宋体" w:eastAsia="仿宋_GB2312" w:cs="宋体"/>
          <w:sz w:val="32"/>
          <w:szCs w:val="32"/>
        </w:rPr>
        <w:t>修改《最高人民法院关于审理技术合同纠纷案件适用法律若干问题的解释》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1.将引言修改为：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“为了正确审理技术合同纠纷案件，根据《中华人民共和国民法典》《中华人民共和国专利法》和《中华人民共和国民事诉讼法》等法律的有关规定，结合审判实践，现就有关问题作出以下解释。”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2.将第一条修改为：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“技术成果，是指利用科学技术知识、信息和经验作出的涉及产品、工艺、材料及其改进等的技术方案，包括专利、专利申请、技术秘密、计算机软件、集成电路布图设计、植物新品种等。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技术秘密，是指不为公众所知悉、具有商业价值并经权利人采取相应保密措施的技术信息。”</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3.将第二条修改为：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“民法典第八百四十七条第二款所称‘执行法人或者非法人组织的工作任务’，包括：</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（一）履行法人或者非法人组织的岗位职责或者承担其交付的其他技术开发任务；</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（二）离职后一年内继续从事与其原所在法人或者非法人组织的岗位职责或者交付的任务有关的技术开发工作，但法律、行政法规另有规定的除外。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法人或者非法人组织与其职工就职工在职期间或者离职以后所完成的技术成果的权益有约定的，人民法院应当依约定确认。”</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4.将第三条修改为：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“民法典第八百四十七条第二款所称‘物质技术条件’，包括资金、设备、器材、原材料、未公开的技术信息和资料等。”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5.将第四条修改为：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四十七条第二款所称‘主要是利用法人或者非法人组织的物质技术条件’，包括职工在技术成果的研究开发过程中，全部或者大部分利用了法人或者非法人组织的资金、设备、器材或者原材料等物质条件，并且这些物质条件对形成该技术成果具有实质性的影响；还包括该技术成果实质性内容是在法人或者非法人组织尚未公开的技术成果、阶段性技术成果基础上完成的情形。但下列情况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（一）对利用法人或者非法人组织提供的物质技术条件，约定返还资金或者交纳使用费的；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（二）在技术成果完成后利用法人或者非法人组织的物质技术条件对技术方案进行验证、测试的。”</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6.将第五条修改为：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个人完成的技术成果，属于执行原所在法人或者非法人组织的工作任务，又主要利用了现所在法人或者非法人组织的物质技术条件的，应当按照该自然人原所在和现所在法人或者非法人组织达成的协议确认权益。不能达成协议的，根据对完成该项技术成果的贡献大小由双方合理分享。”</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7.将第六条修改为：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四十七条所称‘职务技术成果的完成人’、第八百四十八条所称‘完成技术成果的个人’，包括对技术成果单独或者共同作出创造性贡献的人，也即技术成果的发明人或者设计人。人民法院在对创造性贡献进行认定时，应当分解所涉及技术成果的实质性技术构成。提出实质性技术构成并由此实现技术方案的人，是作出创造性贡献的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提供资金、设备、材料、试验条件，进行组织管理，协助绘制图纸、整理资料、翻译文献等人员，不属于职务技术成果的完成人、完成技术成果的个人。”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8.将第七条修改为：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不具有民事主体资格的科研组织订立的技术合同，经法人或者非法人组织授权或者认可的，视为法人或者非法人组织订立的合同，由法人或者非法人组织承担责任；未经法人或者非法人组织授权或者认可的，由该科研组织成员共同承担责任，但法人或者非法人组织因该合同受益的，应当在其受益范围内承担相应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前款所称不具有民事主体资格的科研组织，包括法人或者非法人组织设立的从事技术研究开发、转让等活动的课题组、工作室等。”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9.将第九条修改为：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一方采取欺诈手段，就其现有技术成果作为研究开发标的与他人订立委托开发合同收取研究开发费用，或者就同一研究开发课题先后与两个或者两个以上的委托人分别订立委托开发合同重复收取研究开发费用，使对方在违背真实意思的情况下订立的合同，受损害方依照民法典第一百四十八条规定请求撤销合同的，人民法院应当予以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10.将第十条修改为：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“下列情形，属于民法典第八百五十条所称的‘非法垄断技术’：</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限制当事人一方在合同标的技术基础上进行新的研究开发或者限制其使用所改进的技术，或者双方交换改进技术的条件不对等，包括要求一方将其自行改进的技术无偿提供给对方、非互惠性转让给对方、无偿独占或者共享该改进技术的知识产权；</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（二）限制当事人一方从其他来源获得与技术提供方类似技术或者与其竞争的技术；</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（三）阻碍当事人一方根据市场需求，按照合理方式充分实施合同标的技术，包括明显不合理地限制技术接受方实施合同标的技术生产产品或者提供服务的数量、品种、价格、销售渠道和出口市场；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（四）要求技术接受方接受并非实施技术必不可少的附带条件，包括购买非必需的技术、原材料、产品、设备、服务以及接收非必需的人员等；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（五）不合理地限制技术接受方购买原材料、零部件、产品或者设备等的渠道或者来源；</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（六）禁止技术接受方对合同标的技术知识产权的有效性提出异议或者对提出异议附加条件。”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11.将第十一条修改为：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合同无效或者被撤销后，技术开发合同研究开发人、技术转让合同让与人、技术许可合同许可人、技术咨询合同和技术服务合同的受托人已经履行或者部分履行了约定的义务，并且造成合同无效或者被撤销的过错在对方的，对其已履行部分应当收取的研究开发经费、技术使用费、提供咨询服务的报酬，人民法院可以认定为因对方原因导致合同无效或者被撤销给其造成的损失。</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合同无效或者被撤销后，因履行合同所完成新的技术成果或者在他人技术成果基础上完成后续改进技术成果的权利归属和利益分享，当事人不能重新协议确定的，人民法院可以判决由完成技术成果的一方享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12.将第十二条修改为：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根据民法典第八百五十条的规定，侵害他人技术秘密的技术合同被确认无效后，除法律、行政法规另有规定的以外，善意取得该技术秘密的一方当事人可以在其取得时的范围内继续使用该技术秘密，但应当向权利人支付合理的使用费并承担保密义务。</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双方恶意串通或者一方知道或者应当知道另一方侵权仍与其订立或者履行合同的，属于共同侵权，人民法院应当判令侵权人承担连带赔偿责任和保密义务，因此取得技术秘密的当事人不得继续使用该技术秘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13.将第十三条修改为：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依照前条第一款规定可以继续使用技术秘密的人与权利人就使用费支付发生纠纷的，当事人任何一方都可以请求人民法院予以处理。继续使用技术秘密但又拒不支付使用费的，人民法院可以根据权利人的请求判令使用人停止使用。</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在确定使用费时，可以根据权利人通常对外许可该技术秘密的使用费或者使用人取得该技术秘密所支付的使用费，并考虑该技术秘密的研究开发成本、成果转化和应用程度以及使用人的使用规模、经济效益等因素合理确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不论使用人是否继续使用技术秘密，人民法院均应当判令其向权利人支付已使用期间的使用费。使用人已向无效合同的让与人或者许可人支付的使用费应当由让与人或者许可人负责返还。”</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14.将第十四条修改为：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“对技术合同的价款、报酬和使用费，当事人没有约定或者约定不明确的，人民法院可以按照以下原则处理：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（一）对于技术开发合同和技术转让合同、技术许可合同，根据有关技术成果的研究开发成本、先进性、实施转化和应用的程度，当事人享有的权益和承担的责任，以及技术成果的经济效益等合理确定；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（二）对于技术咨询合同和技术服务合同，根据有关咨询服务工作的技术含量、质量和数量，以及已经产生和预期产生的经济效益等合理确定。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技术合同价款、报酬、使用费中包含非技术性款项的，应当分项计算。”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15.将第十五条修改为：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“技术合同当事人一方迟延履行主要债务，经催告后在30日内仍未履行，另一方依据民法典第五百六十三条第一款第（三）项的规定主张解除合同的，人民法院应当予以支持。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当事人在催告通知中附有履行期限且该期限超过30日的，人民法院应当认定该履行期限为民法典第五百六十三条第一款第（三）项规定的合理期限。”</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16.将第十七条修改为：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五十一条第一款所称‘新技术、新产品、新工艺、新品种或者新材料及其系统’，包括当事人在订立技术合同时尚未掌握的产品、工艺、材料及其系统等技术方案，但对技术上没有创新的现有产品的改型、工艺变更、材料配方调整以及对技术成果的验证、测试和使用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17.将第十八条修改为：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五十一条第四款规定的‘当事人之间就具有实用价值的科技成果实施转化订立的’技术转化合同，是指当事人之间就具有实用价值但尚未实现工业化应用的科技成果包括阶段性技术成果，以实现该科技成果工业化应用为目标，约定后续试验、开发和应用等内容的合同。”</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18.将第十九条修改为：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“民法典第八百五十五条所称‘分工参与研究开发工作’，包括当事人按照约定的计划和分工，共同或者分别承担设计、工艺、试验、试制等工作。</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技术开发合同当事人一方仅提供资金、设备、材料等物质条件或者承担辅助协作事项，另一方进行研究开发工作的，属于委托开发合同。”</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19.将第二十条修改为：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六十一条所称‘当事人均有使用和转让的权利’，包括当事人均有不经对方同意而自己使用或者以普通使用许可的方式许可他人使用技术秘密，并独占由此所获利益的权利。当事人一方将技术秘密成果的转让权让与他人，或者以独占或者排他使用许可的方式许可他人使用技术秘密，未经对方当事人同意或者追认的，应当认定该让与或者许可行为无效。”</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20.将第二十一条修改为：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“技术开发合同当事人依照民法典的规定或者约定自行实施专利或使用技术秘密，但因其不具备独立实施专利或者使用技术秘密的条件，以一个普通许可方式许可他人实施或者使用的，可以准许。”</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21.将“三、技术转让合同”修改为：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“三、技术转让合同和技术许可合同”。</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22.将第二十二条修改为：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“就尚待研究开发的技术成果或者不涉及专利、专利申请或者技术秘密的知识、技术、经验和信息所订立的合同，不属于民法典第八百六十二条规定的技术转让合同或者技术许可合同。</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技术转让合同中关于让与人向受让人提供实施技术的专用设备、原材料或者提供有关的技术咨询、技术服务的约定，属于技术转让合同的组成部分。因此发生的纠纷，按照技术转让合同处理。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当事人以技术入股方式订立联营合同，但技术入股人不参与联营体的经营管理，并且以保底条款形式约定联营体或者联营对方支付其技术价款或者使用费的，视为技术转让合同或者技术许可合同。”</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23.将第二十三条修改为：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专利申请权转让合同当事人以专利申请被驳回或者被视为撤回为由请求解除合同，该事实发生在依照专利法第十条第三款的规定办理专利申请权转让登记之前的，人民法院应当予以支持；发生在转让登记之后的，不予支持，但当事人另有约定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专利申请因专利申请权转让合同成立时即存在尚未公开的同样发明创造的在先专利申请被驳回，当事人依据民法典第五百六十三条第一款第（四）项的规定请求解除合同的，人民法院应当予以支持。”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24.将第二十五条修改为：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“专利实施许可包括以下方式：</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（一）独占实施许可，是指许可人在约定许可实施专利的范围内，将该专利仅许可一个被许可人实施，许可人依约定不得实施该专利；</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（二）排他实施许可，是指许可人在约定许可实施专利的范围内，将该专利仅许可一个被许可人实施，但许可人依约定可以自行实施该专利；</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（三）普通实施许可，是指许可人在约定许可实施专利的范围内许可他人实施该专利，并且可以自行实施该专利。</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当事人对专利实施许可方式没有约定或者约定不明确的，认定为普通实施许可。专利实施许可合同约定被许可人可以再许可他人实施专利的，认定该再许可为普通实施许可，但当事人另有约定的除外。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技术秘密的许可使用方式，参照本条第一、二款的规定确定。”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25.将第二十六条修改为：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“专利实施许可合同许可人负有在合同有效期内维持专利权有效的义务，包括依法缴纳专利年费和积极应对他人提出宣告专利权无效的请求，但当事人另有约定的除外。”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26.将第二十七条修改为：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“排他实施许可合同许可人不具备独立实施其专利的条件，以一个普通许可的方式许可他人实施专利的，人民法院可以认定为许可人自己实施专利，但当事人另有约定的除外。”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27.将第二十八条修改为：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“民法典第八百六十四条所称‘实施专利或者使用技术秘密的范围’，包括实施专利或者使用技术秘密的期限、地域、方式以及接触技术秘密的人员等。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当事人对实施专利或者使用技术秘密的期限没有约定或者约定不明确的，受让人、被许可人实施专利或者使用技术秘密不受期限限制。”</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28.将第二十九条修改为：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之间就申请专利的技术成果所订立的许可使用合同，专利申请公开以前，适用技术秘密许可合同的有关规定；发明专利申请公开以后、授权以前，参照适用专利实施许可合同的有关规定；授权以后，原合同即为专利实施许可合同，适用专利实施许可合同的有关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人民法院不以当事人就已经申请专利但尚未授权的技术订立专利实施许可合同为由，认定合同无效。”</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29.将第三十条修改为：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七十八条第一款所称‘特定技术项目’，包括有关科学技术与经济社会协调发展的软科学研究项目，促进科技进步和管理现代化、提高经济效益和社会效益等运用科学知识和技术手段进行调查、分析、论证、评价、预测的专业性技术项目。”</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30.删除第三十一条第一款、第三十五条第一款。</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31.将第三十三条修改为：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七十八条第二款所称‘特定技术问题’，包括需要运用专业技术知识、经验和信息解决的有关改进产品结构、改良工艺流程、提高产品质量、降低产品成本、节约资源能耗、保护资源环境、实现安全操作、提高经济效益和社会效益等专业技术问题。”</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32.将第三十四条修改为：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一方以技术转让或者技术许可的名义提供已进入公有领域的技术，或者在技术转让合同、技术许可合同履行过程中合同标的技术进入公有领域，但是技术提供方进行技术指导、传授技术知识，为对方解决特定技术问题符合约定条件的，按照技术服务合同处理，约定的技术转让费、使用费可以视为提供技术服务的报酬和费用，但是法律、行政法规另有规定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依照前款规定，技术转让费或者使用费视为提供技术服务的报酬和费用明显不合理的，人民法院可以根据当事人的请求合理确定。”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33.将第三十六条修改为：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八十七条规定的‘技术培训合同’，是指当事人一方委托另一方对指定的学员进行特定项目的专业技术训练和技术指导所订立的合同，不包括职业培训、文化学习和按照行业、法人或者非法人组织的计划进行的职工业余教育。”</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34.将第三十八条修改为：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“民法典第八百八十七条规定的‘技术中介合同’，是指当事人一方以知识、技术、经验和信息为另一方与第三人订立技术合同进行联系、介绍以及对履行合同提供专门服务所订立的合同。”</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35.将第四十二条修改为：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“当事人将技术合同和其他合同内容或者将不同类型的技术合同内容订立在一个合同中的，应当根据当事人争议的权利义务内容，确定案件的性质和案由。</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技术合同名称与约定的权利义务关系不一致的，应当按照约定的权利义务内容，确定合同的类型和案由。</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技术转让合同或者技术许可合同中约定让与人或者许可人负责包销或者回购受让人、被许可人实施合同标的技术制造的产品，仅因让与人或者许可人不履行或者不能全部履行包销或者回购义务引起纠纷，不涉及技术问题的，应当按照包销或者回购条款约定的权利义务内容确定案由。”</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36.将第四十五条修改为：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第三人向受理技术合同纠纷案件的人民法院就合同标的技术提出权属或者侵权请求时，受诉人民法院对此也有管辖权的，可以将权属或者侵权纠纷与合同纠纷合并审理；受诉人民法院对此没有管辖权的，应当告知其向有管辖权的人民法院另行起诉或者将已经受理的权属或者侵权纠纷案件移送有管辖权的人民法院。权属或者侵权纠纷另案受理后，合同纠纷应当中止诉讼。</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专利实施许可合同诉讼中，被许可人或者第三人向国家知识产权局请求宣告专利权无效的，人民法院可以不中止诉讼。在案件审理过程中专利权被宣告无效的，按照专利法第四十七条第二款和第三款的规定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37.将第四十六条修改为：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计算机软件开发等合同争议，著作权法以及其他法律、行政法规另有规定的，依照其规定；没有规定的，适用民法典第三编第一分编的规定，并可以参照民法典第三编第二分编第二十章和本解释的有关规定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十八、</w:t>
      </w:r>
      <w:r>
        <w:rPr>
          <w:rFonts w:hint="eastAsia" w:ascii="仿宋_GB2312" w:hAnsi="宋体" w:eastAsia="仿宋_GB2312" w:cs="宋体"/>
          <w:sz w:val="32"/>
          <w:szCs w:val="32"/>
        </w:rPr>
        <w:t>修改《最高人民法院关于北京、上海、广州知识产权法院案件管辖的规定》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将第七条修改为：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“当事人对知识产权法院作出的第一审判决、裁定提起的上诉案件和依法申请上一级法院复议的案件，由知识产权法院所在地的高级人民法院知识产权审判庭审理，但依法应由最高人民法院审理的除外。”</w:t>
      </w: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本决定自2021年1月1日起施行。</w:t>
      </w:r>
    </w:p>
    <w:p>
      <w:pPr>
        <w:pStyle w:val="3"/>
        <w:spacing w:line="520" w:lineRule="exact"/>
        <w:rPr>
          <w:sz w:val="32"/>
          <w:szCs w:val="32"/>
        </w:rPr>
      </w:pPr>
      <w:r>
        <w:rPr>
          <w:rFonts w:hint="eastAsia" w:ascii="仿宋_GB2312" w:hAnsi="宋体" w:eastAsia="仿宋_GB2312" w:cs="宋体"/>
          <w:sz w:val="32"/>
          <w:szCs w:val="32"/>
        </w:rPr>
        <w:t>　　根据本决定，《最高人民法院关于审理侵犯专利权纠纷案件应用法律若干问题的解释（二）》等十八件知识产权类司法解释作相应修改后重新公布。</w:t>
      </w:r>
      <w:bookmarkStart w:id="0" w:name="_GoBack"/>
      <w:bookmarkEnd w:id="0"/>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9.55pt;height:21.05pt;width:35.55pt;mso-position-horizontal:outside;mso-position-horizontal-relative:margin;z-index:251659264;mso-width-relative:page;mso-height-relative:page;" filled="f" stroked="f" coordsize="21600,21600" o:gfxdata="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OHN63/ZAAAACgEAAA8AAAAAAAAAAQAgAAAAIgAAAGRycy9kb3du&#10;cmV2LnhtbFBLAQIUABQAAAAIAIdO4kA65aMi4gIAACQGAAAOAAAAAAAAAAEAIAAAACgBAABkcnMv&#10;ZTJvRG9jLnhtbFBLBQYAAAAABgAGAFkBAAB8BgAAAAA=&#10;">
          <v:path/>
          <v:fill on="f" focussize="0,0"/>
          <v:stroke on="f" weight="0.5pt" joinstyle="miter"/>
          <v:imagedata o:title=""/>
          <o:lock v:ext="edit"/>
          <v:textbox inset="0mm,0mm,0mm,0mm">
            <w:txbxContent>
              <w:p>
                <w:pPr>
                  <w:pStyle w:val="5"/>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80C90"/>
    <w:rsid w:val="00015715"/>
    <w:rsid w:val="000355AF"/>
    <w:rsid w:val="00041CA2"/>
    <w:rsid w:val="00070508"/>
    <w:rsid w:val="00070744"/>
    <w:rsid w:val="000A7139"/>
    <w:rsid w:val="000E28C0"/>
    <w:rsid w:val="001C6D3A"/>
    <w:rsid w:val="001D68F1"/>
    <w:rsid w:val="0027361C"/>
    <w:rsid w:val="00285382"/>
    <w:rsid w:val="002B163F"/>
    <w:rsid w:val="002C407A"/>
    <w:rsid w:val="00314301"/>
    <w:rsid w:val="003275F7"/>
    <w:rsid w:val="00330DCE"/>
    <w:rsid w:val="00332C82"/>
    <w:rsid w:val="00335C07"/>
    <w:rsid w:val="00337E1A"/>
    <w:rsid w:val="00365A5C"/>
    <w:rsid w:val="00384CBC"/>
    <w:rsid w:val="003E303F"/>
    <w:rsid w:val="0041567B"/>
    <w:rsid w:val="00422B9C"/>
    <w:rsid w:val="00456165"/>
    <w:rsid w:val="004925A7"/>
    <w:rsid w:val="004A20F1"/>
    <w:rsid w:val="004C64AE"/>
    <w:rsid w:val="004D42E4"/>
    <w:rsid w:val="004D60A2"/>
    <w:rsid w:val="004D63D2"/>
    <w:rsid w:val="00525D83"/>
    <w:rsid w:val="00535C16"/>
    <w:rsid w:val="00576CD4"/>
    <w:rsid w:val="00581C9D"/>
    <w:rsid w:val="006136DA"/>
    <w:rsid w:val="00627CAB"/>
    <w:rsid w:val="00682851"/>
    <w:rsid w:val="006C1A06"/>
    <w:rsid w:val="007510B8"/>
    <w:rsid w:val="00774122"/>
    <w:rsid w:val="007958E1"/>
    <w:rsid w:val="007A0846"/>
    <w:rsid w:val="007A5AFC"/>
    <w:rsid w:val="007D67EF"/>
    <w:rsid w:val="007E354E"/>
    <w:rsid w:val="007F0234"/>
    <w:rsid w:val="008213FB"/>
    <w:rsid w:val="00847846"/>
    <w:rsid w:val="00850FAC"/>
    <w:rsid w:val="00885BA1"/>
    <w:rsid w:val="00891AC4"/>
    <w:rsid w:val="00927EAB"/>
    <w:rsid w:val="00933487"/>
    <w:rsid w:val="00977664"/>
    <w:rsid w:val="00983C74"/>
    <w:rsid w:val="0098563D"/>
    <w:rsid w:val="009B326E"/>
    <w:rsid w:val="009C1CA7"/>
    <w:rsid w:val="009C622E"/>
    <w:rsid w:val="009F048B"/>
    <w:rsid w:val="00AA23AE"/>
    <w:rsid w:val="00AB319D"/>
    <w:rsid w:val="00AE3BC9"/>
    <w:rsid w:val="00B35620"/>
    <w:rsid w:val="00B36AFD"/>
    <w:rsid w:val="00B408E1"/>
    <w:rsid w:val="00B501FE"/>
    <w:rsid w:val="00B86501"/>
    <w:rsid w:val="00BD276C"/>
    <w:rsid w:val="00C43B2B"/>
    <w:rsid w:val="00C90350"/>
    <w:rsid w:val="00CC3342"/>
    <w:rsid w:val="00CC4C5A"/>
    <w:rsid w:val="00D27218"/>
    <w:rsid w:val="00D37B72"/>
    <w:rsid w:val="00D80C90"/>
    <w:rsid w:val="00D842C7"/>
    <w:rsid w:val="00D878AD"/>
    <w:rsid w:val="00E020DF"/>
    <w:rsid w:val="00E17C47"/>
    <w:rsid w:val="00E535BB"/>
    <w:rsid w:val="00E74D22"/>
    <w:rsid w:val="00E80158"/>
    <w:rsid w:val="00E94006"/>
    <w:rsid w:val="00EB21E6"/>
    <w:rsid w:val="00F15F40"/>
    <w:rsid w:val="00F67E5A"/>
    <w:rsid w:val="00FA1E7C"/>
    <w:rsid w:val="00FE4CC0"/>
    <w:rsid w:val="00FF01CC"/>
    <w:rsid w:val="057533CD"/>
    <w:rsid w:val="1E2E7091"/>
    <w:rsid w:val="4F1F0E4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Salutation"/>
    <w:basedOn w:val="1"/>
    <w:next w:val="1"/>
    <w:unhideWhenUsed/>
    <w:uiPriority w:val="99"/>
    <w:pPr>
      <w:jc w:val="center"/>
    </w:pPr>
    <w:rPr>
      <w:rFonts w:ascii="Times New Roman" w:hAnsi="Times New Roman" w:eastAsia="楷体" w:cs="Times New Roman"/>
      <w:sz w:val="32"/>
    </w:rPr>
  </w:style>
  <w:style w:type="paragraph" w:styleId="3">
    <w:name w:val="Plain Text"/>
    <w:basedOn w:val="1"/>
    <w:link w:val="9"/>
    <w:uiPriority w:val="99"/>
    <w:rPr>
      <w:rFonts w:ascii="宋体" w:hAnsi="Courier New" w:eastAsia="宋体" w:cs="Courier New"/>
      <w:szCs w:val="21"/>
    </w:rPr>
  </w:style>
  <w:style w:type="paragraph" w:styleId="4">
    <w:name w:val="Balloon Text"/>
    <w:basedOn w:val="1"/>
    <w:link w:val="12"/>
    <w:semiHidden/>
    <w:unhideWhenUsed/>
    <w:qFormat/>
    <w:uiPriority w:val="99"/>
    <w:rPr>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纯文本 Char"/>
    <w:basedOn w:val="8"/>
    <w:link w:val="3"/>
    <w:uiPriority w:val="99"/>
    <w:rPr>
      <w:rFonts w:ascii="宋体" w:hAnsi="Courier New" w:eastAsia="宋体" w:cs="Courier New"/>
      <w:szCs w:val="21"/>
    </w:rPr>
  </w:style>
  <w:style w:type="character" w:customStyle="1" w:styleId="10">
    <w:name w:val="页眉 Char"/>
    <w:basedOn w:val="8"/>
    <w:link w:val="6"/>
    <w:qFormat/>
    <w:uiPriority w:val="99"/>
    <w:rPr>
      <w:sz w:val="18"/>
      <w:szCs w:val="18"/>
    </w:rPr>
  </w:style>
  <w:style w:type="character" w:customStyle="1" w:styleId="11">
    <w:name w:val="页脚 Char"/>
    <w:basedOn w:val="8"/>
    <w:link w:val="5"/>
    <w:uiPriority w:val="99"/>
    <w:rPr>
      <w:sz w:val="18"/>
      <w:szCs w:val="18"/>
    </w:rPr>
  </w:style>
  <w:style w:type="character" w:customStyle="1" w:styleId="12">
    <w:name w:val="批注框文本 Char"/>
    <w:basedOn w:val="8"/>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3624</Words>
  <Characters>20659</Characters>
  <Lines>172</Lines>
  <Paragraphs>48</Paragraphs>
  <TotalTime>11</TotalTime>
  <ScaleCrop>false</ScaleCrop>
  <LinksUpToDate>false</LinksUpToDate>
  <CharactersWithSpaces>24235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2021-03-02T06:42:00Z</dcterms:created>
  <dc:creator>梁姝</dc:creator>
  <cp:lastModifiedBy>湖人进季后赛了吗</cp:lastModifiedBy>
  <dcterms:modified xsi:type="dcterms:W3CDTF">2021-08-25T07:44:04Z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114966CD6BE04679BE88500EF3D03537</vt:lpwstr>
  </property>
</Properties>
</file>