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520" w:lineRule="exact"/>
        <w:rPr>
          <w:rFonts w:ascii="华文中宋" w:hAnsi="华文中宋" w:eastAsia="华文中宋" w:cs="宋体"/>
          <w:sz w:val="36"/>
          <w:szCs w:val="36"/>
        </w:rPr>
      </w:pPr>
    </w:p>
    <w:p>
      <w:pPr>
        <w:pStyle w:val="2"/>
        <w:spacing w:line="520" w:lineRule="exact"/>
        <w:jc w:val="center"/>
        <w:rPr>
          <w:rFonts w:ascii="华文中宋" w:hAnsi="华文中宋" w:eastAsia="华文中宋" w:cs="宋体"/>
          <w:sz w:val="36"/>
          <w:szCs w:val="36"/>
        </w:rPr>
      </w:pPr>
    </w:p>
    <w:p>
      <w:pPr>
        <w:pStyle w:val="2"/>
        <w:spacing w:line="560" w:lineRule="exact"/>
        <w:jc w:val="center"/>
        <w:rPr>
          <w:rFonts w:hint="eastAsia" w:cs="宋体" w:asciiTheme="majorEastAsia" w:hAnsiTheme="majorEastAsia" w:eastAsiaTheme="majorEastAsia"/>
          <w:sz w:val="44"/>
          <w:szCs w:val="44"/>
        </w:rPr>
      </w:pPr>
      <w:r>
        <w:rPr>
          <w:rFonts w:hint="eastAsia" w:cs="宋体" w:asciiTheme="majorEastAsia" w:hAnsiTheme="majorEastAsia" w:eastAsiaTheme="majorEastAsia"/>
          <w:sz w:val="44"/>
          <w:szCs w:val="44"/>
        </w:rPr>
        <w:t>最高人民法院</w:t>
      </w:r>
    </w:p>
    <w:p>
      <w:pPr>
        <w:pStyle w:val="2"/>
        <w:spacing w:line="560" w:lineRule="exact"/>
        <w:rPr>
          <w:rFonts w:ascii="仿宋_GB2312" w:hAnsi="宋体" w:eastAsia="仿宋_GB2312" w:cs="宋体"/>
          <w:sz w:val="32"/>
          <w:szCs w:val="32"/>
        </w:rPr>
      </w:pPr>
      <w:r>
        <w:rPr>
          <w:rFonts w:hint="eastAsia" w:cs="宋体" w:asciiTheme="majorEastAsia" w:hAnsiTheme="majorEastAsia" w:eastAsiaTheme="majorEastAsia"/>
          <w:sz w:val="44"/>
          <w:szCs w:val="44"/>
        </w:rPr>
        <w:t>关于修改《最高人民法院关于审理食品药品纠纷案件适用法律若干问题的规定》的决定</w:t>
      </w:r>
    </w:p>
    <w:p>
      <w:pPr>
        <w:pStyle w:val="2"/>
        <w:spacing w:line="560" w:lineRule="exact"/>
        <w:jc w:val="center"/>
        <w:rPr>
          <w:rFonts w:hint="eastAsia" w:cs="宋体" w:asciiTheme="majorEastAsia" w:hAnsiTheme="majorEastAsia" w:eastAsiaTheme="majorEastAsia"/>
          <w:sz w:val="44"/>
          <w:szCs w:val="44"/>
        </w:rPr>
      </w:pPr>
    </w:p>
    <w:p>
      <w:pPr>
        <w:pStyle w:val="2"/>
        <w:rPr>
          <w:rFonts w:hint="eastAsia" w:ascii="楷体_GB2312" w:hAnsi="宋体" w:eastAsia="楷体_GB2312" w:cs="宋体"/>
          <w:sz w:val="32"/>
          <w:szCs w:val="32"/>
        </w:rPr>
      </w:pPr>
      <w:r>
        <w:rPr>
          <w:rFonts w:hint="eastAsia" w:ascii="仿宋_GB2312" w:hAnsi="宋体" w:eastAsia="仿宋_GB2312" w:cs="宋体"/>
          <w:sz w:val="30"/>
          <w:szCs w:val="30"/>
        </w:rPr>
        <w:t xml:space="preserve">                     </w:t>
      </w:r>
      <w:r>
        <w:rPr>
          <w:rFonts w:hint="eastAsia" w:ascii="楷体_GB2312" w:hAnsi="宋体" w:eastAsia="楷体_GB2312" w:cs="宋体"/>
          <w:sz w:val="32"/>
          <w:szCs w:val="32"/>
        </w:rPr>
        <w:t>法释〔2021〕17号</w:t>
      </w:r>
    </w:p>
    <w:p>
      <w:pPr>
        <w:pStyle w:val="2"/>
        <w:spacing w:line="520" w:lineRule="exact"/>
        <w:jc w:val="center"/>
        <w:rPr>
          <w:rFonts w:hint="eastAsia" w:ascii="华文中宋" w:hAnsi="华文中宋" w:eastAsia="华文中宋" w:cs="宋体"/>
          <w:spacing w:val="-20"/>
          <w:sz w:val="36"/>
          <w:szCs w:val="36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630" w:leftChars="300" w:right="630" w:rightChars="300"/>
        <w:textAlignment w:val="auto"/>
        <w:rPr>
          <w:rFonts w:hint="eastAsia" w:ascii="楷体_GB2312" w:hAnsi="宋体" w:eastAsia="楷体_GB2312" w:cs="宋体"/>
          <w:sz w:val="32"/>
          <w:szCs w:val="32"/>
        </w:rPr>
      </w:pPr>
      <w:r>
        <w:rPr>
          <w:rFonts w:hint="eastAsia" w:ascii="楷体_GB2312" w:hAnsi="宋体" w:eastAsia="楷体_GB2312" w:cs="宋体"/>
          <w:sz w:val="32"/>
          <w:szCs w:val="32"/>
        </w:rPr>
        <w:t>（2021年11月15日最高人民法院审判委员会</w:t>
      </w:r>
      <w:bookmarkStart w:id="0" w:name="_GoBack"/>
      <w:bookmarkEnd w:id="0"/>
      <w:r>
        <w:rPr>
          <w:rFonts w:hint="eastAsia" w:ascii="楷体_GB2312" w:hAnsi="宋体" w:eastAsia="楷体_GB2312" w:cs="宋体"/>
          <w:sz w:val="32"/>
          <w:szCs w:val="32"/>
        </w:rPr>
        <w:t>第1850次会议通过，自2021年12月1日起施行）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630" w:leftChars="300" w:right="630" w:rightChars="300"/>
        <w:textAlignment w:val="auto"/>
        <w:rPr>
          <w:rFonts w:hint="eastAsia" w:hAnsi="宋体" w:cs="宋体"/>
          <w:sz w:val="32"/>
          <w:szCs w:val="32"/>
        </w:rPr>
      </w:pPr>
    </w:p>
    <w:p>
      <w:pPr>
        <w:pStyle w:val="2"/>
        <w:spacing w:line="520" w:lineRule="exact"/>
        <w:ind w:firstLine="640" w:firstLineChars="200"/>
        <w:rPr>
          <w:rFonts w:hint="eastAsia" w:ascii="仿宋_GB2312" w:hAnsi="宋体" w:eastAsia="仿宋_GB2312" w:cs="宋体"/>
          <w:sz w:val="32"/>
          <w:szCs w:val="32"/>
        </w:rPr>
      </w:pPr>
      <w:r>
        <w:rPr>
          <w:rFonts w:hint="eastAsia" w:ascii="仿宋_GB2312" w:hAnsi="宋体" w:eastAsia="仿宋_GB2312" w:cs="宋体"/>
          <w:sz w:val="32"/>
          <w:szCs w:val="32"/>
        </w:rPr>
        <w:t>根据《中华人民共和国药品管理法》，最高人民法院审判委员会第1850次会议决定对《最高人民法院关于审理食品药品纠纷案件适用法律若干问题的规定》作如下修改：</w:t>
      </w:r>
    </w:p>
    <w:p>
      <w:pPr>
        <w:pStyle w:val="2"/>
        <w:spacing w:line="520" w:lineRule="exact"/>
        <w:ind w:firstLine="640" w:firstLineChars="200"/>
        <w:rPr>
          <w:rFonts w:hint="eastAsia" w:ascii="仿宋_GB2312" w:hAnsi="宋体" w:eastAsia="仿宋_GB2312" w:cs="宋体"/>
          <w:sz w:val="32"/>
          <w:szCs w:val="32"/>
        </w:rPr>
      </w:pPr>
      <w:r>
        <w:rPr>
          <w:rFonts w:hint="eastAsia" w:ascii="仿宋_GB2312" w:hAnsi="宋体" w:eastAsia="仿宋_GB2312" w:cs="宋体"/>
          <w:sz w:val="32"/>
          <w:szCs w:val="32"/>
        </w:rPr>
        <w:t>将第十二条修改为：“食品检验机构故意出具虚假检验报告，造成消费者损害，消费者请求其承担连带责任的，人民法院应予支持。</w:t>
      </w:r>
    </w:p>
    <w:p>
      <w:pPr>
        <w:pStyle w:val="2"/>
        <w:spacing w:line="520" w:lineRule="exact"/>
        <w:ind w:firstLine="640" w:firstLineChars="200"/>
        <w:rPr>
          <w:rFonts w:hint="eastAsia" w:ascii="仿宋_GB2312" w:hAnsi="宋体" w:eastAsia="仿宋_GB2312" w:cs="宋体"/>
          <w:sz w:val="32"/>
          <w:szCs w:val="32"/>
        </w:rPr>
      </w:pPr>
      <w:r>
        <w:rPr>
          <w:rFonts w:hint="eastAsia" w:ascii="仿宋_GB2312" w:hAnsi="宋体" w:eastAsia="仿宋_GB2312" w:cs="宋体"/>
          <w:sz w:val="32"/>
          <w:szCs w:val="32"/>
        </w:rPr>
        <w:t>食品检验机构因过失出具不实检验报告，造成消费者损害，消费者请求其承担相应责任的，人民法院应予支持。”</w:t>
      </w:r>
    </w:p>
    <w:p>
      <w:pPr>
        <w:pStyle w:val="2"/>
        <w:spacing w:line="520" w:lineRule="exact"/>
        <w:ind w:firstLine="640" w:firstLineChars="200"/>
        <w:rPr>
          <w:rFonts w:hint="eastAsia" w:ascii="仿宋_GB2312" w:hAnsi="宋体" w:eastAsia="仿宋_GB2312" w:cs="宋体"/>
          <w:sz w:val="32"/>
          <w:szCs w:val="32"/>
        </w:rPr>
      </w:pPr>
      <w:r>
        <w:rPr>
          <w:rFonts w:hint="eastAsia" w:ascii="仿宋_GB2312" w:hAnsi="宋体" w:eastAsia="仿宋_GB2312" w:cs="宋体"/>
          <w:sz w:val="32"/>
          <w:szCs w:val="32"/>
        </w:rPr>
        <w:t>本决定自2021年12月1日起施行。</w:t>
      </w:r>
    </w:p>
    <w:p>
      <w:pPr>
        <w:pStyle w:val="2"/>
        <w:spacing w:line="520" w:lineRule="exact"/>
        <w:ind w:firstLine="640" w:firstLineChars="200"/>
        <w:rPr>
          <w:rFonts w:hint="eastAsia" w:ascii="仿宋_GB2312" w:hAnsi="宋体" w:eastAsia="仿宋_GB2312" w:cs="宋体"/>
          <w:sz w:val="32"/>
          <w:szCs w:val="32"/>
        </w:rPr>
      </w:pPr>
      <w:r>
        <w:rPr>
          <w:rFonts w:hint="eastAsia" w:ascii="仿宋_GB2312" w:hAnsi="宋体" w:eastAsia="仿宋_GB2312" w:cs="宋体"/>
          <w:sz w:val="32"/>
          <w:szCs w:val="32"/>
        </w:rPr>
        <w:t>根据本决定，《最高人民法院关于审理食品药品纠纷案件适用法律若干问题的规定》作相应修改后，重新公布。</w:t>
      </w:r>
    </w:p>
    <w:p/>
    <w:sectPr>
      <w:footerReference r:id="rId3" w:type="default"/>
      <w:pgSz w:w="11906" w:h="16838"/>
      <w:pgMar w:top="1440" w:right="1800" w:bottom="1440" w:left="1800" w:header="851" w:footer="992" w:gutter="0"/>
      <w:pgNumType w:fmt="numberInDash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4718685</wp:posOffset>
              </wp:positionH>
              <wp:positionV relativeFrom="paragraph">
                <wp:posOffset>-123825</wp:posOffset>
              </wp:positionV>
              <wp:extent cx="593725" cy="321945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3725" cy="32194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371.55pt;margin-top:-9.75pt;height:25.35pt;width:46.75pt;mso-position-horizontal-relative:margin;z-index:251659264;mso-width-relative:page;mso-height-relative:page;" filled="f" stroked="f" coordsize="21600,21600" o:gfxdata="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cS8oXtoAAAAKAQAADwAAAAAAAAABACAAAAAiAAAAZHJzL2Rv&#10;d25yZXYueG1sUEsBAhQAFAAAAAgAh07iQI/ApJ44AgAAYQQAAA4AAAAAAAAAAQAgAAAAKQEAAGRy&#10;cy9lMm9Eb2MueG1sUEsFBgAAAAAGAAYAWQEAANMFAAAAAA==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pStyle w:val="3"/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</w:rPr>
                      <w:t>1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C72EF6"/>
    <w:rsid w:val="04251805"/>
    <w:rsid w:val="0B4323F9"/>
    <w:rsid w:val="0C523F69"/>
    <w:rsid w:val="5FC72EF6"/>
    <w:rsid w:val="6F231194"/>
    <w:rsid w:val="7E5A3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99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99"/>
    <w:rPr>
      <w:rFonts w:ascii="宋体" w:hAnsi="Courier New" w:cs="Courier New"/>
      <w:szCs w:val="21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2022-01-25T02:20:00Z</dcterms:created>
  <dc:creator>爱思思</dc:creator>
  <cp:lastModifiedBy>爱思思</cp:lastModifiedBy>
  <dcterms:modified xsi:type="dcterms:W3CDTF">2022-01-27T09:46:09Z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BD211DC38FFB46ED967DCEEFEAD1C492</vt:lpwstr>
  </property>
</Properties>
</file>