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最高人民法院</w:t>
      </w:r>
    </w:p>
    <w:p>
      <w:pPr>
        <w:jc w:val="center"/>
        <w:rPr>
          <w:rFonts w:ascii="宋体" w:hAnsi="宋体" w:eastAsia="宋体"/>
          <w:sz w:val="44"/>
        </w:rPr>
      </w:pPr>
      <w:r>
        <w:rPr>
          <w:rFonts w:ascii="宋体" w:hAnsi="宋体" w:eastAsia="宋体"/>
          <w:sz w:val="44"/>
        </w:rPr>
        <w:t>关于修改《最高人民法院关于知识产权法庭</w:t>
      </w:r>
    </w:p>
    <w:p>
      <w:pPr>
        <w:jc w:val="center"/>
      </w:pPr>
      <w:r>
        <w:rPr>
          <w:rFonts w:ascii="宋体" w:hAnsi="宋体" w:eastAsia="宋体"/>
          <w:sz w:val="44"/>
        </w:rPr>
        <w:t>若干问题的规定》的决定</w:t>
      </w:r>
    </w:p>
    <w:p>
      <w:pPr>
        <w:spacing w:after="0" w:line="240" w:lineRule="auto"/>
      </w:pPr>
      <w:r>
        <w:rPr>
          <w:rFonts w:ascii="宋体" w:hAnsi="宋体" w:eastAsia="宋体"/>
          <w:sz w:val="32"/>
        </w:rPr>
        <w:t>​</w:t>
      </w:r>
    </w:p>
    <w:p>
      <w:pPr>
        <w:spacing w:after="0" w:line="240" w:lineRule="auto"/>
        <w:ind w:left="640" w:right="640"/>
        <w:jc w:val="center"/>
        <w:rPr>
          <w:rFonts w:hint="eastAsia" w:ascii="仿宋_GB2312" w:hAnsi="仿宋_GB2312" w:eastAsia="仿宋_GB2312" w:cs="仿宋_GB2312"/>
          <w:sz w:val="32"/>
        </w:rPr>
      </w:pPr>
      <w:r>
        <w:rPr>
          <w:rFonts w:hint="eastAsia" w:ascii="仿宋_GB2312" w:hAnsi="仿宋_GB2312" w:eastAsia="仿宋_GB2312" w:cs="仿宋_GB2312"/>
          <w:sz w:val="32"/>
        </w:rPr>
        <w:t>法释</w:t>
      </w:r>
      <w:r>
        <w:rPr>
          <w:rFonts w:hint="default" w:ascii="Times New Roman" w:hAnsi="Times New Roman" w:eastAsia="仿宋_GB2312" w:cs="Times New Roman"/>
          <w:sz w:val="32"/>
        </w:rPr>
        <w:t>〔2023〕10</w:t>
      </w:r>
      <w:r>
        <w:rPr>
          <w:rFonts w:hint="eastAsia" w:ascii="仿宋_GB2312" w:hAnsi="仿宋_GB2312" w:eastAsia="仿宋_GB2312" w:cs="仿宋_GB2312"/>
          <w:sz w:val="32"/>
        </w:rPr>
        <w:t>号</w:t>
      </w:r>
    </w:p>
    <w:p>
      <w:pPr>
        <w:spacing w:after="0" w:line="240" w:lineRule="auto"/>
        <w:ind w:left="640" w:right="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（2023年10月16日最高人民法院审判委员会第1901次会议通过，自2023年11月1日起施行）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最高人民法院审判委员会第1901次会议决定，对《最高人民法院关于知识产权法庭若干问题的规定》作如下修改：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将第二条修改为：“知识产权法庭审理下列上诉案件：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（一）专利、植物新品种、集成电路布图设计授权确权行政上诉案件；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（二）发明专利、植物新品种、集成电路布图设计权属、侵权民事和行政上诉案件；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（三）重大、复杂的实用新型专利、技术秘密、计算机软件权属、侵权民事和行政上诉案件；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（四）垄断民事和行政上诉案件。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知识产权法庭审理下列其他案件：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（一）前款规定类型的全国范围内重大、复杂的第一审民事和行政案件；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（二）对前款规定的第一审民事和行政案件已经发生法律效力的判决、裁定、调解书依法申请再审、抗诉、再审等适用审判监督程序的案件；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（三）前款规定的第一审民事和行政案件管辖权争议，行为保全裁定申请复议，罚款、拘留决定申请复议，报请延长审限等案件；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（四）最高人民法院认为应当由知识产权法庭审理的其他案件。”</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将第三条修改为：“审理本规定第二条所称案件的下级人民法院应当按照规定及时向知识产权法庭移送纸质、电子卷宗。”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增加一条，作为第四条：“知识产权法庭可以要求当事人披露涉案知识产权相关权属、侵权、授权确权等关联案件情况。当事人拒不如实披露的，可以作为认定其是否遵循诚实信用原则和构成滥用权利等的考量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将第八条改为第七条：“知识产权法庭审理的案件的立案信息、合议庭组成人员、审判流程、裁判文书等依法公开。”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将第十一条改为第十条，将其中的“本规定第二条第一、二、三项所称第一审案件”改为“本规定第二条第一款规定类型的第一审民事和行政案件”。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删除第四条、第五条、第十二条、第十三条、第十四条。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其他条文序号作相应调整。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本决定自2023年11月1日起施行。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根据本决定，《最高人民法院关于知识产权法庭若干问题的规定》作相应修改后重新公布。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CC66F0"/>
    <w:rsid w:val="1F2E2C6D"/>
    <w:rsid w:val="344634A2"/>
    <w:rsid w:val="3DE63740"/>
    <w:rsid w:val="481351D2"/>
    <w:rsid w:val="53543565"/>
    <w:rsid w:val="558A062C"/>
    <w:rsid w:val="55F0505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2023-12-20T14:42:44Z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