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6BE" w:rsidRPr="00D016BE" w:rsidRDefault="00BA4F68" w:rsidP="00D016BE">
      <w:pPr>
        <w:pStyle w:val="ab"/>
        <w:ind w:firstLine="640"/>
        <w:rPr>
          <w:rFonts w:hint="eastAsia"/>
        </w:rPr>
      </w:pPr>
      <w:r w:rsidRPr="00D016BE">
        <w:rPr>
          <w:rFonts w:hint="eastAsia"/>
        </w:rPr>
        <w:cr/>
      </w:r>
    </w:p>
    <w:p w:rsidR="004653BC" w:rsidRPr="00D016BE" w:rsidRDefault="00BA4F68" w:rsidP="00D016BE">
      <w:pPr>
        <w:pStyle w:val="a8"/>
      </w:pPr>
      <w:r w:rsidRPr="00D016BE">
        <w:rPr>
          <w:rFonts w:hint="eastAsia"/>
        </w:rPr>
        <w:t>最高人民法院</w:t>
      </w:r>
    </w:p>
    <w:p w:rsidR="004653BC" w:rsidRPr="00482EE2" w:rsidRDefault="00BA4F68" w:rsidP="00482EE2">
      <w:pPr>
        <w:pStyle w:val="a8"/>
      </w:pPr>
      <w:r w:rsidRPr="00482EE2">
        <w:rPr>
          <w:rFonts w:hint="eastAsia"/>
        </w:rPr>
        <w:t>关于内地与香港特别行政区法院</w:t>
      </w:r>
    </w:p>
    <w:p w:rsidR="004653BC" w:rsidRDefault="00BA4F68" w:rsidP="00482EE2">
      <w:pPr>
        <w:pStyle w:val="a8"/>
      </w:pPr>
      <w:r w:rsidRPr="00482EE2">
        <w:rPr>
          <w:rFonts w:hint="eastAsia"/>
        </w:rPr>
        <w:t>相互认可和执行婚姻家庭民事案件判决的安排</w:t>
      </w:r>
    </w:p>
    <w:p w:rsidR="00482EE2" w:rsidRDefault="00482EE2" w:rsidP="00482EE2">
      <w:pPr>
        <w:pStyle w:val="ab"/>
        <w:ind w:firstLine="640"/>
      </w:pPr>
    </w:p>
    <w:p w:rsidR="00482EE2" w:rsidRPr="00482EE2" w:rsidRDefault="00482EE2" w:rsidP="00482EE2">
      <w:pPr>
        <w:pStyle w:val="a9"/>
      </w:pPr>
      <w:r w:rsidRPr="00482EE2">
        <w:rPr>
          <w:rFonts w:hint="eastAsia"/>
        </w:rPr>
        <w:t>法释〔2022〕4号</w:t>
      </w:r>
    </w:p>
    <w:p w:rsidR="00482EE2" w:rsidRPr="00482EE2" w:rsidRDefault="00482EE2" w:rsidP="00482EE2">
      <w:pPr>
        <w:pStyle w:val="ab"/>
        <w:ind w:firstLine="640"/>
      </w:pPr>
    </w:p>
    <w:p w:rsidR="00482EE2" w:rsidRDefault="00BA4F68" w:rsidP="00482EE2">
      <w:pPr>
        <w:pStyle w:val="aa"/>
        <w:ind w:left="630" w:right="630"/>
      </w:pPr>
      <w:r>
        <w:rPr>
          <w:rFonts w:hint="eastAsia"/>
        </w:rPr>
        <w:t>（2017年5月22日由最高人民法院审判委员会第1718次会议通过，自2022年2月15日起施行。）</w:t>
      </w:r>
    </w:p>
    <w:p w:rsidR="00482EE2" w:rsidRDefault="00482EE2" w:rsidP="00482EE2">
      <w:pPr>
        <w:pStyle w:val="ab"/>
        <w:ind w:firstLine="640"/>
      </w:pPr>
    </w:p>
    <w:p w:rsidR="004653BC" w:rsidRPr="006465AA" w:rsidRDefault="00BA4F68" w:rsidP="006465AA">
      <w:pPr>
        <w:pStyle w:val="ab"/>
        <w:ind w:firstLine="656"/>
        <w:rPr>
          <w:spacing w:val="4"/>
        </w:rPr>
      </w:pPr>
      <w:r w:rsidRPr="006465AA">
        <w:rPr>
          <w:rFonts w:hint="eastAsia"/>
          <w:spacing w:val="4"/>
        </w:rPr>
        <w:t>根据《中华人民共和国香港特别行政区基本法》第九十五条的规定，最高人民法院与香港特别行政区政府经协商，现就婚姻家庭民事案件判决的认可和执行问题作出如下安排。</w:t>
      </w:r>
    </w:p>
    <w:p w:rsidR="004653BC" w:rsidRDefault="00BA4F68" w:rsidP="00D91B04">
      <w:pPr>
        <w:pStyle w:val="ab"/>
        <w:ind w:firstLine="640"/>
      </w:pPr>
      <w:r w:rsidRPr="004D308D">
        <w:rPr>
          <w:rStyle w:val="ac"/>
          <w:rFonts w:hint="eastAsia"/>
        </w:rPr>
        <w:t>第一条</w:t>
      </w:r>
      <w:r w:rsidR="004D308D" w:rsidRPr="004D308D">
        <w:rPr>
          <w:rStyle w:val="ac"/>
          <w:rFonts w:hint="eastAsia"/>
        </w:rPr>
        <w:t xml:space="preserve">　</w:t>
      </w:r>
      <w:r>
        <w:rPr>
          <w:rFonts w:hint="eastAsia"/>
        </w:rPr>
        <w:t>当事人向香港特别行政区法院申请认可和执行内地人民法院就婚姻家庭民事案件作出的生效判决，或者向内地人民法院申请认可和执行香港特别行政区法院就婚姻家庭民事案件作出的生效判决的，适用本安排。</w:t>
      </w:r>
    </w:p>
    <w:p w:rsidR="004653BC" w:rsidRDefault="00BA4F68" w:rsidP="00D91B04">
      <w:pPr>
        <w:pStyle w:val="ab"/>
        <w:ind w:firstLine="640"/>
      </w:pPr>
      <w:r>
        <w:rPr>
          <w:rFonts w:hint="eastAsia"/>
        </w:rPr>
        <w:t>当事人向香港特别行政区法院申请认可内地民政部门所发的离婚证，或者向内地人民法院申请认可依据《婚姻制度改革条例》（香港法例第178章）第V部、第VA部规定解除婚姻的协议书、备忘录的，参照适用本安排。</w:t>
      </w:r>
    </w:p>
    <w:p w:rsidR="004653BC" w:rsidRDefault="00BA4F68" w:rsidP="00D91B04">
      <w:pPr>
        <w:pStyle w:val="ab"/>
        <w:ind w:firstLine="640"/>
      </w:pPr>
      <w:r w:rsidRPr="004D308D">
        <w:rPr>
          <w:rStyle w:val="ac"/>
          <w:rFonts w:hint="eastAsia"/>
        </w:rPr>
        <w:lastRenderedPageBreak/>
        <w:t>第二条</w:t>
      </w:r>
      <w:r w:rsidR="004D308D" w:rsidRPr="004D308D">
        <w:rPr>
          <w:rStyle w:val="ac"/>
          <w:rFonts w:hint="eastAsia"/>
        </w:rPr>
        <w:t xml:space="preserve">　</w:t>
      </w:r>
      <w:r>
        <w:rPr>
          <w:rFonts w:hint="eastAsia"/>
        </w:rPr>
        <w:t>本安排所称生效判决:</w:t>
      </w:r>
    </w:p>
    <w:p w:rsidR="004653BC" w:rsidRDefault="00BA4F68" w:rsidP="00D91B04">
      <w:pPr>
        <w:pStyle w:val="ab"/>
        <w:ind w:firstLine="640"/>
      </w:pPr>
      <w:r>
        <w:rPr>
          <w:rFonts w:hint="eastAsia"/>
        </w:rPr>
        <w:t>（一）在内地，是指第二审判决，依法不准上诉或者超过法定期限没有上诉的第一审判决，以及依照审判监督程序作出的上述判决；</w:t>
      </w:r>
    </w:p>
    <w:p w:rsidR="004653BC" w:rsidRDefault="00BA4F68" w:rsidP="00D91B04">
      <w:pPr>
        <w:pStyle w:val="ab"/>
        <w:ind w:firstLine="640"/>
      </w:pPr>
      <w:r>
        <w:rPr>
          <w:rFonts w:hint="eastAsia"/>
        </w:rPr>
        <w:t>（二）在香港特别行政区，是指终审法院、高等法院上诉法庭及原讼法庭和区域法院作出的已经发生法律效力的判决，包括依据香港法律可以在生效后作出更改的命令。</w:t>
      </w:r>
    </w:p>
    <w:p w:rsidR="004653BC" w:rsidRDefault="00BA4F68" w:rsidP="00D91B04">
      <w:pPr>
        <w:pStyle w:val="ab"/>
        <w:ind w:firstLine="640"/>
      </w:pPr>
      <w:r>
        <w:rPr>
          <w:rFonts w:hint="eastAsia"/>
        </w:rPr>
        <w:t>前款所称判决，在内地包括判决、裁定、调解书，在香港特别行政区包括判决、命令、判令、讼费评定证明书、定额讼费证明书，但不包括双方依据其法律承认的其他国家和地区法院作出的判决。</w:t>
      </w:r>
    </w:p>
    <w:p w:rsidR="004653BC" w:rsidRDefault="00BA4F68" w:rsidP="00D91B04">
      <w:pPr>
        <w:pStyle w:val="ab"/>
        <w:ind w:firstLine="640"/>
      </w:pPr>
      <w:r w:rsidRPr="004D308D">
        <w:rPr>
          <w:rStyle w:val="ac"/>
          <w:rFonts w:hint="eastAsia"/>
        </w:rPr>
        <w:t>第三条</w:t>
      </w:r>
      <w:r w:rsidR="004D308D" w:rsidRPr="004D308D">
        <w:rPr>
          <w:rStyle w:val="ac"/>
          <w:rFonts w:hint="eastAsia"/>
        </w:rPr>
        <w:t xml:space="preserve">　</w:t>
      </w:r>
      <w:r>
        <w:rPr>
          <w:rFonts w:hint="eastAsia"/>
        </w:rPr>
        <w:t>本安排所称婚姻家庭民事案件:</w:t>
      </w:r>
    </w:p>
    <w:p w:rsidR="004653BC" w:rsidRDefault="00BA4F68" w:rsidP="00D91B04">
      <w:pPr>
        <w:pStyle w:val="ab"/>
        <w:ind w:firstLine="640"/>
      </w:pPr>
      <w:r>
        <w:rPr>
          <w:rFonts w:hint="eastAsia"/>
        </w:rPr>
        <w:t>（一）在内地是指：</w:t>
      </w:r>
    </w:p>
    <w:p w:rsidR="004653BC" w:rsidRDefault="00BA4F68" w:rsidP="00D91B04">
      <w:pPr>
        <w:pStyle w:val="ab"/>
        <w:ind w:firstLine="640"/>
      </w:pPr>
      <w:r>
        <w:rPr>
          <w:rFonts w:hint="eastAsia"/>
        </w:rPr>
        <w:t>1.婚内夫妻财产分割纠纷案件；</w:t>
      </w:r>
    </w:p>
    <w:p w:rsidR="004653BC" w:rsidRDefault="00BA4F68" w:rsidP="00D91B04">
      <w:pPr>
        <w:pStyle w:val="ab"/>
        <w:ind w:firstLine="640"/>
      </w:pPr>
      <w:r>
        <w:rPr>
          <w:rFonts w:hint="eastAsia"/>
        </w:rPr>
        <w:t>2.离婚纠纷案件；</w:t>
      </w:r>
    </w:p>
    <w:p w:rsidR="004653BC" w:rsidRDefault="00BA4F68" w:rsidP="00D91B04">
      <w:pPr>
        <w:pStyle w:val="ab"/>
        <w:ind w:firstLine="640"/>
      </w:pPr>
      <w:r>
        <w:rPr>
          <w:rFonts w:hint="eastAsia"/>
        </w:rPr>
        <w:t>3.离婚后财产纠纷案件；</w:t>
      </w:r>
    </w:p>
    <w:p w:rsidR="004653BC" w:rsidRDefault="00BA4F68" w:rsidP="00D91B04">
      <w:pPr>
        <w:pStyle w:val="ab"/>
        <w:ind w:firstLine="640"/>
      </w:pPr>
      <w:r>
        <w:rPr>
          <w:rFonts w:hint="eastAsia"/>
        </w:rPr>
        <w:t>4.婚姻无效纠纷案件；</w:t>
      </w:r>
    </w:p>
    <w:p w:rsidR="004653BC" w:rsidRDefault="00BA4F68" w:rsidP="00D91B04">
      <w:pPr>
        <w:pStyle w:val="ab"/>
        <w:ind w:firstLine="640"/>
      </w:pPr>
      <w:r>
        <w:rPr>
          <w:rFonts w:hint="eastAsia"/>
        </w:rPr>
        <w:t>5.撤销婚姻纠纷案件；</w:t>
      </w:r>
    </w:p>
    <w:p w:rsidR="004653BC" w:rsidRDefault="00BA4F68" w:rsidP="00D91B04">
      <w:pPr>
        <w:pStyle w:val="ab"/>
        <w:ind w:firstLine="640"/>
      </w:pPr>
      <w:r>
        <w:rPr>
          <w:rFonts w:hint="eastAsia"/>
        </w:rPr>
        <w:t>6.夫妻财产约定纠纷案件；</w:t>
      </w:r>
    </w:p>
    <w:p w:rsidR="004653BC" w:rsidRDefault="00BA4F68" w:rsidP="00D91B04">
      <w:pPr>
        <w:pStyle w:val="ab"/>
        <w:ind w:firstLine="640"/>
      </w:pPr>
      <w:r>
        <w:rPr>
          <w:rFonts w:hint="eastAsia"/>
        </w:rPr>
        <w:t>7.同居关系子女抚养纠纷案件；</w:t>
      </w:r>
    </w:p>
    <w:p w:rsidR="004653BC" w:rsidRDefault="00BA4F68" w:rsidP="00D91B04">
      <w:pPr>
        <w:pStyle w:val="ab"/>
        <w:ind w:firstLine="640"/>
      </w:pPr>
      <w:r>
        <w:rPr>
          <w:rFonts w:hint="eastAsia"/>
        </w:rPr>
        <w:t>8.亲子关系确认纠纷案件；</w:t>
      </w:r>
    </w:p>
    <w:p w:rsidR="004653BC" w:rsidRDefault="00BA4F68" w:rsidP="00D91B04">
      <w:pPr>
        <w:pStyle w:val="ab"/>
        <w:ind w:firstLine="640"/>
      </w:pPr>
      <w:r>
        <w:rPr>
          <w:rFonts w:hint="eastAsia"/>
        </w:rPr>
        <w:t>9.抚养纠纷案件；</w:t>
      </w:r>
    </w:p>
    <w:p w:rsidR="004653BC" w:rsidRDefault="00BA4F68" w:rsidP="00D91B04">
      <w:pPr>
        <w:pStyle w:val="ab"/>
        <w:ind w:firstLine="640"/>
      </w:pPr>
      <w:r>
        <w:rPr>
          <w:rFonts w:hint="eastAsia"/>
        </w:rPr>
        <w:t>10.扶养纠纷案件（限于夫妻之间扶养纠纷）；</w:t>
      </w:r>
    </w:p>
    <w:p w:rsidR="004653BC" w:rsidRDefault="00BA4F68" w:rsidP="00D91B04">
      <w:pPr>
        <w:pStyle w:val="ab"/>
        <w:ind w:firstLine="640"/>
      </w:pPr>
      <w:r>
        <w:rPr>
          <w:rFonts w:hint="eastAsia"/>
        </w:rPr>
        <w:t>11.确认收养关系纠纷案件；</w:t>
      </w:r>
    </w:p>
    <w:p w:rsidR="004653BC" w:rsidRDefault="00BA4F68" w:rsidP="00D91B04">
      <w:pPr>
        <w:pStyle w:val="ab"/>
        <w:ind w:firstLine="640"/>
      </w:pPr>
      <w:r>
        <w:rPr>
          <w:rFonts w:hint="eastAsia"/>
        </w:rPr>
        <w:lastRenderedPageBreak/>
        <w:t>12.监护权纠纷案件（限于未成年子女监护权纠纷）；</w:t>
      </w:r>
    </w:p>
    <w:p w:rsidR="004653BC" w:rsidRDefault="00BA4F68" w:rsidP="00D91B04">
      <w:pPr>
        <w:pStyle w:val="ab"/>
        <w:ind w:firstLine="640"/>
      </w:pPr>
      <w:r>
        <w:rPr>
          <w:rFonts w:hint="eastAsia"/>
        </w:rPr>
        <w:t>13.探望权纠纷案件；</w:t>
      </w:r>
    </w:p>
    <w:p w:rsidR="004653BC" w:rsidRDefault="00BA4F68" w:rsidP="00D91B04">
      <w:pPr>
        <w:pStyle w:val="ab"/>
        <w:ind w:firstLine="640"/>
      </w:pPr>
      <w:r>
        <w:rPr>
          <w:rFonts w:hint="eastAsia"/>
        </w:rPr>
        <w:t>14.申请人身安全保护令案件。</w:t>
      </w:r>
    </w:p>
    <w:p w:rsidR="004653BC" w:rsidRDefault="00BA4F68" w:rsidP="00D91B04">
      <w:pPr>
        <w:pStyle w:val="ab"/>
        <w:ind w:firstLine="640"/>
      </w:pPr>
      <w:r>
        <w:rPr>
          <w:rFonts w:hint="eastAsia"/>
        </w:rPr>
        <w:t>（二）在香港特别行政区是指：</w:t>
      </w:r>
    </w:p>
    <w:p w:rsidR="004653BC" w:rsidRDefault="00BA4F68" w:rsidP="00D91B04">
      <w:pPr>
        <w:pStyle w:val="ab"/>
        <w:ind w:firstLine="640"/>
      </w:pPr>
      <w:r>
        <w:rPr>
          <w:rFonts w:hint="eastAsia"/>
        </w:rPr>
        <w:t>1.依据香港法例第179章《婚姻诉讼条例》第III部作出的离婚绝对判令；</w:t>
      </w:r>
    </w:p>
    <w:p w:rsidR="004653BC" w:rsidRDefault="00BA4F68" w:rsidP="00D91B04">
      <w:pPr>
        <w:pStyle w:val="ab"/>
        <w:ind w:firstLine="640"/>
      </w:pPr>
      <w:r>
        <w:rPr>
          <w:rFonts w:hint="eastAsia"/>
        </w:rPr>
        <w:t>2.依据香港法例第179章《婚姻诉讼条例》第IV部作出的婚姻无效绝对判令；</w:t>
      </w:r>
    </w:p>
    <w:p w:rsidR="004653BC" w:rsidRDefault="00BA4F68" w:rsidP="00D91B04">
      <w:pPr>
        <w:pStyle w:val="ab"/>
        <w:ind w:firstLine="640"/>
      </w:pPr>
      <w:r>
        <w:rPr>
          <w:rFonts w:hint="eastAsia"/>
        </w:rPr>
        <w:t>3.依据香港法例第192章《婚姻法律程序与财产条例》作出的在讼案待决期间提供赡养费令；</w:t>
      </w:r>
    </w:p>
    <w:p w:rsidR="004653BC" w:rsidRDefault="00BA4F68" w:rsidP="00D91B04">
      <w:pPr>
        <w:pStyle w:val="ab"/>
        <w:ind w:firstLine="640"/>
      </w:pPr>
      <w:r>
        <w:rPr>
          <w:rFonts w:hint="eastAsia"/>
        </w:rPr>
        <w:t>4.依据香港法例第13章《未成年人监护条例》、第16章《分居令及赡养令条例》、第192章《婚姻法律程序与财产条例》第II部、第IIA部作出的赡养令；</w:t>
      </w:r>
    </w:p>
    <w:p w:rsidR="004653BC" w:rsidRDefault="00BA4F68" w:rsidP="00D91B04">
      <w:pPr>
        <w:pStyle w:val="ab"/>
        <w:ind w:firstLine="640"/>
      </w:pPr>
      <w:r>
        <w:rPr>
          <w:rFonts w:hint="eastAsia"/>
        </w:rPr>
        <w:t>5.依据香港法例第13章《未成年人监护条例》、第192章《婚姻法律程序与财产条例》第II部、第IIA部作出的财产转让及出售财产令；</w:t>
      </w:r>
    </w:p>
    <w:p w:rsidR="004653BC" w:rsidRDefault="00BA4F68" w:rsidP="00D91B04">
      <w:pPr>
        <w:pStyle w:val="ab"/>
        <w:ind w:firstLine="640"/>
      </w:pPr>
      <w:r>
        <w:rPr>
          <w:rFonts w:hint="eastAsia"/>
        </w:rPr>
        <w:t>6.依据香港法例第182章《已婚者地位条例》作出的有关财产的命令；</w:t>
      </w:r>
    </w:p>
    <w:p w:rsidR="004653BC" w:rsidRDefault="00BA4F68" w:rsidP="00D91B04">
      <w:pPr>
        <w:pStyle w:val="ab"/>
        <w:ind w:firstLine="640"/>
      </w:pPr>
      <w:r>
        <w:rPr>
          <w:rFonts w:hint="eastAsia"/>
        </w:rPr>
        <w:t>7.依据香港法例第192章《婚姻法律程序与财产条例》在双方在生时作出的修改赡养协议的命令；</w:t>
      </w:r>
    </w:p>
    <w:p w:rsidR="004653BC" w:rsidRDefault="00BA4F68" w:rsidP="00D91B04">
      <w:pPr>
        <w:pStyle w:val="ab"/>
        <w:ind w:firstLine="640"/>
      </w:pPr>
      <w:r>
        <w:rPr>
          <w:rFonts w:hint="eastAsia"/>
        </w:rPr>
        <w:t>8.依据香港法例第290章《领养条例》作出的领养令；</w:t>
      </w:r>
    </w:p>
    <w:p w:rsidR="004653BC" w:rsidRDefault="00BA4F68" w:rsidP="00D91B04">
      <w:pPr>
        <w:pStyle w:val="ab"/>
        <w:ind w:firstLine="640"/>
      </w:pPr>
      <w:r>
        <w:rPr>
          <w:rFonts w:hint="eastAsia"/>
        </w:rPr>
        <w:t>9.依据香港法例第179章《婚姻诉讼条例》、第429章《父母与子女条例》作出的父母身份、婚生地位或者确立婚生地位的宣告；</w:t>
      </w:r>
    </w:p>
    <w:p w:rsidR="004653BC" w:rsidRDefault="00BA4F68" w:rsidP="00D91B04">
      <w:pPr>
        <w:pStyle w:val="ab"/>
        <w:ind w:firstLine="640"/>
      </w:pPr>
      <w:r>
        <w:rPr>
          <w:rFonts w:hint="eastAsia"/>
        </w:rPr>
        <w:lastRenderedPageBreak/>
        <w:t>10.依据香港法例第13章《未成年人监护条例》、第16章《分居令及赡养令条例》、第192章《婚姻法律程序与财产条例》作出的管养令；</w:t>
      </w:r>
    </w:p>
    <w:p w:rsidR="004653BC" w:rsidRDefault="00BA4F68" w:rsidP="00D91B04">
      <w:pPr>
        <w:pStyle w:val="ab"/>
        <w:ind w:firstLine="640"/>
      </w:pPr>
      <w:r>
        <w:rPr>
          <w:rFonts w:hint="eastAsia"/>
        </w:rPr>
        <w:t>11.就受香港法院监护的未成年子女作出的管养令；</w:t>
      </w:r>
    </w:p>
    <w:p w:rsidR="004653BC" w:rsidRDefault="00BA4F68" w:rsidP="00D91B04">
      <w:pPr>
        <w:pStyle w:val="ab"/>
        <w:ind w:firstLine="640"/>
      </w:pPr>
      <w:r>
        <w:rPr>
          <w:rFonts w:hint="eastAsia"/>
        </w:rPr>
        <w:t>12.依据香港法例第189章《家庭及同居关系暴力条例》作出的禁制骚扰令、驱逐令、重返令或者更改、暂停执行就未成年子女的管养令、探视令。</w:t>
      </w:r>
    </w:p>
    <w:p w:rsidR="004653BC" w:rsidRDefault="00BA4F68" w:rsidP="00D91B04">
      <w:pPr>
        <w:pStyle w:val="ab"/>
        <w:ind w:firstLine="640"/>
      </w:pPr>
      <w:r w:rsidRPr="004177DF">
        <w:rPr>
          <w:rStyle w:val="ac"/>
          <w:rFonts w:hint="eastAsia"/>
        </w:rPr>
        <w:t>第四条</w:t>
      </w:r>
      <w:r w:rsidR="004177DF" w:rsidRPr="004177DF">
        <w:rPr>
          <w:rStyle w:val="ac"/>
          <w:rFonts w:hint="eastAsia"/>
        </w:rPr>
        <w:t xml:space="preserve">　</w:t>
      </w:r>
      <w:r>
        <w:rPr>
          <w:rFonts w:hint="eastAsia"/>
        </w:rPr>
        <w:t>申请认可和执行本安排规定的判决：</w:t>
      </w:r>
    </w:p>
    <w:p w:rsidR="004653BC" w:rsidRDefault="00BA4F68" w:rsidP="00D91B04">
      <w:pPr>
        <w:pStyle w:val="ab"/>
        <w:ind w:firstLine="640"/>
      </w:pPr>
      <w:r>
        <w:rPr>
          <w:rFonts w:hint="eastAsia"/>
        </w:rPr>
        <w:t>（一）在内地向申请人住所地、经常居住地或者被申请人住所地、经常居住地、财产所在地的中级人民法院提出;</w:t>
      </w:r>
    </w:p>
    <w:p w:rsidR="004653BC" w:rsidRDefault="00BA4F68" w:rsidP="00D91B04">
      <w:pPr>
        <w:pStyle w:val="ab"/>
        <w:ind w:firstLine="640"/>
      </w:pPr>
      <w:r>
        <w:rPr>
          <w:rFonts w:hint="eastAsia"/>
        </w:rPr>
        <w:t>（二）在香港特别行政区向区域法院提出。</w:t>
      </w:r>
    </w:p>
    <w:p w:rsidR="004653BC" w:rsidRDefault="00BA4F68" w:rsidP="00D91B04">
      <w:pPr>
        <w:pStyle w:val="ab"/>
        <w:ind w:firstLine="640"/>
      </w:pPr>
      <w:r>
        <w:rPr>
          <w:rFonts w:hint="eastAsia"/>
        </w:rPr>
        <w:t>申请人应当向符合前款第一项规定的其中一个人民法院提出申请。向两个以上有管辖权的人民法院提出申请的，由最先立案的人民法院管辖。</w:t>
      </w:r>
    </w:p>
    <w:p w:rsidR="004653BC" w:rsidRDefault="00BA4F68" w:rsidP="00D91B04">
      <w:pPr>
        <w:pStyle w:val="ab"/>
        <w:ind w:firstLine="640"/>
      </w:pPr>
      <w:r w:rsidRPr="004177DF">
        <w:rPr>
          <w:rStyle w:val="ac"/>
          <w:rFonts w:hint="eastAsia"/>
        </w:rPr>
        <w:t>第五条</w:t>
      </w:r>
      <w:r w:rsidR="004177DF" w:rsidRPr="004177DF">
        <w:rPr>
          <w:rStyle w:val="ac"/>
          <w:rFonts w:hint="eastAsia"/>
        </w:rPr>
        <w:t xml:space="preserve">　</w:t>
      </w:r>
      <w:r>
        <w:rPr>
          <w:rFonts w:hint="eastAsia"/>
        </w:rPr>
        <w:t>申请认可和执行本安排第一条第一款规定的判决的，应当提交下列材料：</w:t>
      </w:r>
    </w:p>
    <w:p w:rsidR="004653BC" w:rsidRDefault="00BA4F68" w:rsidP="00D91B04">
      <w:pPr>
        <w:pStyle w:val="ab"/>
        <w:ind w:firstLine="640"/>
      </w:pPr>
      <w:r>
        <w:rPr>
          <w:rFonts w:hint="eastAsia"/>
        </w:rPr>
        <w:t>（一）申请书；</w:t>
      </w:r>
    </w:p>
    <w:p w:rsidR="004653BC" w:rsidRDefault="00BA4F68" w:rsidP="00D91B04">
      <w:pPr>
        <w:pStyle w:val="ab"/>
        <w:ind w:firstLine="640"/>
      </w:pPr>
      <w:r>
        <w:rPr>
          <w:rFonts w:hint="eastAsia"/>
        </w:rPr>
        <w:t>（二）经作出生效判决的法院盖章的判决副本；</w:t>
      </w:r>
    </w:p>
    <w:p w:rsidR="004653BC" w:rsidRDefault="00BA4F68" w:rsidP="00D91B04">
      <w:pPr>
        <w:pStyle w:val="ab"/>
        <w:ind w:firstLine="640"/>
      </w:pPr>
      <w:r>
        <w:rPr>
          <w:rFonts w:hint="eastAsia"/>
        </w:rPr>
        <w:t>（三）作出生效判决的法院出具的证明书，证明该判决属于本安排规定的婚姻家庭民事案件生效判决；</w:t>
      </w:r>
    </w:p>
    <w:p w:rsidR="004653BC" w:rsidRDefault="00BA4F68" w:rsidP="00D91B04">
      <w:pPr>
        <w:pStyle w:val="ab"/>
        <w:ind w:firstLine="640"/>
      </w:pPr>
      <w:r>
        <w:rPr>
          <w:rFonts w:hint="eastAsia"/>
        </w:rPr>
        <w:t>（四）判决为缺席判决的，应当提交法院已经合法传唤当事人的证明文件，但判决已经对此予以明确说明或者缺席方提出申请的除外；</w:t>
      </w:r>
    </w:p>
    <w:p w:rsidR="004653BC" w:rsidRDefault="00BA4F68" w:rsidP="00D91B04">
      <w:pPr>
        <w:pStyle w:val="ab"/>
        <w:ind w:firstLine="640"/>
      </w:pPr>
      <w:r>
        <w:rPr>
          <w:rFonts w:hint="eastAsia"/>
        </w:rPr>
        <w:t>（五）经公证的身份证件复印件。</w:t>
      </w:r>
    </w:p>
    <w:p w:rsidR="004653BC" w:rsidRDefault="00BA4F68" w:rsidP="00D91B04">
      <w:pPr>
        <w:pStyle w:val="ab"/>
        <w:ind w:firstLine="640"/>
      </w:pPr>
      <w:r>
        <w:rPr>
          <w:rFonts w:hint="eastAsia"/>
        </w:rPr>
        <w:lastRenderedPageBreak/>
        <w:t>申请认可本安排第一条第二款规定的离婚证或者协议书、备忘录的，应当提交下列材料：</w:t>
      </w:r>
    </w:p>
    <w:p w:rsidR="004653BC" w:rsidRDefault="00BA4F68" w:rsidP="00D91B04">
      <w:pPr>
        <w:pStyle w:val="ab"/>
        <w:ind w:firstLine="640"/>
      </w:pPr>
      <w:r>
        <w:rPr>
          <w:rFonts w:hint="eastAsia"/>
        </w:rPr>
        <w:t>（一）申请书；</w:t>
      </w:r>
    </w:p>
    <w:p w:rsidR="004653BC" w:rsidRDefault="00BA4F68" w:rsidP="00D91B04">
      <w:pPr>
        <w:pStyle w:val="ab"/>
        <w:ind w:firstLine="640"/>
      </w:pPr>
      <w:r>
        <w:rPr>
          <w:rFonts w:hint="eastAsia"/>
        </w:rPr>
        <w:t>（二）经公证的离婚证复印件，或者经公证的协议书、备忘录复印件；</w:t>
      </w:r>
    </w:p>
    <w:p w:rsidR="004653BC" w:rsidRDefault="00BA4F68" w:rsidP="00D91B04">
      <w:pPr>
        <w:pStyle w:val="ab"/>
        <w:ind w:firstLine="640"/>
      </w:pPr>
      <w:r>
        <w:rPr>
          <w:rFonts w:hint="eastAsia"/>
        </w:rPr>
        <w:t>（三）经公证的身份证件复印件。</w:t>
      </w:r>
    </w:p>
    <w:p w:rsidR="004653BC" w:rsidRDefault="00BA4F68" w:rsidP="00D91B04">
      <w:pPr>
        <w:pStyle w:val="ab"/>
        <w:ind w:firstLine="640"/>
      </w:pPr>
      <w:r>
        <w:rPr>
          <w:rFonts w:hint="eastAsia"/>
        </w:rPr>
        <w:t>向内地人民法院提交的文件没有中文文本的，应当提交准确的中文译本。</w:t>
      </w:r>
    </w:p>
    <w:p w:rsidR="004653BC" w:rsidRDefault="00BA4F68" w:rsidP="00D91B04">
      <w:pPr>
        <w:pStyle w:val="ab"/>
        <w:ind w:firstLine="640"/>
      </w:pPr>
      <w:r w:rsidRPr="004177DF">
        <w:rPr>
          <w:rStyle w:val="ac"/>
          <w:rFonts w:hint="eastAsia"/>
        </w:rPr>
        <w:t>第六条</w:t>
      </w:r>
      <w:r w:rsidR="004177DF" w:rsidRPr="004177DF">
        <w:rPr>
          <w:rStyle w:val="ac"/>
          <w:rFonts w:hint="eastAsia"/>
        </w:rPr>
        <w:t xml:space="preserve">　</w:t>
      </w:r>
      <w:r>
        <w:rPr>
          <w:rFonts w:hint="eastAsia"/>
        </w:rPr>
        <w:t>申请书应当载明下列事项：</w:t>
      </w:r>
    </w:p>
    <w:p w:rsidR="004653BC" w:rsidRDefault="00BA4F68" w:rsidP="00D91B04">
      <w:pPr>
        <w:pStyle w:val="ab"/>
        <w:ind w:firstLine="640"/>
      </w:pPr>
      <w:r>
        <w:rPr>
          <w:rFonts w:hint="eastAsia"/>
        </w:rPr>
        <w:t>（一）当事人的基本情况，包括姓名、住所、身份证件信息、通讯方式等；</w:t>
      </w:r>
    </w:p>
    <w:p w:rsidR="004653BC" w:rsidRDefault="00BA4F68" w:rsidP="00D91B04">
      <w:pPr>
        <w:pStyle w:val="ab"/>
        <w:ind w:firstLine="640"/>
      </w:pPr>
      <w:r>
        <w:rPr>
          <w:rFonts w:hint="eastAsia"/>
        </w:rPr>
        <w:t>（二）请求事项和理由，申请执行的，还需提供被申请人的财产状况和财产所在地；</w:t>
      </w:r>
    </w:p>
    <w:p w:rsidR="004653BC" w:rsidRDefault="00BA4F68" w:rsidP="00D91B04">
      <w:pPr>
        <w:pStyle w:val="ab"/>
        <w:ind w:firstLine="640"/>
      </w:pPr>
      <w:r>
        <w:rPr>
          <w:rFonts w:hint="eastAsia"/>
        </w:rPr>
        <w:t>（三）判决是否已在其他法院申请执行和执行情况。</w:t>
      </w:r>
    </w:p>
    <w:p w:rsidR="004653BC" w:rsidRDefault="00BA4F68" w:rsidP="00D91B04">
      <w:pPr>
        <w:pStyle w:val="ab"/>
        <w:ind w:firstLine="640"/>
      </w:pPr>
      <w:r w:rsidRPr="004177DF">
        <w:rPr>
          <w:rStyle w:val="ac"/>
          <w:rFonts w:hint="eastAsia"/>
        </w:rPr>
        <w:t>第七条</w:t>
      </w:r>
      <w:r w:rsidR="004177DF" w:rsidRPr="004177DF">
        <w:rPr>
          <w:rStyle w:val="ac"/>
          <w:rFonts w:hint="eastAsia"/>
        </w:rPr>
        <w:t xml:space="preserve">　</w:t>
      </w:r>
      <w:r>
        <w:rPr>
          <w:rFonts w:hint="eastAsia"/>
        </w:rPr>
        <w:t>申请认可和执行判决的期间、程序和方式，应当依据被请求方法律的规定。</w:t>
      </w:r>
    </w:p>
    <w:p w:rsidR="004653BC" w:rsidRDefault="00BA4F68" w:rsidP="00D91B04">
      <w:pPr>
        <w:pStyle w:val="ab"/>
        <w:ind w:firstLine="640"/>
      </w:pPr>
      <w:r w:rsidRPr="004177DF">
        <w:rPr>
          <w:rStyle w:val="ac"/>
          <w:rFonts w:hint="eastAsia"/>
        </w:rPr>
        <w:t>第八条</w:t>
      </w:r>
      <w:r w:rsidR="004177DF" w:rsidRPr="004177DF">
        <w:rPr>
          <w:rStyle w:val="ac"/>
          <w:rFonts w:hint="eastAsia"/>
        </w:rPr>
        <w:t xml:space="preserve">　</w:t>
      </w:r>
      <w:r>
        <w:rPr>
          <w:rFonts w:hint="eastAsia"/>
        </w:rPr>
        <w:t>法院应当尽快审查认可和执行的请求，并作出裁定或者命令。</w:t>
      </w:r>
    </w:p>
    <w:p w:rsidR="004653BC" w:rsidRDefault="00BA4F68" w:rsidP="00D91B04">
      <w:pPr>
        <w:pStyle w:val="ab"/>
        <w:ind w:firstLine="640"/>
      </w:pPr>
      <w:r w:rsidRPr="004177DF">
        <w:rPr>
          <w:rStyle w:val="ac"/>
          <w:rFonts w:hint="eastAsia"/>
        </w:rPr>
        <w:t>第九条</w:t>
      </w:r>
      <w:r w:rsidR="004177DF" w:rsidRPr="004177DF">
        <w:rPr>
          <w:rStyle w:val="ac"/>
          <w:rFonts w:hint="eastAsia"/>
        </w:rPr>
        <w:t xml:space="preserve">　</w:t>
      </w:r>
      <w:r>
        <w:rPr>
          <w:rFonts w:hint="eastAsia"/>
        </w:rPr>
        <w:t>申请认可和执行的判决，被申请人提供证据证明有下列情形之一的，法院审查核实后，不予认可和执行：</w:t>
      </w:r>
    </w:p>
    <w:p w:rsidR="004653BC" w:rsidRDefault="00BA4F68" w:rsidP="00D91B04">
      <w:pPr>
        <w:pStyle w:val="ab"/>
        <w:ind w:firstLine="640"/>
      </w:pPr>
      <w:r>
        <w:rPr>
          <w:rFonts w:hint="eastAsia"/>
        </w:rPr>
        <w:t>（一）根据原审法院地法律，被申请人未经合法传唤，或者虽经合法传唤但未获得合理的陈述、辩论机会的；</w:t>
      </w:r>
    </w:p>
    <w:p w:rsidR="004653BC" w:rsidRDefault="00BA4F68" w:rsidP="00D91B04">
      <w:pPr>
        <w:pStyle w:val="ab"/>
        <w:ind w:firstLine="640"/>
      </w:pPr>
      <w:r>
        <w:rPr>
          <w:rFonts w:hint="eastAsia"/>
        </w:rPr>
        <w:t>（二）判决是以欺诈方法取得的；</w:t>
      </w:r>
    </w:p>
    <w:p w:rsidR="004653BC" w:rsidRDefault="00BA4F68" w:rsidP="00D91B04">
      <w:pPr>
        <w:pStyle w:val="ab"/>
        <w:ind w:firstLine="640"/>
      </w:pPr>
      <w:r>
        <w:rPr>
          <w:rFonts w:hint="eastAsia"/>
        </w:rPr>
        <w:t>（三）被请求方法院受理相关诉讼后，请求方法院又受</w:t>
      </w:r>
      <w:r>
        <w:rPr>
          <w:rFonts w:hint="eastAsia"/>
        </w:rPr>
        <w:lastRenderedPageBreak/>
        <w:t>理就同一争议提起的诉讼并作出判决的；</w:t>
      </w:r>
    </w:p>
    <w:p w:rsidR="004653BC" w:rsidRDefault="00BA4F68" w:rsidP="00D91B04">
      <w:pPr>
        <w:pStyle w:val="ab"/>
        <w:ind w:firstLine="640"/>
      </w:pPr>
      <w:r>
        <w:rPr>
          <w:rFonts w:hint="eastAsia"/>
        </w:rPr>
        <w:t>（四）被请求方法院已经就同一争议作出判决，或者已经认可和执行其他国家和地区法院就同一争议所作出的判决的。</w:t>
      </w:r>
    </w:p>
    <w:p w:rsidR="004653BC" w:rsidRDefault="00BA4F68" w:rsidP="00D91B04">
      <w:pPr>
        <w:pStyle w:val="ab"/>
        <w:ind w:firstLine="640"/>
      </w:pPr>
      <w:r>
        <w:rPr>
          <w:rFonts w:hint="eastAsia"/>
        </w:rPr>
        <w:t>内地人民法院认为认可和执行香港特别行政区法院判决明显违反内地法律的基本原则或者社会公共利益，香港特别行政区法院认为认可和执行内地人民法院判决明显违反香港特别行政区法律的基本原则或者公共政策的，不予认可和执行。</w:t>
      </w:r>
    </w:p>
    <w:p w:rsidR="004653BC" w:rsidRDefault="00BA4F68" w:rsidP="00D91B04">
      <w:pPr>
        <w:pStyle w:val="ab"/>
        <w:ind w:firstLine="640"/>
      </w:pPr>
      <w:r>
        <w:rPr>
          <w:rFonts w:hint="eastAsia"/>
        </w:rPr>
        <w:t>申请认可和执行的判决涉及未成年子女的，在根据前款规定审查决定是否认可和执行时，应当充分考虑未成年子女的最佳利益。</w:t>
      </w:r>
    </w:p>
    <w:p w:rsidR="004653BC" w:rsidRDefault="00BA4F68" w:rsidP="00D91B04">
      <w:pPr>
        <w:pStyle w:val="ab"/>
        <w:ind w:firstLine="640"/>
      </w:pPr>
      <w:r w:rsidRPr="004177DF">
        <w:rPr>
          <w:rStyle w:val="ac"/>
          <w:rFonts w:hint="eastAsia"/>
        </w:rPr>
        <w:t>第十条</w:t>
      </w:r>
      <w:r w:rsidR="004177DF" w:rsidRPr="004177DF">
        <w:rPr>
          <w:rStyle w:val="ac"/>
          <w:rFonts w:hint="eastAsia"/>
        </w:rPr>
        <w:t xml:space="preserve">　</w:t>
      </w:r>
      <w:r>
        <w:rPr>
          <w:rFonts w:hint="eastAsia"/>
        </w:rPr>
        <w:t>被请求方法院不能对判决的全部判项予以认可和执行时，可以认可和执行其中的部分判项。</w:t>
      </w:r>
    </w:p>
    <w:p w:rsidR="004653BC" w:rsidRPr="004177DF" w:rsidRDefault="00BA4F68" w:rsidP="00D91B04">
      <w:pPr>
        <w:pStyle w:val="ab"/>
        <w:ind w:firstLine="640"/>
        <w:rPr>
          <w:spacing w:val="4"/>
        </w:rPr>
      </w:pPr>
      <w:r w:rsidRPr="004177DF">
        <w:rPr>
          <w:rStyle w:val="ac"/>
          <w:rFonts w:hint="eastAsia"/>
        </w:rPr>
        <w:t>第十一条</w:t>
      </w:r>
      <w:r w:rsidR="004177DF" w:rsidRPr="004177DF">
        <w:rPr>
          <w:rStyle w:val="ac"/>
          <w:rFonts w:hint="eastAsia"/>
        </w:rPr>
        <w:t xml:space="preserve">　</w:t>
      </w:r>
      <w:r>
        <w:rPr>
          <w:rFonts w:hint="eastAsia"/>
        </w:rPr>
        <w:t>对于香港特别行政区法院作出的判决，一方当事人已经提出上诉，内地人民法院审查核实后，可以中止认可和执行程序。</w:t>
      </w:r>
      <w:r w:rsidRPr="004177DF">
        <w:rPr>
          <w:rFonts w:hint="eastAsia"/>
          <w:spacing w:val="4"/>
        </w:rPr>
        <w:t>经上诉，维持全部或者部分原判决的，恢复认可和执行程序；完全改变原判决的，终止认可和执行程序。</w:t>
      </w:r>
    </w:p>
    <w:p w:rsidR="004653BC" w:rsidRDefault="00BA4F68" w:rsidP="00D91B04">
      <w:pPr>
        <w:pStyle w:val="ab"/>
        <w:ind w:firstLine="640"/>
      </w:pPr>
      <w:r>
        <w:rPr>
          <w:rFonts w:hint="eastAsia"/>
        </w:rPr>
        <w:t>内地人民法院就已经作出的判决裁定再审的，香港特别行政区法院审查核实后，可以中止认可和执行程序。经再审，维持全部或者部分原判决的，恢复认可和执行程序；完全改变原判决的，终止认可和执行程序。</w:t>
      </w:r>
    </w:p>
    <w:p w:rsidR="004653BC" w:rsidRDefault="00BA4F68" w:rsidP="00D91B04">
      <w:pPr>
        <w:pStyle w:val="ab"/>
        <w:ind w:firstLine="640"/>
      </w:pPr>
      <w:r w:rsidRPr="00C741A3">
        <w:rPr>
          <w:rStyle w:val="ac"/>
          <w:rFonts w:hint="eastAsia"/>
        </w:rPr>
        <w:t>第十二条</w:t>
      </w:r>
      <w:r w:rsidR="00C741A3" w:rsidRPr="00C741A3">
        <w:rPr>
          <w:rStyle w:val="ac"/>
          <w:rFonts w:hint="eastAsia"/>
        </w:rPr>
        <w:t xml:space="preserve">　</w:t>
      </w:r>
      <w:r>
        <w:rPr>
          <w:rFonts w:hint="eastAsia"/>
        </w:rPr>
        <w:t>在本安排下，内地人民法院作出的有关财产</w:t>
      </w:r>
      <w:r>
        <w:rPr>
          <w:rFonts w:hint="eastAsia"/>
        </w:rPr>
        <w:lastRenderedPageBreak/>
        <w:t>归一方所有的判项，在香港特别行政区将被视为命令一方向另一方转让该财产。</w:t>
      </w:r>
    </w:p>
    <w:p w:rsidR="004653BC" w:rsidRDefault="00BA4F68" w:rsidP="00D91B04">
      <w:pPr>
        <w:pStyle w:val="ab"/>
        <w:ind w:firstLine="640"/>
      </w:pPr>
      <w:r w:rsidRPr="00C741A3">
        <w:rPr>
          <w:rStyle w:val="ac"/>
          <w:rFonts w:hint="eastAsia"/>
        </w:rPr>
        <w:t>第十三条</w:t>
      </w:r>
      <w:r w:rsidR="00C741A3" w:rsidRPr="00C741A3">
        <w:rPr>
          <w:rStyle w:val="ac"/>
          <w:rFonts w:hint="eastAsia"/>
        </w:rPr>
        <w:t xml:space="preserve">　</w:t>
      </w:r>
      <w:r>
        <w:rPr>
          <w:rFonts w:hint="eastAsia"/>
        </w:rPr>
        <w:t>被申请人在内地和香港特别行政区均有可供执行财产的，申请人可以分别向两地法院申请执行。</w:t>
      </w:r>
    </w:p>
    <w:p w:rsidR="004653BC" w:rsidRDefault="00BA4F68" w:rsidP="00D91B04">
      <w:pPr>
        <w:pStyle w:val="ab"/>
        <w:ind w:firstLine="640"/>
      </w:pPr>
      <w:r>
        <w:rPr>
          <w:rFonts w:hint="eastAsia"/>
        </w:rPr>
        <w:t>两地法院执行财产的总额不得超过判决确定的数额。应对方法院要求，两地法院应当相互提供本院执行判决的情况。</w:t>
      </w:r>
    </w:p>
    <w:p w:rsidR="004653BC" w:rsidRDefault="00BA4F68" w:rsidP="00C741A3">
      <w:pPr>
        <w:pStyle w:val="ab"/>
        <w:ind w:firstLine="640"/>
      </w:pPr>
      <w:r w:rsidRPr="00C741A3">
        <w:rPr>
          <w:rStyle w:val="ac"/>
          <w:rFonts w:hint="eastAsia"/>
        </w:rPr>
        <w:t>第十四条</w:t>
      </w:r>
      <w:r w:rsidR="00C741A3" w:rsidRPr="00C741A3">
        <w:rPr>
          <w:rStyle w:val="ac"/>
          <w:rFonts w:hint="eastAsia"/>
        </w:rPr>
        <w:t xml:space="preserve">　</w:t>
      </w:r>
      <w:r>
        <w:rPr>
          <w:rFonts w:hint="eastAsia"/>
        </w:rPr>
        <w:t>内地与香港特别行政区法院相互认可和执行的财产给付范围，包括判决确定的给付财产和相应的利息、迟延履行金、诉讼费，不包括税收、罚款。</w:t>
      </w:r>
    </w:p>
    <w:p w:rsidR="004653BC" w:rsidRDefault="00BA4F68" w:rsidP="00D91B04">
      <w:pPr>
        <w:pStyle w:val="ab"/>
        <w:ind w:firstLine="640"/>
      </w:pPr>
      <w:r>
        <w:rPr>
          <w:rFonts w:hint="eastAsia"/>
        </w:rPr>
        <w:t>前款所称诉讼费，在香港特别行政区是指讼费评定证明书、定额讼费证明书核定或者命令支付的费用。</w:t>
      </w:r>
    </w:p>
    <w:p w:rsidR="004653BC" w:rsidRDefault="00BA4F68" w:rsidP="00D91B04">
      <w:pPr>
        <w:pStyle w:val="ab"/>
        <w:ind w:firstLine="640"/>
      </w:pPr>
      <w:r>
        <w:rPr>
          <w:rFonts w:ascii="黑体" w:eastAsia="黑体" w:hAnsi="黑体" w:hint="eastAsia"/>
        </w:rPr>
        <w:t>第十五条</w:t>
      </w:r>
      <w:r w:rsidR="00C741A3">
        <w:rPr>
          <w:rFonts w:ascii="黑体" w:eastAsia="黑体" w:hAnsi="黑体" w:hint="eastAsia"/>
        </w:rPr>
        <w:t xml:space="preserve">　</w:t>
      </w:r>
      <w:r>
        <w:rPr>
          <w:rFonts w:hint="eastAsia"/>
        </w:rPr>
        <w:t>被请求方法院就认可和执行的申请作出裁定或者命令后，当事人不服的，在内地可以于裁定送达之日起十日内向上一级人民法院申请复议，在香港特别行政区可以依据其法律规定提出上诉。</w:t>
      </w:r>
    </w:p>
    <w:p w:rsidR="004653BC" w:rsidRDefault="00BA4F68" w:rsidP="00D91B04">
      <w:pPr>
        <w:pStyle w:val="ab"/>
        <w:ind w:firstLine="640"/>
      </w:pPr>
      <w:r w:rsidRPr="00D245F7">
        <w:rPr>
          <w:rStyle w:val="ac"/>
          <w:rFonts w:hint="eastAsia"/>
        </w:rPr>
        <w:t>第十六条</w:t>
      </w:r>
      <w:r w:rsidR="00D245F7" w:rsidRPr="00D245F7">
        <w:rPr>
          <w:rStyle w:val="ac"/>
          <w:rFonts w:hint="eastAsia"/>
        </w:rPr>
        <w:t xml:space="preserve">　</w:t>
      </w:r>
      <w:r>
        <w:rPr>
          <w:rFonts w:hint="eastAsia"/>
        </w:rPr>
        <w:t>在审理婚姻家庭民事案件期间，当事人申请认可和执行另一地法院就同一争议作出的判决的，应当受理。受理后，有关诉讼应当中止，待就认可和执行的申请作出裁定或者命令后，再视情终止或者恢复诉讼。</w:t>
      </w:r>
    </w:p>
    <w:p w:rsidR="004653BC" w:rsidRDefault="00BA4F68" w:rsidP="00D91B04">
      <w:pPr>
        <w:pStyle w:val="ab"/>
        <w:ind w:firstLine="640"/>
      </w:pPr>
      <w:r w:rsidRPr="00D245F7">
        <w:rPr>
          <w:rStyle w:val="ac"/>
          <w:rFonts w:hint="eastAsia"/>
        </w:rPr>
        <w:t>第十七条</w:t>
      </w:r>
      <w:r w:rsidR="00D245F7" w:rsidRPr="00D245F7">
        <w:rPr>
          <w:rStyle w:val="ac"/>
          <w:rFonts w:hint="eastAsia"/>
        </w:rPr>
        <w:t xml:space="preserve">　</w:t>
      </w:r>
      <w:r>
        <w:rPr>
          <w:rFonts w:hint="eastAsia"/>
        </w:rPr>
        <w:t>审查认可和执行判决申请期间，当事人就同一争议提起诉讼的，不予受理；已经受理的，驳回起诉。</w:t>
      </w:r>
    </w:p>
    <w:p w:rsidR="004653BC" w:rsidRDefault="00BA4F68" w:rsidP="00D91B04">
      <w:pPr>
        <w:pStyle w:val="ab"/>
        <w:ind w:firstLine="640"/>
      </w:pPr>
      <w:r>
        <w:rPr>
          <w:rFonts w:hint="eastAsia"/>
        </w:rPr>
        <w:t>判决获得认可和执行后，当事人又就同一争议提起诉讼的，不予受理。</w:t>
      </w:r>
    </w:p>
    <w:p w:rsidR="004653BC" w:rsidRDefault="00BA4F68" w:rsidP="00D91B04">
      <w:pPr>
        <w:pStyle w:val="ab"/>
        <w:ind w:firstLine="640"/>
      </w:pPr>
      <w:r>
        <w:rPr>
          <w:rFonts w:hint="eastAsia"/>
        </w:rPr>
        <w:t>判决未获认可和执行的，申请人不得再次申请认可和执</w:t>
      </w:r>
      <w:r>
        <w:rPr>
          <w:rFonts w:hint="eastAsia"/>
        </w:rPr>
        <w:lastRenderedPageBreak/>
        <w:t>行，但可以就同一争议向被请求方法院提起诉讼。</w:t>
      </w:r>
    </w:p>
    <w:p w:rsidR="004653BC" w:rsidRPr="000B41EC" w:rsidRDefault="00BA4F68" w:rsidP="00D91B04">
      <w:pPr>
        <w:pStyle w:val="ab"/>
        <w:ind w:firstLine="640"/>
        <w:rPr>
          <w:spacing w:val="4"/>
        </w:rPr>
      </w:pPr>
      <w:r>
        <w:rPr>
          <w:rFonts w:ascii="黑体" w:eastAsia="黑体" w:hAnsi="黑体" w:hint="eastAsia"/>
        </w:rPr>
        <w:t>第十八条</w:t>
      </w:r>
      <w:r w:rsidR="00D245F7">
        <w:rPr>
          <w:rFonts w:ascii="黑体" w:eastAsia="黑体" w:hAnsi="黑体" w:hint="eastAsia"/>
        </w:rPr>
        <w:t xml:space="preserve">　</w:t>
      </w:r>
      <w:r w:rsidRPr="000B41EC">
        <w:rPr>
          <w:rFonts w:hint="eastAsia"/>
          <w:spacing w:val="4"/>
        </w:rPr>
        <w:t>被请求方法院在受理认可和执行判决的申请之前或者之后，可以依据其法律规定采取保全或者强制措施。</w:t>
      </w:r>
    </w:p>
    <w:p w:rsidR="004653BC" w:rsidRDefault="00BA4F68" w:rsidP="00D91B04">
      <w:pPr>
        <w:pStyle w:val="ab"/>
        <w:ind w:firstLine="640"/>
      </w:pPr>
      <w:r>
        <w:rPr>
          <w:rFonts w:ascii="黑体" w:eastAsia="黑体" w:hAnsi="黑体" w:hint="eastAsia"/>
        </w:rPr>
        <w:t>第十九条</w:t>
      </w:r>
      <w:r w:rsidR="00D245F7">
        <w:rPr>
          <w:rFonts w:ascii="黑体" w:eastAsia="黑体" w:hAnsi="黑体" w:hint="eastAsia"/>
        </w:rPr>
        <w:t xml:space="preserve">　</w:t>
      </w:r>
      <w:r>
        <w:rPr>
          <w:rFonts w:hint="eastAsia"/>
        </w:rPr>
        <w:t>申请认可和执行判决的，应当依据被请求方有关诉讼收费的法律和规定交纳费用。</w:t>
      </w:r>
    </w:p>
    <w:p w:rsidR="004653BC" w:rsidRDefault="00BA4F68" w:rsidP="00D91B04">
      <w:pPr>
        <w:pStyle w:val="ab"/>
        <w:ind w:firstLine="640"/>
      </w:pPr>
      <w:r>
        <w:rPr>
          <w:rFonts w:ascii="黑体" w:eastAsia="黑体" w:hAnsi="黑体" w:hint="eastAsia"/>
        </w:rPr>
        <w:t>第二十条</w:t>
      </w:r>
      <w:r w:rsidR="00D245F7">
        <w:rPr>
          <w:rFonts w:ascii="黑体" w:eastAsia="黑体" w:hAnsi="黑体" w:hint="eastAsia"/>
        </w:rPr>
        <w:t xml:space="preserve">　</w:t>
      </w:r>
      <w:r>
        <w:rPr>
          <w:rFonts w:hint="eastAsia"/>
        </w:rPr>
        <w:t>内地与香港特别行政区法院自本安排生效之日起作出的判决，适用本安排。</w:t>
      </w:r>
    </w:p>
    <w:p w:rsidR="004653BC" w:rsidRDefault="00BA4F68" w:rsidP="00D91B04">
      <w:pPr>
        <w:pStyle w:val="ab"/>
        <w:ind w:firstLine="640"/>
      </w:pPr>
      <w:r>
        <w:rPr>
          <w:rFonts w:ascii="黑体" w:eastAsia="黑体" w:hAnsi="黑体" w:hint="eastAsia"/>
        </w:rPr>
        <w:t>第二十一条</w:t>
      </w:r>
      <w:r w:rsidR="00D245F7">
        <w:rPr>
          <w:rFonts w:ascii="黑体" w:eastAsia="黑体" w:hAnsi="黑体" w:hint="eastAsia"/>
        </w:rPr>
        <w:t xml:space="preserve">　</w:t>
      </w:r>
      <w:r>
        <w:rPr>
          <w:rFonts w:hint="eastAsia"/>
        </w:rPr>
        <w:t>本安排在执行过程中遇有问题或者需要修改的，由最高人民法院和香港特别行政区政府协商解决。</w:t>
      </w:r>
    </w:p>
    <w:p w:rsidR="00F34157" w:rsidRDefault="00BA4F68" w:rsidP="00F34157">
      <w:pPr>
        <w:pStyle w:val="ab"/>
        <w:ind w:firstLine="640"/>
      </w:pPr>
      <w:r>
        <w:rPr>
          <w:rFonts w:ascii="黑体" w:eastAsia="黑体" w:hAnsi="黑体" w:hint="eastAsia"/>
        </w:rPr>
        <w:t>第二十二条</w:t>
      </w:r>
      <w:r w:rsidR="00D245F7">
        <w:rPr>
          <w:rFonts w:ascii="黑体" w:eastAsia="黑体" w:hAnsi="黑体" w:hint="eastAsia"/>
        </w:rPr>
        <w:t xml:space="preserve">　</w:t>
      </w:r>
      <w:r>
        <w:rPr>
          <w:rFonts w:hint="eastAsia"/>
        </w:rPr>
        <w:t>本安排自2022年2月15日起施行。</w:t>
      </w:r>
      <w:bookmarkStart w:id="0" w:name="_GoBack"/>
      <w:bookmarkEnd w:id="0"/>
    </w:p>
    <w:sectPr w:rsidR="00F34157" w:rsidSect="000514FC">
      <w:footerReference w:type="even"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7FB" w:rsidRDefault="009617FB">
      <w:r>
        <w:separator/>
      </w:r>
    </w:p>
  </w:endnote>
  <w:endnote w:type="continuationSeparator" w:id="0">
    <w:p w:rsidR="009617FB" w:rsidRDefault="0096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4FC" w:rsidRPr="000514FC" w:rsidRDefault="00D016BE" w:rsidP="00D016BE">
    <w:pPr>
      <w:pStyle w:val="ae"/>
      <w:ind w:right="-378"/>
    </w:pPr>
    <w:r>
      <w:fldChar w:fldCharType="begin"/>
    </w:r>
    <w:r>
      <w:instrText xml:space="preserve"> PAGE  \* ArabicDash  \* MERGEFORMAT </w:instrText>
    </w:r>
    <w:r>
      <w:fldChar w:fldCharType="separate"/>
    </w:r>
    <w:r>
      <w:rPr>
        <w:noProof/>
      </w:rPr>
      <w:t>- 8 -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4FC" w:rsidRDefault="00D016BE" w:rsidP="00D016BE">
    <w:pPr>
      <w:pStyle w:val="af"/>
      <w:ind w:left="-378"/>
    </w:pPr>
    <w:r>
      <w:fldChar w:fldCharType="begin"/>
    </w:r>
    <w:r>
      <w:instrText xml:space="preserve"> PAGE  \* ArabicDash  \* MERGEFORMAT </w:instrText>
    </w:r>
    <w:r>
      <w:fldChar w:fldCharType="separate"/>
    </w:r>
    <w:r>
      <w:rPr>
        <w:noProof/>
      </w:rPr>
      <w:t>- 7 -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7FB" w:rsidRDefault="009617FB">
      <w:r>
        <w:separator/>
      </w:r>
    </w:p>
  </w:footnote>
  <w:footnote w:type="continuationSeparator" w:id="0">
    <w:p w:rsidR="009617FB" w:rsidRDefault="00961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5A2345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40DA631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8E0158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10A210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F49220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7A28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83474C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03C26B9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048EA3A"/>
    <w:lvl w:ilvl="0">
      <w:start w:val="1"/>
      <w:numFmt w:val="decimal"/>
      <w:lvlText w:val="%1."/>
      <w:lvlJc w:val="left"/>
      <w:pPr>
        <w:tabs>
          <w:tab w:val="num" w:pos="360"/>
        </w:tabs>
        <w:ind w:left="360" w:hangingChars="200" w:hanging="360"/>
      </w:pPr>
    </w:lvl>
  </w:abstractNum>
  <w:abstractNum w:abstractNumId="9">
    <w:nsid w:val="FFFFFF89"/>
    <w:multiLevelType w:val="singleLevel"/>
    <w:tmpl w:val="35B27F96"/>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5"/>
  </w:num>
  <w:num w:numId="7">
    <w:abstractNumId w:val="4"/>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YyNWIxNjUxNTg5MTAyMmRhODhlNjJlOTYyMGM1MWUifQ=="/>
  </w:docVars>
  <w:rsids>
    <w:rsidRoot w:val="002D6C55"/>
    <w:rsid w:val="000051BA"/>
    <w:rsid w:val="00007DC9"/>
    <w:rsid w:val="00022FF2"/>
    <w:rsid w:val="000246CF"/>
    <w:rsid w:val="00026B55"/>
    <w:rsid w:val="000300E0"/>
    <w:rsid w:val="00034599"/>
    <w:rsid w:val="0004157A"/>
    <w:rsid w:val="00041639"/>
    <w:rsid w:val="00046FD0"/>
    <w:rsid w:val="000514FC"/>
    <w:rsid w:val="00060A39"/>
    <w:rsid w:val="00060B3A"/>
    <w:rsid w:val="000658AA"/>
    <w:rsid w:val="00070A8B"/>
    <w:rsid w:val="000720A0"/>
    <w:rsid w:val="00072E51"/>
    <w:rsid w:val="000831A5"/>
    <w:rsid w:val="00092662"/>
    <w:rsid w:val="00093500"/>
    <w:rsid w:val="00094871"/>
    <w:rsid w:val="000A67EC"/>
    <w:rsid w:val="000B1F15"/>
    <w:rsid w:val="000B41EC"/>
    <w:rsid w:val="000B47FF"/>
    <w:rsid w:val="000C4793"/>
    <w:rsid w:val="000D7352"/>
    <w:rsid w:val="000E4EE9"/>
    <w:rsid w:val="000E5187"/>
    <w:rsid w:val="000E56CF"/>
    <w:rsid w:val="000E6D88"/>
    <w:rsid w:val="000F150B"/>
    <w:rsid w:val="000F2196"/>
    <w:rsid w:val="000F2D91"/>
    <w:rsid w:val="000F5EBA"/>
    <w:rsid w:val="001044EF"/>
    <w:rsid w:val="00105524"/>
    <w:rsid w:val="00105EA6"/>
    <w:rsid w:val="001066EE"/>
    <w:rsid w:val="00106D59"/>
    <w:rsid w:val="0011622B"/>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2064F7"/>
    <w:rsid w:val="00206B2B"/>
    <w:rsid w:val="00215837"/>
    <w:rsid w:val="0021638E"/>
    <w:rsid w:val="002216B9"/>
    <w:rsid w:val="0023259F"/>
    <w:rsid w:val="00233F94"/>
    <w:rsid w:val="00235183"/>
    <w:rsid w:val="00241E35"/>
    <w:rsid w:val="002428F9"/>
    <w:rsid w:val="00253813"/>
    <w:rsid w:val="00254E9D"/>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0431D"/>
    <w:rsid w:val="00311EB0"/>
    <w:rsid w:val="00313AEE"/>
    <w:rsid w:val="0031621E"/>
    <w:rsid w:val="00327650"/>
    <w:rsid w:val="00334544"/>
    <w:rsid w:val="003370AB"/>
    <w:rsid w:val="00337E4D"/>
    <w:rsid w:val="003407E4"/>
    <w:rsid w:val="00340D0A"/>
    <w:rsid w:val="00342C41"/>
    <w:rsid w:val="00344576"/>
    <w:rsid w:val="003561D5"/>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3F6DB1"/>
    <w:rsid w:val="00403942"/>
    <w:rsid w:val="004177DF"/>
    <w:rsid w:val="00422EA0"/>
    <w:rsid w:val="00424C9C"/>
    <w:rsid w:val="00431DB2"/>
    <w:rsid w:val="00432CA7"/>
    <w:rsid w:val="004358E6"/>
    <w:rsid w:val="00437D77"/>
    <w:rsid w:val="00440B14"/>
    <w:rsid w:val="00447D9F"/>
    <w:rsid w:val="00454D12"/>
    <w:rsid w:val="00463561"/>
    <w:rsid w:val="004653BC"/>
    <w:rsid w:val="004724D5"/>
    <w:rsid w:val="00473BA4"/>
    <w:rsid w:val="004745A3"/>
    <w:rsid w:val="0048272B"/>
    <w:rsid w:val="00482EE2"/>
    <w:rsid w:val="00493ABE"/>
    <w:rsid w:val="004A69A0"/>
    <w:rsid w:val="004B0465"/>
    <w:rsid w:val="004B1A57"/>
    <w:rsid w:val="004B2619"/>
    <w:rsid w:val="004B7D8C"/>
    <w:rsid w:val="004C1EAA"/>
    <w:rsid w:val="004C4DF7"/>
    <w:rsid w:val="004C569C"/>
    <w:rsid w:val="004D308D"/>
    <w:rsid w:val="004F5158"/>
    <w:rsid w:val="00506C84"/>
    <w:rsid w:val="005142A1"/>
    <w:rsid w:val="00517CAB"/>
    <w:rsid w:val="0053685A"/>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304"/>
    <w:rsid w:val="006178C3"/>
    <w:rsid w:val="00621BAF"/>
    <w:rsid w:val="0062410E"/>
    <w:rsid w:val="00626CE8"/>
    <w:rsid w:val="006465AA"/>
    <w:rsid w:val="00661621"/>
    <w:rsid w:val="00663037"/>
    <w:rsid w:val="006711F4"/>
    <w:rsid w:val="0068140B"/>
    <w:rsid w:val="00685825"/>
    <w:rsid w:val="0069347C"/>
    <w:rsid w:val="006A1214"/>
    <w:rsid w:val="006A48B5"/>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A51E0"/>
    <w:rsid w:val="007A6544"/>
    <w:rsid w:val="007A7FD3"/>
    <w:rsid w:val="007B2410"/>
    <w:rsid w:val="007C01D1"/>
    <w:rsid w:val="007C5705"/>
    <w:rsid w:val="007D13B8"/>
    <w:rsid w:val="007D77CE"/>
    <w:rsid w:val="00802CDC"/>
    <w:rsid w:val="00805E1D"/>
    <w:rsid w:val="00813FEC"/>
    <w:rsid w:val="00814E29"/>
    <w:rsid w:val="00823C1E"/>
    <w:rsid w:val="00826D77"/>
    <w:rsid w:val="0083338D"/>
    <w:rsid w:val="00855283"/>
    <w:rsid w:val="008701AB"/>
    <w:rsid w:val="0087139A"/>
    <w:rsid w:val="008760A5"/>
    <w:rsid w:val="00877798"/>
    <w:rsid w:val="008802DB"/>
    <w:rsid w:val="00881967"/>
    <w:rsid w:val="00885F48"/>
    <w:rsid w:val="00890F76"/>
    <w:rsid w:val="0089274E"/>
    <w:rsid w:val="008A08FA"/>
    <w:rsid w:val="008C0131"/>
    <w:rsid w:val="008E70E5"/>
    <w:rsid w:val="008F50DB"/>
    <w:rsid w:val="008F5238"/>
    <w:rsid w:val="008F7723"/>
    <w:rsid w:val="00904BC8"/>
    <w:rsid w:val="00911248"/>
    <w:rsid w:val="00913A4E"/>
    <w:rsid w:val="00925F75"/>
    <w:rsid w:val="009617FB"/>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C7403"/>
    <w:rsid w:val="00AD35D8"/>
    <w:rsid w:val="00AD6BB8"/>
    <w:rsid w:val="00AF6D19"/>
    <w:rsid w:val="00B018B8"/>
    <w:rsid w:val="00B1436F"/>
    <w:rsid w:val="00B17FDC"/>
    <w:rsid w:val="00B22148"/>
    <w:rsid w:val="00B25C4D"/>
    <w:rsid w:val="00B3048F"/>
    <w:rsid w:val="00B32A99"/>
    <w:rsid w:val="00B364E6"/>
    <w:rsid w:val="00B47C30"/>
    <w:rsid w:val="00B47F03"/>
    <w:rsid w:val="00B62010"/>
    <w:rsid w:val="00B6417D"/>
    <w:rsid w:val="00B712AC"/>
    <w:rsid w:val="00B82084"/>
    <w:rsid w:val="00B95E1A"/>
    <w:rsid w:val="00BA18F5"/>
    <w:rsid w:val="00BA4F68"/>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233A3"/>
    <w:rsid w:val="00C41CE2"/>
    <w:rsid w:val="00C452E4"/>
    <w:rsid w:val="00C53D36"/>
    <w:rsid w:val="00C57E0D"/>
    <w:rsid w:val="00C636EE"/>
    <w:rsid w:val="00C7181C"/>
    <w:rsid w:val="00C73C73"/>
    <w:rsid w:val="00C741A3"/>
    <w:rsid w:val="00C748B2"/>
    <w:rsid w:val="00C75F27"/>
    <w:rsid w:val="00C76A21"/>
    <w:rsid w:val="00C85BE4"/>
    <w:rsid w:val="00CA052E"/>
    <w:rsid w:val="00CA3B61"/>
    <w:rsid w:val="00CB05CD"/>
    <w:rsid w:val="00CB268F"/>
    <w:rsid w:val="00CD046D"/>
    <w:rsid w:val="00CD15F8"/>
    <w:rsid w:val="00CD207F"/>
    <w:rsid w:val="00CF0128"/>
    <w:rsid w:val="00CF0812"/>
    <w:rsid w:val="00CF245A"/>
    <w:rsid w:val="00CF41FE"/>
    <w:rsid w:val="00CF4321"/>
    <w:rsid w:val="00CF5E94"/>
    <w:rsid w:val="00CF7BE1"/>
    <w:rsid w:val="00D016BE"/>
    <w:rsid w:val="00D0443A"/>
    <w:rsid w:val="00D04EB5"/>
    <w:rsid w:val="00D07F94"/>
    <w:rsid w:val="00D16B69"/>
    <w:rsid w:val="00D21DEB"/>
    <w:rsid w:val="00D21E5A"/>
    <w:rsid w:val="00D245F7"/>
    <w:rsid w:val="00D3514F"/>
    <w:rsid w:val="00D5052C"/>
    <w:rsid w:val="00D6266A"/>
    <w:rsid w:val="00D856FF"/>
    <w:rsid w:val="00D91B04"/>
    <w:rsid w:val="00D91F48"/>
    <w:rsid w:val="00D937CE"/>
    <w:rsid w:val="00D97443"/>
    <w:rsid w:val="00DB1764"/>
    <w:rsid w:val="00DB2440"/>
    <w:rsid w:val="00DB3C8A"/>
    <w:rsid w:val="00DB5F18"/>
    <w:rsid w:val="00DC5F89"/>
    <w:rsid w:val="00DD0C51"/>
    <w:rsid w:val="00DD7AE6"/>
    <w:rsid w:val="00DE69D1"/>
    <w:rsid w:val="00DF68AA"/>
    <w:rsid w:val="00E06E17"/>
    <w:rsid w:val="00E11578"/>
    <w:rsid w:val="00E16569"/>
    <w:rsid w:val="00E2376E"/>
    <w:rsid w:val="00E25C09"/>
    <w:rsid w:val="00E33AF2"/>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157"/>
    <w:rsid w:val="00F347B6"/>
    <w:rsid w:val="00F37571"/>
    <w:rsid w:val="00F44A15"/>
    <w:rsid w:val="00F46B3C"/>
    <w:rsid w:val="00F4779A"/>
    <w:rsid w:val="00F64A2C"/>
    <w:rsid w:val="00F64D94"/>
    <w:rsid w:val="00F70562"/>
    <w:rsid w:val="00F744B5"/>
    <w:rsid w:val="00F74986"/>
    <w:rsid w:val="00F76D03"/>
    <w:rsid w:val="00F845F5"/>
    <w:rsid w:val="00F84788"/>
    <w:rsid w:val="00F865EA"/>
    <w:rsid w:val="00F90AF4"/>
    <w:rsid w:val="00F92C7B"/>
    <w:rsid w:val="00FA21BD"/>
    <w:rsid w:val="00FB3DE0"/>
    <w:rsid w:val="00FB46C7"/>
    <w:rsid w:val="00FC2B5F"/>
    <w:rsid w:val="00FD0009"/>
    <w:rsid w:val="00FD364A"/>
    <w:rsid w:val="00FD51B5"/>
    <w:rsid w:val="00FF402A"/>
    <w:rsid w:val="00FF690A"/>
    <w:rsid w:val="30E6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cs="Courier New"/>
      <w:szCs w:val="21"/>
    </w:rPr>
  </w:style>
  <w:style w:type="paragraph" w:styleId="a4">
    <w:name w:val="Balloon Text"/>
    <w:basedOn w:val="a"/>
    <w:link w:val="Char0"/>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Char1"/>
    <w:rsid w:val="000514FC"/>
    <w:pPr>
      <w:tabs>
        <w:tab w:val="center" w:pos="4153"/>
        <w:tab w:val="right" w:pos="8306"/>
      </w:tabs>
      <w:snapToGrid w:val="0"/>
      <w:jc w:val="center"/>
    </w:pPr>
    <w:rPr>
      <w:sz w:val="18"/>
      <w:szCs w:val="18"/>
    </w:rPr>
  </w:style>
  <w:style w:type="character" w:styleId="a7">
    <w:name w:val="page number"/>
    <w:basedOn w:val="a0"/>
    <w:qFormat/>
  </w:style>
  <w:style w:type="paragraph" w:customStyle="1" w:styleId="ParaCharCharCharCharCharCharChar">
    <w:name w:val="默认段落字体 Para Char Char Char Char Char Char Char"/>
    <w:basedOn w:val="a"/>
    <w:qFormat/>
  </w:style>
  <w:style w:type="character" w:customStyle="1" w:styleId="Char1">
    <w:name w:val="页眉 Char"/>
    <w:basedOn w:val="a0"/>
    <w:link w:val="a6"/>
    <w:qFormat/>
    <w:rsid w:val="000514FC"/>
    <w:rPr>
      <w:kern w:val="2"/>
      <w:sz w:val="18"/>
      <w:szCs w:val="18"/>
    </w:rPr>
  </w:style>
  <w:style w:type="character" w:customStyle="1" w:styleId="Char0">
    <w:name w:val="批注框文本 Char"/>
    <w:basedOn w:val="a0"/>
    <w:link w:val="a4"/>
    <w:qFormat/>
    <w:rPr>
      <w:kern w:val="2"/>
      <w:sz w:val="18"/>
      <w:szCs w:val="18"/>
    </w:rPr>
  </w:style>
  <w:style w:type="character" w:customStyle="1" w:styleId="Char">
    <w:name w:val="纯文本 Char"/>
    <w:basedOn w:val="a0"/>
    <w:link w:val="a3"/>
    <w:uiPriority w:val="99"/>
    <w:qFormat/>
    <w:rPr>
      <w:rFonts w:ascii="宋体" w:hAnsi="Courier New" w:cs="Courier New"/>
      <w:kern w:val="2"/>
      <w:sz w:val="21"/>
      <w:szCs w:val="21"/>
    </w:rPr>
  </w:style>
  <w:style w:type="paragraph" w:customStyle="1" w:styleId="a8">
    <w:name w:val="法 标题"/>
    <w:qFormat/>
    <w:rsid w:val="00FD364A"/>
    <w:pPr>
      <w:widowControl w:val="0"/>
      <w:spacing w:line="560" w:lineRule="exact"/>
      <w:jc w:val="center"/>
    </w:pPr>
    <w:rPr>
      <w:rFonts w:ascii="仿宋_GB2312" w:hAnsi="仿宋_GB2312" w:cs="仿宋_GB2312"/>
      <w:kern w:val="2"/>
      <w:sz w:val="44"/>
      <w:szCs w:val="32"/>
    </w:rPr>
  </w:style>
  <w:style w:type="paragraph" w:customStyle="1" w:styleId="a9">
    <w:name w:val="法 法释"/>
    <w:qFormat/>
    <w:rsid w:val="00FD364A"/>
    <w:pPr>
      <w:widowControl w:val="0"/>
      <w:spacing w:line="560" w:lineRule="exact"/>
      <w:jc w:val="center"/>
    </w:pPr>
    <w:rPr>
      <w:rFonts w:ascii="楷体_GB2312" w:eastAsia="楷体_GB2312" w:hAnsi="宋体" w:cs="宋体"/>
      <w:kern w:val="2"/>
      <w:sz w:val="32"/>
      <w:szCs w:val="30"/>
    </w:rPr>
  </w:style>
  <w:style w:type="paragraph" w:customStyle="1" w:styleId="aa">
    <w:name w:val="法 法释后"/>
    <w:qFormat/>
    <w:rsid w:val="00FD364A"/>
    <w:pPr>
      <w:widowControl w:val="0"/>
      <w:spacing w:line="560" w:lineRule="exact"/>
      <w:ind w:leftChars="300" w:left="300" w:rightChars="300" w:right="300"/>
      <w:jc w:val="both"/>
    </w:pPr>
    <w:rPr>
      <w:rFonts w:ascii="楷体_GB2312" w:eastAsia="楷体_GB2312" w:hAnsi="楷体" w:cs="宋体"/>
      <w:kern w:val="2"/>
      <w:sz w:val="32"/>
      <w:szCs w:val="30"/>
    </w:rPr>
  </w:style>
  <w:style w:type="paragraph" w:customStyle="1" w:styleId="ab">
    <w:name w:val="法 正文"/>
    <w:qFormat/>
    <w:rsid w:val="00FD364A"/>
    <w:pPr>
      <w:widowControl w:val="0"/>
      <w:spacing w:line="560" w:lineRule="exact"/>
      <w:ind w:firstLineChars="200" w:firstLine="200"/>
      <w:jc w:val="both"/>
    </w:pPr>
    <w:rPr>
      <w:rFonts w:ascii="仿宋_GB2312" w:eastAsia="仿宋_GB2312" w:hAnsi="宋体" w:cs="宋体"/>
      <w:kern w:val="2"/>
      <w:sz w:val="32"/>
      <w:szCs w:val="30"/>
    </w:rPr>
  </w:style>
  <w:style w:type="character" w:customStyle="1" w:styleId="ac">
    <w:name w:val="黑体　三号"/>
    <w:basedOn w:val="a0"/>
    <w:uiPriority w:val="1"/>
    <w:qFormat/>
    <w:rsid w:val="00FD364A"/>
    <w:rPr>
      <w:rFonts w:eastAsia="黑体"/>
      <w:sz w:val="32"/>
    </w:rPr>
  </w:style>
  <w:style w:type="paragraph" w:styleId="ad">
    <w:name w:val="Note Heading"/>
    <w:basedOn w:val="a"/>
    <w:next w:val="a"/>
    <w:link w:val="Char2"/>
    <w:rsid w:val="00C741A3"/>
    <w:pPr>
      <w:jc w:val="center"/>
    </w:pPr>
  </w:style>
  <w:style w:type="character" w:customStyle="1" w:styleId="Char2">
    <w:name w:val="注释标题 Char"/>
    <w:basedOn w:val="a0"/>
    <w:link w:val="ad"/>
    <w:rsid w:val="00C741A3"/>
    <w:rPr>
      <w:kern w:val="2"/>
      <w:sz w:val="21"/>
      <w:szCs w:val="24"/>
    </w:rPr>
  </w:style>
  <w:style w:type="paragraph" w:customStyle="1" w:styleId="ae">
    <w:name w:val="法 页码 偶"/>
    <w:qFormat/>
    <w:rsid w:val="00D016BE"/>
    <w:pPr>
      <w:widowControl w:val="0"/>
      <w:spacing w:line="560" w:lineRule="exact"/>
      <w:ind w:rightChars="-180" w:right="-180"/>
      <w:jc w:val="right"/>
    </w:pPr>
    <w:rPr>
      <w:rFonts w:ascii="宋体"/>
      <w:kern w:val="2"/>
      <w:sz w:val="28"/>
      <w:szCs w:val="18"/>
    </w:rPr>
  </w:style>
  <w:style w:type="paragraph" w:customStyle="1" w:styleId="af">
    <w:name w:val="法 页码 奇"/>
    <w:qFormat/>
    <w:rsid w:val="00D016BE"/>
    <w:pPr>
      <w:widowControl w:val="0"/>
      <w:spacing w:line="560" w:lineRule="exact"/>
      <w:ind w:leftChars="-180" w:left="-180"/>
    </w:pPr>
    <w:rPr>
      <w:rFonts w:ascii="宋体"/>
      <w:kern w:val="2"/>
      <w:sz w:val="2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CFE96-5D11-40E1-99A6-53FE611A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527</Words>
  <Characters>3006</Characters>
  <Application>Microsoft Office Word</Application>
  <DocSecurity>0</DocSecurity>
  <Lines>25</Lines>
  <Paragraphs>7</Paragraphs>
  <ScaleCrop>false</ScaleCrop>
  <Company>Lenovo (Beijing) Limited</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Ren</cp:lastModifiedBy>
  <cp:revision>34</cp:revision>
  <cp:lastPrinted>2014-04-03T09:04:00Z</cp:lastPrinted>
  <dcterms:created xsi:type="dcterms:W3CDTF">2022-02-10T03:13:00Z</dcterms:created>
  <dcterms:modified xsi:type="dcterms:W3CDTF">2022-07-05T02:45:00Z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979D1D0EDC764DF9973C30605BAD3314</vt:lpwstr>
  </property>
</Properties>
</file>