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最高人民法院《关于国有土地开荒后用于农耕的土地使用权转让合同纠纷案件如何适用法律问题的批复》已于2011年11月21日由最高人民法院审判委员会第1532次会议通过，现予公布，自2012年11月1日起施行。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2012年9月4</w:t>
      </w:r>
      <w:r>
        <w:rPr>
          <w:rFonts w:hint="eastAsia"/>
          <w:lang w:eastAsia="zh-CN"/>
        </w:rPr>
        <w:t>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关于国有土地开荒后用于农耕的土地使用权</w:t>
      </w:r>
    </w:p>
    <w:p>
      <w:pPr>
        <w:pStyle w:val="7"/>
      </w:pPr>
      <w:r>
        <w:t>转让合同纠纷案件如何适用法律问题的批复</w:t>
      </w:r>
    </w:p>
    <w:p>
      <w:pPr>
        <w:pStyle w:val="12"/>
        <w:rPr>
          <w:rFonts w:hint="eastAsia" w:ascii="宋体" w:hAnsi="宋体" w:eastAsia="宋体" w:cs="宋体"/>
        </w:rPr>
      </w:pPr>
    </w:p>
    <w:p>
      <w:pPr>
        <w:pStyle w:val="19"/>
      </w:pPr>
      <w:r>
        <w:t>法释〔2012〕14号</w:t>
      </w:r>
    </w:p>
    <w:p>
      <w:pPr>
        <w:pStyle w:val="12"/>
        <w:rPr>
          <w:rFonts w:hint="eastAsia" w:ascii="宋体" w:hAnsi="宋体" w:eastAsia="宋体" w:cs="宋体"/>
        </w:rPr>
      </w:pPr>
    </w:p>
    <w:p>
      <w:pPr>
        <w:pStyle w:val="17"/>
      </w:pPr>
      <w:r>
        <w:rPr>
          <w:rFonts w:hint="eastAsia"/>
          <w:lang w:eastAsia="zh-CN"/>
        </w:rPr>
        <w:t>（</w:t>
      </w:r>
      <w:r>
        <w:t>2011年11月21日最高人民法院审判委员会第1532次会议通过　2012年9月4日最高人民法院公告公布　自2012年11月1日起施行</w:t>
      </w:r>
      <w:r>
        <w:rPr>
          <w:rFonts w:hint="eastAsia"/>
          <w:lang w:eastAsia="zh-CN"/>
        </w:rPr>
        <w:t>）</w:t>
      </w:r>
    </w:p>
    <w:p>
      <w:pPr>
        <w:pStyle w:val="12"/>
        <w:rPr>
          <w:rFonts w:hint="eastAsia" w:ascii="宋体" w:hAnsi="宋体" w:eastAsia="宋体" w:cs="宋体"/>
        </w:rPr>
      </w:pPr>
    </w:p>
    <w:p>
      <w:pPr>
        <w:pStyle w:val="21"/>
        <w:rPr>
          <w:rFonts w:hint="eastAsia"/>
        </w:rPr>
      </w:pPr>
      <w:r>
        <w:t>甘肃省高级人民法院：</w:t>
      </w:r>
    </w:p>
    <w:p>
      <w:pPr>
        <w:pStyle w:val="12"/>
        <w:rPr>
          <w:rFonts w:hint="eastAsia"/>
        </w:rPr>
      </w:pPr>
      <w:r>
        <w:t>你院《关于对国有土地经营权转让如何适用法律的请示》</w:t>
      </w:r>
      <w:r>
        <w:rPr>
          <w:rFonts w:hint="eastAsia"/>
          <w:lang w:eastAsia="zh-CN"/>
        </w:rPr>
        <w:t>（</w:t>
      </w:r>
      <w:r>
        <w:t>甘高法〔2010〕84号</w:t>
      </w:r>
      <w:r>
        <w:rPr>
          <w:rFonts w:hint="eastAsia"/>
          <w:lang w:eastAsia="zh-CN"/>
        </w:rPr>
        <w:t>）</w:t>
      </w:r>
      <w:r>
        <w:t>收悉。经研究</w:t>
      </w:r>
      <w:r>
        <w:rPr>
          <w:rFonts w:hint="eastAsia"/>
        </w:rPr>
        <w:t>，</w:t>
      </w:r>
      <w:r>
        <w:t>答复如下：</w:t>
      </w:r>
    </w:p>
    <w:p>
      <w:pPr>
        <w:pStyle w:val="12"/>
        <w:rPr>
          <w:rFonts w:hint="eastAsia"/>
        </w:rPr>
      </w:pPr>
      <w:r>
        <w:t>开荒后用于农耕而未交由农民集体使用的国有土地</w:t>
      </w:r>
      <w:r>
        <w:rPr>
          <w:rFonts w:hint="eastAsia"/>
        </w:rPr>
        <w:t>，</w:t>
      </w:r>
      <w:r>
        <w:t>不属于《中华人民共和国农村土地承包法》第二条规定的农村土地。此类土地使用权的转让</w:t>
      </w:r>
      <w:r>
        <w:rPr>
          <w:rFonts w:hint="eastAsia"/>
        </w:rPr>
        <w:t>，</w:t>
      </w:r>
      <w:r>
        <w:t>不适用《中华人民共和国农村土地承包法》的规定</w:t>
      </w:r>
      <w:r>
        <w:rPr>
          <w:rFonts w:hint="eastAsia"/>
        </w:rPr>
        <w:t>，</w:t>
      </w:r>
      <w:r>
        <w:t>应适用《中华人民共和国合同法》和《中华人民</w:t>
      </w:r>
      <w:r>
        <w:rPr>
          <w:rFonts w:hint="eastAsia"/>
        </w:rPr>
        <w:t>共和国土地管理法》等相关法律规定加以规范。</w:t>
      </w:r>
    </w:p>
    <w:p>
      <w:pPr>
        <w:pStyle w:val="12"/>
        <w:rPr>
          <w:rFonts w:hint="eastAsia"/>
        </w:rPr>
      </w:pPr>
      <w:r>
        <w:rPr>
          <w:rFonts w:hint="eastAsia"/>
        </w:rPr>
        <w:t>对于国有土地开荒后用于农耕的土地使用权转让合同，不违反法律、行政法规的强制性规定的，当事人仅以转让方未取得土地使用权证书为由请求确认合同无效的，人民法院依法不予支持；当事人根据合同约定主张对方当事人履行办理土地使用权证书义务的，人民法院依法应予支持。</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000BC"/>
    <w:rsid w:val="00323D76"/>
    <w:rsid w:val="02380A4E"/>
    <w:rsid w:val="02C54CFB"/>
    <w:rsid w:val="042F174E"/>
    <w:rsid w:val="0751543E"/>
    <w:rsid w:val="0BE369DE"/>
    <w:rsid w:val="0F9D48A9"/>
    <w:rsid w:val="0FC66F39"/>
    <w:rsid w:val="135B4974"/>
    <w:rsid w:val="19EF53F7"/>
    <w:rsid w:val="1C547AC8"/>
    <w:rsid w:val="20194FCD"/>
    <w:rsid w:val="211007F7"/>
    <w:rsid w:val="224D5C1E"/>
    <w:rsid w:val="257000BC"/>
    <w:rsid w:val="28B53323"/>
    <w:rsid w:val="2A483D38"/>
    <w:rsid w:val="2A844039"/>
    <w:rsid w:val="2CFE6EE4"/>
    <w:rsid w:val="2D725F92"/>
    <w:rsid w:val="302E782D"/>
    <w:rsid w:val="325C564C"/>
    <w:rsid w:val="36AE6775"/>
    <w:rsid w:val="38787F7C"/>
    <w:rsid w:val="39191BFA"/>
    <w:rsid w:val="3D717517"/>
    <w:rsid w:val="3EBA21B5"/>
    <w:rsid w:val="3FBC61B7"/>
    <w:rsid w:val="4530421B"/>
    <w:rsid w:val="4AEF215E"/>
    <w:rsid w:val="4DA15956"/>
    <w:rsid w:val="4E7D2A86"/>
    <w:rsid w:val="501B3EB2"/>
    <w:rsid w:val="5027117E"/>
    <w:rsid w:val="56C00D65"/>
    <w:rsid w:val="65586BE5"/>
    <w:rsid w:val="6D800228"/>
    <w:rsid w:val="6DAD6BF0"/>
    <w:rsid w:val="6E1B4105"/>
    <w:rsid w:val="6EB66F23"/>
    <w:rsid w:val="727E4EAE"/>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2017-10-30T14:06:00Z</dcterms:created>
  <dc:creator>Administrator</dc:creator>
  <cp:lastModifiedBy>Administrator</cp:lastModifiedBy>
  <dcterms:modified xsi:type="dcterms:W3CDTF">2017-11-15T16:21:42Z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