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《最高人民法院关于审理不正当竞争民事案件应用法律若干问题的解释》已</w:t>
      </w:r>
      <w:r>
        <w:rPr>
          <w:rFonts w:hint="eastAsia"/>
          <w:lang w:eastAsia="zh-CN"/>
        </w:rPr>
        <w:t>于</w:t>
      </w:r>
      <w:r>
        <w:rPr>
          <w:rFonts w:hint="eastAsia"/>
        </w:rPr>
        <w:t>2006</w:t>
      </w:r>
      <w:r>
        <w:rPr>
          <w:rFonts w:hint="eastAsia"/>
          <w:lang w:eastAsia="zh-CN"/>
        </w:rPr>
        <w:t>年</w:t>
      </w:r>
      <w:r>
        <w:rPr>
          <w:rFonts w:hint="eastAsia"/>
        </w:rPr>
        <w:t>12月30日由最高人民法院审判委员会</w:t>
      </w:r>
      <w:r>
        <w:rPr>
          <w:rFonts w:hint="eastAsia"/>
          <w:lang w:eastAsia="zh-CN"/>
        </w:rPr>
        <w:t>第</w:t>
      </w:r>
      <w:r>
        <w:rPr>
          <w:rFonts w:hint="eastAsia"/>
        </w:rPr>
        <w:t>1412次会议通过，现予公布，自2007</w:t>
      </w:r>
      <w:r>
        <w:rPr>
          <w:rFonts w:hint="eastAsia"/>
          <w:lang w:eastAsia="zh-CN"/>
        </w:rPr>
        <w:t>年</w:t>
      </w:r>
      <w:r>
        <w:rPr>
          <w:rFonts w:hint="eastAsia"/>
        </w:rPr>
        <w:t>2</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w:t>
      </w:r>
      <w:r>
        <w:rPr>
          <w:rFonts w:hint="eastAsia"/>
          <w:lang w:eastAsia="zh-CN"/>
        </w:rPr>
        <w:t>年</w:t>
      </w:r>
      <w:r>
        <w:rPr>
          <w:rFonts w:hint="eastAsia"/>
        </w:rPr>
        <w:t>1</w:t>
      </w:r>
      <w:r>
        <w:rPr>
          <w:rFonts w:hint="eastAsia"/>
          <w:lang w:eastAsia="zh-CN"/>
        </w:rPr>
        <w:t>月</w:t>
      </w:r>
      <w:r>
        <w:rPr>
          <w:rFonts w:hint="eastAsia"/>
        </w:rPr>
        <w:t>12日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关于审理不正当竞争民事案件</w:t>
      </w:r>
    </w:p>
    <w:p>
      <w:pPr>
        <w:pStyle w:val="7"/>
        <w:rPr>
          <w:rFonts w:hint="eastAsia"/>
        </w:rPr>
      </w:pPr>
      <w:r>
        <w:t>应用法律若干问题的解释</w:t>
      </w:r>
    </w:p>
    <w:p>
      <w:pPr>
        <w:pStyle w:val="12"/>
        <w:rPr>
          <w:rFonts w:hint="eastAsia" w:ascii="宋体" w:hAnsi="宋体" w:eastAsia="宋体" w:cs="宋体"/>
        </w:rPr>
      </w:pPr>
    </w:p>
    <w:p>
      <w:pPr>
        <w:pStyle w:val="19"/>
        <w:rPr>
          <w:rFonts w:hint="eastAsia"/>
        </w:rPr>
      </w:pPr>
      <w:r>
        <w:t>法释〔2007〕2号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2006年12月30日最高人民法院审判委员会第1412次会议通过</w:t>
      </w:r>
      <w:r>
        <w:rPr>
          <w:rFonts w:hint="eastAsia"/>
          <w:lang w:val="en-US" w:eastAsia="zh-CN"/>
        </w:rPr>
        <w:t>　</w:t>
      </w:r>
      <w:r>
        <w:rPr>
          <w:rFonts w:hint="eastAsia"/>
        </w:rPr>
        <w:t>2007</w:t>
      </w:r>
      <w:r>
        <w:t>年1月12日最高人民法院公告公布　自2007年2月1日起施行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为了正确审理不正当竞争民事案件</w:t>
      </w:r>
      <w:r>
        <w:rPr>
          <w:rFonts w:hint="eastAsia"/>
        </w:rPr>
        <w:t>，</w:t>
      </w:r>
      <w:r>
        <w:t>依法保护经营者的合法权益</w:t>
      </w:r>
      <w:r>
        <w:rPr>
          <w:rFonts w:hint="eastAsia"/>
        </w:rPr>
        <w:t>，</w:t>
      </w:r>
      <w:r>
        <w:t>维护市场竞争秩序</w:t>
      </w:r>
      <w:r>
        <w:rPr>
          <w:rFonts w:hint="eastAsia"/>
        </w:rPr>
        <w:t>，</w:t>
      </w:r>
      <w:r>
        <w:t>依照《中华人民共和国民法通则》、《中华人民共和国反不正当竞争法》、《中华人民共和国民事诉讼法》等法律的有关规定</w:t>
      </w:r>
      <w:r>
        <w:rPr>
          <w:rFonts w:hint="eastAsia"/>
        </w:rPr>
        <w:t>，</w:t>
      </w:r>
      <w:r>
        <w:t>结合审判实践经验和实际情况</w:t>
      </w:r>
      <w:r>
        <w:rPr>
          <w:rFonts w:hint="eastAsia"/>
        </w:rPr>
        <w:t>，</w:t>
      </w:r>
      <w:r>
        <w:t>制定本解释</w:t>
      </w:r>
      <w:r>
        <w:rPr>
          <w:rFonts w:hint="eastAsia"/>
        </w:rPr>
        <w:t>。</w:t>
      </w:r>
    </w:p>
    <w:p>
      <w:pPr>
        <w:pStyle w:val="12"/>
        <w:rPr>
          <w:rFonts w:hint="eastAsia"/>
        </w:rPr>
      </w:pPr>
      <w:r>
        <w:rPr>
          <w:rStyle w:val="25"/>
        </w:rPr>
        <w:t>第一条</w:t>
      </w:r>
      <w:r>
        <w:t>　在中国境内具有一定的市场知名度</w:t>
      </w:r>
      <w:r>
        <w:rPr>
          <w:rFonts w:hint="eastAsia"/>
        </w:rPr>
        <w:t>，</w:t>
      </w:r>
      <w:r>
        <w:t>为相关公众所知悉的商品</w:t>
      </w:r>
      <w:r>
        <w:rPr>
          <w:rFonts w:hint="eastAsia"/>
        </w:rPr>
        <w:t>，</w:t>
      </w:r>
      <w:r>
        <w:t>应当认定为反不正当竞争法第五条第</w:t>
      </w:r>
      <w:r>
        <w:rPr>
          <w:rFonts w:hint="eastAsia"/>
          <w:lang w:eastAsia="zh-CN"/>
        </w:rPr>
        <w:t>（</w:t>
      </w:r>
      <w:r>
        <w:t>二</w:t>
      </w:r>
      <w:r>
        <w:rPr>
          <w:rFonts w:hint="eastAsia"/>
          <w:lang w:eastAsia="zh-CN"/>
        </w:rPr>
        <w:t>）</w:t>
      </w:r>
      <w:r>
        <w:t>项规定的“知名商品”。人民法院认定知名商品</w:t>
      </w:r>
      <w:r>
        <w:rPr>
          <w:rFonts w:hint="eastAsia"/>
        </w:rPr>
        <w:t>，</w:t>
      </w:r>
      <w:r>
        <w:t>应当考虑该商品的销售时间、销售区域、销售额和销售对象</w:t>
      </w:r>
      <w:r>
        <w:rPr>
          <w:rFonts w:hint="eastAsia"/>
        </w:rPr>
        <w:t>，</w:t>
      </w:r>
      <w:r>
        <w:t>进行任何宣传的持续时间、程度和地域范围</w:t>
      </w:r>
      <w:r>
        <w:rPr>
          <w:rFonts w:hint="eastAsia"/>
        </w:rPr>
        <w:t>，</w:t>
      </w:r>
      <w:r>
        <w:t>作为知名商品受保护的情况等因素</w:t>
      </w:r>
      <w:r>
        <w:rPr>
          <w:rFonts w:hint="eastAsia"/>
        </w:rPr>
        <w:t>，</w:t>
      </w:r>
      <w:r>
        <w:t>进行综合判断。原告应当对其商品的市场知名度负举证责任。</w:t>
      </w:r>
    </w:p>
    <w:p>
      <w:pPr>
        <w:pStyle w:val="12"/>
        <w:rPr>
          <w:rStyle w:val="25"/>
          <w:rFonts w:hint="eastAsia"/>
        </w:rPr>
      </w:pPr>
      <w:r>
        <w:t>在不同地域范围内使用相同或者近似的知名商品特有的名称、包装、装潢</w:t>
      </w:r>
      <w:r>
        <w:rPr>
          <w:rFonts w:hint="eastAsia"/>
        </w:rPr>
        <w:t>，</w:t>
      </w:r>
      <w:r>
        <w:t>在后使用者能够证明其善意使用的</w:t>
      </w:r>
      <w:r>
        <w:rPr>
          <w:rFonts w:hint="eastAsia"/>
        </w:rPr>
        <w:t>，</w:t>
      </w:r>
      <w:r>
        <w:t>不构成反不正当竞争法第五条第</w:t>
      </w:r>
      <w:r>
        <w:rPr>
          <w:rFonts w:hint="eastAsia"/>
          <w:lang w:eastAsia="zh-CN"/>
        </w:rPr>
        <w:t>（</w:t>
      </w:r>
      <w:r>
        <w:t>二</w:t>
      </w:r>
      <w:r>
        <w:rPr>
          <w:rFonts w:hint="eastAsia"/>
          <w:lang w:eastAsia="zh-CN"/>
        </w:rPr>
        <w:t>）</w:t>
      </w:r>
      <w:r>
        <w:t>项规定的</w:t>
      </w:r>
      <w:r>
        <w:rPr>
          <w:rFonts w:hint="eastAsia"/>
        </w:rPr>
        <w:t>不正当竞争行为。因后来的经营活动进入相同地域范围而使其商品来源足以产生混淆，在先使用者请求责令在后使用者附加足以区别商品来源的其他标识的，人民法院应当予以支持。</w:t>
      </w:r>
    </w:p>
    <w:p>
      <w:pPr>
        <w:pStyle w:val="12"/>
        <w:rPr>
          <w:rFonts w:hint="eastAsia"/>
        </w:rPr>
      </w:pPr>
      <w:r>
        <w:rPr>
          <w:rStyle w:val="25"/>
        </w:rPr>
        <w:t>第二条</w:t>
      </w:r>
      <w:r>
        <w:t>　具有区别商品来源的显著特征的商品的名称、包装、装潢</w:t>
      </w:r>
      <w:r>
        <w:rPr>
          <w:rFonts w:hint="eastAsia"/>
        </w:rPr>
        <w:t>，</w:t>
      </w:r>
      <w:r>
        <w:t>应当认定为反不正当竞争法第五条第</w:t>
      </w:r>
      <w:r>
        <w:rPr>
          <w:rFonts w:hint="eastAsia"/>
          <w:lang w:eastAsia="zh-CN"/>
        </w:rPr>
        <w:t>（</w:t>
      </w:r>
      <w:r>
        <w:t>二</w:t>
      </w:r>
      <w:r>
        <w:rPr>
          <w:rFonts w:hint="eastAsia"/>
          <w:lang w:eastAsia="zh-CN"/>
        </w:rPr>
        <w:t>）</w:t>
      </w:r>
      <w:r>
        <w:t>项规定的“特有的名称、包装、装潢”。有下列情形之一的</w:t>
      </w:r>
      <w:r>
        <w:rPr>
          <w:rFonts w:hint="eastAsia"/>
        </w:rPr>
        <w:t>，</w:t>
      </w:r>
      <w:r>
        <w:t>人民法院不认定为知名商品特有的名称、包装、装潢：</w:t>
      </w:r>
    </w:p>
    <w:p>
      <w:pPr>
        <w:pStyle w:val="12"/>
        <w:rPr>
          <w:rFonts w:hint="eastAsia"/>
        </w:rPr>
      </w:pPr>
      <w:r>
        <w:rPr>
          <w:rFonts w:hint="eastAsia"/>
          <w:lang w:eastAsia="zh-CN"/>
        </w:rPr>
        <w:t>（</w:t>
      </w:r>
      <w:r>
        <w:t>一</w:t>
      </w:r>
      <w:r>
        <w:rPr>
          <w:rFonts w:hint="eastAsia"/>
          <w:lang w:eastAsia="zh-CN"/>
        </w:rPr>
        <w:t>）</w:t>
      </w:r>
      <w:r>
        <w:t>商品的通用名称、图形、型号；</w:t>
      </w:r>
    </w:p>
    <w:p>
      <w:pPr>
        <w:pStyle w:val="12"/>
        <w:rPr>
          <w:rFonts w:hint="eastAsia"/>
        </w:rPr>
      </w:pPr>
      <w:r>
        <w:rPr>
          <w:rFonts w:hint="eastAsia"/>
          <w:lang w:eastAsia="zh-CN"/>
        </w:rPr>
        <w:t>（</w:t>
      </w:r>
      <w:r>
        <w:t>二</w:t>
      </w:r>
      <w:r>
        <w:rPr>
          <w:rFonts w:hint="eastAsia"/>
          <w:lang w:eastAsia="zh-CN"/>
        </w:rPr>
        <w:t>）</w:t>
      </w:r>
      <w:r>
        <w:t>仅仅直接表示商品的质量、主要原料、功能、用途、重量、数量及其</w:t>
      </w:r>
      <w:r>
        <w:rPr>
          <w:rFonts w:hint="eastAsia"/>
        </w:rPr>
        <w:t>他特点的商品名称；</w:t>
      </w:r>
    </w:p>
    <w:p>
      <w:pPr>
        <w:pStyle w:val="12"/>
        <w:rPr>
          <w:rFonts w:hint="eastAsia"/>
        </w:rPr>
      </w:pPr>
      <w:r>
        <w:rPr>
          <w:rFonts w:hint="eastAsia"/>
          <w:lang w:eastAsia="zh-CN"/>
        </w:rPr>
        <w:t>（</w:t>
      </w:r>
      <w:r>
        <w:t>三</w:t>
      </w:r>
      <w:r>
        <w:rPr>
          <w:rFonts w:hint="eastAsia"/>
          <w:lang w:eastAsia="zh-CN"/>
        </w:rPr>
        <w:t>）</w:t>
      </w:r>
      <w:r>
        <w:t>仅由商品自身的性质产生的形状</w:t>
      </w:r>
      <w:r>
        <w:rPr>
          <w:rFonts w:hint="eastAsia"/>
        </w:rPr>
        <w:t>，</w:t>
      </w:r>
      <w:r>
        <w:t>为获得技术效果而需有的商品形状以及使商品具有实质性价值的形状；</w:t>
      </w:r>
    </w:p>
    <w:p>
      <w:pPr>
        <w:pStyle w:val="12"/>
        <w:rPr>
          <w:rFonts w:hint="eastAsia"/>
        </w:rPr>
      </w:pPr>
      <w:r>
        <w:rPr>
          <w:rFonts w:hint="eastAsia"/>
          <w:lang w:eastAsia="zh-CN"/>
        </w:rPr>
        <w:t>（</w:t>
      </w:r>
      <w:r>
        <w:t>四</w:t>
      </w:r>
      <w:r>
        <w:rPr>
          <w:rFonts w:hint="eastAsia"/>
          <w:lang w:eastAsia="zh-CN"/>
        </w:rPr>
        <w:t>）</w:t>
      </w:r>
      <w:r>
        <w:t>其他缺乏显著特征的商品名称、包装、装潢。</w:t>
      </w:r>
    </w:p>
    <w:p>
      <w:pPr>
        <w:pStyle w:val="12"/>
        <w:rPr>
          <w:rFonts w:hint="eastAsia"/>
        </w:rPr>
      </w:pPr>
      <w:r>
        <w:t>前款第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w:t>
      </w:r>
      <w:r>
        <w:rPr>
          <w:rFonts w:hint="eastAsia"/>
          <w:lang w:eastAsia="zh-CN"/>
        </w:rPr>
        <w:t>（</w:t>
      </w:r>
      <w:r>
        <w:t>四</w:t>
      </w:r>
      <w:r>
        <w:rPr>
          <w:rFonts w:hint="eastAsia"/>
          <w:lang w:eastAsia="zh-CN"/>
        </w:rPr>
        <w:t>）</w:t>
      </w:r>
      <w:r>
        <w:t>项规定的情形经过使用取得显著特征的</w:t>
      </w:r>
      <w:r>
        <w:rPr>
          <w:rFonts w:hint="eastAsia"/>
        </w:rPr>
        <w:t>，</w:t>
      </w:r>
      <w:r>
        <w:t>可以认定为特有的名称、包装、装潢。</w:t>
      </w:r>
    </w:p>
    <w:p>
      <w:pPr>
        <w:pStyle w:val="12"/>
        <w:rPr>
          <w:rStyle w:val="25"/>
          <w:rFonts w:hint="eastAsia"/>
        </w:rPr>
      </w:pPr>
      <w:r>
        <w:t>知名商品特有的名称、包装、装潢中含有本商品的通用名称、图形、型号</w:t>
      </w:r>
      <w:r>
        <w:rPr>
          <w:rFonts w:hint="eastAsia"/>
        </w:rPr>
        <w:t>，</w:t>
      </w:r>
      <w:r>
        <w:t>或者直接表示商品的质量、主要原料、功能、用途、重量、数量以及其他特点</w:t>
      </w:r>
      <w:r>
        <w:rPr>
          <w:rFonts w:hint="eastAsia"/>
        </w:rPr>
        <w:t>，</w:t>
      </w:r>
      <w:r>
        <w:t>或者含有地名</w:t>
      </w:r>
      <w:r>
        <w:rPr>
          <w:rFonts w:hint="eastAsia"/>
        </w:rPr>
        <w:t>，</w:t>
      </w:r>
      <w:r>
        <w:t>他人因客观叙述商品而正当使用的</w:t>
      </w:r>
      <w:r>
        <w:rPr>
          <w:rFonts w:hint="eastAsia"/>
        </w:rPr>
        <w:t>，</w:t>
      </w:r>
      <w:r>
        <w:t>不构成不正当竞争行为。</w:t>
      </w:r>
    </w:p>
    <w:p>
      <w:pPr>
        <w:pStyle w:val="12"/>
        <w:rPr>
          <w:rStyle w:val="25"/>
          <w:rFonts w:hint="eastAsia"/>
        </w:rPr>
      </w:pPr>
      <w:r>
        <w:rPr>
          <w:rStyle w:val="25"/>
        </w:rPr>
        <w:t>第三条</w:t>
      </w:r>
      <w:r>
        <w:t>　由经营者营业场所的装饰、营业用具的式样、营业人员的服饰等构成的具有独特风格的整体营业形象</w:t>
      </w:r>
      <w:r>
        <w:rPr>
          <w:rFonts w:hint="eastAsia"/>
        </w:rPr>
        <w:t>，</w:t>
      </w:r>
      <w:r>
        <w:t>可以认定为反不正当竞争法第五条第</w:t>
      </w:r>
      <w:r>
        <w:rPr>
          <w:rFonts w:hint="eastAsia"/>
          <w:lang w:eastAsia="zh-CN"/>
        </w:rPr>
        <w:t>（</w:t>
      </w:r>
      <w:r>
        <w:t>二</w:t>
      </w:r>
      <w:r>
        <w:rPr>
          <w:rFonts w:hint="eastAsia"/>
          <w:lang w:eastAsia="zh-CN"/>
        </w:rPr>
        <w:t>）</w:t>
      </w:r>
      <w:r>
        <w:t>项规定的“装潢”。</w:t>
      </w:r>
    </w:p>
    <w:p>
      <w:pPr>
        <w:pStyle w:val="12"/>
        <w:rPr>
          <w:rFonts w:hint="eastAsia"/>
        </w:rPr>
      </w:pPr>
      <w:r>
        <w:rPr>
          <w:rStyle w:val="25"/>
        </w:rPr>
        <w:t>第四条</w:t>
      </w:r>
      <w:r>
        <w:t>　足以使相关公众对商品的来源产生误认</w:t>
      </w:r>
      <w:r>
        <w:rPr>
          <w:rFonts w:hint="eastAsia"/>
        </w:rPr>
        <w:t>，</w:t>
      </w:r>
      <w:r>
        <w:t>包括误认为与知名商品的经营者具有许可使用、关联企业关系等特定联系的</w:t>
      </w:r>
      <w:r>
        <w:rPr>
          <w:rFonts w:hint="eastAsia"/>
        </w:rPr>
        <w:t>，</w:t>
      </w:r>
      <w:r>
        <w:t>应当认定为反不正当竞争法第五条第</w:t>
      </w:r>
      <w:r>
        <w:rPr>
          <w:rFonts w:hint="eastAsia"/>
          <w:lang w:eastAsia="zh-CN"/>
        </w:rPr>
        <w:t>（</w:t>
      </w:r>
      <w:r>
        <w:t>二</w:t>
      </w:r>
      <w:r>
        <w:rPr>
          <w:rFonts w:hint="eastAsia"/>
          <w:lang w:eastAsia="zh-CN"/>
        </w:rPr>
        <w:t>）</w:t>
      </w:r>
      <w:r>
        <w:t>项规定的“造成和他人的知名商品相混淆</w:t>
      </w:r>
      <w:r>
        <w:rPr>
          <w:rFonts w:hint="eastAsia"/>
        </w:rPr>
        <w:t>，</w:t>
      </w:r>
      <w:r>
        <w:t>使购买者误认为是该知名商品”。</w:t>
      </w:r>
    </w:p>
    <w:p>
      <w:pPr>
        <w:pStyle w:val="12"/>
        <w:rPr>
          <w:rFonts w:hint="eastAsia"/>
        </w:rPr>
      </w:pPr>
      <w:r>
        <w:t>在相同商品上使用相同或者视觉上基本无差别的商品名称、包装、装潢</w:t>
      </w:r>
      <w:r>
        <w:rPr>
          <w:rFonts w:hint="eastAsia"/>
        </w:rPr>
        <w:t>，</w:t>
      </w:r>
      <w:r>
        <w:t>应当视为足以</w:t>
      </w:r>
      <w:r>
        <w:rPr>
          <w:rFonts w:hint="eastAsia"/>
        </w:rPr>
        <w:t>造成和他人知名商品相混淆。</w:t>
      </w:r>
    </w:p>
    <w:p>
      <w:pPr>
        <w:pStyle w:val="12"/>
        <w:rPr>
          <w:rStyle w:val="25"/>
          <w:rFonts w:hint="eastAsia"/>
        </w:rPr>
      </w:pPr>
      <w:r>
        <w:t>认定与知名商品特有名称、包装、装潢相同或者近似</w:t>
      </w:r>
      <w:r>
        <w:rPr>
          <w:rFonts w:hint="eastAsia"/>
        </w:rPr>
        <w:t>，</w:t>
      </w:r>
      <w:r>
        <w:t>可以参照商标相同或者近似的判断原则和方法。</w:t>
      </w:r>
    </w:p>
    <w:p>
      <w:pPr>
        <w:pStyle w:val="12"/>
        <w:rPr>
          <w:rStyle w:val="25"/>
          <w:rFonts w:hint="eastAsia"/>
        </w:rPr>
      </w:pPr>
      <w:r>
        <w:rPr>
          <w:rStyle w:val="25"/>
        </w:rPr>
        <w:t>第五条</w:t>
      </w:r>
      <w:r>
        <w:t>　商品的名称、包装、装潢属于商标法第十条第一款规定的不得作为商标使用的标志</w:t>
      </w:r>
      <w:r>
        <w:rPr>
          <w:rFonts w:hint="eastAsia"/>
        </w:rPr>
        <w:t>，</w:t>
      </w:r>
      <w:r>
        <w:t>当事人请求依照反不正当竞争法第五条第</w:t>
      </w:r>
      <w:r>
        <w:rPr>
          <w:rFonts w:hint="eastAsia"/>
          <w:lang w:eastAsia="zh-CN"/>
        </w:rPr>
        <w:t>（</w:t>
      </w:r>
      <w:r>
        <w:t>二</w:t>
      </w:r>
      <w:r>
        <w:rPr>
          <w:rFonts w:hint="eastAsia"/>
          <w:lang w:eastAsia="zh-CN"/>
        </w:rPr>
        <w:t>）</w:t>
      </w:r>
      <w:r>
        <w:t>项规定予以保护的</w:t>
      </w:r>
      <w:r>
        <w:rPr>
          <w:rFonts w:hint="eastAsia"/>
        </w:rPr>
        <w:t>，</w:t>
      </w:r>
      <w:r>
        <w:t>人民法院不予支持。</w:t>
      </w:r>
    </w:p>
    <w:p>
      <w:pPr>
        <w:pStyle w:val="12"/>
        <w:rPr>
          <w:rFonts w:hint="eastAsia"/>
        </w:rPr>
      </w:pPr>
      <w:r>
        <w:rPr>
          <w:rStyle w:val="25"/>
        </w:rPr>
        <w:t>第六条</w:t>
      </w:r>
      <w:r>
        <w:t>　企业登记主管机关依法登记注册的企业名称</w:t>
      </w:r>
      <w:r>
        <w:rPr>
          <w:rFonts w:hint="eastAsia"/>
        </w:rPr>
        <w:t>，</w:t>
      </w:r>
      <w:r>
        <w:t>以及在中国境内进行商业使用的外国</w:t>
      </w:r>
      <w:r>
        <w:rPr>
          <w:rFonts w:hint="eastAsia"/>
          <w:lang w:eastAsia="zh-CN"/>
        </w:rPr>
        <w:t>（</w:t>
      </w:r>
      <w:r>
        <w:t>地区</w:t>
      </w:r>
      <w:r>
        <w:rPr>
          <w:rFonts w:hint="eastAsia"/>
          <w:lang w:eastAsia="zh-CN"/>
        </w:rPr>
        <w:t>）</w:t>
      </w:r>
      <w:r>
        <w:t>企业名称</w:t>
      </w:r>
      <w:r>
        <w:rPr>
          <w:rFonts w:hint="eastAsia"/>
        </w:rPr>
        <w:t>，</w:t>
      </w:r>
      <w:r>
        <w:t>应当认定为反不正当竞争法第五条第</w:t>
      </w:r>
      <w:r>
        <w:rPr>
          <w:rFonts w:hint="eastAsia"/>
          <w:lang w:eastAsia="zh-CN"/>
        </w:rPr>
        <w:t>（</w:t>
      </w:r>
      <w:r>
        <w:t>三</w:t>
      </w:r>
      <w:r>
        <w:rPr>
          <w:rFonts w:hint="eastAsia"/>
          <w:lang w:eastAsia="zh-CN"/>
        </w:rPr>
        <w:t>）</w:t>
      </w:r>
      <w:r>
        <w:t>项规定的“企业名称”。</w:t>
      </w:r>
      <w:r>
        <w:rPr>
          <w:rFonts w:hint="eastAsia"/>
        </w:rPr>
        <w:t>具有一定的市场知名度、为相关公众所知悉的企业名称中的字号，可以认定为反不正当竞争法第五条第</w:t>
      </w:r>
      <w:r>
        <w:rPr>
          <w:rFonts w:hint="eastAsia"/>
          <w:lang w:eastAsia="zh-CN"/>
        </w:rPr>
        <w:t>（</w:t>
      </w:r>
      <w:r>
        <w:rPr>
          <w:rFonts w:hint="eastAsia"/>
        </w:rPr>
        <w:t>三</w:t>
      </w:r>
      <w:r>
        <w:rPr>
          <w:rFonts w:hint="eastAsia"/>
          <w:lang w:eastAsia="zh-CN"/>
        </w:rPr>
        <w:t>）</w:t>
      </w:r>
      <w:r>
        <w:rPr>
          <w:rFonts w:hint="eastAsia"/>
        </w:rPr>
        <w:t>项规定的“企业名称”。</w:t>
      </w:r>
    </w:p>
    <w:p>
      <w:pPr>
        <w:pStyle w:val="12"/>
        <w:rPr>
          <w:rStyle w:val="25"/>
          <w:rFonts w:hint="eastAsia"/>
        </w:rPr>
      </w:pPr>
      <w:r>
        <w:t>在商品经营中使用的自然人的姓名</w:t>
      </w:r>
      <w:r>
        <w:rPr>
          <w:rFonts w:hint="eastAsia"/>
        </w:rPr>
        <w:t>，</w:t>
      </w:r>
      <w:r>
        <w:t>应当认定为反不正当竞争法第五条第</w:t>
      </w:r>
      <w:r>
        <w:rPr>
          <w:rFonts w:hint="eastAsia"/>
          <w:lang w:eastAsia="zh-CN"/>
        </w:rPr>
        <w:t>（</w:t>
      </w:r>
      <w:r>
        <w:t>三</w:t>
      </w:r>
      <w:r>
        <w:rPr>
          <w:rFonts w:hint="eastAsia"/>
          <w:lang w:eastAsia="zh-CN"/>
        </w:rPr>
        <w:t>）</w:t>
      </w:r>
      <w:r>
        <w:t>项规定的“姓名”。具有一定的市场知名度、为相关公众所知悉的自然人的笔名、艺名等</w:t>
      </w:r>
      <w:r>
        <w:rPr>
          <w:rFonts w:hint="eastAsia"/>
        </w:rPr>
        <w:t>，</w:t>
      </w:r>
      <w:r>
        <w:t>可以认定为反不正当竞争法第五条第</w:t>
      </w:r>
      <w:r>
        <w:rPr>
          <w:rFonts w:hint="eastAsia"/>
          <w:lang w:eastAsia="zh-CN"/>
        </w:rPr>
        <w:t>（</w:t>
      </w:r>
      <w:r>
        <w:t>三</w:t>
      </w:r>
      <w:r>
        <w:rPr>
          <w:rFonts w:hint="eastAsia"/>
          <w:lang w:eastAsia="zh-CN"/>
        </w:rPr>
        <w:t>）</w:t>
      </w:r>
      <w:r>
        <w:t>项规定的“姓名”。</w:t>
      </w:r>
    </w:p>
    <w:p>
      <w:pPr>
        <w:pStyle w:val="12"/>
        <w:rPr>
          <w:rStyle w:val="25"/>
          <w:rFonts w:hint="eastAsia"/>
        </w:rPr>
      </w:pPr>
      <w:r>
        <w:rPr>
          <w:rStyle w:val="25"/>
        </w:rPr>
        <w:t>第七条</w:t>
      </w:r>
      <w:r>
        <w:t>　在中国境内进行商业使用</w:t>
      </w:r>
      <w:r>
        <w:rPr>
          <w:rFonts w:hint="eastAsia"/>
        </w:rPr>
        <w:t>，</w:t>
      </w:r>
      <w:r>
        <w:t>包括将知名商品特有的名称、包装、装潢或者企业名称、姓名用于商品、商品包装以及商品交易文书上</w:t>
      </w:r>
      <w:r>
        <w:rPr>
          <w:rFonts w:hint="eastAsia"/>
        </w:rPr>
        <w:t>，</w:t>
      </w:r>
      <w:r>
        <w:t>或者用于广告宣传、展</w:t>
      </w:r>
      <w:r>
        <w:rPr>
          <w:rFonts w:hint="eastAsia"/>
        </w:rPr>
        <w:t>览以及其他商业活动中，应当认定为反不正当竞争法第五条第</w:t>
      </w:r>
      <w:r>
        <w:rPr>
          <w:rFonts w:hint="eastAsia"/>
          <w:lang w:eastAsia="zh-CN"/>
        </w:rPr>
        <w:t>（</w:t>
      </w:r>
      <w:r>
        <w:rPr>
          <w:rFonts w:hint="eastAsia"/>
        </w:rPr>
        <w:t>二</w:t>
      </w:r>
      <w:r>
        <w:rPr>
          <w:rFonts w:hint="eastAsia"/>
          <w:lang w:eastAsia="zh-CN"/>
        </w:rPr>
        <w:t>）</w:t>
      </w:r>
      <w:r>
        <w:rPr>
          <w:rFonts w:hint="eastAsia"/>
        </w:rPr>
        <w:t>项、第</w:t>
      </w:r>
      <w:r>
        <w:rPr>
          <w:rFonts w:hint="eastAsia"/>
          <w:lang w:eastAsia="zh-CN"/>
        </w:rPr>
        <w:t>（</w:t>
      </w:r>
      <w:r>
        <w:rPr>
          <w:rFonts w:hint="eastAsia"/>
        </w:rPr>
        <w:t>三</w:t>
      </w:r>
      <w:r>
        <w:rPr>
          <w:rFonts w:hint="eastAsia"/>
          <w:lang w:eastAsia="zh-CN"/>
        </w:rPr>
        <w:t>）</w:t>
      </w:r>
      <w:r>
        <w:rPr>
          <w:rFonts w:hint="eastAsia"/>
        </w:rPr>
        <w:t>项规定的“使用”。</w:t>
      </w:r>
    </w:p>
    <w:p>
      <w:pPr>
        <w:pStyle w:val="12"/>
        <w:rPr>
          <w:rFonts w:hint="eastAsia"/>
        </w:rPr>
      </w:pPr>
      <w:r>
        <w:rPr>
          <w:rStyle w:val="25"/>
        </w:rPr>
        <w:t>第八条</w:t>
      </w:r>
      <w:r>
        <w:t>　经营者具有下列行为之一</w:t>
      </w:r>
      <w:r>
        <w:rPr>
          <w:rFonts w:hint="eastAsia"/>
        </w:rPr>
        <w:t>，</w:t>
      </w:r>
      <w:r>
        <w:t>足以造成相关公众误解的</w:t>
      </w:r>
      <w:r>
        <w:rPr>
          <w:rFonts w:hint="eastAsia"/>
        </w:rPr>
        <w:t>，</w:t>
      </w:r>
      <w:r>
        <w:t>可以认定为反不正当竞争法第九条第一款规定的引人误解的虚假宣传行为：</w:t>
      </w:r>
    </w:p>
    <w:p>
      <w:pPr>
        <w:pStyle w:val="12"/>
        <w:rPr>
          <w:rFonts w:hint="eastAsia"/>
        </w:rPr>
      </w:pPr>
      <w:r>
        <w:rPr>
          <w:rFonts w:hint="eastAsia"/>
          <w:lang w:eastAsia="zh-CN"/>
        </w:rPr>
        <w:t>（</w:t>
      </w:r>
      <w:r>
        <w:t>一</w:t>
      </w:r>
      <w:r>
        <w:rPr>
          <w:rFonts w:hint="eastAsia"/>
          <w:lang w:eastAsia="zh-CN"/>
        </w:rPr>
        <w:t>）</w:t>
      </w:r>
      <w:r>
        <w:t>对商品作片面的宣传或者对比的；</w:t>
      </w:r>
    </w:p>
    <w:p>
      <w:pPr>
        <w:pStyle w:val="12"/>
        <w:rPr>
          <w:rFonts w:hint="eastAsia"/>
        </w:rPr>
      </w:pPr>
      <w:r>
        <w:rPr>
          <w:rFonts w:hint="eastAsia"/>
          <w:lang w:eastAsia="zh-CN"/>
        </w:rPr>
        <w:t>（</w:t>
      </w:r>
      <w:r>
        <w:t>二</w:t>
      </w:r>
      <w:r>
        <w:rPr>
          <w:rFonts w:hint="eastAsia"/>
          <w:lang w:eastAsia="zh-CN"/>
        </w:rPr>
        <w:t>）</w:t>
      </w:r>
      <w:r>
        <w:t>将科学上未定论的观点、现象等当作定论的事实用于商品宣传的；</w:t>
      </w:r>
    </w:p>
    <w:p>
      <w:pPr>
        <w:pStyle w:val="12"/>
        <w:rPr>
          <w:rFonts w:hint="eastAsia"/>
        </w:rPr>
      </w:pPr>
      <w:r>
        <w:rPr>
          <w:rFonts w:hint="eastAsia"/>
          <w:lang w:eastAsia="zh-CN"/>
        </w:rPr>
        <w:t>（</w:t>
      </w:r>
      <w:r>
        <w:t>三</w:t>
      </w:r>
      <w:r>
        <w:rPr>
          <w:rFonts w:hint="eastAsia"/>
          <w:lang w:eastAsia="zh-CN"/>
        </w:rPr>
        <w:t>）</w:t>
      </w:r>
      <w:r>
        <w:t>以歧义性语言或者其他引人误解的方式进行商品宣传的。</w:t>
      </w:r>
    </w:p>
    <w:p>
      <w:pPr>
        <w:pStyle w:val="12"/>
        <w:rPr>
          <w:rFonts w:hint="eastAsia"/>
        </w:rPr>
      </w:pPr>
      <w:r>
        <w:t>以明显的夸张方式宣传商品</w:t>
      </w:r>
      <w:r>
        <w:rPr>
          <w:rFonts w:hint="eastAsia"/>
        </w:rPr>
        <w:t>，</w:t>
      </w:r>
      <w:r>
        <w:t>不足以造成相关公众误解的</w:t>
      </w:r>
      <w:r>
        <w:rPr>
          <w:rFonts w:hint="eastAsia"/>
        </w:rPr>
        <w:t>，</w:t>
      </w:r>
      <w:r>
        <w:t>不属于引人误解的虚假宣传</w:t>
      </w:r>
      <w:r>
        <w:rPr>
          <w:rFonts w:hint="eastAsia"/>
        </w:rPr>
        <w:t>行为。</w:t>
      </w:r>
    </w:p>
    <w:p>
      <w:pPr>
        <w:pStyle w:val="12"/>
        <w:rPr>
          <w:rStyle w:val="25"/>
          <w:rFonts w:hint="eastAsia"/>
        </w:rPr>
      </w:pPr>
      <w:r>
        <w:t>人民法院应当根据日常生活经验、相关公众一般注意力、发生误解的事实和被宣传对象的实际情况等因素</w:t>
      </w:r>
      <w:r>
        <w:rPr>
          <w:rFonts w:hint="eastAsia"/>
        </w:rPr>
        <w:t>，</w:t>
      </w:r>
      <w:r>
        <w:t>对引人误解的虚假宣传行为进行认定。</w:t>
      </w:r>
    </w:p>
    <w:p>
      <w:pPr>
        <w:pStyle w:val="12"/>
        <w:rPr>
          <w:rFonts w:hint="eastAsia"/>
        </w:rPr>
      </w:pPr>
      <w:r>
        <w:rPr>
          <w:rStyle w:val="25"/>
        </w:rPr>
        <w:t>第九条</w:t>
      </w:r>
      <w:r>
        <w:t>　有关信息不为其所属领域的相关人员普遍知悉和容易获得</w:t>
      </w:r>
      <w:r>
        <w:rPr>
          <w:rFonts w:hint="eastAsia"/>
        </w:rPr>
        <w:t>，</w:t>
      </w:r>
      <w:r>
        <w:t>应当认定为反不正当竞争法第十条第三款规定的“不为公众所知悉”。</w:t>
      </w:r>
    </w:p>
    <w:p>
      <w:pPr>
        <w:pStyle w:val="12"/>
        <w:rPr>
          <w:rFonts w:hint="eastAsia"/>
        </w:rPr>
      </w:pPr>
      <w:r>
        <w:t>具有下列情形之一的</w:t>
      </w:r>
      <w:r>
        <w:rPr>
          <w:rFonts w:hint="eastAsia"/>
        </w:rPr>
        <w:t>，</w:t>
      </w:r>
      <w:r>
        <w:t>可以认定有关信息不构成不为公众所知悉：</w:t>
      </w:r>
    </w:p>
    <w:p>
      <w:pPr>
        <w:pStyle w:val="12"/>
        <w:rPr>
          <w:rFonts w:hint="eastAsia"/>
        </w:rPr>
      </w:pPr>
      <w:r>
        <w:rPr>
          <w:rFonts w:hint="eastAsia"/>
          <w:lang w:eastAsia="zh-CN"/>
        </w:rPr>
        <w:t>（</w:t>
      </w:r>
      <w:r>
        <w:t>一</w:t>
      </w:r>
      <w:r>
        <w:rPr>
          <w:rFonts w:hint="eastAsia"/>
          <w:lang w:eastAsia="zh-CN"/>
        </w:rPr>
        <w:t>）</w:t>
      </w:r>
      <w:r>
        <w:t>该信息为其所属技术或者经济领域的人的一般常识或者行业惯例；</w:t>
      </w:r>
    </w:p>
    <w:p>
      <w:pPr>
        <w:pStyle w:val="12"/>
        <w:rPr>
          <w:rFonts w:hint="eastAsia"/>
        </w:rPr>
      </w:pPr>
      <w:r>
        <w:rPr>
          <w:rFonts w:hint="eastAsia"/>
          <w:lang w:eastAsia="zh-CN"/>
        </w:rPr>
        <w:t>（</w:t>
      </w:r>
      <w:r>
        <w:t>二</w:t>
      </w:r>
      <w:r>
        <w:rPr>
          <w:rFonts w:hint="eastAsia"/>
          <w:lang w:eastAsia="zh-CN"/>
        </w:rPr>
        <w:t>）</w:t>
      </w:r>
      <w:r>
        <w:t>该信息仅涉及产品的尺寸、结构、材料、部件的简单组合等内容</w:t>
      </w:r>
      <w:r>
        <w:rPr>
          <w:rFonts w:hint="eastAsia"/>
        </w:rPr>
        <w:t>，</w:t>
      </w:r>
      <w:r>
        <w:t>进</w:t>
      </w:r>
      <w:r>
        <w:rPr>
          <w:rFonts w:hint="eastAsia"/>
        </w:rPr>
        <w:t>入市场后相关公众通过观察产品即可直接获得；</w:t>
      </w:r>
    </w:p>
    <w:p>
      <w:pPr>
        <w:pStyle w:val="12"/>
        <w:rPr>
          <w:rFonts w:hint="eastAsia"/>
        </w:rPr>
      </w:pPr>
      <w:r>
        <w:rPr>
          <w:rFonts w:hint="eastAsia"/>
          <w:lang w:eastAsia="zh-CN"/>
        </w:rPr>
        <w:t>（</w:t>
      </w:r>
      <w:r>
        <w:t>三</w:t>
      </w:r>
      <w:r>
        <w:rPr>
          <w:rFonts w:hint="eastAsia"/>
          <w:lang w:eastAsia="zh-CN"/>
        </w:rPr>
        <w:t>）</w:t>
      </w:r>
      <w:r>
        <w:t>该信息已经在公开出版物或者其他媒体上公开披露；</w:t>
      </w:r>
    </w:p>
    <w:p>
      <w:pPr>
        <w:pStyle w:val="12"/>
        <w:rPr>
          <w:rFonts w:hint="eastAsia"/>
        </w:rPr>
      </w:pPr>
      <w:r>
        <w:rPr>
          <w:rFonts w:hint="eastAsia"/>
          <w:lang w:eastAsia="zh-CN"/>
        </w:rPr>
        <w:t>（</w:t>
      </w:r>
      <w:r>
        <w:t>四</w:t>
      </w:r>
      <w:r>
        <w:rPr>
          <w:rFonts w:hint="eastAsia"/>
          <w:lang w:eastAsia="zh-CN"/>
        </w:rPr>
        <w:t>）</w:t>
      </w:r>
      <w:r>
        <w:t>该信息已通过公开的报告会、展览等方式公开；</w:t>
      </w:r>
    </w:p>
    <w:p>
      <w:pPr>
        <w:pStyle w:val="12"/>
        <w:rPr>
          <w:rFonts w:hint="eastAsia"/>
        </w:rPr>
      </w:pPr>
      <w:r>
        <w:rPr>
          <w:rFonts w:hint="eastAsia"/>
          <w:lang w:eastAsia="zh-CN"/>
        </w:rPr>
        <w:t>（</w:t>
      </w:r>
      <w:r>
        <w:t>五</w:t>
      </w:r>
      <w:r>
        <w:rPr>
          <w:rFonts w:hint="eastAsia"/>
          <w:lang w:eastAsia="zh-CN"/>
        </w:rPr>
        <w:t>）</w:t>
      </w:r>
      <w:r>
        <w:t>该信息从其他公开渠道可以获得；</w:t>
      </w:r>
    </w:p>
    <w:p>
      <w:pPr>
        <w:pStyle w:val="12"/>
        <w:rPr>
          <w:rStyle w:val="25"/>
          <w:rFonts w:hint="eastAsia"/>
        </w:rPr>
      </w:pPr>
      <w:r>
        <w:rPr>
          <w:rFonts w:hint="eastAsia"/>
          <w:lang w:eastAsia="zh-CN"/>
        </w:rPr>
        <w:t>（</w:t>
      </w:r>
      <w:r>
        <w:t>六</w:t>
      </w:r>
      <w:r>
        <w:rPr>
          <w:rFonts w:hint="eastAsia"/>
          <w:lang w:eastAsia="zh-CN"/>
        </w:rPr>
        <w:t>）</w:t>
      </w:r>
      <w:r>
        <w:t>该信息无需付出一定的代价而容易获得。</w:t>
      </w:r>
    </w:p>
    <w:p>
      <w:pPr>
        <w:pStyle w:val="12"/>
        <w:rPr>
          <w:rStyle w:val="25"/>
          <w:rFonts w:hint="eastAsia"/>
        </w:rPr>
      </w:pPr>
      <w:r>
        <w:rPr>
          <w:rStyle w:val="25"/>
        </w:rPr>
        <w:t>第十条</w:t>
      </w:r>
      <w:r>
        <w:t>　有关信息具有现实的或者潜在的商业价值</w:t>
      </w:r>
      <w:r>
        <w:rPr>
          <w:rFonts w:hint="eastAsia"/>
        </w:rPr>
        <w:t>，</w:t>
      </w:r>
      <w:r>
        <w:t>能为权利人带来竞争优势的</w:t>
      </w:r>
      <w:r>
        <w:rPr>
          <w:rFonts w:hint="eastAsia"/>
        </w:rPr>
        <w:t>，</w:t>
      </w:r>
      <w:r>
        <w:t>应当认定为反不正当竞争法第十条第三款规定的“能为权利人带来经济利益、具有实用性”。</w:t>
      </w:r>
    </w:p>
    <w:p>
      <w:pPr>
        <w:pStyle w:val="12"/>
        <w:rPr>
          <w:rFonts w:hint="eastAsia"/>
        </w:rPr>
      </w:pPr>
      <w:r>
        <w:rPr>
          <w:rStyle w:val="25"/>
        </w:rPr>
        <w:t>第十一条</w:t>
      </w:r>
      <w:r>
        <w:t>　权利人为防止信息泄露所采取</w:t>
      </w:r>
      <w:r>
        <w:rPr>
          <w:rFonts w:hint="eastAsia"/>
        </w:rPr>
        <w:t>的与其商业价值等具体情况相适应的合理保护措施，应当认定为反不正当竞争法第十条第三款规定的“保密措施”。</w:t>
      </w:r>
    </w:p>
    <w:p>
      <w:pPr>
        <w:pStyle w:val="12"/>
        <w:rPr>
          <w:rFonts w:hint="eastAsia"/>
        </w:rPr>
      </w:pPr>
      <w:r>
        <w:t>人民法院应当根据所涉信息载体的特性、权利人保密的意愿、保密措施的可识别程度、他人通过正当方式获得的难易程度等因素</w:t>
      </w:r>
      <w:r>
        <w:rPr>
          <w:rFonts w:hint="eastAsia"/>
        </w:rPr>
        <w:t>，</w:t>
      </w:r>
      <w:r>
        <w:t>认定权利人是否采取了保密措施。</w:t>
      </w:r>
    </w:p>
    <w:p>
      <w:pPr>
        <w:pStyle w:val="12"/>
        <w:rPr>
          <w:rFonts w:hint="eastAsia"/>
        </w:rPr>
      </w:pPr>
      <w:r>
        <w:t>具有下列情形之一</w:t>
      </w:r>
      <w:r>
        <w:rPr>
          <w:rFonts w:hint="eastAsia"/>
        </w:rPr>
        <w:t>，</w:t>
      </w:r>
      <w:r>
        <w:t>在正常情况下足以防止涉密信息泄露的</w:t>
      </w:r>
      <w:r>
        <w:rPr>
          <w:rFonts w:hint="eastAsia"/>
        </w:rPr>
        <w:t>，</w:t>
      </w:r>
      <w:r>
        <w:t>应当认定权利人采取了保密措施：</w:t>
      </w:r>
    </w:p>
    <w:p>
      <w:pPr>
        <w:pStyle w:val="12"/>
        <w:rPr>
          <w:rFonts w:hint="eastAsia"/>
        </w:rPr>
      </w:pPr>
      <w:r>
        <w:rPr>
          <w:rFonts w:hint="eastAsia"/>
          <w:lang w:eastAsia="zh-CN"/>
        </w:rPr>
        <w:t>（</w:t>
      </w:r>
      <w:r>
        <w:t>一</w:t>
      </w:r>
      <w:r>
        <w:rPr>
          <w:rFonts w:hint="eastAsia"/>
          <w:lang w:eastAsia="zh-CN"/>
        </w:rPr>
        <w:t>）</w:t>
      </w:r>
      <w:r>
        <w:t>限定涉密信息的知悉范围</w:t>
      </w:r>
      <w:r>
        <w:rPr>
          <w:rFonts w:hint="eastAsia"/>
        </w:rPr>
        <w:t>，</w:t>
      </w:r>
      <w:r>
        <w:t>只对必须知悉的相关人员告知其内容；</w:t>
      </w:r>
    </w:p>
    <w:p>
      <w:pPr>
        <w:pStyle w:val="12"/>
        <w:rPr>
          <w:rFonts w:hint="eastAsia"/>
        </w:rPr>
      </w:pPr>
      <w:r>
        <w:rPr>
          <w:rFonts w:hint="eastAsia"/>
          <w:lang w:eastAsia="zh-CN"/>
        </w:rPr>
        <w:t>（</w:t>
      </w:r>
      <w:r>
        <w:t>二</w:t>
      </w:r>
      <w:r>
        <w:rPr>
          <w:rFonts w:hint="eastAsia"/>
          <w:lang w:eastAsia="zh-CN"/>
        </w:rPr>
        <w:t>）</w:t>
      </w:r>
      <w:r>
        <w:t>对于涉密信息载体采取加锁等防范措施；</w:t>
      </w:r>
    </w:p>
    <w:p>
      <w:pPr>
        <w:pStyle w:val="12"/>
        <w:rPr>
          <w:rFonts w:hint="eastAsia"/>
        </w:rPr>
      </w:pPr>
      <w:r>
        <w:rPr>
          <w:rFonts w:hint="eastAsia"/>
          <w:lang w:eastAsia="zh-CN"/>
        </w:rPr>
        <w:t>（</w:t>
      </w:r>
      <w:r>
        <w:t>三</w:t>
      </w:r>
      <w:r>
        <w:rPr>
          <w:rFonts w:hint="eastAsia"/>
          <w:lang w:eastAsia="zh-CN"/>
        </w:rPr>
        <w:t>）</w:t>
      </w:r>
      <w:r>
        <w:t>在涉密信息的载体上标有保密标</w:t>
      </w:r>
      <w:r>
        <w:rPr>
          <w:rFonts w:hint="eastAsia"/>
        </w:rPr>
        <w:t>志；</w:t>
      </w:r>
    </w:p>
    <w:p>
      <w:pPr>
        <w:pStyle w:val="12"/>
        <w:rPr>
          <w:rFonts w:hint="eastAsia"/>
        </w:rPr>
      </w:pPr>
      <w:r>
        <w:rPr>
          <w:rFonts w:hint="eastAsia"/>
          <w:lang w:eastAsia="zh-CN"/>
        </w:rPr>
        <w:t>（</w:t>
      </w:r>
      <w:r>
        <w:t>四</w:t>
      </w:r>
      <w:r>
        <w:rPr>
          <w:rFonts w:hint="eastAsia"/>
          <w:lang w:eastAsia="zh-CN"/>
        </w:rPr>
        <w:t>）</w:t>
      </w:r>
      <w:r>
        <w:t>对于涉密信息采用密码或者代码等；</w:t>
      </w:r>
    </w:p>
    <w:p>
      <w:pPr>
        <w:pStyle w:val="12"/>
        <w:rPr>
          <w:rFonts w:hint="eastAsia"/>
        </w:rPr>
      </w:pPr>
      <w:r>
        <w:rPr>
          <w:rFonts w:hint="eastAsia"/>
          <w:lang w:eastAsia="zh-CN"/>
        </w:rPr>
        <w:t>（</w:t>
      </w:r>
      <w:r>
        <w:t>五</w:t>
      </w:r>
      <w:r>
        <w:rPr>
          <w:rFonts w:hint="eastAsia"/>
          <w:lang w:eastAsia="zh-CN"/>
        </w:rPr>
        <w:t>）</w:t>
      </w:r>
      <w:r>
        <w:t>签订保密协议；</w:t>
      </w:r>
    </w:p>
    <w:p>
      <w:pPr>
        <w:pStyle w:val="12"/>
        <w:rPr>
          <w:rFonts w:hint="eastAsia"/>
        </w:rPr>
      </w:pPr>
      <w:r>
        <w:rPr>
          <w:rFonts w:hint="eastAsia"/>
          <w:lang w:eastAsia="zh-CN"/>
        </w:rPr>
        <w:t>（</w:t>
      </w:r>
      <w:r>
        <w:t>六</w:t>
      </w:r>
      <w:r>
        <w:rPr>
          <w:rFonts w:hint="eastAsia"/>
          <w:lang w:eastAsia="zh-CN"/>
        </w:rPr>
        <w:t>）</w:t>
      </w:r>
      <w:r>
        <w:t>对于涉密的机器、厂房、车间等场所限制来访者或者提出保密要求；</w:t>
      </w:r>
    </w:p>
    <w:p>
      <w:pPr>
        <w:pStyle w:val="12"/>
        <w:rPr>
          <w:rStyle w:val="25"/>
          <w:rFonts w:hint="eastAsia"/>
        </w:rPr>
      </w:pPr>
      <w:r>
        <w:rPr>
          <w:rFonts w:hint="eastAsia"/>
          <w:lang w:eastAsia="zh-CN"/>
        </w:rPr>
        <w:t>（</w:t>
      </w:r>
      <w:r>
        <w:t>七</w:t>
      </w:r>
      <w:r>
        <w:rPr>
          <w:rFonts w:hint="eastAsia"/>
          <w:lang w:eastAsia="zh-CN"/>
        </w:rPr>
        <w:t>）</w:t>
      </w:r>
      <w:r>
        <w:t>确保信息秘密的其他合理措施。</w:t>
      </w:r>
    </w:p>
    <w:p>
      <w:pPr>
        <w:pStyle w:val="12"/>
        <w:rPr>
          <w:rFonts w:hint="eastAsia"/>
        </w:rPr>
      </w:pPr>
      <w:r>
        <w:rPr>
          <w:rStyle w:val="25"/>
        </w:rPr>
        <w:t>第十二条</w:t>
      </w:r>
      <w:r>
        <w:t>　通过自行开发研制或者反向工程等方式获得的商业秘密</w:t>
      </w:r>
      <w:r>
        <w:rPr>
          <w:rFonts w:hint="eastAsia"/>
        </w:rPr>
        <w:t>，</w:t>
      </w:r>
      <w:r>
        <w:t>不认定为反不正当竞争法第十条第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项规定的侵犯商业秘密行为。</w:t>
      </w:r>
    </w:p>
    <w:p>
      <w:pPr>
        <w:pStyle w:val="12"/>
        <w:rPr>
          <w:rStyle w:val="25"/>
          <w:rFonts w:hint="eastAsia"/>
        </w:rPr>
      </w:pPr>
      <w:r>
        <w:t>前款所称“反向工程”</w:t>
      </w:r>
      <w:r>
        <w:rPr>
          <w:rFonts w:hint="eastAsia"/>
        </w:rPr>
        <w:t>，</w:t>
      </w:r>
      <w:r>
        <w:t>是指通过技术手段对从公开渠道取得的产品进行拆卸、测绘、分析等而获得该产品的有关技术信息。当事人以不正当手段知悉了他人的商业秘密</w:t>
      </w:r>
      <w:r>
        <w:rPr>
          <w:rFonts w:hint="eastAsia"/>
        </w:rPr>
        <w:t>之后，又以反向工程为由主张获取行为合法的，不予支持。</w:t>
      </w:r>
    </w:p>
    <w:p>
      <w:pPr>
        <w:pStyle w:val="12"/>
        <w:rPr>
          <w:rFonts w:hint="eastAsia"/>
        </w:rPr>
      </w:pPr>
      <w:r>
        <w:rPr>
          <w:rStyle w:val="25"/>
        </w:rPr>
        <w:t>第十三条</w:t>
      </w:r>
      <w:r>
        <w:t>　商业秘密中的客户名单</w:t>
      </w:r>
      <w:r>
        <w:rPr>
          <w:rFonts w:hint="eastAsia"/>
        </w:rPr>
        <w:t>，</w:t>
      </w:r>
      <w:r>
        <w:t>一般是指客户的名称、地址、联系方式以及交易的习惯、意向、内容等构成的区别于相关公知信息的特殊客户信息</w:t>
      </w:r>
      <w:r>
        <w:rPr>
          <w:rFonts w:hint="eastAsia"/>
        </w:rPr>
        <w:t>，</w:t>
      </w:r>
      <w:r>
        <w:t>包括汇集众多客户的客户名册</w:t>
      </w:r>
      <w:r>
        <w:rPr>
          <w:rFonts w:hint="eastAsia"/>
        </w:rPr>
        <w:t>，</w:t>
      </w:r>
      <w:r>
        <w:t>以及保持长期稳定交易关系的特定客户。</w:t>
      </w:r>
    </w:p>
    <w:p>
      <w:pPr>
        <w:pStyle w:val="12"/>
        <w:rPr>
          <w:rStyle w:val="25"/>
          <w:rFonts w:hint="eastAsia"/>
        </w:rPr>
      </w:pPr>
      <w:r>
        <w:t>客户基于对职工个人的信赖而与职工所在单位进行市场交易</w:t>
      </w:r>
      <w:r>
        <w:rPr>
          <w:rFonts w:hint="eastAsia"/>
        </w:rPr>
        <w:t>，</w:t>
      </w:r>
      <w:r>
        <w:t>该职工离职后</w:t>
      </w:r>
      <w:r>
        <w:rPr>
          <w:rFonts w:hint="eastAsia"/>
        </w:rPr>
        <w:t>，</w:t>
      </w:r>
      <w:r>
        <w:t>能够证明客户自愿选择与自己或者其新单位进行市场交易的</w:t>
      </w:r>
      <w:r>
        <w:rPr>
          <w:rFonts w:hint="eastAsia"/>
        </w:rPr>
        <w:t>，</w:t>
      </w:r>
      <w:r>
        <w:t>应当认定没有采用不正当手段</w:t>
      </w:r>
      <w:r>
        <w:rPr>
          <w:rFonts w:hint="eastAsia"/>
        </w:rPr>
        <w:t>，</w:t>
      </w:r>
      <w:r>
        <w:t>但职工与原单位另有约定的除外。</w:t>
      </w:r>
    </w:p>
    <w:p>
      <w:pPr>
        <w:pStyle w:val="12"/>
        <w:rPr>
          <w:rStyle w:val="25"/>
          <w:rFonts w:hint="eastAsia"/>
        </w:rPr>
      </w:pPr>
      <w:r>
        <w:rPr>
          <w:rStyle w:val="25"/>
        </w:rPr>
        <w:t>第十四条</w:t>
      </w:r>
      <w:r>
        <w:t>　当事人指称他人侵犯其商业秘密的</w:t>
      </w:r>
      <w:r>
        <w:rPr>
          <w:rFonts w:hint="eastAsia"/>
        </w:rPr>
        <w:t>，</w:t>
      </w:r>
      <w:r>
        <w:t>应当对其拥有的商业秘密符合法定条件、对方当事人的信息与其商业秘密相同或者实质相同以及对方当事人采取不正当手段的事实负举证责任。其中</w:t>
      </w:r>
      <w:r>
        <w:rPr>
          <w:rFonts w:hint="eastAsia"/>
        </w:rPr>
        <w:t>，</w:t>
      </w:r>
      <w:r>
        <w:t>商业秘密符合法定条件的证据</w:t>
      </w:r>
      <w:r>
        <w:rPr>
          <w:rFonts w:hint="eastAsia"/>
        </w:rPr>
        <w:t>，</w:t>
      </w:r>
      <w:r>
        <w:t>包括商业秘密的载体、具体内容、商业价值和对该项商业秘密所采取的具体保密措施等。</w:t>
      </w:r>
    </w:p>
    <w:p>
      <w:pPr>
        <w:pStyle w:val="12"/>
        <w:rPr>
          <w:rFonts w:hint="eastAsia"/>
        </w:rPr>
      </w:pPr>
      <w:r>
        <w:rPr>
          <w:rStyle w:val="25"/>
        </w:rPr>
        <w:t>第十五条</w:t>
      </w:r>
      <w:r>
        <w:t>　对于侵犯商业秘密行为</w:t>
      </w:r>
      <w:r>
        <w:rPr>
          <w:rFonts w:hint="eastAsia"/>
        </w:rPr>
        <w:t>，</w:t>
      </w:r>
      <w:r>
        <w:t>商业秘密独占使用许可合同的被许可人提起诉讼的</w:t>
      </w:r>
      <w:r>
        <w:rPr>
          <w:rFonts w:hint="eastAsia"/>
        </w:rPr>
        <w:t>，</w:t>
      </w:r>
      <w:r>
        <w:t>人民法院应当依法受理。</w:t>
      </w:r>
    </w:p>
    <w:p>
      <w:pPr>
        <w:pStyle w:val="12"/>
        <w:rPr>
          <w:rFonts w:hint="eastAsia"/>
        </w:rPr>
      </w:pPr>
      <w:r>
        <w:t>排他使用许可合同的被许可人和权利人共同提起诉讼</w:t>
      </w:r>
      <w:r>
        <w:rPr>
          <w:rFonts w:hint="eastAsia"/>
        </w:rPr>
        <w:t>，</w:t>
      </w:r>
      <w:r>
        <w:t>或者在权利人不起诉的情况下</w:t>
      </w:r>
      <w:r>
        <w:rPr>
          <w:rFonts w:hint="eastAsia"/>
        </w:rPr>
        <w:t>，</w:t>
      </w:r>
      <w:r>
        <w:t>自行提起诉讼</w:t>
      </w:r>
      <w:r>
        <w:rPr>
          <w:rFonts w:hint="eastAsia"/>
        </w:rPr>
        <w:t>，</w:t>
      </w:r>
      <w:r>
        <w:t>人</w:t>
      </w:r>
      <w:r>
        <w:rPr>
          <w:rFonts w:hint="eastAsia"/>
        </w:rPr>
        <w:t>民法院应当依法受理。</w:t>
      </w:r>
    </w:p>
    <w:p>
      <w:pPr>
        <w:pStyle w:val="12"/>
        <w:rPr>
          <w:rStyle w:val="25"/>
          <w:rFonts w:hint="eastAsia"/>
        </w:rPr>
      </w:pPr>
      <w:r>
        <w:t>普通使用许可合同的被许可人和权利人共同提起诉讼</w:t>
      </w:r>
      <w:r>
        <w:rPr>
          <w:rFonts w:hint="eastAsia"/>
        </w:rPr>
        <w:t>，</w:t>
      </w:r>
      <w:r>
        <w:t>或者经权利人书面授权</w:t>
      </w:r>
      <w:r>
        <w:rPr>
          <w:rFonts w:hint="eastAsia"/>
        </w:rPr>
        <w:t>，</w:t>
      </w:r>
      <w:r>
        <w:t>单独提起诉讼的</w:t>
      </w:r>
      <w:r>
        <w:rPr>
          <w:rFonts w:hint="eastAsia"/>
        </w:rPr>
        <w:t>，</w:t>
      </w:r>
      <w:r>
        <w:t>人民法院应当依法受理。</w:t>
      </w:r>
    </w:p>
    <w:p>
      <w:pPr>
        <w:pStyle w:val="12"/>
        <w:rPr>
          <w:rFonts w:hint="eastAsia"/>
        </w:rPr>
      </w:pPr>
      <w:r>
        <w:rPr>
          <w:rStyle w:val="25"/>
        </w:rPr>
        <w:t>第十六条</w:t>
      </w:r>
      <w:r>
        <w:t>　人民法院对于侵犯商业秘密行为判决停止侵害的民事责任时</w:t>
      </w:r>
      <w:r>
        <w:rPr>
          <w:rFonts w:hint="eastAsia"/>
        </w:rPr>
        <w:t>，</w:t>
      </w:r>
      <w:r>
        <w:t>停止侵害的时间一般持续到该项商业秘密已为公众知悉时为止。</w:t>
      </w:r>
    </w:p>
    <w:p>
      <w:pPr>
        <w:pStyle w:val="12"/>
        <w:rPr>
          <w:rStyle w:val="25"/>
          <w:rFonts w:hint="eastAsia"/>
        </w:rPr>
      </w:pPr>
      <w:r>
        <w:t>依据前款规定判决停止侵害的时间如果明显不合理的</w:t>
      </w:r>
      <w:r>
        <w:rPr>
          <w:rFonts w:hint="eastAsia"/>
        </w:rPr>
        <w:t>，</w:t>
      </w:r>
      <w:r>
        <w:t>可以在依法保护权利人该项商业秘密竞争优势的情况下</w:t>
      </w:r>
      <w:r>
        <w:rPr>
          <w:rFonts w:hint="eastAsia"/>
        </w:rPr>
        <w:t>，</w:t>
      </w:r>
      <w:r>
        <w:t>判决侵权人在一定期限或者范围内停止使用该项商业秘密。</w:t>
      </w:r>
    </w:p>
    <w:p>
      <w:pPr>
        <w:pStyle w:val="12"/>
        <w:rPr>
          <w:rFonts w:hint="eastAsia"/>
        </w:rPr>
      </w:pPr>
      <w:r>
        <w:rPr>
          <w:rStyle w:val="25"/>
        </w:rPr>
        <w:t>第十七条</w:t>
      </w:r>
      <w:r>
        <w:t>　确定反不正当竞争法</w:t>
      </w:r>
      <w:r>
        <w:rPr>
          <w:rFonts w:hint="eastAsia"/>
        </w:rPr>
        <w:t>第十条规定的侵犯商业秘密行为的损害赔偿额，可以参照确定侵犯专利权的损害赔偿额的方法进行；确定反不正当竞争法第五条、第九条、第十四条规定的不正当竞争行为的损害赔偿额，可以参照确定侵犯注册商标专用权的损害赔偿额的方法进行。</w:t>
      </w:r>
    </w:p>
    <w:p>
      <w:pPr>
        <w:pStyle w:val="12"/>
        <w:rPr>
          <w:rStyle w:val="25"/>
          <w:rFonts w:hint="eastAsia"/>
        </w:rPr>
      </w:pPr>
      <w:r>
        <w:t>因侵权行为导致商业秘密已为公众所知悉的</w:t>
      </w:r>
      <w:r>
        <w:rPr>
          <w:rFonts w:hint="eastAsia"/>
        </w:rPr>
        <w:t>，</w:t>
      </w:r>
      <w:r>
        <w:t>应当根据该项商业秘密的商业价值确定损害赔偿额。商业秘密的商业价值</w:t>
      </w:r>
      <w:r>
        <w:rPr>
          <w:rFonts w:hint="eastAsia"/>
        </w:rPr>
        <w:t>，</w:t>
      </w:r>
      <w:r>
        <w:t>根据其研究开发成本、实施该项商业秘密的收益、可得利益、可保持竞争优势的时间等因素确定。</w:t>
      </w:r>
    </w:p>
    <w:p>
      <w:pPr>
        <w:pStyle w:val="12"/>
        <w:rPr>
          <w:rFonts w:hint="eastAsia"/>
        </w:rPr>
      </w:pPr>
      <w:r>
        <w:rPr>
          <w:rStyle w:val="25"/>
        </w:rPr>
        <w:t>第十八条</w:t>
      </w:r>
      <w:r>
        <w:t>　反不正当竞争法第五条、第九条、第十条、第十四条规</w:t>
      </w:r>
      <w:r>
        <w:rPr>
          <w:rFonts w:hint="eastAsia"/>
        </w:rPr>
        <w:t>定的不正当竞争民事第一审案件，一般由中级人民法院管辖。</w:t>
      </w:r>
    </w:p>
    <w:p>
      <w:pPr>
        <w:pStyle w:val="12"/>
        <w:rPr>
          <w:rStyle w:val="25"/>
          <w:rFonts w:hint="eastAsia"/>
        </w:rPr>
      </w:pPr>
      <w:r>
        <w:t>各高级人民法院根据本辖区的实际情况</w:t>
      </w:r>
      <w:r>
        <w:rPr>
          <w:rFonts w:hint="eastAsia"/>
        </w:rPr>
        <w:t>，</w:t>
      </w:r>
      <w:r>
        <w:t>经最高人民法院批准</w:t>
      </w:r>
      <w:r>
        <w:rPr>
          <w:rFonts w:hint="eastAsia"/>
        </w:rPr>
        <w:t>，</w:t>
      </w:r>
      <w:r>
        <w:t>可以确定若干基层人民法院受理不正当竞争民事第一审案件</w:t>
      </w:r>
      <w:r>
        <w:rPr>
          <w:rFonts w:hint="eastAsia"/>
        </w:rPr>
        <w:t>，</w:t>
      </w:r>
      <w:r>
        <w:t>已经批准可以审理知识产权民事案件的基层人民法院</w:t>
      </w:r>
      <w:r>
        <w:rPr>
          <w:rFonts w:hint="eastAsia"/>
        </w:rPr>
        <w:t>，</w:t>
      </w:r>
      <w:r>
        <w:t>可以继续受理。</w:t>
      </w:r>
    </w:p>
    <w:p>
      <w:pPr>
        <w:pStyle w:val="12"/>
        <w:rPr>
          <w:rFonts w:hint="eastAsia"/>
        </w:rPr>
      </w:pPr>
      <w:r>
        <w:rPr>
          <w:rStyle w:val="25"/>
        </w:rPr>
        <w:t>第十九条</w:t>
      </w:r>
      <w:r>
        <w:t>　本解释自2007年2月1日起施行。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A23DA"/>
    <w:rsid w:val="00323D76"/>
    <w:rsid w:val="02380A4E"/>
    <w:rsid w:val="02C54CFB"/>
    <w:rsid w:val="042F174E"/>
    <w:rsid w:val="0751543E"/>
    <w:rsid w:val="0BE369DE"/>
    <w:rsid w:val="0F9D48A9"/>
    <w:rsid w:val="0FC66F39"/>
    <w:rsid w:val="135B4974"/>
    <w:rsid w:val="19EF53F7"/>
    <w:rsid w:val="1C547AC8"/>
    <w:rsid w:val="20194FCD"/>
    <w:rsid w:val="211007F7"/>
    <w:rsid w:val="224D5C1E"/>
    <w:rsid w:val="22672396"/>
    <w:rsid w:val="230A23DA"/>
    <w:rsid w:val="28B53323"/>
    <w:rsid w:val="2A483D38"/>
    <w:rsid w:val="2A844039"/>
    <w:rsid w:val="2CFE6EE4"/>
    <w:rsid w:val="2D725F92"/>
    <w:rsid w:val="2F795027"/>
    <w:rsid w:val="302E782D"/>
    <w:rsid w:val="325C564C"/>
    <w:rsid w:val="36AE6775"/>
    <w:rsid w:val="38787F7C"/>
    <w:rsid w:val="39191BFA"/>
    <w:rsid w:val="3D717517"/>
    <w:rsid w:val="3FBC61B7"/>
    <w:rsid w:val="4AEF215E"/>
    <w:rsid w:val="4DA15956"/>
    <w:rsid w:val="4E7D2A86"/>
    <w:rsid w:val="501B3EB2"/>
    <w:rsid w:val="5027117E"/>
    <w:rsid w:val="521B6FA6"/>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2017-10-31T12:45:00Z</dcterms:created>
  <dc:creator>Administrator</dc:creator>
  <cp:lastModifiedBy>Administrator</cp:lastModifiedBy>
  <dcterms:modified xsi:type="dcterms:W3CDTF">2017-11-15T16:48:12Z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