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D72" w:rsidRDefault="00727D72">
      <w:pPr>
        <w:pStyle w:val="a3"/>
        <w:spacing w:line="560" w:lineRule="exact"/>
        <w:rPr>
          <w:rFonts w:ascii="仿宋_GB2312" w:eastAsia="仿宋_GB2312" w:hAnsi="宋体" w:cs="宋体"/>
          <w:sz w:val="32"/>
          <w:szCs w:val="32"/>
        </w:rPr>
      </w:pPr>
      <w:bookmarkStart w:id="0" w:name="_GoBack"/>
      <w:bookmarkEnd w:id="0"/>
    </w:p>
    <w:p w:rsidR="00727D72" w:rsidRDefault="00727D72">
      <w:pPr>
        <w:pStyle w:val="a3"/>
        <w:spacing w:line="560" w:lineRule="exact"/>
        <w:rPr>
          <w:rFonts w:ascii="仿宋_GB2312" w:eastAsia="仿宋_GB2312" w:hAnsi="宋体" w:cs="宋体"/>
          <w:sz w:val="32"/>
          <w:szCs w:val="32"/>
        </w:rPr>
      </w:pPr>
    </w:p>
    <w:p w:rsidR="00727D72" w:rsidRDefault="001F737E">
      <w:pPr>
        <w:pStyle w:val="a3"/>
        <w:spacing w:line="560" w:lineRule="exact"/>
        <w:jc w:val="center"/>
        <w:rPr>
          <w:rFonts w:asciiTheme="majorEastAsia" w:eastAsiaTheme="majorEastAsia" w:hAnsiTheme="majorEastAsia" w:cs="宋体"/>
          <w:sz w:val="44"/>
          <w:szCs w:val="44"/>
        </w:rPr>
      </w:pPr>
      <w:r>
        <w:rPr>
          <w:rFonts w:asciiTheme="majorEastAsia" w:eastAsiaTheme="majorEastAsia" w:hAnsiTheme="majorEastAsia" w:cs="宋体" w:hint="eastAsia"/>
          <w:sz w:val="44"/>
          <w:szCs w:val="44"/>
        </w:rPr>
        <w:t>最高人民法院</w:t>
      </w:r>
    </w:p>
    <w:p w:rsidR="00727D72" w:rsidRDefault="001F737E">
      <w:pPr>
        <w:pStyle w:val="a3"/>
        <w:spacing w:line="560" w:lineRule="exact"/>
        <w:jc w:val="center"/>
        <w:rPr>
          <w:rFonts w:asciiTheme="majorEastAsia" w:eastAsiaTheme="majorEastAsia" w:hAnsiTheme="majorEastAsia" w:cs="宋体"/>
          <w:sz w:val="44"/>
          <w:szCs w:val="44"/>
        </w:rPr>
      </w:pPr>
      <w:r>
        <w:rPr>
          <w:rFonts w:asciiTheme="majorEastAsia" w:eastAsiaTheme="majorEastAsia" w:hAnsiTheme="majorEastAsia" w:cs="宋体" w:hint="eastAsia"/>
          <w:sz w:val="44"/>
          <w:szCs w:val="44"/>
        </w:rPr>
        <w:t>关于审理侵害植物新品种权纠纷案件</w:t>
      </w:r>
    </w:p>
    <w:p w:rsidR="00727D72" w:rsidRDefault="001F737E">
      <w:pPr>
        <w:pStyle w:val="a3"/>
        <w:spacing w:line="560" w:lineRule="exact"/>
        <w:jc w:val="center"/>
        <w:rPr>
          <w:rFonts w:asciiTheme="majorEastAsia" w:eastAsiaTheme="majorEastAsia" w:hAnsiTheme="majorEastAsia" w:cs="宋体"/>
          <w:sz w:val="44"/>
          <w:szCs w:val="44"/>
        </w:rPr>
      </w:pPr>
      <w:r>
        <w:rPr>
          <w:rFonts w:asciiTheme="majorEastAsia" w:eastAsiaTheme="majorEastAsia" w:hAnsiTheme="majorEastAsia" w:cs="宋体" w:hint="eastAsia"/>
          <w:sz w:val="44"/>
          <w:szCs w:val="44"/>
        </w:rPr>
        <w:t>具体应用法律问题的若干规定（二）</w:t>
      </w:r>
    </w:p>
    <w:p w:rsidR="00727D72" w:rsidRDefault="00727D72">
      <w:pPr>
        <w:pStyle w:val="a3"/>
        <w:spacing w:line="560" w:lineRule="exact"/>
        <w:rPr>
          <w:rFonts w:ascii="仿宋_GB2312" w:eastAsia="仿宋_GB2312" w:hAnsi="宋体" w:cs="宋体"/>
          <w:sz w:val="32"/>
          <w:szCs w:val="32"/>
        </w:rPr>
      </w:pPr>
    </w:p>
    <w:p w:rsidR="00727D72" w:rsidRDefault="001F737E">
      <w:pPr>
        <w:pStyle w:val="a3"/>
        <w:spacing w:line="560" w:lineRule="exact"/>
        <w:jc w:val="center"/>
        <w:rPr>
          <w:rFonts w:ascii="楷体_GB2312" w:eastAsia="楷体_GB2312" w:hAnsi="宋体" w:cs="宋体"/>
          <w:sz w:val="32"/>
          <w:szCs w:val="32"/>
        </w:rPr>
      </w:pPr>
      <w:r>
        <w:rPr>
          <w:rFonts w:ascii="楷体_GB2312" w:eastAsia="楷体_GB2312" w:hAnsi="宋体" w:cs="宋体" w:hint="eastAsia"/>
          <w:sz w:val="32"/>
          <w:szCs w:val="32"/>
        </w:rPr>
        <w:t>法释〔</w:t>
      </w:r>
      <w:r>
        <w:rPr>
          <w:rFonts w:ascii="楷体_GB2312" w:eastAsia="楷体_GB2312" w:hAnsi="宋体" w:cs="宋体" w:hint="eastAsia"/>
          <w:sz w:val="32"/>
          <w:szCs w:val="32"/>
        </w:rPr>
        <w:t>2021</w:t>
      </w:r>
      <w:r>
        <w:rPr>
          <w:rFonts w:ascii="楷体_GB2312" w:eastAsia="楷体_GB2312" w:hAnsi="宋体" w:cs="宋体" w:hint="eastAsia"/>
          <w:sz w:val="32"/>
          <w:szCs w:val="32"/>
        </w:rPr>
        <w:t>〕</w:t>
      </w:r>
      <w:r>
        <w:rPr>
          <w:rFonts w:ascii="楷体_GB2312" w:eastAsia="楷体_GB2312" w:hAnsi="宋体" w:cs="宋体" w:hint="eastAsia"/>
          <w:sz w:val="32"/>
          <w:szCs w:val="32"/>
        </w:rPr>
        <w:t>14</w:t>
      </w:r>
      <w:r>
        <w:rPr>
          <w:rFonts w:ascii="楷体_GB2312" w:eastAsia="楷体_GB2312" w:hAnsi="宋体" w:cs="宋体" w:hint="eastAsia"/>
          <w:sz w:val="32"/>
          <w:szCs w:val="32"/>
        </w:rPr>
        <w:t>号</w:t>
      </w:r>
    </w:p>
    <w:p w:rsidR="00727D72" w:rsidRDefault="00727D72">
      <w:pPr>
        <w:pStyle w:val="a3"/>
        <w:spacing w:line="560" w:lineRule="exact"/>
        <w:rPr>
          <w:rFonts w:ascii="仿宋_GB2312" w:eastAsia="仿宋_GB2312" w:hAnsi="宋体" w:cs="宋体"/>
          <w:sz w:val="32"/>
          <w:szCs w:val="32"/>
        </w:rPr>
      </w:pPr>
    </w:p>
    <w:p w:rsidR="00727D72" w:rsidRDefault="001F737E">
      <w:pPr>
        <w:pStyle w:val="a3"/>
        <w:spacing w:line="560" w:lineRule="exact"/>
        <w:ind w:leftChars="300" w:left="630" w:rightChars="300" w:right="630"/>
        <w:rPr>
          <w:rFonts w:ascii="楷体_GB2312" w:eastAsia="楷体_GB2312" w:hAnsi="宋体" w:cs="宋体"/>
          <w:sz w:val="32"/>
          <w:szCs w:val="32"/>
        </w:rPr>
      </w:pPr>
      <w:r>
        <w:rPr>
          <w:rFonts w:ascii="楷体_GB2312" w:eastAsia="楷体_GB2312" w:hAnsi="宋体" w:cs="宋体" w:hint="eastAsia"/>
          <w:sz w:val="32"/>
          <w:szCs w:val="32"/>
        </w:rPr>
        <w:t>（</w:t>
      </w:r>
      <w:r>
        <w:rPr>
          <w:rFonts w:ascii="楷体_GB2312" w:eastAsia="楷体_GB2312" w:hAnsi="宋体" w:cs="宋体" w:hint="eastAsia"/>
          <w:sz w:val="32"/>
          <w:szCs w:val="32"/>
        </w:rPr>
        <w:t>2021</w:t>
      </w:r>
      <w:r>
        <w:rPr>
          <w:rFonts w:ascii="楷体_GB2312" w:eastAsia="楷体_GB2312" w:hAnsi="宋体" w:cs="宋体" w:hint="eastAsia"/>
          <w:sz w:val="32"/>
          <w:szCs w:val="32"/>
        </w:rPr>
        <w:t>年</w:t>
      </w:r>
      <w:r>
        <w:rPr>
          <w:rFonts w:ascii="楷体_GB2312" w:eastAsia="楷体_GB2312" w:hAnsi="宋体" w:cs="宋体" w:hint="eastAsia"/>
          <w:sz w:val="32"/>
          <w:szCs w:val="32"/>
        </w:rPr>
        <w:t>6</w:t>
      </w:r>
      <w:r>
        <w:rPr>
          <w:rFonts w:ascii="楷体_GB2312" w:eastAsia="楷体_GB2312" w:hAnsi="宋体" w:cs="宋体" w:hint="eastAsia"/>
          <w:sz w:val="32"/>
          <w:szCs w:val="32"/>
        </w:rPr>
        <w:t>月</w:t>
      </w:r>
      <w:r>
        <w:rPr>
          <w:rFonts w:ascii="楷体_GB2312" w:eastAsia="楷体_GB2312" w:hAnsi="宋体" w:cs="宋体" w:hint="eastAsia"/>
          <w:sz w:val="32"/>
          <w:szCs w:val="32"/>
        </w:rPr>
        <w:t>29</w:t>
      </w:r>
      <w:r>
        <w:rPr>
          <w:rFonts w:ascii="楷体_GB2312" w:eastAsia="楷体_GB2312" w:hAnsi="宋体" w:cs="宋体" w:hint="eastAsia"/>
          <w:sz w:val="32"/>
          <w:szCs w:val="32"/>
        </w:rPr>
        <w:t>日最高人民法院审判委员会第</w:t>
      </w:r>
      <w:r>
        <w:rPr>
          <w:rFonts w:ascii="楷体_GB2312" w:eastAsia="楷体_GB2312" w:hAnsi="宋体" w:cs="宋体" w:hint="eastAsia"/>
          <w:sz w:val="32"/>
          <w:szCs w:val="32"/>
        </w:rPr>
        <w:t>1843</w:t>
      </w:r>
      <w:r>
        <w:rPr>
          <w:rFonts w:ascii="楷体_GB2312" w:eastAsia="楷体_GB2312" w:hAnsi="宋体" w:cs="宋体" w:hint="eastAsia"/>
          <w:sz w:val="32"/>
          <w:szCs w:val="32"/>
        </w:rPr>
        <w:t>次会议通过，自</w:t>
      </w:r>
      <w:r>
        <w:rPr>
          <w:rFonts w:ascii="楷体_GB2312" w:eastAsia="楷体_GB2312" w:hAnsi="宋体" w:cs="宋体" w:hint="eastAsia"/>
          <w:sz w:val="32"/>
          <w:szCs w:val="32"/>
        </w:rPr>
        <w:t>2021</w:t>
      </w:r>
      <w:r>
        <w:rPr>
          <w:rFonts w:ascii="楷体_GB2312" w:eastAsia="楷体_GB2312" w:hAnsi="宋体" w:cs="宋体" w:hint="eastAsia"/>
          <w:sz w:val="32"/>
          <w:szCs w:val="32"/>
        </w:rPr>
        <w:t>年</w:t>
      </w:r>
      <w:r>
        <w:rPr>
          <w:rFonts w:ascii="楷体_GB2312" w:eastAsia="楷体_GB2312" w:hAnsi="宋体" w:cs="宋体" w:hint="eastAsia"/>
          <w:sz w:val="32"/>
          <w:szCs w:val="32"/>
        </w:rPr>
        <w:t>7</w:t>
      </w:r>
      <w:r>
        <w:rPr>
          <w:rFonts w:ascii="楷体_GB2312" w:eastAsia="楷体_GB2312" w:hAnsi="宋体" w:cs="宋体" w:hint="eastAsia"/>
          <w:sz w:val="32"/>
          <w:szCs w:val="32"/>
        </w:rPr>
        <w:t>月</w:t>
      </w:r>
      <w:r>
        <w:rPr>
          <w:rFonts w:ascii="楷体_GB2312" w:eastAsia="楷体_GB2312" w:hAnsi="宋体" w:cs="宋体" w:hint="eastAsia"/>
          <w:sz w:val="32"/>
          <w:szCs w:val="32"/>
        </w:rPr>
        <w:t>7</w:t>
      </w:r>
      <w:r>
        <w:rPr>
          <w:rFonts w:ascii="楷体_GB2312" w:eastAsia="楷体_GB2312" w:hAnsi="宋体" w:cs="宋体" w:hint="eastAsia"/>
          <w:sz w:val="32"/>
          <w:szCs w:val="32"/>
        </w:rPr>
        <w:t>日起施行）</w:t>
      </w:r>
    </w:p>
    <w:p w:rsidR="00727D72" w:rsidRDefault="00727D72">
      <w:pPr>
        <w:pStyle w:val="a3"/>
        <w:spacing w:line="560" w:lineRule="exact"/>
        <w:rPr>
          <w:rFonts w:ascii="仿宋_GB2312" w:eastAsia="仿宋_GB2312" w:hAnsi="宋体" w:cs="宋体"/>
          <w:sz w:val="32"/>
          <w:szCs w:val="32"/>
        </w:rPr>
      </w:pPr>
    </w:p>
    <w:p w:rsidR="00727D72" w:rsidRDefault="001F737E">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为正确审理侵害植物新品种权纠纷案件，根据《中华人民共和国民法典》《中华人民共和国种子法》《中华人民共和国民事诉讼法》等法律规定，结合审判实践，制定本规定。</w:t>
      </w:r>
    </w:p>
    <w:p w:rsidR="00727D72" w:rsidRDefault="001F737E">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第一条</w:t>
      </w:r>
      <w:r>
        <w:rPr>
          <w:rFonts w:ascii="黑体" w:eastAsia="黑体" w:hAnsi="宋体" w:cs="宋体" w:hint="eastAsia"/>
          <w:sz w:val="32"/>
          <w:szCs w:val="32"/>
        </w:rPr>
        <w:t xml:space="preserve">　</w:t>
      </w:r>
      <w:r>
        <w:rPr>
          <w:rFonts w:ascii="仿宋_GB2312" w:eastAsia="仿宋_GB2312" w:hAnsi="宋体" w:cs="宋体" w:hint="eastAsia"/>
          <w:sz w:val="32"/>
          <w:szCs w:val="32"/>
        </w:rPr>
        <w:t>植物新品种权（以下简称品种权）或者植物新品种申请权的共有人对权利行使有约定的，人民法院按照其约定处理。没有约定或者约定不明的，共有人主张其可以单独实施或者以普通许可方式许可他人实施的，人民法院应予支持。</w:t>
      </w:r>
    </w:p>
    <w:p w:rsidR="00727D72" w:rsidRDefault="001F737E">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共有人单独实施该品种权，其他共有人主张该实施收益在共有人之间分配的，人民法院不予支持，但是其他共有人有证据证明其不具备实施能力或者实施条件的除外</w:t>
      </w:r>
      <w:r>
        <w:rPr>
          <w:rFonts w:ascii="仿宋_GB2312" w:eastAsia="仿宋_GB2312" w:hAnsi="宋体" w:cs="宋体" w:hint="eastAsia"/>
          <w:sz w:val="32"/>
          <w:szCs w:val="32"/>
        </w:rPr>
        <w:t>。</w:t>
      </w:r>
    </w:p>
    <w:p w:rsidR="00727D72" w:rsidRDefault="001F737E">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共有人之一许可他人实施该品种权，其他共有人主张收取的</w:t>
      </w:r>
      <w:r>
        <w:rPr>
          <w:rFonts w:ascii="仿宋_GB2312" w:eastAsia="仿宋_GB2312" w:hAnsi="宋体" w:cs="宋体" w:hint="eastAsia"/>
          <w:sz w:val="32"/>
          <w:szCs w:val="32"/>
        </w:rPr>
        <w:lastRenderedPageBreak/>
        <w:t>许可费在共有人之间分配的，人民法院应予支持。</w:t>
      </w:r>
    </w:p>
    <w:p w:rsidR="00727D72" w:rsidRDefault="001F737E">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第二条</w:t>
      </w:r>
      <w:r>
        <w:rPr>
          <w:rFonts w:ascii="黑体" w:eastAsia="黑体" w:hAnsi="宋体" w:cs="宋体" w:hint="eastAsia"/>
          <w:sz w:val="32"/>
          <w:szCs w:val="32"/>
        </w:rPr>
        <w:t xml:space="preserve">　</w:t>
      </w:r>
      <w:r>
        <w:rPr>
          <w:rFonts w:ascii="仿宋_GB2312" w:eastAsia="仿宋_GB2312" w:hAnsi="宋体" w:cs="宋体" w:hint="eastAsia"/>
          <w:sz w:val="32"/>
          <w:szCs w:val="32"/>
        </w:rPr>
        <w:t>品种权转让未经国务院农业、林业主管部门登记、公告，受让人以品种权人名义提起侵害品种权诉讼的，人民法院不予受理。</w:t>
      </w:r>
    </w:p>
    <w:p w:rsidR="00727D72" w:rsidRDefault="001F737E">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第三条</w:t>
      </w:r>
      <w:r>
        <w:rPr>
          <w:rFonts w:ascii="黑体" w:eastAsia="黑体" w:hAnsi="宋体" w:cs="宋体" w:hint="eastAsia"/>
          <w:sz w:val="32"/>
          <w:szCs w:val="32"/>
        </w:rPr>
        <w:t xml:space="preserve">　</w:t>
      </w:r>
      <w:r>
        <w:rPr>
          <w:rFonts w:ascii="仿宋_GB2312" w:eastAsia="仿宋_GB2312" w:hAnsi="宋体" w:cs="宋体" w:hint="eastAsia"/>
          <w:sz w:val="32"/>
          <w:szCs w:val="32"/>
        </w:rPr>
        <w:t>受品种权保护的繁殖材料应当具有繁殖能力，且繁殖出的新个体与该授权品种的特征、特性相同。</w:t>
      </w:r>
    </w:p>
    <w:p w:rsidR="00727D72" w:rsidRDefault="001F737E">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前款所称的繁殖材料不限于以品种权申请文件所描述的繁殖方式获得的繁殖材料。</w:t>
      </w:r>
    </w:p>
    <w:p w:rsidR="00727D72" w:rsidRDefault="001F737E">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第四条</w:t>
      </w:r>
      <w:r>
        <w:rPr>
          <w:rFonts w:ascii="黑体" w:eastAsia="黑体" w:hAnsi="宋体" w:cs="宋体" w:hint="eastAsia"/>
          <w:sz w:val="32"/>
          <w:szCs w:val="32"/>
        </w:rPr>
        <w:t xml:space="preserve">　</w:t>
      </w:r>
      <w:r>
        <w:rPr>
          <w:rFonts w:ascii="仿宋_GB2312" w:eastAsia="仿宋_GB2312" w:hAnsi="宋体" w:cs="宋体" w:hint="eastAsia"/>
          <w:sz w:val="32"/>
          <w:szCs w:val="32"/>
        </w:rPr>
        <w:t>以广告、展陈等方式作出销售授权品种的繁殖材料的意思表示的，人民法院可以以销售行为认定处理。</w:t>
      </w:r>
    </w:p>
    <w:p w:rsidR="00727D72" w:rsidRDefault="001F737E">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第五条</w:t>
      </w:r>
      <w:r>
        <w:rPr>
          <w:rFonts w:ascii="黑体" w:eastAsia="黑体" w:hAnsi="宋体" w:cs="宋体" w:hint="eastAsia"/>
          <w:sz w:val="32"/>
          <w:szCs w:val="32"/>
        </w:rPr>
        <w:t xml:space="preserve">　</w:t>
      </w:r>
      <w:r>
        <w:rPr>
          <w:rFonts w:ascii="仿宋_GB2312" w:eastAsia="仿宋_GB2312" w:hAnsi="宋体" w:cs="宋体" w:hint="eastAsia"/>
          <w:sz w:val="32"/>
          <w:szCs w:val="32"/>
        </w:rPr>
        <w:t>种植授权品种的繁殖材料的，人民法院可以根据案件具体情况，以生产、繁殖行为认定处理。</w:t>
      </w:r>
    </w:p>
    <w:p w:rsidR="00727D72" w:rsidRDefault="001F737E">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第六条</w:t>
      </w:r>
      <w:r>
        <w:rPr>
          <w:rFonts w:ascii="黑体" w:eastAsia="黑体" w:hAnsi="宋体" w:cs="宋体" w:hint="eastAsia"/>
          <w:sz w:val="32"/>
          <w:szCs w:val="32"/>
        </w:rPr>
        <w:t xml:space="preserve">　</w:t>
      </w:r>
      <w:r>
        <w:rPr>
          <w:rFonts w:ascii="仿宋_GB2312" w:eastAsia="仿宋_GB2312" w:hAnsi="宋体" w:cs="宋体" w:hint="eastAsia"/>
          <w:sz w:val="32"/>
          <w:szCs w:val="32"/>
        </w:rPr>
        <w:t>品种权人或者利害关系人（以下合称权利人）举证证明被诉侵权品种繁殖材料使用的名称与授权品种相同的，人民法院可以推定该被诉侵权品种繁殖材料属于授权品种的繁殖材料；有证据证明不属于该授权品种的繁殖材料的，人民法院可以认定被诉侵权人构成假冒品种行为，并参照假冒注册商标行为的有关规定确定民事责任。</w:t>
      </w:r>
    </w:p>
    <w:p w:rsidR="00727D72" w:rsidRDefault="001F737E">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第七条</w:t>
      </w:r>
      <w:r>
        <w:rPr>
          <w:rFonts w:ascii="黑体" w:eastAsia="黑体" w:hAnsi="宋体" w:cs="宋体" w:hint="eastAsia"/>
          <w:sz w:val="32"/>
          <w:szCs w:val="32"/>
        </w:rPr>
        <w:t xml:space="preserve">　</w:t>
      </w:r>
      <w:r>
        <w:rPr>
          <w:rFonts w:ascii="仿宋_GB2312" w:eastAsia="仿宋_GB2312" w:hAnsi="宋体" w:cs="宋体" w:hint="eastAsia"/>
          <w:sz w:val="32"/>
          <w:szCs w:val="32"/>
        </w:rPr>
        <w:t>受托人、被许可人超出与品种权人约定的规模或者区域生产、繁殖授权品种的繁殖材料，或者超出与品种权人约定的规模销售授权品种的繁</w:t>
      </w:r>
      <w:r>
        <w:rPr>
          <w:rFonts w:ascii="仿宋_GB2312" w:eastAsia="仿宋_GB2312" w:hAnsi="宋体" w:cs="宋体" w:hint="eastAsia"/>
          <w:sz w:val="32"/>
          <w:szCs w:val="32"/>
        </w:rPr>
        <w:t>殖材料，品种权人请求判令受托人、被许可人承担侵权责任的，人民法院依法予以支持。</w:t>
      </w:r>
    </w:p>
    <w:p w:rsidR="00727D72" w:rsidRDefault="001F737E">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lastRenderedPageBreak/>
        <w:t>第八条</w:t>
      </w:r>
      <w:r>
        <w:rPr>
          <w:rFonts w:ascii="黑体" w:eastAsia="黑体" w:hAnsi="宋体" w:cs="宋体" w:hint="eastAsia"/>
          <w:sz w:val="32"/>
          <w:szCs w:val="32"/>
        </w:rPr>
        <w:t xml:space="preserve">　</w:t>
      </w:r>
      <w:r>
        <w:rPr>
          <w:rFonts w:ascii="仿宋_GB2312" w:eastAsia="仿宋_GB2312" w:hAnsi="宋体" w:cs="宋体" w:hint="eastAsia"/>
          <w:sz w:val="32"/>
          <w:szCs w:val="32"/>
        </w:rPr>
        <w:t>被诉侵权人知道或者应当知道他人实施侵害品种权的行为，仍然提供收购、存储、运输、以繁殖为目的的加工处理等服务或者提供相关证明材料等条件的，人民法院可以依据民法典第一千一百六十九条的规定认定为帮助他人实施侵权行为。</w:t>
      </w:r>
    </w:p>
    <w:p w:rsidR="00727D72" w:rsidRDefault="001F737E">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第九条</w:t>
      </w:r>
      <w:r>
        <w:rPr>
          <w:rFonts w:ascii="黑体" w:eastAsia="黑体" w:hAnsi="宋体" w:cs="宋体" w:hint="eastAsia"/>
          <w:sz w:val="32"/>
          <w:szCs w:val="32"/>
        </w:rPr>
        <w:t xml:space="preserve">　</w:t>
      </w:r>
      <w:r>
        <w:rPr>
          <w:rFonts w:ascii="仿宋_GB2312" w:eastAsia="仿宋_GB2312" w:hAnsi="宋体" w:cs="宋体" w:hint="eastAsia"/>
          <w:sz w:val="32"/>
          <w:szCs w:val="32"/>
        </w:rPr>
        <w:t>被诉侵权物既可以作为繁殖材料又可以作为收获材料，被诉侵权人主张被诉侵权物系作为收获材料用于消费而非用于生产、繁殖的，应当承担相应的举证责任。</w:t>
      </w:r>
    </w:p>
    <w:p w:rsidR="00727D72" w:rsidRDefault="001F737E">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第十条</w:t>
      </w:r>
      <w:r>
        <w:rPr>
          <w:rFonts w:ascii="黑体" w:eastAsia="黑体" w:hAnsi="宋体" w:cs="宋体" w:hint="eastAsia"/>
          <w:sz w:val="32"/>
          <w:szCs w:val="32"/>
        </w:rPr>
        <w:t xml:space="preserve">　</w:t>
      </w:r>
      <w:r>
        <w:rPr>
          <w:rFonts w:ascii="仿宋_GB2312" w:eastAsia="仿宋_GB2312" w:hAnsi="宋体" w:cs="宋体" w:hint="eastAsia"/>
          <w:sz w:val="32"/>
          <w:szCs w:val="32"/>
        </w:rPr>
        <w:t>授权品种的繁殖材料经品种权人或者经其许可的单位、个人售</w:t>
      </w:r>
      <w:r>
        <w:rPr>
          <w:rFonts w:ascii="仿宋_GB2312" w:eastAsia="仿宋_GB2312" w:hAnsi="宋体" w:cs="宋体" w:hint="eastAsia"/>
          <w:sz w:val="32"/>
          <w:szCs w:val="32"/>
        </w:rPr>
        <w:t>出后，权利人主张他人生产、繁殖、销售该繁殖材料构成侵权的，人民法院一般不予支持，但是下列情形除外：</w:t>
      </w:r>
    </w:p>
    <w:p w:rsidR="00727D72" w:rsidRDefault="001F737E">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（一）对该繁殖材料生产、繁殖后获得的繁殖材料进行生产、繁殖、销售；</w:t>
      </w:r>
    </w:p>
    <w:p w:rsidR="00727D72" w:rsidRDefault="001F737E">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（二）为生产、繁殖目的将该繁殖材料出口到不保护该品种所属植物属或者种的国家或者地区。</w:t>
      </w:r>
    </w:p>
    <w:p w:rsidR="00727D72" w:rsidRDefault="001F737E">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第十一条</w:t>
      </w:r>
      <w:r>
        <w:rPr>
          <w:rFonts w:ascii="黑体" w:eastAsia="黑体" w:hAnsi="宋体" w:cs="宋体" w:hint="eastAsia"/>
          <w:sz w:val="32"/>
          <w:szCs w:val="32"/>
        </w:rPr>
        <w:t xml:space="preserve">　</w:t>
      </w:r>
      <w:r>
        <w:rPr>
          <w:rFonts w:ascii="仿宋_GB2312" w:eastAsia="仿宋_GB2312" w:hAnsi="宋体" w:cs="宋体" w:hint="eastAsia"/>
          <w:sz w:val="32"/>
          <w:szCs w:val="32"/>
        </w:rPr>
        <w:t>被诉侵权人主张对授权品种进行的下列生产、繁殖行为属于科研活动的，人民法院应予支持：</w:t>
      </w:r>
    </w:p>
    <w:p w:rsidR="00727D72" w:rsidRDefault="001F737E">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（一）利用授权品种培育新品种；</w:t>
      </w:r>
    </w:p>
    <w:p w:rsidR="00727D72" w:rsidRDefault="001F737E">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（二）利用授权品种培育形成新品种后，为品种权申请、品种审定、品种登记需要而重复利用授权品种的繁殖材料。</w:t>
      </w:r>
    </w:p>
    <w:p w:rsidR="00727D72" w:rsidRDefault="001F737E">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第十二条</w:t>
      </w:r>
      <w:r>
        <w:rPr>
          <w:rFonts w:ascii="黑体" w:eastAsia="黑体" w:hAnsi="宋体" w:cs="宋体" w:hint="eastAsia"/>
          <w:sz w:val="32"/>
          <w:szCs w:val="32"/>
        </w:rPr>
        <w:t xml:space="preserve">　</w:t>
      </w:r>
      <w:r>
        <w:rPr>
          <w:rFonts w:ascii="仿宋_GB2312" w:eastAsia="仿宋_GB2312" w:hAnsi="宋体" w:cs="宋体" w:hint="eastAsia"/>
          <w:sz w:val="32"/>
          <w:szCs w:val="32"/>
        </w:rPr>
        <w:t>农民在其家庭农村土地承包经营合同约定的土地范围内自繁自用授权品种的繁殖材料，权利人对此主张构成侵权的，人民法院不予支持。</w:t>
      </w:r>
    </w:p>
    <w:p w:rsidR="00727D72" w:rsidRDefault="001F737E">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lastRenderedPageBreak/>
        <w:t>对前款规定以外的行为，被诉侵权人主张其行为属于种子法规定的农民自繁自用授权品种的繁殖材料的，人民法院应当综合考虑被诉侵权行为的目的、规模、是否营利等因素予以认定。</w:t>
      </w:r>
    </w:p>
    <w:p w:rsidR="00727D72" w:rsidRDefault="001F737E">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第十三条</w:t>
      </w:r>
      <w:r>
        <w:rPr>
          <w:rFonts w:ascii="黑体" w:eastAsia="黑体" w:hAnsi="宋体" w:cs="宋体" w:hint="eastAsia"/>
          <w:sz w:val="32"/>
          <w:szCs w:val="32"/>
        </w:rPr>
        <w:t xml:space="preserve">　</w:t>
      </w:r>
      <w:r>
        <w:rPr>
          <w:rFonts w:ascii="仿宋_GB2312" w:eastAsia="仿宋_GB2312" w:hAnsi="宋体" w:cs="宋体" w:hint="eastAsia"/>
          <w:sz w:val="32"/>
          <w:szCs w:val="32"/>
        </w:rPr>
        <w:t>销售不知道也不应当知道是未经品种权人许可而售出的被诉侵权品种繁殖材料，且举证证明具有合法来源的，人民法院可以不判令销售者承担赔偿责任，但应当判令其停止销售并承担权利人为制止侵权行为所支付的合理开支。</w:t>
      </w:r>
    </w:p>
    <w:p w:rsidR="00727D72" w:rsidRDefault="001F737E">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对于前款所称合法</w:t>
      </w:r>
      <w:r>
        <w:rPr>
          <w:rFonts w:ascii="仿宋_GB2312" w:eastAsia="仿宋_GB2312" w:hAnsi="宋体" w:cs="宋体" w:hint="eastAsia"/>
          <w:sz w:val="32"/>
          <w:szCs w:val="32"/>
        </w:rPr>
        <w:t>来源，销售者一般应当举证证明购货渠道合法、价格合理、存在实际的具体供货方、销售行为符合相关生产经营许可制度等。</w:t>
      </w:r>
    </w:p>
    <w:p w:rsidR="00727D72" w:rsidRDefault="001F737E">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第十四条</w:t>
      </w:r>
      <w:r>
        <w:rPr>
          <w:rFonts w:ascii="黑体" w:eastAsia="黑体" w:hAnsi="宋体" w:cs="宋体" w:hint="eastAsia"/>
          <w:sz w:val="32"/>
          <w:szCs w:val="32"/>
        </w:rPr>
        <w:t xml:space="preserve">　</w:t>
      </w:r>
      <w:r>
        <w:rPr>
          <w:rFonts w:ascii="仿宋_GB2312" w:eastAsia="仿宋_GB2312" w:hAnsi="宋体" w:cs="宋体" w:hint="eastAsia"/>
          <w:sz w:val="32"/>
          <w:szCs w:val="32"/>
        </w:rPr>
        <w:t>人民法院根据已经查明侵害品种权的事实，认定侵权行为成立的，可以先行判决停止侵害，并可以依据当事人的请求和具体案情，责令采取消灭活性等阻止被诉侵权物扩散、繁殖的措施。</w:t>
      </w:r>
    </w:p>
    <w:p w:rsidR="00727D72" w:rsidRDefault="001F737E">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第十五条</w:t>
      </w:r>
      <w:r>
        <w:rPr>
          <w:rFonts w:ascii="黑体" w:eastAsia="黑体" w:hAnsi="宋体" w:cs="宋体" w:hint="eastAsia"/>
          <w:sz w:val="32"/>
          <w:szCs w:val="32"/>
        </w:rPr>
        <w:t xml:space="preserve">　</w:t>
      </w:r>
      <w:r>
        <w:rPr>
          <w:rFonts w:ascii="仿宋_GB2312" w:eastAsia="仿宋_GB2312" w:hAnsi="宋体" w:cs="宋体" w:hint="eastAsia"/>
          <w:sz w:val="32"/>
          <w:szCs w:val="32"/>
        </w:rPr>
        <w:t>人民法院为确定赔偿数额，在权利人已经尽力举证，而与侵权行为相关的账簿、资料主要由被诉侵权人掌握的情况下，可以责令被诉侵权人提供与侵权行为相关的账簿、资料；被诉侵权人不提供或者提供虚假账簿、资料的，人民法院可以参考权</w:t>
      </w:r>
      <w:r>
        <w:rPr>
          <w:rFonts w:ascii="仿宋_GB2312" w:eastAsia="仿宋_GB2312" w:hAnsi="宋体" w:cs="宋体" w:hint="eastAsia"/>
          <w:sz w:val="32"/>
          <w:szCs w:val="32"/>
        </w:rPr>
        <w:t>利人的主张和提供的证据判定赔偿数额。</w:t>
      </w:r>
    </w:p>
    <w:p w:rsidR="00727D72" w:rsidRDefault="001F737E">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第十六条</w:t>
      </w:r>
      <w:r>
        <w:rPr>
          <w:rFonts w:ascii="黑体" w:eastAsia="黑体" w:hAnsi="宋体" w:cs="宋体" w:hint="eastAsia"/>
          <w:sz w:val="32"/>
          <w:szCs w:val="32"/>
        </w:rPr>
        <w:t xml:space="preserve">　</w:t>
      </w:r>
      <w:r>
        <w:rPr>
          <w:rFonts w:ascii="仿宋_GB2312" w:eastAsia="仿宋_GB2312" w:hAnsi="宋体" w:cs="宋体" w:hint="eastAsia"/>
          <w:sz w:val="32"/>
          <w:szCs w:val="32"/>
        </w:rPr>
        <w:t>被诉侵权人有抗拒保全或者擅自拆封、转移、毁损被保全物等举证妨碍行为，致使案件相关事实无法查明的，人民法院可以推定权利人就该证据所涉证明事项的主张成立。构成</w:t>
      </w:r>
      <w:r>
        <w:rPr>
          <w:rFonts w:ascii="仿宋_GB2312" w:eastAsia="仿宋_GB2312" w:hAnsi="宋体" w:cs="宋体" w:hint="eastAsia"/>
          <w:sz w:val="32"/>
          <w:szCs w:val="32"/>
        </w:rPr>
        <w:lastRenderedPageBreak/>
        <w:t>民事诉讼法第一百一十一条规定情形的，依法追究法律责任。</w:t>
      </w:r>
    </w:p>
    <w:p w:rsidR="00727D72" w:rsidRDefault="001F737E">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第十七条</w:t>
      </w:r>
      <w:r>
        <w:rPr>
          <w:rFonts w:ascii="黑体" w:eastAsia="黑体" w:hAnsi="宋体" w:cs="宋体" w:hint="eastAsia"/>
          <w:sz w:val="32"/>
          <w:szCs w:val="32"/>
        </w:rPr>
        <w:t xml:space="preserve">　</w:t>
      </w:r>
      <w:r>
        <w:rPr>
          <w:rFonts w:ascii="仿宋_GB2312" w:eastAsia="仿宋_GB2312" w:hAnsi="宋体" w:cs="宋体" w:hint="eastAsia"/>
          <w:sz w:val="32"/>
          <w:szCs w:val="32"/>
        </w:rPr>
        <w:t>除有关法律和司法解释规定的情形以外，以下情形也可以认定为侵权行为情节严重：</w:t>
      </w:r>
    </w:p>
    <w:p w:rsidR="00727D72" w:rsidRDefault="001F737E">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（一）因侵权被行政处罚或者法院裁判承担责任后，再次实施相同或者类似侵权行为；</w:t>
      </w:r>
    </w:p>
    <w:p w:rsidR="00727D72" w:rsidRDefault="001F737E">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（二）以侵害品种权为业；</w:t>
      </w:r>
    </w:p>
    <w:p w:rsidR="00727D72" w:rsidRDefault="001F737E">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（三）伪造品种权证书；</w:t>
      </w:r>
    </w:p>
    <w:p w:rsidR="00727D72" w:rsidRDefault="001F737E">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（四）以无标识、标签的包装销售授权品种；</w:t>
      </w:r>
    </w:p>
    <w:p w:rsidR="00727D72" w:rsidRDefault="001F737E">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（五）违反种子法第七十七条第一款第一项、第二项、第四项的规定；</w:t>
      </w:r>
    </w:p>
    <w:p w:rsidR="00727D72" w:rsidRDefault="001F737E">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（六）拒不提供被诉侵权物的生产、繁殖、销售和储存地点。</w:t>
      </w:r>
    </w:p>
    <w:p w:rsidR="00727D72" w:rsidRDefault="001F737E">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存在前款第一项至第五项情形的，在依法适用惩罚性赔偿时可以按照计算基数的二倍以上确定惩罚性赔偿数额。</w:t>
      </w:r>
    </w:p>
    <w:p w:rsidR="00727D72" w:rsidRDefault="001F737E">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第十八条</w:t>
      </w:r>
      <w:r>
        <w:rPr>
          <w:rFonts w:ascii="黑体" w:eastAsia="黑体" w:hAnsi="宋体" w:cs="宋体" w:hint="eastAsia"/>
          <w:sz w:val="32"/>
          <w:szCs w:val="32"/>
        </w:rPr>
        <w:t xml:space="preserve">　</w:t>
      </w:r>
      <w:r>
        <w:rPr>
          <w:rFonts w:ascii="仿宋_GB2312" w:eastAsia="仿宋_GB2312" w:hAnsi="宋体" w:cs="宋体" w:hint="eastAsia"/>
          <w:sz w:val="32"/>
          <w:szCs w:val="32"/>
        </w:rPr>
        <w:t>品种权终止后依法恢复权利，权利人要求实施品种权的单位或者个人支付终止期间实施品种权的费用的，人民法院可以参照有关品种权实施许可费，结合品种类型、种植时间、经营规模、当时的市场价值等因素合理确定。</w:t>
      </w:r>
    </w:p>
    <w:p w:rsidR="00727D72" w:rsidRDefault="001F737E">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第十九条</w:t>
      </w:r>
      <w:r>
        <w:rPr>
          <w:rFonts w:ascii="黑体" w:eastAsia="黑体" w:hAnsi="宋体" w:cs="宋体" w:hint="eastAsia"/>
          <w:sz w:val="32"/>
          <w:szCs w:val="32"/>
        </w:rPr>
        <w:t xml:space="preserve">　</w:t>
      </w:r>
      <w:r>
        <w:rPr>
          <w:rFonts w:ascii="仿宋_GB2312" w:eastAsia="仿宋_GB2312" w:hAnsi="宋体" w:cs="宋体" w:hint="eastAsia"/>
          <w:sz w:val="32"/>
          <w:szCs w:val="32"/>
        </w:rPr>
        <w:t>他人未经许可，自品种权初步审查合格公告之日起至被授予品种权之日止，生产、繁殖或者销售该授权品种的繁殖材料，或者为商业目的将该授权品种的繁殖材料重复使用于生产另一品种的繁殖材料，权利人对此主张追偿利益损失的，人民法院可以按照临时保护期使用费纠纷处理，并参照有关品种权实</w:t>
      </w:r>
      <w:r>
        <w:rPr>
          <w:rFonts w:ascii="仿宋_GB2312" w:eastAsia="仿宋_GB2312" w:hAnsi="宋体" w:cs="宋体" w:hint="eastAsia"/>
          <w:sz w:val="32"/>
          <w:szCs w:val="32"/>
        </w:rPr>
        <w:lastRenderedPageBreak/>
        <w:t>施许可费，结合品种类型、种植时间、经营规模、当时的市场价值等因素合理确定该使用费数额。</w:t>
      </w:r>
    </w:p>
    <w:p w:rsidR="00727D72" w:rsidRDefault="001F737E">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前款规定的被诉行为延续到品种授权之后，权利人对品种权临时保护期使用费和侵权损害赔偿均主张权利的，人民法院可以合并审理，但应当分别计算处理。</w:t>
      </w:r>
    </w:p>
    <w:p w:rsidR="00727D72" w:rsidRDefault="001F737E">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第二十条</w:t>
      </w:r>
      <w:r>
        <w:rPr>
          <w:rFonts w:ascii="黑体" w:eastAsia="黑体" w:hAnsi="宋体" w:cs="宋体" w:hint="eastAsia"/>
          <w:sz w:val="32"/>
          <w:szCs w:val="32"/>
        </w:rPr>
        <w:t xml:space="preserve">　</w:t>
      </w:r>
      <w:r>
        <w:rPr>
          <w:rFonts w:ascii="仿宋_GB2312" w:eastAsia="仿宋_GB2312" w:hAnsi="宋体" w:cs="宋体" w:hint="eastAsia"/>
          <w:sz w:val="32"/>
          <w:szCs w:val="32"/>
        </w:rPr>
        <w:t>侵害品种</w:t>
      </w:r>
      <w:r>
        <w:rPr>
          <w:rFonts w:ascii="仿宋_GB2312" w:eastAsia="仿宋_GB2312" w:hAnsi="宋体" w:cs="宋体" w:hint="eastAsia"/>
          <w:sz w:val="32"/>
          <w:szCs w:val="32"/>
        </w:rPr>
        <w:t>权纠纷案件涉及的专门性问题需要鉴定的，由当事人在相关领域鉴定人名录或者国务院农业、林业主管部门向人民法院推荐的鉴定人中协商确定；协商不成的，由人民法院从中指定。</w:t>
      </w:r>
    </w:p>
    <w:p w:rsidR="00727D72" w:rsidRDefault="001F737E">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第二十一条</w:t>
      </w:r>
      <w:r>
        <w:rPr>
          <w:rFonts w:ascii="黑体" w:eastAsia="黑体" w:hAnsi="宋体" w:cs="宋体" w:hint="eastAsia"/>
          <w:sz w:val="32"/>
          <w:szCs w:val="32"/>
        </w:rPr>
        <w:t xml:space="preserve">　</w:t>
      </w:r>
      <w:r>
        <w:rPr>
          <w:rFonts w:ascii="仿宋_GB2312" w:eastAsia="仿宋_GB2312" w:hAnsi="宋体" w:cs="宋体" w:hint="eastAsia"/>
          <w:sz w:val="32"/>
          <w:szCs w:val="32"/>
        </w:rPr>
        <w:t>对于没有基因指纹图谱等分子标记检测方法进行鉴定的品种，可以采用行业通用方法对授权品种与被诉侵权物的特征、特性进行同一性判断。</w:t>
      </w:r>
    </w:p>
    <w:p w:rsidR="00727D72" w:rsidRDefault="001F737E">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第二十二条</w:t>
      </w:r>
      <w:r>
        <w:rPr>
          <w:rFonts w:ascii="黑体" w:eastAsia="黑体" w:hAnsi="宋体" w:cs="宋体" w:hint="eastAsia"/>
          <w:sz w:val="32"/>
          <w:szCs w:val="32"/>
        </w:rPr>
        <w:t xml:space="preserve">　</w:t>
      </w:r>
      <w:r>
        <w:rPr>
          <w:rFonts w:ascii="仿宋_GB2312" w:eastAsia="仿宋_GB2312" w:hAnsi="宋体" w:cs="宋体" w:hint="eastAsia"/>
          <w:sz w:val="32"/>
          <w:szCs w:val="32"/>
        </w:rPr>
        <w:t>对鉴定意见有异议的一方当事人向人民法院申请复检、补充鉴定或者重新鉴定，但未提出合理理由和证据的，人民法院不予准许。</w:t>
      </w:r>
    </w:p>
    <w:p w:rsidR="00727D72" w:rsidRDefault="001F737E">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第二十三条</w:t>
      </w:r>
      <w:r>
        <w:rPr>
          <w:rFonts w:ascii="黑体" w:eastAsia="黑体" w:hAnsi="宋体" w:cs="宋体" w:hint="eastAsia"/>
          <w:sz w:val="32"/>
          <w:szCs w:val="32"/>
        </w:rPr>
        <w:t xml:space="preserve">　</w:t>
      </w:r>
      <w:r>
        <w:rPr>
          <w:rFonts w:ascii="仿宋_GB2312" w:eastAsia="仿宋_GB2312" w:hAnsi="宋体" w:cs="宋体" w:hint="eastAsia"/>
          <w:sz w:val="32"/>
          <w:szCs w:val="32"/>
        </w:rPr>
        <w:t>通过基因指纹图谱等分子标记检测方法进行鉴定，待测样品与对照样品的差异位点</w:t>
      </w:r>
      <w:r>
        <w:rPr>
          <w:rFonts w:ascii="仿宋_GB2312" w:eastAsia="仿宋_GB2312" w:hAnsi="宋体" w:cs="宋体" w:hint="eastAsia"/>
          <w:sz w:val="32"/>
          <w:szCs w:val="32"/>
        </w:rPr>
        <w:t>小于但接近临界值，被诉侵权人主张二者特征、特性不同的，应当承担举证责任；人民法院也可以根据当事人的申请，采取扩大检测位点进行加测或者提取授权品种标准样品进行测定等方法，并结合其他相关因素作出认定。</w:t>
      </w:r>
    </w:p>
    <w:p w:rsidR="00727D72" w:rsidRDefault="001F737E">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第二十四条</w:t>
      </w:r>
      <w:r>
        <w:rPr>
          <w:rFonts w:ascii="黑体" w:eastAsia="黑体" w:hAnsi="宋体" w:cs="宋体" w:hint="eastAsia"/>
          <w:sz w:val="32"/>
          <w:szCs w:val="32"/>
        </w:rPr>
        <w:t xml:space="preserve">　</w:t>
      </w:r>
      <w:r>
        <w:rPr>
          <w:rFonts w:ascii="仿宋_GB2312" w:eastAsia="仿宋_GB2312" w:hAnsi="宋体" w:cs="宋体" w:hint="eastAsia"/>
          <w:sz w:val="32"/>
          <w:szCs w:val="32"/>
        </w:rPr>
        <w:t>田间观察检测与基因指纹图谱等分子标记检</w:t>
      </w:r>
      <w:r>
        <w:rPr>
          <w:rFonts w:ascii="仿宋_GB2312" w:eastAsia="仿宋_GB2312" w:hAnsi="宋体" w:cs="宋体" w:hint="eastAsia"/>
          <w:sz w:val="32"/>
          <w:szCs w:val="32"/>
        </w:rPr>
        <w:lastRenderedPageBreak/>
        <w:t>测的结论不同的，人民法院应当以田间观察检测结论为准。</w:t>
      </w:r>
    </w:p>
    <w:p w:rsidR="00727D72" w:rsidRDefault="001F737E">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第二十五条</w:t>
      </w:r>
      <w:r>
        <w:rPr>
          <w:rFonts w:ascii="黑体" w:eastAsia="黑体" w:hAnsi="宋体" w:cs="宋体" w:hint="eastAsia"/>
          <w:sz w:val="32"/>
          <w:szCs w:val="32"/>
        </w:rPr>
        <w:t xml:space="preserve">　</w:t>
      </w:r>
      <w:r>
        <w:rPr>
          <w:rFonts w:ascii="仿宋_GB2312" w:eastAsia="仿宋_GB2312" w:hAnsi="宋体" w:cs="宋体" w:hint="eastAsia"/>
          <w:sz w:val="32"/>
          <w:szCs w:val="32"/>
        </w:rPr>
        <w:t>本规定自</w:t>
      </w:r>
      <w:r>
        <w:rPr>
          <w:rFonts w:ascii="仿宋_GB2312" w:eastAsia="仿宋_GB2312" w:hAnsi="宋体" w:cs="宋体" w:hint="eastAsia"/>
          <w:sz w:val="32"/>
          <w:szCs w:val="32"/>
        </w:rPr>
        <w:t>2021</w:t>
      </w:r>
      <w:r>
        <w:rPr>
          <w:rFonts w:ascii="仿宋_GB2312" w:eastAsia="仿宋_GB2312" w:hAnsi="宋体" w:cs="宋体" w:hint="eastAsia"/>
          <w:sz w:val="32"/>
          <w:szCs w:val="32"/>
        </w:rPr>
        <w:t>年</w:t>
      </w:r>
      <w:r>
        <w:rPr>
          <w:rFonts w:ascii="仿宋_GB2312" w:eastAsia="仿宋_GB2312" w:hAnsi="宋体" w:cs="宋体" w:hint="eastAsia"/>
          <w:sz w:val="32"/>
          <w:szCs w:val="32"/>
        </w:rPr>
        <w:t>7</w:t>
      </w:r>
      <w:r>
        <w:rPr>
          <w:rFonts w:ascii="仿宋_GB2312" w:eastAsia="仿宋_GB2312" w:hAnsi="宋体" w:cs="宋体" w:hint="eastAsia"/>
          <w:sz w:val="32"/>
          <w:szCs w:val="32"/>
        </w:rPr>
        <w:t>月</w:t>
      </w:r>
      <w:r>
        <w:rPr>
          <w:rFonts w:ascii="仿宋_GB2312" w:eastAsia="仿宋_GB2312" w:hAnsi="宋体" w:cs="宋体" w:hint="eastAsia"/>
          <w:sz w:val="32"/>
          <w:szCs w:val="32"/>
        </w:rPr>
        <w:t>7</w:t>
      </w:r>
      <w:r>
        <w:rPr>
          <w:rFonts w:ascii="仿宋_GB2312" w:eastAsia="仿宋_GB2312" w:hAnsi="宋体" w:cs="宋体" w:hint="eastAsia"/>
          <w:sz w:val="32"/>
          <w:szCs w:val="32"/>
        </w:rPr>
        <w:t>日起施行。本院以前发布的相关司法解释与本规定不一致的，按照本规定执行。</w:t>
      </w:r>
    </w:p>
    <w:p w:rsidR="00727D72" w:rsidRDefault="00727D72">
      <w:pPr>
        <w:pStyle w:val="a3"/>
        <w:spacing w:line="560" w:lineRule="exact"/>
        <w:ind w:firstLineChars="200" w:firstLine="640"/>
        <w:rPr>
          <w:rFonts w:ascii="仿宋_GB2312" w:eastAsia="仿宋_GB2312" w:hAnsi="宋体" w:cs="宋体"/>
          <w:sz w:val="32"/>
          <w:szCs w:val="32"/>
        </w:rPr>
      </w:pPr>
    </w:p>
    <w:sectPr w:rsidR="00727D72">
      <w:footerReference w:type="even" r:id="rId8"/>
      <w:footerReference w:type="default" r:id="rId9"/>
      <w:pgSz w:w="11906" w:h="16838"/>
      <w:pgMar w:top="2098" w:right="1474" w:bottom="1984" w:left="1588" w:header="851" w:footer="992" w:gutter="0"/>
      <w:pgNumType w:fmt="numberInDash" w:start="1"/>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37E" w:rsidRDefault="001F737E">
      <w:r>
        <w:separator/>
      </w:r>
    </w:p>
  </w:endnote>
  <w:endnote w:type="continuationSeparator" w:id="0">
    <w:p w:rsidR="001F737E" w:rsidRDefault="001F7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D72" w:rsidRDefault="001F737E">
    <w:pPr>
      <w:pStyle w:val="a5"/>
      <w:ind w:right="360" w:firstLine="360"/>
    </w:pPr>
    <w:r>
      <w:pict>
        <v:shapetype id="_x0000_t202" coordsize="21600,21600" o:spt="202" path="m,l,21600r21600,l21600,xe">
          <v:stroke joinstyle="miter"/>
          <v:path gradientshapeok="t" o:connecttype="rect"/>
        </v:shapetype>
        <v:shape id="_x0000_s3074" type="#_x0000_t202" style="position:absolute;left:0;text-align:left;margin-left:0;margin-top:-6.4pt;width:2in;height:2in;z-index:251659264;mso-wrap-style:none;mso-position-horizontal-relative:margin;mso-width-relative:page;mso-height-relative:page" filled="f" stroked="f">
          <v:textbox style="mso-fit-shape-to-text:t" inset="0,0,0,0">
            <w:txbxContent>
              <w:p w:rsidR="00727D72" w:rsidRDefault="001F737E">
                <w:pPr>
                  <w:pStyle w:val="a5"/>
                  <w:rPr>
                    <w:rStyle w:val="a7"/>
                  </w:rPr>
                </w:pPr>
                <w:r>
                  <w:rPr>
                    <w:rStyle w:val="a7"/>
                    <w:rFonts w:ascii="宋体" w:hAnsi="宋体" w:cs="宋体" w:hint="eastAsia"/>
                    <w:sz w:val="28"/>
                    <w:szCs w:val="28"/>
                  </w:rPr>
                  <w:fldChar w:fldCharType="begin"/>
                </w:r>
                <w:r>
                  <w:rPr>
                    <w:rStyle w:val="a7"/>
                    <w:rFonts w:ascii="宋体" w:hAnsi="宋体" w:cs="宋体" w:hint="eastAsia"/>
                    <w:sz w:val="28"/>
                    <w:szCs w:val="28"/>
                  </w:rPr>
                  <w:instrText xml:space="preserve">PAGE  </w:instrText>
                </w:r>
                <w:r w:rsidR="00017102">
                  <w:rPr>
                    <w:rStyle w:val="a7"/>
                    <w:rFonts w:ascii="宋体" w:hAnsi="宋体" w:cs="宋体"/>
                    <w:sz w:val="28"/>
                    <w:szCs w:val="28"/>
                  </w:rPr>
                  <w:fldChar w:fldCharType="separate"/>
                </w:r>
                <w:r w:rsidR="00017102">
                  <w:rPr>
                    <w:rStyle w:val="a7"/>
                    <w:rFonts w:ascii="宋体" w:hAnsi="宋体" w:cs="宋体"/>
                    <w:noProof/>
                    <w:sz w:val="28"/>
                    <w:szCs w:val="28"/>
                  </w:rPr>
                  <w:t>- 2 -</w:t>
                </w:r>
                <w:r>
                  <w:rPr>
                    <w:rStyle w:val="a7"/>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D72" w:rsidRDefault="001F737E">
    <w:pPr>
      <w:pStyle w:val="a5"/>
      <w:ind w:right="360"/>
    </w:pPr>
    <w:r>
      <w:pict>
        <v:shapetype id="_x0000_t202" coordsize="21600,21600" o:spt="202" path="m,l,21600r21600,l21600,xe">
          <v:stroke joinstyle="miter"/>
          <v:path gradientshapeok="t" o:connecttype="rect"/>
        </v:shapetype>
        <v:shape id="_x0000_s3073" type="#_x0000_t202" style="position:absolute;margin-left:407.2pt;margin-top:-5.8pt;width:2in;height:2in;z-index:251658240;mso-wrap-style:none;mso-position-horizontal-relative:margin;mso-width-relative:page;mso-height-relative:page" filled="f" stroked="f">
          <v:textbox style="mso-fit-shape-to-text:t" inset="0,0,0,0">
            <w:txbxContent>
              <w:p w:rsidR="00727D72" w:rsidRDefault="001F737E">
                <w:pPr>
                  <w:pStyle w:val="a5"/>
                  <w:rPr>
                    <w:rStyle w:val="a7"/>
                    <w:rFonts w:ascii="Times" w:hAnsi="Times" w:hint="eastAsia"/>
                    <w:sz w:val="28"/>
                  </w:rPr>
                </w:pPr>
                <w:r>
                  <w:rPr>
                    <w:rStyle w:val="a7"/>
                    <w:rFonts w:ascii="宋体" w:hAnsi="宋体" w:cs="宋体" w:hint="eastAsia"/>
                    <w:sz w:val="28"/>
                  </w:rPr>
                  <w:fldChar w:fldCharType="begin"/>
                </w:r>
                <w:r>
                  <w:rPr>
                    <w:rStyle w:val="a7"/>
                    <w:rFonts w:ascii="宋体" w:hAnsi="宋体" w:cs="宋体" w:hint="eastAsia"/>
                    <w:sz w:val="28"/>
                  </w:rPr>
                  <w:instrText xml:space="preserve">PAGE  </w:instrText>
                </w:r>
                <w:r>
                  <w:rPr>
                    <w:rStyle w:val="a7"/>
                    <w:rFonts w:ascii="宋体" w:hAnsi="宋体" w:cs="宋体" w:hint="eastAsia"/>
                    <w:sz w:val="28"/>
                  </w:rPr>
                  <w:fldChar w:fldCharType="separate"/>
                </w:r>
                <w:r w:rsidR="00017102">
                  <w:rPr>
                    <w:rStyle w:val="a7"/>
                    <w:rFonts w:ascii="宋体" w:hAnsi="宋体" w:cs="宋体"/>
                    <w:noProof/>
                    <w:sz w:val="28"/>
                  </w:rPr>
                  <w:t>- 1 -</w:t>
                </w:r>
                <w:r>
                  <w:rPr>
                    <w:rStyle w:val="a7"/>
                    <w:rFonts w:ascii="宋体" w:hAnsi="宋体" w:cs="宋体" w:hint="eastAsia"/>
                    <w:sz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37E" w:rsidRDefault="001F737E">
      <w:r>
        <w:separator/>
      </w:r>
    </w:p>
  </w:footnote>
  <w:footnote w:type="continuationSeparator" w:id="0">
    <w:p w:rsidR="001F737E" w:rsidRDefault="001F73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3075"/>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D6C55"/>
    <w:rsid w:val="000051BA"/>
    <w:rsid w:val="00007DC9"/>
    <w:rsid w:val="00017102"/>
    <w:rsid w:val="000218EF"/>
    <w:rsid w:val="00022FF2"/>
    <w:rsid w:val="000246CF"/>
    <w:rsid w:val="00026B55"/>
    <w:rsid w:val="000300E0"/>
    <w:rsid w:val="0004157A"/>
    <w:rsid w:val="00041639"/>
    <w:rsid w:val="00046FD0"/>
    <w:rsid w:val="00060A39"/>
    <w:rsid w:val="00060B3A"/>
    <w:rsid w:val="000658AA"/>
    <w:rsid w:val="00070A8B"/>
    <w:rsid w:val="000720A0"/>
    <w:rsid w:val="00072E51"/>
    <w:rsid w:val="000831A5"/>
    <w:rsid w:val="0009154E"/>
    <w:rsid w:val="00092662"/>
    <w:rsid w:val="00093500"/>
    <w:rsid w:val="00094871"/>
    <w:rsid w:val="000A67EC"/>
    <w:rsid w:val="000B1F15"/>
    <w:rsid w:val="000B47FF"/>
    <w:rsid w:val="000C4793"/>
    <w:rsid w:val="000D35F0"/>
    <w:rsid w:val="000D7352"/>
    <w:rsid w:val="000E4EE9"/>
    <w:rsid w:val="000E5187"/>
    <w:rsid w:val="000E56CF"/>
    <w:rsid w:val="000E6D88"/>
    <w:rsid w:val="000F150B"/>
    <w:rsid w:val="000F2196"/>
    <w:rsid w:val="000F2D91"/>
    <w:rsid w:val="00105EA6"/>
    <w:rsid w:val="001066EE"/>
    <w:rsid w:val="00106D59"/>
    <w:rsid w:val="001211C7"/>
    <w:rsid w:val="00125415"/>
    <w:rsid w:val="00133F36"/>
    <w:rsid w:val="00135979"/>
    <w:rsid w:val="00141FB6"/>
    <w:rsid w:val="00156266"/>
    <w:rsid w:val="001614DD"/>
    <w:rsid w:val="001617A2"/>
    <w:rsid w:val="00162880"/>
    <w:rsid w:val="0016489F"/>
    <w:rsid w:val="0016665A"/>
    <w:rsid w:val="00170A71"/>
    <w:rsid w:val="00174FB6"/>
    <w:rsid w:val="00182BD9"/>
    <w:rsid w:val="001A7520"/>
    <w:rsid w:val="001B131A"/>
    <w:rsid w:val="001B153F"/>
    <w:rsid w:val="001B6523"/>
    <w:rsid w:val="001D4E14"/>
    <w:rsid w:val="001D5662"/>
    <w:rsid w:val="001E1AB1"/>
    <w:rsid w:val="001F6C7B"/>
    <w:rsid w:val="001F737E"/>
    <w:rsid w:val="002064F7"/>
    <w:rsid w:val="00206B2B"/>
    <w:rsid w:val="0021638E"/>
    <w:rsid w:val="002216B9"/>
    <w:rsid w:val="0023259F"/>
    <w:rsid w:val="00233F94"/>
    <w:rsid w:val="00235183"/>
    <w:rsid w:val="00241E35"/>
    <w:rsid w:val="002428F9"/>
    <w:rsid w:val="002518C7"/>
    <w:rsid w:val="0025742F"/>
    <w:rsid w:val="00265D95"/>
    <w:rsid w:val="002671B1"/>
    <w:rsid w:val="00271C80"/>
    <w:rsid w:val="002763B3"/>
    <w:rsid w:val="00277543"/>
    <w:rsid w:val="00281EEF"/>
    <w:rsid w:val="002835B6"/>
    <w:rsid w:val="0028710F"/>
    <w:rsid w:val="002A0E27"/>
    <w:rsid w:val="002A0E47"/>
    <w:rsid w:val="002A1765"/>
    <w:rsid w:val="002A1BB0"/>
    <w:rsid w:val="002A7E25"/>
    <w:rsid w:val="002B046B"/>
    <w:rsid w:val="002B5E8C"/>
    <w:rsid w:val="002C11D2"/>
    <w:rsid w:val="002D285F"/>
    <w:rsid w:val="002D6C55"/>
    <w:rsid w:val="002E52C2"/>
    <w:rsid w:val="002E71C4"/>
    <w:rsid w:val="002E7DF6"/>
    <w:rsid w:val="00311EB0"/>
    <w:rsid w:val="00313AEE"/>
    <w:rsid w:val="0031621E"/>
    <w:rsid w:val="00327650"/>
    <w:rsid w:val="00334544"/>
    <w:rsid w:val="003370AB"/>
    <w:rsid w:val="00337E4D"/>
    <w:rsid w:val="003407E4"/>
    <w:rsid w:val="00340D0A"/>
    <w:rsid w:val="00342C41"/>
    <w:rsid w:val="00344576"/>
    <w:rsid w:val="00356973"/>
    <w:rsid w:val="00356AAC"/>
    <w:rsid w:val="00357579"/>
    <w:rsid w:val="00357968"/>
    <w:rsid w:val="0036275A"/>
    <w:rsid w:val="00374592"/>
    <w:rsid w:val="00384827"/>
    <w:rsid w:val="003854B1"/>
    <w:rsid w:val="003871CA"/>
    <w:rsid w:val="003902DE"/>
    <w:rsid w:val="00390825"/>
    <w:rsid w:val="00394561"/>
    <w:rsid w:val="00395336"/>
    <w:rsid w:val="003B50D6"/>
    <w:rsid w:val="003C0536"/>
    <w:rsid w:val="003D7E4C"/>
    <w:rsid w:val="003E737D"/>
    <w:rsid w:val="003F534F"/>
    <w:rsid w:val="003F55D7"/>
    <w:rsid w:val="003F661F"/>
    <w:rsid w:val="00403942"/>
    <w:rsid w:val="00407595"/>
    <w:rsid w:val="00422EA0"/>
    <w:rsid w:val="00424C9C"/>
    <w:rsid w:val="00431DB2"/>
    <w:rsid w:val="00432CA7"/>
    <w:rsid w:val="004358E6"/>
    <w:rsid w:val="00440B14"/>
    <w:rsid w:val="00447D9F"/>
    <w:rsid w:val="00454D12"/>
    <w:rsid w:val="00463561"/>
    <w:rsid w:val="004724D5"/>
    <w:rsid w:val="00473BA4"/>
    <w:rsid w:val="004745A3"/>
    <w:rsid w:val="0048272B"/>
    <w:rsid w:val="00493ABE"/>
    <w:rsid w:val="004A69A0"/>
    <w:rsid w:val="004B0465"/>
    <w:rsid w:val="004B1A57"/>
    <w:rsid w:val="004B2619"/>
    <w:rsid w:val="004B7D8C"/>
    <w:rsid w:val="004C1EAA"/>
    <w:rsid w:val="004C4DF7"/>
    <w:rsid w:val="004C569C"/>
    <w:rsid w:val="004E22D5"/>
    <w:rsid w:val="004E2688"/>
    <w:rsid w:val="004F5158"/>
    <w:rsid w:val="004F569D"/>
    <w:rsid w:val="00506C84"/>
    <w:rsid w:val="005142A1"/>
    <w:rsid w:val="00517CAB"/>
    <w:rsid w:val="00536EBF"/>
    <w:rsid w:val="0053713F"/>
    <w:rsid w:val="005433C2"/>
    <w:rsid w:val="005502F2"/>
    <w:rsid w:val="00562083"/>
    <w:rsid w:val="005664E6"/>
    <w:rsid w:val="0057423C"/>
    <w:rsid w:val="00581184"/>
    <w:rsid w:val="0058350A"/>
    <w:rsid w:val="00586344"/>
    <w:rsid w:val="00594376"/>
    <w:rsid w:val="005A56F6"/>
    <w:rsid w:val="005A6C12"/>
    <w:rsid w:val="005C1972"/>
    <w:rsid w:val="005D3469"/>
    <w:rsid w:val="005E2A4A"/>
    <w:rsid w:val="005E48B7"/>
    <w:rsid w:val="005F1B3D"/>
    <w:rsid w:val="00602816"/>
    <w:rsid w:val="00604ACB"/>
    <w:rsid w:val="00606C5B"/>
    <w:rsid w:val="00612F03"/>
    <w:rsid w:val="006171AA"/>
    <w:rsid w:val="006178C3"/>
    <w:rsid w:val="00621BAF"/>
    <w:rsid w:val="0062410E"/>
    <w:rsid w:val="00626CE8"/>
    <w:rsid w:val="00661621"/>
    <w:rsid w:val="006711F4"/>
    <w:rsid w:val="006713E1"/>
    <w:rsid w:val="0068140B"/>
    <w:rsid w:val="00685825"/>
    <w:rsid w:val="0069347C"/>
    <w:rsid w:val="006B086F"/>
    <w:rsid w:val="006E1FF4"/>
    <w:rsid w:val="006E7630"/>
    <w:rsid w:val="006F0A7E"/>
    <w:rsid w:val="006F6FC3"/>
    <w:rsid w:val="006F7D77"/>
    <w:rsid w:val="00715180"/>
    <w:rsid w:val="00720A73"/>
    <w:rsid w:val="00720CAF"/>
    <w:rsid w:val="00722ED9"/>
    <w:rsid w:val="00724377"/>
    <w:rsid w:val="007276B4"/>
    <w:rsid w:val="00727D72"/>
    <w:rsid w:val="00733E0F"/>
    <w:rsid w:val="00745D25"/>
    <w:rsid w:val="007506EE"/>
    <w:rsid w:val="0075447F"/>
    <w:rsid w:val="00754A2D"/>
    <w:rsid w:val="007643CE"/>
    <w:rsid w:val="00766157"/>
    <w:rsid w:val="00767F68"/>
    <w:rsid w:val="00771E84"/>
    <w:rsid w:val="0077490A"/>
    <w:rsid w:val="007775EF"/>
    <w:rsid w:val="007A51E0"/>
    <w:rsid w:val="007A6544"/>
    <w:rsid w:val="007A7FD3"/>
    <w:rsid w:val="007B2410"/>
    <w:rsid w:val="007C01D1"/>
    <w:rsid w:val="007C5705"/>
    <w:rsid w:val="007D13B8"/>
    <w:rsid w:val="007D2E57"/>
    <w:rsid w:val="007D77CE"/>
    <w:rsid w:val="007E3C61"/>
    <w:rsid w:val="00802CDC"/>
    <w:rsid w:val="00805E1D"/>
    <w:rsid w:val="00813FEC"/>
    <w:rsid w:val="00814E29"/>
    <w:rsid w:val="00823C1E"/>
    <w:rsid w:val="00826D77"/>
    <w:rsid w:val="0083338D"/>
    <w:rsid w:val="00857DBC"/>
    <w:rsid w:val="008701AB"/>
    <w:rsid w:val="0087139A"/>
    <w:rsid w:val="00877798"/>
    <w:rsid w:val="008802DB"/>
    <w:rsid w:val="00881967"/>
    <w:rsid w:val="00884D26"/>
    <w:rsid w:val="00885F48"/>
    <w:rsid w:val="00890F76"/>
    <w:rsid w:val="0089274E"/>
    <w:rsid w:val="008A08FA"/>
    <w:rsid w:val="008B447E"/>
    <w:rsid w:val="008C663E"/>
    <w:rsid w:val="008E70E5"/>
    <w:rsid w:val="008F50DB"/>
    <w:rsid w:val="008F5238"/>
    <w:rsid w:val="008F7723"/>
    <w:rsid w:val="00904BC8"/>
    <w:rsid w:val="00911248"/>
    <w:rsid w:val="00913A4E"/>
    <w:rsid w:val="00925F75"/>
    <w:rsid w:val="009273E3"/>
    <w:rsid w:val="00927D41"/>
    <w:rsid w:val="009621F2"/>
    <w:rsid w:val="00971108"/>
    <w:rsid w:val="0097410F"/>
    <w:rsid w:val="00974280"/>
    <w:rsid w:val="00974393"/>
    <w:rsid w:val="0097704C"/>
    <w:rsid w:val="00985CAE"/>
    <w:rsid w:val="00986E71"/>
    <w:rsid w:val="00992211"/>
    <w:rsid w:val="009942EB"/>
    <w:rsid w:val="009A1862"/>
    <w:rsid w:val="009A5178"/>
    <w:rsid w:val="009A78E1"/>
    <w:rsid w:val="009A7FCF"/>
    <w:rsid w:val="009B548C"/>
    <w:rsid w:val="009C6F84"/>
    <w:rsid w:val="009D18B6"/>
    <w:rsid w:val="009E6F62"/>
    <w:rsid w:val="009E7F86"/>
    <w:rsid w:val="009F1030"/>
    <w:rsid w:val="009F1B6D"/>
    <w:rsid w:val="00A02039"/>
    <w:rsid w:val="00A04BD7"/>
    <w:rsid w:val="00A20EDD"/>
    <w:rsid w:val="00A212C7"/>
    <w:rsid w:val="00A23406"/>
    <w:rsid w:val="00A27EDD"/>
    <w:rsid w:val="00A35D41"/>
    <w:rsid w:val="00A40953"/>
    <w:rsid w:val="00A42C49"/>
    <w:rsid w:val="00A459E3"/>
    <w:rsid w:val="00A571FE"/>
    <w:rsid w:val="00A636AF"/>
    <w:rsid w:val="00A65AA4"/>
    <w:rsid w:val="00A773EC"/>
    <w:rsid w:val="00AA03DB"/>
    <w:rsid w:val="00AA164E"/>
    <w:rsid w:val="00AA3B2D"/>
    <w:rsid w:val="00AA7268"/>
    <w:rsid w:val="00AB0D6D"/>
    <w:rsid w:val="00AB68DD"/>
    <w:rsid w:val="00AC2B0B"/>
    <w:rsid w:val="00AD35D8"/>
    <w:rsid w:val="00AD6BB8"/>
    <w:rsid w:val="00AF6D19"/>
    <w:rsid w:val="00B018B8"/>
    <w:rsid w:val="00B1436F"/>
    <w:rsid w:val="00B17FDC"/>
    <w:rsid w:val="00B22148"/>
    <w:rsid w:val="00B25C4D"/>
    <w:rsid w:val="00B32A99"/>
    <w:rsid w:val="00B364E6"/>
    <w:rsid w:val="00B47F03"/>
    <w:rsid w:val="00B62010"/>
    <w:rsid w:val="00B6417D"/>
    <w:rsid w:val="00B712AC"/>
    <w:rsid w:val="00B82084"/>
    <w:rsid w:val="00B95E1A"/>
    <w:rsid w:val="00BB4808"/>
    <w:rsid w:val="00BD62E5"/>
    <w:rsid w:val="00BD715F"/>
    <w:rsid w:val="00BD7A11"/>
    <w:rsid w:val="00BE0134"/>
    <w:rsid w:val="00BE421E"/>
    <w:rsid w:val="00BE428E"/>
    <w:rsid w:val="00BE6A42"/>
    <w:rsid w:val="00BF009A"/>
    <w:rsid w:val="00BF2167"/>
    <w:rsid w:val="00BF4E21"/>
    <w:rsid w:val="00BF6AB5"/>
    <w:rsid w:val="00C03182"/>
    <w:rsid w:val="00C10C97"/>
    <w:rsid w:val="00C4182D"/>
    <w:rsid w:val="00C41CE2"/>
    <w:rsid w:val="00C452E4"/>
    <w:rsid w:val="00C473DF"/>
    <w:rsid w:val="00C532CE"/>
    <w:rsid w:val="00C53D36"/>
    <w:rsid w:val="00C57E0D"/>
    <w:rsid w:val="00C636EE"/>
    <w:rsid w:val="00C7181C"/>
    <w:rsid w:val="00C73C73"/>
    <w:rsid w:val="00C748B2"/>
    <w:rsid w:val="00C75F27"/>
    <w:rsid w:val="00C76A21"/>
    <w:rsid w:val="00C85BE4"/>
    <w:rsid w:val="00CA3B61"/>
    <w:rsid w:val="00CB05CD"/>
    <w:rsid w:val="00CB268F"/>
    <w:rsid w:val="00CB69A2"/>
    <w:rsid w:val="00CD046D"/>
    <w:rsid w:val="00CD15F8"/>
    <w:rsid w:val="00CD207F"/>
    <w:rsid w:val="00CF0128"/>
    <w:rsid w:val="00CF0812"/>
    <w:rsid w:val="00CF245A"/>
    <w:rsid w:val="00CF41FE"/>
    <w:rsid w:val="00CF4321"/>
    <w:rsid w:val="00CF5E94"/>
    <w:rsid w:val="00CF7BE1"/>
    <w:rsid w:val="00D0443A"/>
    <w:rsid w:val="00D07F94"/>
    <w:rsid w:val="00D16B69"/>
    <w:rsid w:val="00D21DEB"/>
    <w:rsid w:val="00D3514F"/>
    <w:rsid w:val="00D5052C"/>
    <w:rsid w:val="00D6266A"/>
    <w:rsid w:val="00D91F48"/>
    <w:rsid w:val="00D97443"/>
    <w:rsid w:val="00DA0CA4"/>
    <w:rsid w:val="00DA3276"/>
    <w:rsid w:val="00DB1764"/>
    <w:rsid w:val="00DB2440"/>
    <w:rsid w:val="00DB3C8A"/>
    <w:rsid w:val="00DB5F18"/>
    <w:rsid w:val="00DC5F89"/>
    <w:rsid w:val="00DD0C51"/>
    <w:rsid w:val="00DD7AE6"/>
    <w:rsid w:val="00DE2F11"/>
    <w:rsid w:val="00E01AAD"/>
    <w:rsid w:val="00E06E17"/>
    <w:rsid w:val="00E11578"/>
    <w:rsid w:val="00E2376E"/>
    <w:rsid w:val="00E25C09"/>
    <w:rsid w:val="00E35402"/>
    <w:rsid w:val="00E379EC"/>
    <w:rsid w:val="00E42D97"/>
    <w:rsid w:val="00E42DA2"/>
    <w:rsid w:val="00E47E0D"/>
    <w:rsid w:val="00E526C3"/>
    <w:rsid w:val="00E56A87"/>
    <w:rsid w:val="00E56E52"/>
    <w:rsid w:val="00E715B9"/>
    <w:rsid w:val="00E854B0"/>
    <w:rsid w:val="00E9403C"/>
    <w:rsid w:val="00E956E5"/>
    <w:rsid w:val="00E95DF8"/>
    <w:rsid w:val="00E97496"/>
    <w:rsid w:val="00EB642C"/>
    <w:rsid w:val="00EB67B5"/>
    <w:rsid w:val="00EB6A82"/>
    <w:rsid w:val="00EB79DB"/>
    <w:rsid w:val="00EB7B8D"/>
    <w:rsid w:val="00EE1F86"/>
    <w:rsid w:val="00EE4190"/>
    <w:rsid w:val="00F01156"/>
    <w:rsid w:val="00F1058C"/>
    <w:rsid w:val="00F11389"/>
    <w:rsid w:val="00F11CAA"/>
    <w:rsid w:val="00F14865"/>
    <w:rsid w:val="00F3114F"/>
    <w:rsid w:val="00F3147A"/>
    <w:rsid w:val="00F31FF1"/>
    <w:rsid w:val="00F347B6"/>
    <w:rsid w:val="00F37571"/>
    <w:rsid w:val="00F44A15"/>
    <w:rsid w:val="00F46B3C"/>
    <w:rsid w:val="00F4779A"/>
    <w:rsid w:val="00F64D94"/>
    <w:rsid w:val="00F70562"/>
    <w:rsid w:val="00F744B5"/>
    <w:rsid w:val="00F74986"/>
    <w:rsid w:val="00F845F5"/>
    <w:rsid w:val="00F84788"/>
    <w:rsid w:val="00F865EA"/>
    <w:rsid w:val="00F90AF4"/>
    <w:rsid w:val="00F92C7B"/>
    <w:rsid w:val="00FA21BD"/>
    <w:rsid w:val="00FB237A"/>
    <w:rsid w:val="00FB46C7"/>
    <w:rsid w:val="00FC2B5F"/>
    <w:rsid w:val="00FC3C13"/>
    <w:rsid w:val="00FD0009"/>
    <w:rsid w:val="00FD51B5"/>
    <w:rsid w:val="00FD5E51"/>
    <w:rsid w:val="00FF402A"/>
    <w:rsid w:val="00FF690A"/>
    <w:rsid w:val="0CC447C3"/>
    <w:rsid w:val="26775143"/>
    <w:rsid w:val="46936A80"/>
    <w:rsid w:val="7CAB7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5"/>
    <o:shapelayout v:ext="edit">
      <o:idmap v:ext="edit" data="1"/>
    </o:shapelayout>
  </w:shapeDefaults>
  <w:decimalSymbol w:val="."/>
  <w:listSeparator w:val=","/>
  <w15:docId w15:val="{8D469121-9CD3-4DFE-BB94-A4938FE95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Strong" w:qFormat="1"/>
    <w:lsdException w:name="Emphasis" w:qFormat="1"/>
    <w:lsdException w:name="Plain Text" w:uiPriority="99"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qFormat/>
    <w:rPr>
      <w:rFonts w:ascii="宋体" w:hAnsi="Courier New" w:cs="Courier New"/>
      <w:szCs w:val="21"/>
    </w:rPr>
  </w:style>
  <w:style w:type="paragraph" w:styleId="a4">
    <w:name w:val="Balloon Text"/>
    <w:basedOn w:val="a"/>
    <w:link w:val="Char0"/>
    <w:qFormat/>
    <w:rPr>
      <w:sz w:val="18"/>
      <w:szCs w:val="18"/>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link w:val="Char1"/>
    <w:qFormat/>
    <w:pPr>
      <w:pBdr>
        <w:bottom w:val="single" w:sz="6" w:space="1" w:color="auto"/>
      </w:pBdr>
      <w:tabs>
        <w:tab w:val="center" w:pos="4153"/>
        <w:tab w:val="right" w:pos="8306"/>
      </w:tabs>
      <w:snapToGrid w:val="0"/>
      <w:jc w:val="center"/>
    </w:pPr>
    <w:rPr>
      <w:sz w:val="18"/>
      <w:szCs w:val="18"/>
    </w:rPr>
  </w:style>
  <w:style w:type="character" w:styleId="a7">
    <w:name w:val="page number"/>
    <w:basedOn w:val="a0"/>
    <w:qFormat/>
  </w:style>
  <w:style w:type="paragraph" w:customStyle="1" w:styleId="ParaCharCharCharCharCharCharChar">
    <w:name w:val="默认段落字体 Para Char Char Char Char Char Char Char"/>
    <w:basedOn w:val="a"/>
  </w:style>
  <w:style w:type="character" w:customStyle="1" w:styleId="Char1">
    <w:name w:val="页眉 Char"/>
    <w:basedOn w:val="a0"/>
    <w:link w:val="a6"/>
    <w:qFormat/>
    <w:rPr>
      <w:kern w:val="2"/>
      <w:sz w:val="18"/>
      <w:szCs w:val="18"/>
    </w:rPr>
  </w:style>
  <w:style w:type="character" w:customStyle="1" w:styleId="Char0">
    <w:name w:val="批注框文本 Char"/>
    <w:basedOn w:val="a0"/>
    <w:link w:val="a4"/>
    <w:qFormat/>
    <w:rPr>
      <w:kern w:val="2"/>
      <w:sz w:val="18"/>
      <w:szCs w:val="18"/>
    </w:rPr>
  </w:style>
  <w:style w:type="character" w:customStyle="1" w:styleId="Char">
    <w:name w:val="纯文本 Char"/>
    <w:basedOn w:val="a0"/>
    <w:link w:val="a3"/>
    <w:uiPriority w:val="99"/>
    <w:qFormat/>
    <w:rPr>
      <w:rFonts w:ascii="宋体"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textRotate="1"/>
    <customShpInfo spid="_x0000_s4098"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B8084F-2D6B-441D-B6EB-B79F8ACD3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459</Words>
  <Characters>2617</Characters>
  <Application>Microsoft Office Word</Application>
  <DocSecurity>0</DocSecurity>
  <Lines>21</Lines>
  <Paragraphs>6</Paragraphs>
  <ScaleCrop>false</ScaleCrop>
  <Company>Lenovo (Beijing) Limited</Company>
  <LinksUpToDate>false</LinksUpToDate>
  <CharactersWithSpaces>3070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dc:creator>Lenovo User</dc:creator>
  <cp:lastModifiedBy>梁姝</cp:lastModifiedBy>
  <cp:revision>15</cp:revision>
  <cp:lastPrinted>2014-04-03T09:04:00Z</cp:lastPrinted>
  <dcterms:created xsi:type="dcterms:W3CDTF">2021-07-05T10:58:00Z</dcterms:created>
  <dcterms:modified xsi:type="dcterms:W3CDTF">2021-11-11T06:33:00Z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B18F8828109546669DBCC3ADA068AB0E</vt:lpwstr>
  </property>
</Properties>
</file>