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最高人民法院《关于审理民事级别管辖异议案件若干问题的规定》已于2009年7月20日由最高人民法院审判委员会第1471次会议通过，现予公布，自2010年1月1日起施行。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2009年11</w:t>
      </w:r>
      <w:bookmarkStart w:id="0" w:name="_GoBack"/>
      <w:bookmarkEnd w:id="0"/>
      <w:r>
        <w:rPr>
          <w:rFonts w:hint="eastAsia"/>
        </w:rPr>
        <w:t>月12日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关于审理民事级别管辖异议案件</w:t>
      </w:r>
    </w:p>
    <w:p>
      <w:pPr>
        <w:pStyle w:val="7"/>
        <w:rPr>
          <w:rFonts w:hint="eastAsia"/>
        </w:rPr>
      </w:pPr>
      <w:r>
        <w:rPr>
          <w:rFonts w:hint="eastAsia"/>
        </w:rPr>
        <w:t>若干问题的规定</w:t>
      </w:r>
    </w:p>
    <w:p>
      <w:pPr>
        <w:pStyle w:val="12"/>
        <w:rPr>
          <w:rFonts w:hint="eastAsia" w:ascii="宋体" w:hAnsi="宋体" w:eastAsia="宋体" w:cs="宋体"/>
        </w:rPr>
      </w:pPr>
    </w:p>
    <w:p>
      <w:pPr>
        <w:pStyle w:val="19"/>
        <w:rPr>
          <w:rFonts w:hint="eastAsia"/>
        </w:rPr>
      </w:pPr>
      <w:r>
        <w:t>法释〔2009〕17号</w:t>
      </w:r>
    </w:p>
    <w:p>
      <w:pPr>
        <w:pStyle w:val="12"/>
        <w:rPr>
          <w:rFonts w:hint="eastAsia" w:ascii="宋体" w:hAnsi="宋体" w:eastAsia="宋体" w:cs="宋体"/>
        </w:rPr>
      </w:pPr>
    </w:p>
    <w:p>
      <w:pPr>
        <w:pStyle w:val="17"/>
        <w:rPr>
          <w:rFonts w:hint="eastAsia"/>
          <w:lang w:eastAsia="zh-CN"/>
        </w:rPr>
      </w:pPr>
      <w:r>
        <w:rPr>
          <w:rFonts w:hint="eastAsia"/>
          <w:lang w:eastAsia="zh-CN"/>
        </w:rPr>
        <w:t>（</w:t>
      </w:r>
      <w:r>
        <w:t>2009年7月20日最高人民法院审判委员会第1471次会议通过　2009年11月12日最高人民法院公告公布　自2010年1月1日起施行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为正确审理民事级别管辖异议案件</w:t>
      </w:r>
      <w:r>
        <w:rPr>
          <w:rFonts w:hint="eastAsia"/>
        </w:rPr>
        <w:t>，</w:t>
      </w:r>
      <w:r>
        <w:t>依法维护诉讼秩序和当事人的合法权益</w:t>
      </w:r>
      <w:r>
        <w:rPr>
          <w:rFonts w:hint="eastAsia"/>
        </w:rPr>
        <w:t>，</w:t>
      </w:r>
      <w:r>
        <w:t>根据《中华人民共和国民事诉讼法》的规定</w:t>
      </w:r>
      <w:r>
        <w:rPr>
          <w:rFonts w:hint="eastAsia"/>
        </w:rPr>
        <w:t>，</w:t>
      </w:r>
      <w:r>
        <w:t>结合审判实践</w:t>
      </w:r>
      <w:r>
        <w:rPr>
          <w:rFonts w:hint="eastAsia"/>
        </w:rPr>
        <w:t>，</w:t>
      </w:r>
      <w:r>
        <w:t>制定本规定。</w:t>
      </w:r>
    </w:p>
    <w:p>
      <w:pPr>
        <w:pStyle w:val="12"/>
        <w:rPr>
          <w:rFonts w:hint="eastAsia"/>
        </w:rPr>
      </w:pPr>
      <w:r>
        <w:rPr>
          <w:rStyle w:val="25"/>
        </w:rPr>
        <w:t>第一条</w:t>
      </w:r>
      <w:r>
        <w:t>　被告在提交答辩状期间提出管辖权异议</w:t>
      </w:r>
      <w:r>
        <w:rPr>
          <w:rFonts w:hint="eastAsia"/>
        </w:rPr>
        <w:t>，认为受诉人民法院违反级别管辖规定，案件应当由上级人民法院或者下级人民法院管辖的，受诉人民法院应当审查，并在受理异议之日起十五日内作出裁定：</w:t>
      </w:r>
    </w:p>
    <w:p>
      <w:pPr>
        <w:pStyle w:val="12"/>
        <w:rPr>
          <w:rFonts w:hint="eastAsia"/>
        </w:rPr>
      </w:pPr>
      <w:r>
        <w:rPr>
          <w:rFonts w:hint="eastAsia"/>
          <w:lang w:eastAsia="zh-CN"/>
        </w:rPr>
        <w:t>（</w:t>
      </w:r>
      <w:r>
        <w:t>一</w:t>
      </w:r>
      <w:r>
        <w:rPr>
          <w:rFonts w:hint="eastAsia"/>
          <w:lang w:eastAsia="zh-CN"/>
        </w:rPr>
        <w:t>）</w:t>
      </w:r>
      <w:r>
        <w:t>异议不成立的</w:t>
      </w:r>
      <w:r>
        <w:rPr>
          <w:rFonts w:hint="eastAsia"/>
        </w:rPr>
        <w:t>，</w:t>
      </w:r>
      <w:r>
        <w:t>裁定驳回；</w:t>
      </w:r>
    </w:p>
    <w:p>
      <w:pPr>
        <w:pStyle w:val="12"/>
        <w:rPr>
          <w:rStyle w:val="25"/>
          <w:rFonts w:hint="eastAsia"/>
        </w:rPr>
      </w:pPr>
      <w:r>
        <w:rPr>
          <w:rFonts w:hint="eastAsia"/>
          <w:lang w:eastAsia="zh-CN"/>
        </w:rPr>
        <w:t>（</w:t>
      </w:r>
      <w:r>
        <w:t>二</w:t>
      </w:r>
      <w:r>
        <w:rPr>
          <w:rFonts w:hint="eastAsia"/>
          <w:lang w:eastAsia="zh-CN"/>
        </w:rPr>
        <w:t>）</w:t>
      </w:r>
      <w:r>
        <w:t>异议成立的</w:t>
      </w:r>
      <w:r>
        <w:rPr>
          <w:rFonts w:hint="eastAsia"/>
        </w:rPr>
        <w:t>，</w:t>
      </w:r>
      <w:r>
        <w:t>裁定移送有管辖权的人民法院。</w:t>
      </w:r>
    </w:p>
    <w:p>
      <w:pPr>
        <w:pStyle w:val="12"/>
        <w:rPr>
          <w:rStyle w:val="25"/>
          <w:rFonts w:hint="eastAsia"/>
        </w:rPr>
      </w:pPr>
      <w:r>
        <w:rPr>
          <w:rStyle w:val="25"/>
        </w:rPr>
        <w:t>第二条</w:t>
      </w:r>
      <w:r>
        <w:t>　在管辖权异议裁定作出前</w:t>
      </w:r>
      <w:r>
        <w:rPr>
          <w:rFonts w:hint="eastAsia"/>
        </w:rPr>
        <w:t>，</w:t>
      </w:r>
      <w:r>
        <w:t>原告申请撤回起诉</w:t>
      </w:r>
      <w:r>
        <w:rPr>
          <w:rFonts w:hint="eastAsia"/>
        </w:rPr>
        <w:t>，</w:t>
      </w:r>
      <w:r>
        <w:t>受诉人民法院作出准予撤回起诉裁定的</w:t>
      </w:r>
      <w:r>
        <w:rPr>
          <w:rFonts w:hint="eastAsia"/>
        </w:rPr>
        <w:t>，</w:t>
      </w:r>
      <w:r>
        <w:t>对管辖权异议不再审查</w:t>
      </w:r>
      <w:r>
        <w:rPr>
          <w:rFonts w:hint="eastAsia"/>
        </w:rPr>
        <w:t>，</w:t>
      </w:r>
      <w:r>
        <w:t>并在裁定书中一并写明。</w:t>
      </w:r>
    </w:p>
    <w:p>
      <w:pPr>
        <w:pStyle w:val="12"/>
        <w:rPr>
          <w:rStyle w:val="25"/>
          <w:rFonts w:hint="eastAsia"/>
        </w:rPr>
      </w:pPr>
      <w:r>
        <w:rPr>
          <w:rStyle w:val="25"/>
        </w:rPr>
        <w:t>第三条</w:t>
      </w:r>
      <w:r>
        <w:t>　提交答辩状期间届满后</w:t>
      </w:r>
      <w:r>
        <w:rPr>
          <w:rFonts w:hint="eastAsia"/>
        </w:rPr>
        <w:t>，</w:t>
      </w:r>
      <w:r>
        <w:t>原告增加诉讼请求金额致使案件标的额超过受诉人民法院级别管辖标准</w:t>
      </w:r>
      <w:r>
        <w:rPr>
          <w:rFonts w:hint="eastAsia"/>
        </w:rPr>
        <w:t>，</w:t>
      </w:r>
      <w:r>
        <w:t>被告</w:t>
      </w:r>
      <w:r>
        <w:rPr>
          <w:rFonts w:hint="eastAsia"/>
        </w:rPr>
        <w:t>提出管辖权异议，请求由上级人民法院管辖的，人民法院应当按照本规定第一条审查并作出裁定。</w:t>
      </w:r>
    </w:p>
    <w:p>
      <w:pPr>
        <w:pStyle w:val="12"/>
        <w:rPr>
          <w:rStyle w:val="25"/>
          <w:rFonts w:hint="eastAsia"/>
        </w:rPr>
      </w:pPr>
      <w:r>
        <w:rPr>
          <w:rStyle w:val="25"/>
        </w:rPr>
        <w:t>第四条</w:t>
      </w:r>
      <w:r>
        <w:t>　上级人民法院根据民事诉讼法第三十九条第一款的规定</w:t>
      </w:r>
      <w:r>
        <w:rPr>
          <w:rFonts w:hint="eastAsia"/>
        </w:rPr>
        <w:t>，</w:t>
      </w:r>
      <w:r>
        <w:t>将其管辖的第一审民事案件交由下级人民法院审理的</w:t>
      </w:r>
      <w:r>
        <w:rPr>
          <w:rFonts w:hint="eastAsia"/>
        </w:rPr>
        <w:t>，</w:t>
      </w:r>
      <w:r>
        <w:t>应当作出裁定。当事人对裁定不服提起上诉的</w:t>
      </w:r>
      <w:r>
        <w:rPr>
          <w:rFonts w:hint="eastAsia"/>
        </w:rPr>
        <w:t>，</w:t>
      </w:r>
      <w:r>
        <w:t>第二审人民法院应当依法审理并作出裁定。</w:t>
      </w:r>
    </w:p>
    <w:p>
      <w:pPr>
        <w:pStyle w:val="12"/>
        <w:rPr>
          <w:rStyle w:val="25"/>
          <w:rFonts w:hint="eastAsia"/>
        </w:rPr>
      </w:pPr>
      <w:r>
        <w:rPr>
          <w:rStyle w:val="25"/>
        </w:rPr>
        <w:t>第五条</w:t>
      </w:r>
      <w:r>
        <w:t>　对于应由上级人民法院管辖的第一审民事案件</w:t>
      </w:r>
      <w:r>
        <w:rPr>
          <w:rFonts w:hint="eastAsia"/>
        </w:rPr>
        <w:t>，</w:t>
      </w:r>
      <w:r>
        <w:t>下级人民法院不得报请上级人民法院交其审理。</w:t>
      </w:r>
    </w:p>
    <w:p>
      <w:pPr>
        <w:pStyle w:val="12"/>
        <w:rPr>
          <w:rStyle w:val="25"/>
          <w:rFonts w:hint="eastAsia"/>
        </w:rPr>
      </w:pPr>
      <w:r>
        <w:rPr>
          <w:rStyle w:val="25"/>
        </w:rPr>
        <w:t>第六条</w:t>
      </w:r>
      <w:r>
        <w:t>　被告以受诉人民法院同时违反级别管辖和地域管辖规定</w:t>
      </w:r>
      <w:r>
        <w:rPr>
          <w:rFonts w:hint="eastAsia"/>
        </w:rPr>
        <w:t>为由提出管辖权异议的，受诉人民法院应当一并作出裁定。</w:t>
      </w:r>
    </w:p>
    <w:p>
      <w:pPr>
        <w:pStyle w:val="12"/>
        <w:rPr>
          <w:rStyle w:val="25"/>
          <w:rFonts w:hint="eastAsia"/>
        </w:rPr>
      </w:pPr>
      <w:r>
        <w:rPr>
          <w:rStyle w:val="25"/>
        </w:rPr>
        <w:t>第七条</w:t>
      </w:r>
      <w:r>
        <w:t>　当事人未依法提出管辖权异议</w:t>
      </w:r>
      <w:r>
        <w:rPr>
          <w:rFonts w:hint="eastAsia"/>
        </w:rPr>
        <w:t>，</w:t>
      </w:r>
      <w:r>
        <w:t>但受诉人民法院发现其没有级别管辖权的</w:t>
      </w:r>
      <w:r>
        <w:rPr>
          <w:rFonts w:hint="eastAsia"/>
        </w:rPr>
        <w:t>，</w:t>
      </w:r>
      <w:r>
        <w:t>应当将案件移送有管辖权的人民法院审理。</w:t>
      </w:r>
    </w:p>
    <w:p>
      <w:pPr>
        <w:pStyle w:val="12"/>
        <w:rPr>
          <w:rStyle w:val="25"/>
          <w:rFonts w:hint="eastAsia"/>
        </w:rPr>
      </w:pPr>
      <w:r>
        <w:rPr>
          <w:rStyle w:val="25"/>
        </w:rPr>
        <w:t>第八条</w:t>
      </w:r>
      <w:r>
        <w:t>　对人民法院就级别管辖异议作出的裁定</w:t>
      </w:r>
      <w:r>
        <w:rPr>
          <w:rFonts w:hint="eastAsia"/>
        </w:rPr>
        <w:t>，</w:t>
      </w:r>
      <w:r>
        <w:t>当事人不服提起上诉的</w:t>
      </w:r>
      <w:r>
        <w:rPr>
          <w:rFonts w:hint="eastAsia"/>
        </w:rPr>
        <w:t>，</w:t>
      </w:r>
      <w:r>
        <w:t>第二审人民法院应当依法审理并作出裁定。</w:t>
      </w:r>
    </w:p>
    <w:p>
      <w:pPr>
        <w:pStyle w:val="12"/>
        <w:rPr>
          <w:rStyle w:val="25"/>
          <w:rFonts w:hint="eastAsia"/>
        </w:rPr>
      </w:pPr>
      <w:r>
        <w:rPr>
          <w:rStyle w:val="25"/>
        </w:rPr>
        <w:t>第九条</w:t>
      </w:r>
      <w:r>
        <w:t>　对于将案件移送上级人民法院管辖的裁定</w:t>
      </w:r>
      <w:r>
        <w:rPr>
          <w:rFonts w:hint="eastAsia"/>
        </w:rPr>
        <w:t>，</w:t>
      </w:r>
      <w:r>
        <w:t>当事人未提出上诉</w:t>
      </w:r>
      <w:r>
        <w:rPr>
          <w:rFonts w:hint="eastAsia"/>
        </w:rPr>
        <w:t>，</w:t>
      </w:r>
      <w:r>
        <w:t>但受移送的上级人民法院认为确有错误的</w:t>
      </w:r>
      <w:r>
        <w:rPr>
          <w:rFonts w:hint="eastAsia"/>
        </w:rPr>
        <w:t>，</w:t>
      </w:r>
      <w:r>
        <w:t>可以依职权裁定撤销。</w:t>
      </w:r>
    </w:p>
    <w:p>
      <w:pPr>
        <w:pStyle w:val="12"/>
        <w:rPr>
          <w:rStyle w:val="25"/>
          <w:rFonts w:hint="eastAsia"/>
        </w:rPr>
      </w:pPr>
      <w:r>
        <w:rPr>
          <w:rStyle w:val="25"/>
        </w:rPr>
        <w:t>第十条</w:t>
      </w:r>
      <w:r>
        <w:t>　经最高人民法院批准的第一审民事案件级别管辖标准的规定</w:t>
      </w:r>
      <w:r>
        <w:rPr>
          <w:rFonts w:hint="eastAsia"/>
        </w:rPr>
        <w:t>，</w:t>
      </w:r>
      <w:r>
        <w:t>应当作为审理民事级别管辖异议案件的依据。</w:t>
      </w:r>
    </w:p>
    <w:p>
      <w:pPr>
        <w:pStyle w:val="12"/>
        <w:rPr>
          <w:rFonts w:hint="eastAsia"/>
        </w:rPr>
      </w:pPr>
      <w:r>
        <w:rPr>
          <w:rStyle w:val="25"/>
        </w:rPr>
        <w:t>第十一条</w:t>
      </w:r>
      <w:r>
        <w:t>　本规定施行前颁布的有关司法解释与本规定不一致的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A3504"/>
    <w:rsid w:val="00323D76"/>
    <w:rsid w:val="02380A4E"/>
    <w:rsid w:val="02C54CFB"/>
    <w:rsid w:val="042F174E"/>
    <w:rsid w:val="0751543E"/>
    <w:rsid w:val="0BE369DE"/>
    <w:rsid w:val="0F9D48A9"/>
    <w:rsid w:val="0FC66F39"/>
    <w:rsid w:val="135B4974"/>
    <w:rsid w:val="19EF53F7"/>
    <w:rsid w:val="1C547AC8"/>
    <w:rsid w:val="20194FCD"/>
    <w:rsid w:val="211007F7"/>
    <w:rsid w:val="224D5C1E"/>
    <w:rsid w:val="26FA3504"/>
    <w:rsid w:val="28B53323"/>
    <w:rsid w:val="2A483D38"/>
    <w:rsid w:val="2A844039"/>
    <w:rsid w:val="2CFE6EE4"/>
    <w:rsid w:val="2D725F92"/>
    <w:rsid w:val="302E782D"/>
    <w:rsid w:val="30575763"/>
    <w:rsid w:val="325C564C"/>
    <w:rsid w:val="36AE6775"/>
    <w:rsid w:val="38787F7C"/>
    <w:rsid w:val="39191BFA"/>
    <w:rsid w:val="3AD216D4"/>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2017-11-01T01:42:00Z</dcterms:created>
  <dc:creator>Administrator</dc:creator>
  <cp:lastModifiedBy>Administrator</cp:lastModifiedBy>
  <dcterms:modified xsi:type="dcterms:W3CDTF">2017-11-09T13:15:21Z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