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《最高人民法院关于审理注册商标、企业名称与在先权利冲突的民事纠纷案件若干问题的规定》已</w:t>
      </w:r>
      <w:r>
        <w:rPr>
          <w:rFonts w:hint="eastAsia"/>
          <w:lang w:eastAsia="zh-CN"/>
        </w:rPr>
        <w:t>于</w:t>
      </w:r>
      <w:r>
        <w:rPr>
          <w:rFonts w:hint="eastAsia"/>
        </w:rPr>
        <w:t>2008</w:t>
      </w:r>
      <w:r>
        <w:rPr>
          <w:rFonts w:hint="eastAsia"/>
          <w:lang w:eastAsia="zh-CN"/>
        </w:rPr>
        <w:t>年</w:t>
      </w:r>
      <w:r>
        <w:rPr>
          <w:rFonts w:hint="eastAsia"/>
        </w:rPr>
        <w:t>2</w:t>
      </w:r>
      <w:r>
        <w:rPr>
          <w:rFonts w:hint="eastAsia"/>
          <w:lang w:eastAsia="zh-CN"/>
        </w:rPr>
        <w:t>月</w:t>
      </w:r>
      <w:r>
        <w:rPr>
          <w:rFonts w:hint="eastAsia"/>
        </w:rPr>
        <w:t>18日由最高人民法院审判委员会</w:t>
      </w:r>
      <w:r>
        <w:rPr>
          <w:rFonts w:hint="eastAsia"/>
          <w:lang w:eastAsia="zh-CN"/>
        </w:rPr>
        <w:t>第</w:t>
      </w:r>
      <w:r>
        <w:rPr>
          <w:rFonts w:hint="eastAsia"/>
        </w:rPr>
        <w:t>1444次会议通过。现予公布，自2008</w:t>
      </w:r>
      <w:r>
        <w:rPr>
          <w:rFonts w:hint="eastAsia"/>
          <w:lang w:eastAsia="zh-CN"/>
        </w:rPr>
        <w:t>年</w:t>
      </w:r>
      <w:r>
        <w:rPr>
          <w:rFonts w:hint="eastAsia"/>
        </w:rPr>
        <w:t>3</w:t>
      </w:r>
      <w:r>
        <w:rPr>
          <w:rFonts w:hint="eastAsia"/>
          <w:lang w:eastAsia="zh-CN"/>
        </w:rPr>
        <w:t>月</w:t>
      </w:r>
      <w:r>
        <w:rPr>
          <w:rFonts w:hint="eastAsia"/>
        </w:rPr>
        <w:t>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2008</w:t>
      </w:r>
      <w:r>
        <w:rPr>
          <w:rFonts w:hint="eastAsia"/>
          <w:lang w:eastAsia="zh-CN"/>
        </w:rPr>
        <w:t>年</w:t>
      </w:r>
      <w:r>
        <w:rPr>
          <w:rFonts w:hint="eastAsia"/>
        </w:rPr>
        <w:t>2</w:t>
      </w:r>
      <w:r>
        <w:rPr>
          <w:rFonts w:hint="eastAsia"/>
          <w:lang w:eastAsia="zh-CN"/>
        </w:rPr>
        <w:t>月</w:t>
      </w:r>
      <w:r>
        <w:rPr>
          <w:rFonts w:hint="eastAsia"/>
        </w:rPr>
        <w:t>18日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关于审理注册商标、企业名称与</w:t>
      </w:r>
      <w:r>
        <w:rPr>
          <w:rFonts w:hint="eastAsia"/>
        </w:rPr>
        <w:t>在先权利</w:t>
      </w:r>
    </w:p>
    <w:p>
      <w:pPr>
        <w:pStyle w:val="7"/>
        <w:rPr>
          <w:rFonts w:hint="eastAsia"/>
        </w:rPr>
      </w:pPr>
      <w:r>
        <w:rPr>
          <w:rFonts w:hint="eastAsia"/>
        </w:rPr>
        <w:t>冲突的民事纠纷案件若干问题的规定</w:t>
      </w:r>
    </w:p>
    <w:p>
      <w:pPr>
        <w:pStyle w:val="12"/>
        <w:rPr>
          <w:rFonts w:hint="eastAsia" w:ascii="宋体" w:hAnsi="宋体" w:eastAsia="宋体" w:cs="宋体"/>
        </w:rPr>
      </w:pPr>
    </w:p>
    <w:p>
      <w:pPr>
        <w:pStyle w:val="19"/>
        <w:rPr>
          <w:rFonts w:hint="eastAsia"/>
        </w:rPr>
      </w:pPr>
      <w:r>
        <w:t>法释〔2008〕3号</w:t>
      </w:r>
    </w:p>
    <w:p>
      <w:pPr>
        <w:pStyle w:val="12"/>
        <w:rPr>
          <w:rFonts w:hint="eastAsia" w:ascii="宋体" w:hAnsi="宋体" w:eastAsia="宋体" w:cs="宋体"/>
        </w:rPr>
      </w:pPr>
    </w:p>
    <w:p>
      <w:pPr>
        <w:pStyle w:val="17"/>
        <w:rPr>
          <w:rFonts w:hint="eastAsia"/>
          <w:lang w:eastAsia="zh-CN"/>
        </w:rPr>
      </w:pPr>
      <w:r>
        <w:rPr>
          <w:rFonts w:hint="eastAsia"/>
          <w:lang w:eastAsia="zh-CN"/>
        </w:rPr>
        <w:t>（</w:t>
      </w:r>
      <w:r>
        <w:t>2008年2月18日最高人民法院审判委员会第1444次会议通过</w:t>
      </w:r>
      <w:r>
        <w:rPr>
          <w:rFonts w:hint="eastAsia"/>
          <w:lang w:eastAsia="zh-CN"/>
        </w:rPr>
        <w:t>　</w:t>
      </w:r>
      <w:r>
        <w:rPr>
          <w:rFonts w:hint="eastAsia"/>
        </w:rPr>
        <w:t>2008</w:t>
      </w:r>
      <w:r>
        <w:t>年2月18日最高人民法院公告公布　自2008年3月1日起施行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为正确审理注册商标、企业名称与在先权利冲突的民事纠纷案件</w:t>
      </w:r>
      <w:r>
        <w:rPr>
          <w:rFonts w:hint="eastAsia"/>
        </w:rPr>
        <w:t>，</w:t>
      </w:r>
      <w:r>
        <w:t>根据《中华人民共和国民事诉讼法》、《中华人民共和国民法通则》、《中华人民共和国商标法》和《中华人民共和国反不正当竞争法》等法律的规定</w:t>
      </w:r>
      <w:r>
        <w:rPr>
          <w:rFonts w:hint="eastAsia"/>
        </w:rPr>
        <w:t>，结合审判实践，制定本规定。</w:t>
      </w:r>
    </w:p>
    <w:p>
      <w:pPr>
        <w:pStyle w:val="12"/>
        <w:rPr>
          <w:rFonts w:hint="eastAsia"/>
        </w:rPr>
      </w:pPr>
      <w:r>
        <w:rPr>
          <w:rStyle w:val="25"/>
        </w:rPr>
        <w:t>第一条</w:t>
      </w:r>
      <w:r>
        <w:t>　原告以他人注册商标使用的文字、图形等侵犯其著作权、外观设计专利权、企业名称权等在先权利为由提起诉讼</w:t>
      </w:r>
      <w:r>
        <w:rPr>
          <w:rFonts w:hint="eastAsia"/>
        </w:rPr>
        <w:t>，</w:t>
      </w:r>
      <w:r>
        <w:t>符合民事诉讼法第一百零八条规定的</w:t>
      </w:r>
      <w:r>
        <w:rPr>
          <w:rFonts w:hint="eastAsia"/>
        </w:rPr>
        <w:t>，</w:t>
      </w:r>
      <w:r>
        <w:t>人民法院应当受理。</w:t>
      </w:r>
    </w:p>
    <w:p>
      <w:pPr>
        <w:pStyle w:val="12"/>
        <w:rPr>
          <w:rStyle w:val="25"/>
          <w:rFonts w:hint="eastAsia"/>
        </w:rPr>
      </w:pPr>
      <w:r>
        <w:t>原告以他人使用在核定商品上的注册商标与其在先的注册商标相同或者近似为由提起诉讼的</w:t>
      </w:r>
      <w:r>
        <w:rPr>
          <w:rFonts w:hint="eastAsia"/>
        </w:rPr>
        <w:t>，</w:t>
      </w:r>
      <w:r>
        <w:t>人民法院应当根据民事诉讼法第一百一十一条第</w:t>
      </w:r>
      <w:r>
        <w:rPr>
          <w:rFonts w:hint="eastAsia"/>
          <w:lang w:eastAsia="zh-CN"/>
        </w:rPr>
        <w:t>（</w:t>
      </w:r>
      <w:r>
        <w:t>三</w:t>
      </w:r>
      <w:r>
        <w:rPr>
          <w:rFonts w:hint="eastAsia"/>
          <w:lang w:eastAsia="zh-CN"/>
        </w:rPr>
        <w:t>）</w:t>
      </w:r>
      <w:r>
        <w:t>项的规定</w:t>
      </w:r>
      <w:r>
        <w:rPr>
          <w:rFonts w:hint="eastAsia"/>
        </w:rPr>
        <w:t>，</w:t>
      </w:r>
      <w:r>
        <w:t>告知原告向有关行政主管机关申请解决。但原告以他人超出核定商品的范围或者以改变显著特征、拆分、组合等方式使用的注册商标</w:t>
      </w:r>
      <w:r>
        <w:rPr>
          <w:rFonts w:hint="eastAsia"/>
        </w:rPr>
        <w:t>，</w:t>
      </w:r>
      <w:r>
        <w:t>与其注册商标相同或者近似为由</w:t>
      </w:r>
      <w:r>
        <w:rPr>
          <w:rFonts w:hint="eastAsia"/>
        </w:rPr>
        <w:t>提起诉讼的，人民法院应当受理。</w:t>
      </w:r>
    </w:p>
    <w:p>
      <w:pPr>
        <w:pStyle w:val="12"/>
        <w:rPr>
          <w:rStyle w:val="25"/>
          <w:rFonts w:hint="eastAsia"/>
        </w:rPr>
      </w:pPr>
      <w:r>
        <w:rPr>
          <w:rStyle w:val="25"/>
        </w:rPr>
        <w:t>第二条</w:t>
      </w:r>
      <w:r>
        <w:t>　原告以他人企业名称与其在先的企业名称相同或者近似</w:t>
      </w:r>
      <w:r>
        <w:rPr>
          <w:rFonts w:hint="eastAsia"/>
        </w:rPr>
        <w:t>，</w:t>
      </w:r>
      <w:r>
        <w:t>足以使相关公众对其商品的来源产生混淆</w:t>
      </w:r>
      <w:r>
        <w:rPr>
          <w:rFonts w:hint="eastAsia"/>
        </w:rPr>
        <w:t>，</w:t>
      </w:r>
      <w:r>
        <w:t>违反反不正当竞争法第五条第</w:t>
      </w:r>
      <w:r>
        <w:rPr>
          <w:rFonts w:hint="eastAsia"/>
          <w:lang w:eastAsia="zh-CN"/>
        </w:rPr>
        <w:t>（</w:t>
      </w:r>
      <w:r>
        <w:t>三</w:t>
      </w:r>
      <w:r>
        <w:rPr>
          <w:rFonts w:hint="eastAsia"/>
          <w:lang w:eastAsia="zh-CN"/>
        </w:rPr>
        <w:t>）</w:t>
      </w:r>
      <w:r>
        <w:t>项的规定为由提起诉讼</w:t>
      </w:r>
      <w:r>
        <w:rPr>
          <w:rFonts w:hint="eastAsia"/>
        </w:rPr>
        <w:t>，</w:t>
      </w:r>
      <w:r>
        <w:t>符合民事诉讼法第一百零八条规定的</w:t>
      </w:r>
      <w:r>
        <w:rPr>
          <w:rFonts w:hint="eastAsia"/>
        </w:rPr>
        <w:t>，</w:t>
      </w:r>
      <w:r>
        <w:t>人民法院应当受理。</w:t>
      </w:r>
    </w:p>
    <w:p>
      <w:pPr>
        <w:pStyle w:val="12"/>
        <w:rPr>
          <w:rStyle w:val="25"/>
          <w:rFonts w:hint="eastAsia"/>
        </w:rPr>
      </w:pPr>
      <w:r>
        <w:rPr>
          <w:rStyle w:val="25"/>
        </w:rPr>
        <w:t>第三条</w:t>
      </w:r>
      <w:r>
        <w:t>　人民法院应当根据原告的诉讼请求和争议民事法律关系的性质</w:t>
      </w:r>
      <w:r>
        <w:rPr>
          <w:rFonts w:hint="eastAsia"/>
        </w:rPr>
        <w:t>，</w:t>
      </w:r>
      <w:r>
        <w:t>按照《民事案件案由规定</w:t>
      </w:r>
      <w:r>
        <w:rPr>
          <w:rFonts w:hint="eastAsia"/>
          <w:lang w:eastAsia="zh-CN"/>
        </w:rPr>
        <w:t>（</w:t>
      </w:r>
      <w:r>
        <w:t>试行</w:t>
      </w:r>
      <w:r>
        <w:rPr>
          <w:rFonts w:hint="eastAsia"/>
          <w:lang w:eastAsia="zh-CN"/>
        </w:rPr>
        <w:t>）</w:t>
      </w:r>
      <w:r>
        <w:t>》</w:t>
      </w:r>
      <w:r>
        <w:rPr>
          <w:rFonts w:hint="eastAsia"/>
        </w:rPr>
        <w:t>，</w:t>
      </w:r>
      <w:r>
        <w:t>确定注册商标或者企业名称与在先权利冲突的民事纠纷案件的案由</w:t>
      </w:r>
      <w:r>
        <w:rPr>
          <w:rFonts w:hint="eastAsia"/>
        </w:rPr>
        <w:t>，</w:t>
      </w:r>
      <w:r>
        <w:t>并适用相应的法律。</w:t>
      </w:r>
    </w:p>
    <w:p>
      <w:pPr>
        <w:pStyle w:val="12"/>
        <w:rPr>
          <w:rFonts w:hint="eastAsia"/>
        </w:rPr>
      </w:pPr>
      <w:r>
        <w:rPr>
          <w:rStyle w:val="25"/>
        </w:rPr>
        <w:t>第四条</w:t>
      </w:r>
      <w:r>
        <w:rPr>
          <w:rFonts w:hint="eastAsia"/>
        </w:rPr>
        <w:t>　被诉企业名称侵犯注册商标专用权或者构成不正当竞争的，人民法院可以根据原告的诉讼请求和案件具体情况，确定被告承担停止使用、规范使用等民事责任。</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4B4184"/>
    <w:rsid w:val="00323D76"/>
    <w:rsid w:val="02380A4E"/>
    <w:rsid w:val="02C54CFB"/>
    <w:rsid w:val="042F174E"/>
    <w:rsid w:val="0751543E"/>
    <w:rsid w:val="0BE369DE"/>
    <w:rsid w:val="0F9D48A9"/>
    <w:rsid w:val="0FC66F39"/>
    <w:rsid w:val="135B4974"/>
    <w:rsid w:val="19EF53F7"/>
    <w:rsid w:val="1C547AC8"/>
    <w:rsid w:val="20194FCD"/>
    <w:rsid w:val="211007F7"/>
    <w:rsid w:val="224D5C1E"/>
    <w:rsid w:val="254B4184"/>
    <w:rsid w:val="28B53323"/>
    <w:rsid w:val="2A483D38"/>
    <w:rsid w:val="2A844039"/>
    <w:rsid w:val="2CFE6EE4"/>
    <w:rsid w:val="2D725F92"/>
    <w:rsid w:val="302E782D"/>
    <w:rsid w:val="325C564C"/>
    <w:rsid w:val="36AE6775"/>
    <w:rsid w:val="38787F7C"/>
    <w:rsid w:val="39191BFA"/>
    <w:rsid w:val="3D717517"/>
    <w:rsid w:val="3FBC61B7"/>
    <w:rsid w:val="451F68AF"/>
    <w:rsid w:val="4AEF215E"/>
    <w:rsid w:val="4D772665"/>
    <w:rsid w:val="4DA15956"/>
    <w:rsid w:val="4E7D2A86"/>
    <w:rsid w:val="501B3EB2"/>
    <w:rsid w:val="5027117E"/>
    <w:rsid w:val="56C00D65"/>
    <w:rsid w:val="65586BE5"/>
    <w:rsid w:val="6D800228"/>
    <w:rsid w:val="6DAD6BF0"/>
    <w:rsid w:val="6E1B4105"/>
    <w:rsid w:val="6EB66F23"/>
    <w:rsid w:val="74870A87"/>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2017-10-31T12:44:00Z</dcterms:created>
  <dc:creator>Administrator</dc:creator>
  <cp:lastModifiedBy>Administrator</cp:lastModifiedBy>
  <dcterms:modified xsi:type="dcterms:W3CDTF">2017-11-15T16:49:30Z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