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ascii="仿宋_GB2312" w:hAnsi="宋体" w:eastAsia="仿宋_GB2312" w:cs="宋体"/>
          <w:sz w:val="32"/>
          <w:szCs w:val="32"/>
        </w:rPr>
      </w:pPr>
    </w:p>
    <w:p>
      <w:pPr>
        <w:pStyle w:val="2"/>
        <w:spacing w:line="560" w:lineRule="exact"/>
        <w:rPr>
          <w:rFonts w:ascii="仿宋_GB2312" w:hAnsi="宋体" w:eastAsia="仿宋_GB2312" w:cs="宋体"/>
          <w:sz w:val="32"/>
          <w:szCs w:val="32"/>
        </w:rPr>
      </w:pP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最高人民法院关于审理</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申请注册的药品相关的专利权纠纷</w:t>
      </w:r>
    </w:p>
    <w:p>
      <w:pPr>
        <w:pStyle w:val="2"/>
        <w:spacing w:line="560" w:lineRule="exact"/>
        <w:jc w:val="center"/>
        <w:rPr>
          <w:rFonts w:cs="宋体" w:asciiTheme="majorEastAsia" w:hAnsiTheme="majorEastAsia" w:eastAsiaTheme="majorEastAsia"/>
          <w:sz w:val="44"/>
          <w:szCs w:val="44"/>
        </w:rPr>
      </w:pPr>
      <w:r>
        <w:rPr>
          <w:rFonts w:hint="eastAsia" w:cs="宋体" w:asciiTheme="majorEastAsia" w:hAnsiTheme="majorEastAsia" w:eastAsiaTheme="majorEastAsia"/>
          <w:sz w:val="44"/>
          <w:szCs w:val="44"/>
        </w:rPr>
        <w:t>民事案件适用法律若干问题的规定</w:t>
      </w:r>
    </w:p>
    <w:p>
      <w:pPr>
        <w:pStyle w:val="2"/>
        <w:spacing w:line="560" w:lineRule="exact"/>
        <w:rPr>
          <w:rFonts w:ascii="仿宋_GB2312" w:hAnsi="宋体" w:eastAsia="仿宋_GB2312" w:cs="宋体"/>
          <w:sz w:val="32"/>
          <w:szCs w:val="32"/>
        </w:rPr>
      </w:pPr>
    </w:p>
    <w:p>
      <w:pPr>
        <w:pStyle w:val="2"/>
        <w:spacing w:line="560" w:lineRule="exact"/>
        <w:jc w:val="center"/>
        <w:rPr>
          <w:rFonts w:ascii="楷体_GB2312" w:hAnsi="宋体" w:eastAsia="楷体_GB2312" w:cs="宋体"/>
          <w:sz w:val="32"/>
          <w:szCs w:val="32"/>
        </w:rPr>
      </w:pPr>
      <w:r>
        <w:rPr>
          <w:rFonts w:hint="eastAsia" w:ascii="楷体_GB2312" w:hAnsi="宋体" w:eastAsia="楷体_GB2312" w:cs="宋体"/>
          <w:sz w:val="32"/>
          <w:szCs w:val="32"/>
        </w:rPr>
        <w:t>法释〔2021〕13号</w:t>
      </w:r>
    </w:p>
    <w:p>
      <w:pPr>
        <w:pStyle w:val="2"/>
        <w:spacing w:line="560" w:lineRule="exact"/>
        <w:rPr>
          <w:rFonts w:ascii="仿宋_GB2312" w:hAnsi="宋体" w:eastAsia="仿宋_GB2312" w:cs="宋体"/>
          <w:sz w:val="32"/>
          <w:szCs w:val="32"/>
        </w:rPr>
      </w:pPr>
      <w:bookmarkStart w:id="0" w:name="_GoBack"/>
      <w:bookmarkEnd w:id="0"/>
    </w:p>
    <w:p>
      <w:pPr>
        <w:pStyle w:val="2"/>
        <w:spacing w:line="560" w:lineRule="exact"/>
        <w:ind w:left="630" w:leftChars="300" w:right="630" w:rightChars="300"/>
        <w:rPr>
          <w:rFonts w:ascii="仿宋_GB2312" w:hAnsi="宋体" w:eastAsia="仿宋_GB2312" w:cs="宋体"/>
          <w:sz w:val="32"/>
          <w:szCs w:val="32"/>
        </w:rPr>
      </w:pPr>
      <w:r>
        <w:rPr>
          <w:rFonts w:hint="eastAsia" w:ascii="楷体_GB2312" w:hAnsi="宋体" w:eastAsia="楷体_GB2312" w:cs="宋体"/>
          <w:sz w:val="32"/>
          <w:szCs w:val="32"/>
        </w:rPr>
        <w:t>（2021年5月24日最高人民法院审判委员会第1839次会议通过，自2021年7月5日起施行）</w:t>
      </w:r>
    </w:p>
    <w:p>
      <w:pPr>
        <w:pStyle w:val="2"/>
        <w:spacing w:line="560" w:lineRule="exact"/>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为正确审理申请注册的药品相关的专利权纠纷民事案件，根据《中华人民共和国专利法》《中华人民共和国民事诉讼法》等有关法律规定，结合知识产权审判实际，制定本规定。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第一条</w:t>
      </w:r>
      <w:r>
        <w:rPr>
          <w:rFonts w:hint="eastAsia" w:ascii="黑体" w:hAnsi="宋体" w:eastAsia="黑体" w:cs="宋体"/>
          <w:sz w:val="32"/>
          <w:szCs w:val="32"/>
        </w:rPr>
        <w:t>　</w:t>
      </w:r>
      <w:r>
        <w:rPr>
          <w:rFonts w:hint="eastAsia" w:ascii="仿宋_GB2312" w:hAnsi="宋体" w:eastAsia="仿宋_GB2312" w:cs="宋体"/>
          <w:sz w:val="32"/>
          <w:szCs w:val="32"/>
        </w:rPr>
        <w:t>当事人依据专利法第七十六条规定提起的确认是否落入专利权保护范围纠纷的第一审案件，由北京知识产权法院管辖。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第二条　</w:t>
      </w:r>
      <w:r>
        <w:rPr>
          <w:rFonts w:hint="eastAsia" w:ascii="仿宋_GB2312" w:hAnsi="宋体" w:eastAsia="仿宋_GB2312" w:cs="宋体"/>
          <w:sz w:val="32"/>
          <w:szCs w:val="32"/>
        </w:rPr>
        <w:t>专利法第七十六条所称相关的专利，是指适用国务院有关行政部门关于药品上市许可审批与药品上市许可申请阶段专利权纠纷解决的具体衔接办法（以下简称衔接办法）的专利。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专利法第七十六条所称利害关系人，是指前款所称专利的被许可人、相关药品上市许可持有人。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第三条</w:t>
      </w:r>
      <w:r>
        <w:rPr>
          <w:rFonts w:hint="eastAsia" w:ascii="黑体" w:hAnsi="宋体" w:eastAsia="黑体" w:cs="宋体"/>
          <w:sz w:val="32"/>
          <w:szCs w:val="32"/>
        </w:rPr>
        <w:t>　</w:t>
      </w:r>
      <w:r>
        <w:rPr>
          <w:rFonts w:hint="eastAsia" w:ascii="仿宋_GB2312" w:hAnsi="宋体" w:eastAsia="仿宋_GB2312" w:cs="宋体"/>
          <w:sz w:val="32"/>
          <w:szCs w:val="32"/>
        </w:rPr>
        <w:t>专利权人或者利害关系人依据专利法第七十六条起诉的，应当按照民事诉讼法第一百一十九条第三项的规定提交下列材料：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（一）国务院有关行政部门依据衔接办法所设平台中登记的相关专利信息，包括专利名称、专利号、相关的权利要求等；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（二）国务院有关行政部门依据衔接办法所设平台中公示的申请注册药品的相关信息，包括药品名称、药品类型、注册类别以及申请注册药品与所涉及的上市药品之间的对应关系等；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（三）药品上市许可申请人依据衔接办法作出的四类声明及声明依据。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药品上市许可申请人应当在一审答辩期内，向人民法院提交其向国家药品审评机构申报的、与认定是否落入相关专利权保护范围对应的必要技术资料副本。</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第四条</w:t>
      </w:r>
      <w:r>
        <w:rPr>
          <w:rFonts w:hint="eastAsia" w:ascii="黑体" w:hAnsi="宋体" w:eastAsia="黑体" w:cs="宋体"/>
          <w:sz w:val="32"/>
          <w:szCs w:val="32"/>
        </w:rPr>
        <w:t>　</w:t>
      </w:r>
      <w:r>
        <w:rPr>
          <w:rFonts w:hint="eastAsia" w:ascii="仿宋_GB2312" w:hAnsi="宋体" w:eastAsia="仿宋_GB2312" w:cs="宋体"/>
          <w:sz w:val="32"/>
          <w:szCs w:val="32"/>
        </w:rPr>
        <w:t>专利权人或者利害关系人在衔接办法规定的期限内未向人民法院提起诉讼的，药品上市许可申请人可以向人民法院起诉，请求确认申请注册药品未落入相关专利权保护范围。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第五条</w:t>
      </w:r>
      <w:r>
        <w:rPr>
          <w:rFonts w:hint="eastAsia" w:ascii="黑体" w:hAnsi="宋体" w:eastAsia="黑体" w:cs="宋体"/>
          <w:sz w:val="32"/>
          <w:szCs w:val="32"/>
        </w:rPr>
        <w:t>　</w:t>
      </w:r>
      <w:r>
        <w:rPr>
          <w:rFonts w:hint="eastAsia" w:ascii="仿宋_GB2312" w:hAnsi="宋体" w:eastAsia="仿宋_GB2312" w:cs="宋体"/>
          <w:sz w:val="32"/>
          <w:szCs w:val="32"/>
        </w:rPr>
        <w:t>当事人以国务院专利行政部门已经受理专利法第七十六条所称行政裁决请求为由，主张不应当受理专利法第七十六条所称诉讼或者申请中止诉讼的，人民法院不予支持。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第六条</w:t>
      </w:r>
      <w:r>
        <w:rPr>
          <w:rFonts w:hint="eastAsia" w:ascii="黑体" w:hAnsi="宋体" w:eastAsia="黑体" w:cs="宋体"/>
          <w:sz w:val="32"/>
          <w:szCs w:val="32"/>
        </w:rPr>
        <w:t>　</w:t>
      </w:r>
      <w:r>
        <w:rPr>
          <w:rFonts w:hint="eastAsia" w:ascii="仿宋_GB2312" w:hAnsi="宋体" w:eastAsia="仿宋_GB2312" w:cs="宋体"/>
          <w:sz w:val="32"/>
          <w:szCs w:val="32"/>
        </w:rPr>
        <w:t>当事人依据专利法第七十六条起诉后，以国务院专利行政部门已经受理宣告相关专利权无效的请求为由，申请中止诉讼的，人民法院一般不予支持。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第七条　</w:t>
      </w:r>
      <w:r>
        <w:rPr>
          <w:rFonts w:hint="eastAsia" w:ascii="仿宋_GB2312" w:hAnsi="宋体" w:eastAsia="仿宋_GB2312" w:cs="宋体"/>
          <w:sz w:val="32"/>
          <w:szCs w:val="32"/>
        </w:rPr>
        <w:t>药品上市许可申请人主张具有专利法第六十七条、第七十五条第二项等规定情形的，人民法院经审查属实，可以判决确认申请注册的药品相关技术方案未落入相关专利权保护范围。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第八条</w:t>
      </w:r>
      <w:r>
        <w:rPr>
          <w:rFonts w:hint="eastAsia" w:ascii="黑体" w:hAnsi="宋体" w:eastAsia="黑体" w:cs="宋体"/>
          <w:sz w:val="32"/>
          <w:szCs w:val="32"/>
        </w:rPr>
        <w:t>　</w:t>
      </w:r>
      <w:r>
        <w:rPr>
          <w:rFonts w:hint="eastAsia" w:ascii="仿宋_GB2312" w:hAnsi="宋体" w:eastAsia="仿宋_GB2312" w:cs="宋体"/>
          <w:sz w:val="32"/>
          <w:szCs w:val="32"/>
        </w:rPr>
        <w:t>当事人对其在诉讼中获取的商业秘密或者其他需要保密的商业信息负有保密义务，擅自披露或者在该诉讼活动之外使用、允许他人使用的，应当依法承担民事责任。构成民事诉讼法第一百一十一条规定情形的，人民法院应当依法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第九条　</w:t>
      </w:r>
      <w:r>
        <w:rPr>
          <w:rFonts w:hint="eastAsia" w:ascii="仿宋_GB2312" w:hAnsi="宋体" w:eastAsia="仿宋_GB2312" w:cs="宋体"/>
          <w:sz w:val="32"/>
          <w:szCs w:val="32"/>
        </w:rPr>
        <w:t>药品上市许可申请人向人民法院提交的申请注册的药品相关技术方案，与其向国家药品审评机构申报的技术资料明显不符，妨碍人民法院审理案件的，人民法院依照民事诉讼法第一百一十一条的规定处理。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第十条　</w:t>
      </w:r>
      <w:r>
        <w:rPr>
          <w:rFonts w:hint="eastAsia" w:ascii="仿宋_GB2312" w:hAnsi="宋体" w:eastAsia="仿宋_GB2312" w:cs="宋体"/>
          <w:sz w:val="32"/>
          <w:szCs w:val="32"/>
        </w:rPr>
        <w:t>专利权人或者利害关系人在专利法第七十六条所称诉讼中申请行为保全，请求禁止药品上市许可申请人在相关专利权有效期内实施专利法第十一条规定的行为的，人民法院依照专利法、民事诉讼法有关规定处理；请求禁止药品上市申请行为或者审评审批行为的，人民法院不予支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第十一条</w:t>
      </w:r>
      <w:r>
        <w:rPr>
          <w:rFonts w:hint="eastAsia" w:ascii="黑体" w:hAnsi="宋体" w:eastAsia="黑体" w:cs="宋体"/>
          <w:sz w:val="32"/>
          <w:szCs w:val="32"/>
        </w:rPr>
        <w:t>　</w:t>
      </w:r>
      <w:r>
        <w:rPr>
          <w:rFonts w:hint="eastAsia" w:ascii="仿宋_GB2312" w:hAnsi="宋体" w:eastAsia="仿宋_GB2312" w:cs="宋体"/>
          <w:sz w:val="32"/>
          <w:szCs w:val="32"/>
        </w:rPr>
        <w:t>在针对同一专利权和申请注册药品的侵害专利权或者确认不侵害专利权诉讼中，当事人主张依据专利法第七十六条所称诉讼的生效判决认定涉案药品技术方案是否落入相关专利权保护范围的，人民法院一般予以支持。但是，有证据证明被诉侵权药品技术方案与申请注册的药品相关技术方案不一致或者新主张的事由成立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第十二条</w:t>
      </w:r>
      <w:r>
        <w:rPr>
          <w:rFonts w:hint="eastAsia" w:ascii="黑体" w:hAnsi="宋体" w:eastAsia="黑体" w:cs="宋体"/>
          <w:sz w:val="32"/>
          <w:szCs w:val="32"/>
        </w:rPr>
        <w:t>　</w:t>
      </w:r>
      <w:r>
        <w:rPr>
          <w:rFonts w:hint="eastAsia" w:ascii="仿宋_GB2312" w:hAnsi="宋体" w:eastAsia="仿宋_GB2312" w:cs="宋体"/>
          <w:sz w:val="32"/>
          <w:szCs w:val="32"/>
        </w:rPr>
        <w:t>专利权人或者利害关系人知道或者应当知道其主张的专利权应当被宣告无效或者申请注册药品的相关技术方案未落入专利权保护范围，仍提起专利法第七十六条所称诉讼或者请求行政裁决的，药品上市许可申请人可以向北京知识产权法院提起损害赔偿之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第十三条　</w:t>
      </w:r>
      <w:r>
        <w:rPr>
          <w:rFonts w:hint="eastAsia" w:ascii="仿宋_GB2312" w:hAnsi="宋体" w:eastAsia="仿宋_GB2312" w:cs="宋体"/>
          <w:sz w:val="32"/>
          <w:szCs w:val="32"/>
        </w:rPr>
        <w:t>人民法院依法向当事人在国务院有关行政部门依据衔接办法所设平台登载的联系人、通讯地址、电子邮件等进行的送达，视为有效送达。当事人向人民法院提交送达地址确认书后，人民法院也可以向该确认书载明的送达地址送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第十四条</w:t>
      </w:r>
      <w:r>
        <w:rPr>
          <w:rFonts w:hint="eastAsia" w:ascii="黑体" w:hAnsi="宋体" w:eastAsia="黑体" w:cs="宋体"/>
          <w:sz w:val="32"/>
          <w:szCs w:val="32"/>
        </w:rPr>
        <w:t>　</w:t>
      </w:r>
      <w:r>
        <w:rPr>
          <w:rFonts w:hint="eastAsia" w:ascii="仿宋_GB2312" w:hAnsi="宋体" w:eastAsia="仿宋_GB2312" w:cs="宋体"/>
          <w:sz w:val="32"/>
          <w:szCs w:val="32"/>
        </w:rPr>
        <w:t>本规定自2021年7月5日起施行。本院以前发布的相关司法解释与本规定不一致的，以本规定为准。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p>
    <w:sectPr>
      <w:footerReference r:id="rId3" w:type="default"/>
      <w:footerReference r:id="rId4" w:type="even"/>
      <w:pgSz w:w="11906" w:h="16838"/>
      <w:pgMar w:top="2098" w:right="1474" w:bottom="1984" w:left="1588" w:header="851" w:footer="992" w:gutter="0"/>
      <w:pgNumType w:fmt="numberInDash"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pict>
        <v:shape id="_x0000_s3074" o:spid="_x0000_s3074" o:spt="202" type="#_x0000_t202" style="position:absolute;left:0pt;margin-top:-5.4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4"/>
                  <w:rPr>
                    <w:rStyle w:val="8"/>
                    <w:rFonts w:hint="eastAsia" w:ascii="Times" w:hAnsi="Times"/>
                    <w:sz w:val="28"/>
                  </w:rPr>
                </w:pPr>
                <w:r>
                  <w:rPr>
                    <w:rStyle w:val="8"/>
                    <w:rFonts w:hint="eastAsia" w:ascii="宋体" w:hAnsi="宋体" w:cs="宋体"/>
                    <w:sz w:val="28"/>
                  </w:rPr>
                  <w:fldChar w:fldCharType="begin"/>
                </w:r>
                <w:r>
                  <w:rPr>
                    <w:rStyle w:val="8"/>
                    <w:rFonts w:hint="eastAsia" w:ascii="宋体" w:hAnsi="宋体" w:cs="宋体"/>
                    <w:sz w:val="28"/>
                  </w:rPr>
                  <w:instrText xml:space="preserve">PAGE  </w:instrText>
                </w:r>
                <w:r>
                  <w:rPr>
                    <w:rStyle w:val="8"/>
                    <w:rFonts w:hint="eastAsia" w:ascii="宋体" w:hAnsi="宋体" w:cs="宋体"/>
                    <w:sz w:val="28"/>
                  </w:rPr>
                  <w:fldChar w:fldCharType="separate"/>
                </w:r>
                <w:r>
                  <w:rPr>
                    <w:rStyle w:val="8"/>
                    <w:rFonts w:ascii="宋体" w:hAnsi="宋体" w:cs="宋体"/>
                    <w:sz w:val="28"/>
                  </w:rPr>
                  <w:t>- 1 -</w:t>
                </w:r>
                <w:r>
                  <w:rPr>
                    <w:rStyle w:val="8"/>
                    <w:rFonts w:hint="eastAsia" w:ascii="宋体" w:hAnsi="宋体" w:cs="宋体"/>
                    <w:sz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pict>
        <v:shape id="_x0000_s3075" o:spid="_x0000_s3075" o:spt="202" type="#_x0000_t202" style="position:absolute;left:0pt;margin-left:0pt;margin-top:-5.4pt;height:144pt;width:144p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8"/>
                  </w:rPr>
                </w:pPr>
                <w:r>
                  <w:rPr>
                    <w:rStyle w:val="8"/>
                    <w:rFonts w:hint="eastAsia" w:ascii="宋体" w:hAnsi="宋体" w:cs="宋体"/>
                    <w:sz w:val="28"/>
                    <w:szCs w:val="28"/>
                  </w:rPr>
                  <w:fldChar w:fldCharType="begin"/>
                </w:r>
                <w:r>
                  <w:rPr>
                    <w:rStyle w:val="8"/>
                    <w:rFonts w:hint="eastAsia" w:ascii="宋体" w:hAnsi="宋体" w:cs="宋体"/>
                    <w:sz w:val="28"/>
                    <w:szCs w:val="28"/>
                  </w:rPr>
                  <w:instrText xml:space="preserve">PAGE  </w:instrText>
                </w:r>
                <w:r>
                  <w:rPr>
                    <w:rStyle w:val="8"/>
                    <w:rFonts w:ascii="宋体" w:hAnsi="宋体" w:cs="宋体"/>
                    <w:sz w:val="28"/>
                    <w:szCs w:val="28"/>
                  </w:rPr>
                  <w:fldChar w:fldCharType="separate"/>
                </w:r>
                <w:r>
                  <w:rPr>
                    <w:rStyle w:val="8"/>
                    <w:rFonts w:ascii="宋体" w:hAnsi="宋体" w:cs="宋体"/>
                    <w:sz w:val="28"/>
                    <w:szCs w:val="28"/>
                  </w:rPr>
                  <w:t>- 2 -</w:t>
                </w:r>
                <w:r>
                  <w:rPr>
                    <w:rStyle w:val="8"/>
                    <w:rFonts w:hint="eastAsia"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54343"/>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259C6"/>
    <w:rsid w:val="00133F36"/>
    <w:rsid w:val="00135979"/>
    <w:rsid w:val="00141FB6"/>
    <w:rsid w:val="00156266"/>
    <w:rsid w:val="001614DD"/>
    <w:rsid w:val="001617A2"/>
    <w:rsid w:val="00162880"/>
    <w:rsid w:val="0016489F"/>
    <w:rsid w:val="0016665A"/>
    <w:rsid w:val="00170A71"/>
    <w:rsid w:val="00174FB6"/>
    <w:rsid w:val="00182BD9"/>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18C7"/>
    <w:rsid w:val="0025742F"/>
    <w:rsid w:val="002671B1"/>
    <w:rsid w:val="00271C80"/>
    <w:rsid w:val="002763B3"/>
    <w:rsid w:val="00277543"/>
    <w:rsid w:val="00281EEF"/>
    <w:rsid w:val="0028710F"/>
    <w:rsid w:val="002A0E27"/>
    <w:rsid w:val="002A0E47"/>
    <w:rsid w:val="002A1765"/>
    <w:rsid w:val="002A1BB0"/>
    <w:rsid w:val="002A7E25"/>
    <w:rsid w:val="002B5E8C"/>
    <w:rsid w:val="002C11D2"/>
    <w:rsid w:val="002D285F"/>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4F569D"/>
    <w:rsid w:val="00506C84"/>
    <w:rsid w:val="005142A1"/>
    <w:rsid w:val="00517CAB"/>
    <w:rsid w:val="00536EBF"/>
    <w:rsid w:val="0053713F"/>
    <w:rsid w:val="005433C2"/>
    <w:rsid w:val="005502F2"/>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E1FF4"/>
    <w:rsid w:val="006E7630"/>
    <w:rsid w:val="006F0A7E"/>
    <w:rsid w:val="006F6FC3"/>
    <w:rsid w:val="006F7D77"/>
    <w:rsid w:val="00715180"/>
    <w:rsid w:val="00720A73"/>
    <w:rsid w:val="00720CAF"/>
    <w:rsid w:val="00722ED9"/>
    <w:rsid w:val="00724377"/>
    <w:rsid w:val="007276B4"/>
    <w:rsid w:val="00733E0F"/>
    <w:rsid w:val="00745D25"/>
    <w:rsid w:val="007506EE"/>
    <w:rsid w:val="0075447F"/>
    <w:rsid w:val="00754A2D"/>
    <w:rsid w:val="007643CE"/>
    <w:rsid w:val="00766157"/>
    <w:rsid w:val="00767358"/>
    <w:rsid w:val="00767F68"/>
    <w:rsid w:val="00771E84"/>
    <w:rsid w:val="0077490A"/>
    <w:rsid w:val="007775EF"/>
    <w:rsid w:val="007A51E0"/>
    <w:rsid w:val="007A6544"/>
    <w:rsid w:val="007A7FD3"/>
    <w:rsid w:val="007B2410"/>
    <w:rsid w:val="007C01D1"/>
    <w:rsid w:val="007C5705"/>
    <w:rsid w:val="007D13B8"/>
    <w:rsid w:val="007D2E57"/>
    <w:rsid w:val="007D77CE"/>
    <w:rsid w:val="007E3C61"/>
    <w:rsid w:val="00802CDC"/>
    <w:rsid w:val="00805E1D"/>
    <w:rsid w:val="00813FEC"/>
    <w:rsid w:val="00814E29"/>
    <w:rsid w:val="00823C1E"/>
    <w:rsid w:val="00826D77"/>
    <w:rsid w:val="0083338D"/>
    <w:rsid w:val="00857DBC"/>
    <w:rsid w:val="008701AB"/>
    <w:rsid w:val="0087139A"/>
    <w:rsid w:val="00877798"/>
    <w:rsid w:val="008802DB"/>
    <w:rsid w:val="00881967"/>
    <w:rsid w:val="00884D26"/>
    <w:rsid w:val="00885F48"/>
    <w:rsid w:val="00890F76"/>
    <w:rsid w:val="0089274E"/>
    <w:rsid w:val="008A08FA"/>
    <w:rsid w:val="008C663E"/>
    <w:rsid w:val="008E70E5"/>
    <w:rsid w:val="008F50DB"/>
    <w:rsid w:val="008F5238"/>
    <w:rsid w:val="008F7723"/>
    <w:rsid w:val="00904BC8"/>
    <w:rsid w:val="00911248"/>
    <w:rsid w:val="00913A4E"/>
    <w:rsid w:val="00925F75"/>
    <w:rsid w:val="009273E3"/>
    <w:rsid w:val="00927D41"/>
    <w:rsid w:val="009621F2"/>
    <w:rsid w:val="00971108"/>
    <w:rsid w:val="0097410F"/>
    <w:rsid w:val="00974280"/>
    <w:rsid w:val="00974393"/>
    <w:rsid w:val="0097704C"/>
    <w:rsid w:val="00986E71"/>
    <w:rsid w:val="00992211"/>
    <w:rsid w:val="009942EB"/>
    <w:rsid w:val="009A1862"/>
    <w:rsid w:val="009A5178"/>
    <w:rsid w:val="009A78E1"/>
    <w:rsid w:val="009A7FCF"/>
    <w:rsid w:val="009B548C"/>
    <w:rsid w:val="009C6F84"/>
    <w:rsid w:val="009D18B6"/>
    <w:rsid w:val="009E6F62"/>
    <w:rsid w:val="009E7F86"/>
    <w:rsid w:val="009F1030"/>
    <w:rsid w:val="009F1B6D"/>
    <w:rsid w:val="00A02039"/>
    <w:rsid w:val="00A04BD7"/>
    <w:rsid w:val="00A20EDD"/>
    <w:rsid w:val="00A212C7"/>
    <w:rsid w:val="00A23406"/>
    <w:rsid w:val="00A27EDD"/>
    <w:rsid w:val="00A35D41"/>
    <w:rsid w:val="00A40953"/>
    <w:rsid w:val="00A42C49"/>
    <w:rsid w:val="00A43F79"/>
    <w:rsid w:val="00A459E3"/>
    <w:rsid w:val="00A46EC1"/>
    <w:rsid w:val="00A571FE"/>
    <w:rsid w:val="00A636AF"/>
    <w:rsid w:val="00A65AA4"/>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8630C"/>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82D"/>
    <w:rsid w:val="00C41CE2"/>
    <w:rsid w:val="00C452E4"/>
    <w:rsid w:val="00C473DF"/>
    <w:rsid w:val="00C532CE"/>
    <w:rsid w:val="00C53D36"/>
    <w:rsid w:val="00C57E0D"/>
    <w:rsid w:val="00C636EE"/>
    <w:rsid w:val="00C7181C"/>
    <w:rsid w:val="00C73C73"/>
    <w:rsid w:val="00C748B2"/>
    <w:rsid w:val="00C75F27"/>
    <w:rsid w:val="00C76A21"/>
    <w:rsid w:val="00C85BE4"/>
    <w:rsid w:val="00CA3B61"/>
    <w:rsid w:val="00CB05CD"/>
    <w:rsid w:val="00CB1C21"/>
    <w:rsid w:val="00CB268F"/>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0F0E"/>
    <w:rsid w:val="00D6266A"/>
    <w:rsid w:val="00D91F48"/>
    <w:rsid w:val="00D97443"/>
    <w:rsid w:val="00DA0CA4"/>
    <w:rsid w:val="00DA3276"/>
    <w:rsid w:val="00DB1764"/>
    <w:rsid w:val="00DB2440"/>
    <w:rsid w:val="00DB3C8A"/>
    <w:rsid w:val="00DB5F18"/>
    <w:rsid w:val="00DC5F89"/>
    <w:rsid w:val="00DD0C51"/>
    <w:rsid w:val="00DD7AE6"/>
    <w:rsid w:val="00DE2F11"/>
    <w:rsid w:val="00E01AAD"/>
    <w:rsid w:val="00E06E17"/>
    <w:rsid w:val="00E11578"/>
    <w:rsid w:val="00E2376E"/>
    <w:rsid w:val="00E25C09"/>
    <w:rsid w:val="00E35402"/>
    <w:rsid w:val="00E379EC"/>
    <w:rsid w:val="00E42D97"/>
    <w:rsid w:val="00E42DA2"/>
    <w:rsid w:val="00E47E0D"/>
    <w:rsid w:val="00E526C3"/>
    <w:rsid w:val="00E56A87"/>
    <w:rsid w:val="00E56E52"/>
    <w:rsid w:val="00E715B9"/>
    <w:rsid w:val="00E854B0"/>
    <w:rsid w:val="00E9403C"/>
    <w:rsid w:val="00E956E5"/>
    <w:rsid w:val="00E95DF8"/>
    <w:rsid w:val="00E97496"/>
    <w:rsid w:val="00EB642C"/>
    <w:rsid w:val="00EB67B5"/>
    <w:rsid w:val="00EB6A82"/>
    <w:rsid w:val="00EB79DB"/>
    <w:rsid w:val="00EB7B8D"/>
    <w:rsid w:val="00EE1F86"/>
    <w:rsid w:val="00EE4190"/>
    <w:rsid w:val="00F01156"/>
    <w:rsid w:val="00F1058C"/>
    <w:rsid w:val="00F11389"/>
    <w:rsid w:val="00F11CAA"/>
    <w:rsid w:val="00F14865"/>
    <w:rsid w:val="00F3114F"/>
    <w:rsid w:val="00F3147A"/>
    <w:rsid w:val="00F31FF1"/>
    <w:rsid w:val="00F347B6"/>
    <w:rsid w:val="00F37571"/>
    <w:rsid w:val="00F44A15"/>
    <w:rsid w:val="00F46B3C"/>
    <w:rsid w:val="00F4779A"/>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F402A"/>
    <w:rsid w:val="00FF690A"/>
    <w:rsid w:val="10411235"/>
    <w:rsid w:val="11FB0F57"/>
    <w:rsid w:val="220966DD"/>
    <w:rsid w:val="5C7B1355"/>
    <w:rsid w:val="690134C0"/>
    <w:rsid w:val="702A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352801-F163-497A-9AD2-9C846ED77851}">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4</Pages>
  <Words>259</Words>
  <Characters>1481</Characters>
  <Lines>12</Lines>
  <Paragraphs>3</Paragraphs>
  <TotalTime>0</TotalTime>
  <ScaleCrop>false</ScaleCrop>
  <LinksUpToDate>false</LinksUpToDate>
  <CharactersWithSpaces>1737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2021-06-30T06:29:00Z</dcterms:created>
  <dc:creator>Lenovo User</dc:creator>
  <cp:lastModifiedBy>PC400</cp:lastModifiedBy>
  <cp:lastPrinted>2014-04-03T09:04:00Z</cp:lastPrinted>
  <dcterms:modified xsi:type="dcterms:W3CDTF">2021-11-12T06:42:27Z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6DF01C3606214980BE53AD166167B713</vt:lpwstr>
  </property>
</Properties>
</file>