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eastAsia="仿宋_GB2312"/>
          <w:lang w:eastAsia="zh-CN"/>
        </w:rPr>
      </w:pPr>
      <w:r>
        <w:rPr>
          <w:rFonts w:hint="eastAsia"/>
        </w:rPr>
        <w:t>《最高人民法院关于对与证券交易所监管职能相关的诉讼案件管辖与受理问题的规定》已于2004年11月18日由最高人民法院审判委员会第1333次会议通过，现予公布，自2005年1月31日起施行。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2005年1</w:t>
      </w:r>
      <w:bookmarkStart w:id="0" w:name="_GoBack"/>
      <w:bookmarkEnd w:id="0"/>
      <w:r>
        <w:rPr>
          <w:rFonts w:hint="eastAsia"/>
        </w:rPr>
        <w:t>月25日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关于对与证券交易所监管职能相关的</w:t>
      </w:r>
    </w:p>
    <w:p>
      <w:pPr>
        <w:pStyle w:val="7"/>
        <w:rPr>
          <w:rFonts w:hint="eastAsia"/>
        </w:rPr>
      </w:pPr>
      <w:r>
        <w:t>诉讼案件管辖与受理问题的规定</w:t>
      </w:r>
    </w:p>
    <w:p>
      <w:pPr>
        <w:pStyle w:val="12"/>
        <w:rPr>
          <w:rFonts w:hint="eastAsia" w:ascii="宋体" w:hAnsi="宋体" w:eastAsia="宋体" w:cs="宋体"/>
        </w:rPr>
      </w:pPr>
    </w:p>
    <w:p>
      <w:pPr>
        <w:pStyle w:val="19"/>
        <w:rPr>
          <w:rFonts w:hint="eastAsia"/>
        </w:rPr>
      </w:pPr>
      <w:r>
        <w:t>法释〔2005〕1号</w:t>
      </w:r>
    </w:p>
    <w:p>
      <w:pPr>
        <w:pStyle w:val="12"/>
        <w:rPr>
          <w:rFonts w:hint="eastAsia" w:ascii="宋体" w:hAnsi="宋体" w:eastAsia="宋体" w:cs="宋体"/>
        </w:rPr>
      </w:pPr>
    </w:p>
    <w:p>
      <w:pPr>
        <w:pStyle w:val="17"/>
        <w:rPr>
          <w:rFonts w:hint="eastAsia"/>
          <w:lang w:eastAsia="zh-CN"/>
        </w:rPr>
      </w:pPr>
      <w:r>
        <w:rPr>
          <w:rFonts w:hint="eastAsia"/>
          <w:lang w:eastAsia="zh-CN"/>
        </w:rPr>
        <w:t>（</w:t>
      </w:r>
      <w:r>
        <w:t>2004年11月18日最高人民法院审判委员会第1333次会议通过</w:t>
      </w:r>
      <w:r>
        <w:rPr>
          <w:rFonts w:hint="eastAsia"/>
        </w:rPr>
        <w:t>2005</w:t>
      </w:r>
      <w:r>
        <w:t>年1月25日最高人民法院公告公布　自2005年1月31日起施行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为正确及时地管辖、受理与证券交易所监管职能相关的诉讼案件</w:t>
      </w:r>
      <w:r>
        <w:rPr>
          <w:rFonts w:hint="eastAsia"/>
        </w:rPr>
        <w:t>，</w:t>
      </w:r>
      <w:r>
        <w:t>特作出以下规定：</w:t>
      </w:r>
    </w:p>
    <w:p>
      <w:pPr>
        <w:pStyle w:val="12"/>
        <w:rPr>
          <w:rStyle w:val="25"/>
          <w:rFonts w:hint="eastAsia"/>
        </w:rPr>
      </w:pPr>
      <w:r>
        <w:rPr>
          <w:rStyle w:val="25"/>
        </w:rPr>
        <w:t>一、</w:t>
      </w:r>
      <w:r>
        <w:t>根据《中华人民共和国民事诉讼法》第三十七条和《中华人民共和国行政诉讼法》第二十二条的有关规定</w:t>
      </w:r>
      <w:r>
        <w:rPr>
          <w:rFonts w:hint="eastAsia"/>
        </w:rPr>
        <w:t>，</w:t>
      </w:r>
      <w:r>
        <w:t>指定上海证券交易所和深圳证券交易所所在地的中级人民法院分别管辖以上海证券交易所和深圳证券交易所为被告或第三人的与证券交易所监管职能相关的第一审民事和行政案件。</w:t>
      </w:r>
    </w:p>
    <w:p>
      <w:pPr>
        <w:pStyle w:val="12"/>
        <w:rPr>
          <w:rFonts w:hint="eastAsia"/>
        </w:rPr>
      </w:pPr>
      <w:r>
        <w:rPr>
          <w:rStyle w:val="25"/>
        </w:rPr>
        <w:t>二、</w:t>
      </w:r>
      <w:r>
        <w:rPr>
          <w:rFonts w:hint="eastAsia"/>
        </w:rPr>
        <w:t>与证券交易所监管职能相关的诉讼案件包括：</w:t>
      </w:r>
    </w:p>
    <w:p>
      <w:pPr>
        <w:pStyle w:val="12"/>
        <w:rPr>
          <w:rFonts w:hint="eastAsia"/>
        </w:rPr>
      </w:pPr>
      <w:r>
        <w:rPr>
          <w:rFonts w:hint="eastAsia"/>
          <w:lang w:eastAsia="zh-CN"/>
        </w:rPr>
        <w:t>（</w:t>
      </w:r>
      <w:r>
        <w:t>一</w:t>
      </w:r>
      <w:r>
        <w:rPr>
          <w:rFonts w:hint="eastAsia"/>
          <w:lang w:eastAsia="zh-CN"/>
        </w:rPr>
        <w:t>）</w:t>
      </w:r>
      <w:r>
        <w:t>证券交易所根据《中华人民共和国公司法》、《中华人民共和国证券法》、《中华人民共和国证券投资基金法》、《证券交易所管理办法》等法律、法规、规章的规定</w:t>
      </w:r>
      <w:r>
        <w:rPr>
          <w:rFonts w:hint="eastAsia"/>
        </w:rPr>
        <w:t>，</w:t>
      </w:r>
      <w:r>
        <w:t>对证券发行人及其相关人员、证券交易所会员及其相关人员、证券上市和交易活动作出处理决定引发的诉讼；</w:t>
      </w:r>
    </w:p>
    <w:p>
      <w:pPr>
        <w:pStyle w:val="12"/>
        <w:rPr>
          <w:rFonts w:hint="eastAsia"/>
        </w:rPr>
      </w:pPr>
      <w:r>
        <w:rPr>
          <w:rFonts w:hint="eastAsia"/>
          <w:lang w:eastAsia="zh-CN"/>
        </w:rPr>
        <w:t>（</w:t>
      </w:r>
      <w:r>
        <w:t>二</w:t>
      </w:r>
      <w:r>
        <w:rPr>
          <w:rFonts w:hint="eastAsia"/>
          <w:lang w:eastAsia="zh-CN"/>
        </w:rPr>
        <w:t>）</w:t>
      </w:r>
      <w:r>
        <w:t>证券交易所根据国务院证券监督管理机构的依法授权</w:t>
      </w:r>
      <w:r>
        <w:rPr>
          <w:rFonts w:hint="eastAsia"/>
        </w:rPr>
        <w:t>，</w:t>
      </w:r>
      <w:r>
        <w:t>对证券发行人及其相关人员、证券交易所会员及其相关人员、证券上市和交易活动作出处理决定引发的诉讼；</w:t>
      </w:r>
    </w:p>
    <w:p>
      <w:pPr>
        <w:pStyle w:val="12"/>
        <w:rPr>
          <w:rFonts w:hint="eastAsia"/>
        </w:rPr>
      </w:pPr>
      <w:r>
        <w:rPr>
          <w:rFonts w:hint="eastAsia"/>
          <w:lang w:eastAsia="zh-CN"/>
        </w:rPr>
        <w:t>（</w:t>
      </w:r>
      <w:r>
        <w:t>三</w:t>
      </w:r>
      <w:r>
        <w:rPr>
          <w:rFonts w:hint="eastAsia"/>
          <w:lang w:eastAsia="zh-CN"/>
        </w:rPr>
        <w:t>）</w:t>
      </w:r>
      <w:r>
        <w:t>证券交易所根据其章程、业务规则、业务合同的规定</w:t>
      </w:r>
      <w:r>
        <w:rPr>
          <w:rFonts w:hint="eastAsia"/>
        </w:rPr>
        <w:t>，对证券发行人及其相关人员、证券交易所会员及其相关人员、证券上市和交易活动作出处理决定引发的诉讼；</w:t>
      </w:r>
    </w:p>
    <w:p>
      <w:pPr>
        <w:pStyle w:val="12"/>
        <w:rPr>
          <w:rStyle w:val="25"/>
          <w:rFonts w:hint="eastAsia"/>
        </w:rPr>
      </w:pPr>
      <w:r>
        <w:rPr>
          <w:rFonts w:hint="eastAsia"/>
          <w:lang w:eastAsia="zh-CN"/>
        </w:rPr>
        <w:t>（</w:t>
      </w:r>
      <w:r>
        <w:t>四</w:t>
      </w:r>
      <w:r>
        <w:rPr>
          <w:rFonts w:hint="eastAsia"/>
          <w:lang w:eastAsia="zh-CN"/>
        </w:rPr>
        <w:t>）</w:t>
      </w:r>
      <w:r>
        <w:t>证券交易所在履行监管职能过程中引发的其他诉讼。</w:t>
      </w:r>
    </w:p>
    <w:p>
      <w:pPr>
        <w:pStyle w:val="12"/>
        <w:rPr>
          <w:rStyle w:val="25"/>
          <w:rFonts w:hint="eastAsia"/>
        </w:rPr>
      </w:pPr>
      <w:r>
        <w:rPr>
          <w:rStyle w:val="25"/>
        </w:rPr>
        <w:t>三、</w:t>
      </w:r>
      <w:r>
        <w:t>投资者对证券交易所履行监管职责过程中对证券发行人及其相关人员、证券交易所会员及其相关人员、证券上市和交易活动做出的不直接涉及投资者利益的行为提起的诉讼</w:t>
      </w:r>
      <w:r>
        <w:rPr>
          <w:rFonts w:hint="eastAsia"/>
        </w:rPr>
        <w:t>，</w:t>
      </w:r>
      <w:r>
        <w:t>人民法院不予受理。</w:t>
      </w:r>
    </w:p>
    <w:p>
      <w:pPr>
        <w:pStyle w:val="12"/>
        <w:rPr>
          <w:rFonts w:hint="eastAsia"/>
        </w:rPr>
      </w:pPr>
      <w:r>
        <w:rPr>
          <w:rStyle w:val="25"/>
        </w:rPr>
        <w:t>四、</w:t>
      </w:r>
      <w:r>
        <w:t>本规定自发布之日起施行。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BC7564"/>
    <w:rsid w:val="00323D76"/>
    <w:rsid w:val="02380A4E"/>
    <w:rsid w:val="02C54CFB"/>
    <w:rsid w:val="042F174E"/>
    <w:rsid w:val="0751543E"/>
    <w:rsid w:val="09F8489B"/>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280A05"/>
    <w:rsid w:val="325C564C"/>
    <w:rsid w:val="36AE6775"/>
    <w:rsid w:val="38787F7C"/>
    <w:rsid w:val="39191BFA"/>
    <w:rsid w:val="3D717517"/>
    <w:rsid w:val="3FBC61B7"/>
    <w:rsid w:val="4AEF215E"/>
    <w:rsid w:val="4DA15956"/>
    <w:rsid w:val="4E7D2A86"/>
    <w:rsid w:val="501B3EB2"/>
    <w:rsid w:val="5027117E"/>
    <w:rsid w:val="56C00D65"/>
    <w:rsid w:val="65586BE5"/>
    <w:rsid w:val="6CBC7564"/>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2017-11-01T01:42:00Z</dcterms:created>
  <dc:creator>Administrator</dc:creator>
  <cp:lastModifiedBy>Administrator</cp:lastModifiedBy>
  <dcterms:modified xsi:type="dcterms:W3CDTF">2017-11-09T13:14:14Z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