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520" w:lineRule="exact"/>
        <w:rPr>
          <w:rFonts w:ascii="仿宋_GB2312" w:hAnsi="宋体" w:eastAsia="仿宋_GB2312" w:cs="宋体"/>
          <w:sz w:val="32"/>
          <w:szCs w:val="32"/>
        </w:rPr>
      </w:pPr>
    </w:p>
    <w:p>
      <w:pPr>
        <w:pStyle w:val="4"/>
        <w:spacing w:line="520" w:lineRule="exact"/>
        <w:jc w:val="both"/>
        <w:rPr>
          <w:rFonts w:ascii="仿宋_GB2312" w:hAnsi="宋体" w:eastAsia="仿宋_GB2312" w:cs="宋体"/>
          <w:sz w:val="32"/>
          <w:szCs w:val="32"/>
        </w:rPr>
      </w:pPr>
    </w:p>
    <w:p>
      <w:pPr>
        <w:spacing w:line="560" w:lineRule="exact"/>
        <w:jc w:val="center"/>
        <w:rPr>
          <w:rFonts w:hint="eastAsia" w:ascii="宋体" w:hAnsi="宋体" w:cs="宋体"/>
          <w:sz w:val="44"/>
          <w:szCs w:val="44"/>
        </w:rPr>
      </w:pPr>
      <w:r>
        <w:rPr>
          <w:rFonts w:hint="eastAsia" w:ascii="宋体" w:hAnsi="宋体" w:cs="宋体"/>
          <w:sz w:val="44"/>
          <w:szCs w:val="44"/>
        </w:rPr>
        <w:t>最高人民法院</w:t>
      </w:r>
    </w:p>
    <w:p>
      <w:pPr>
        <w:spacing w:line="560" w:lineRule="exact"/>
        <w:jc w:val="center"/>
        <w:rPr>
          <w:rFonts w:hint="eastAsia" w:ascii="宋体" w:hAnsi="宋体" w:cs="宋体"/>
          <w:sz w:val="44"/>
          <w:szCs w:val="44"/>
        </w:rPr>
      </w:pPr>
      <w:r>
        <w:rPr>
          <w:rFonts w:hint="eastAsia" w:ascii="宋体" w:hAnsi="宋体" w:cs="宋体"/>
          <w:sz w:val="44"/>
          <w:szCs w:val="44"/>
        </w:rPr>
        <w:t>关于废止部分司法解释及相关规范性文件的决定</w:t>
      </w:r>
    </w:p>
    <w:p>
      <w:pPr>
        <w:pStyle w:val="4"/>
        <w:spacing w:line="520" w:lineRule="exact"/>
        <w:rPr>
          <w:rFonts w:hint="eastAsia" w:ascii="仿宋_GB2312" w:hAnsi="宋体" w:eastAsia="仿宋_GB2312" w:cs="宋体"/>
          <w:sz w:val="32"/>
          <w:szCs w:val="32"/>
        </w:rPr>
      </w:pPr>
    </w:p>
    <w:p>
      <w:pPr>
        <w:pStyle w:val="3"/>
        <w:bidi w:val="0"/>
      </w:pPr>
      <w:r>
        <w:rPr>
          <w:rFonts w:hint="eastAsia"/>
        </w:rPr>
        <w:t>法释〔2020〕16号</w:t>
      </w:r>
    </w:p>
    <w:p>
      <w:pPr>
        <w:pStyle w:val="4"/>
        <w:spacing w:line="520" w:lineRule="exact"/>
        <w:rPr>
          <w:rFonts w:hint="eastAsia" w:ascii="仿宋_GB2312" w:hAnsi="宋体" w:eastAsia="仿宋_GB2312" w:cs="宋体"/>
          <w:sz w:val="32"/>
          <w:szCs w:val="32"/>
        </w:rPr>
      </w:pPr>
    </w:p>
    <w:p>
      <w:pPr>
        <w:pStyle w:val="3"/>
        <w:bidi w:val="0"/>
      </w:pPr>
      <w:r>
        <w:rPr>
          <w:rFonts w:hint="eastAsia"/>
        </w:rPr>
        <w:t>（2020年12月23日最高人民法院审判委员会</w:t>
      </w:r>
    </w:p>
    <w:p>
      <w:pPr>
        <w:pStyle w:val="3"/>
        <w:bidi w:val="0"/>
      </w:pPr>
      <w:r>
        <w:rPr>
          <w:rFonts w:hint="eastAsia"/>
        </w:rPr>
        <w:t>第1823次会议通过，自2021年1月1日起施行）</w:t>
      </w:r>
    </w:p>
    <w:p>
      <w:pPr>
        <w:pStyle w:val="4"/>
        <w:spacing w:line="520" w:lineRule="exact"/>
        <w:rPr>
          <w:rFonts w:hint="eastAsia" w:ascii="仿宋_GB2312" w:hAnsi="宋体" w:eastAsia="仿宋_GB2312" w:cs="宋体"/>
          <w:sz w:val="32"/>
          <w:szCs w:val="32"/>
        </w:rPr>
      </w:pPr>
    </w:p>
    <w:p>
      <w:pPr>
        <w:pStyle w:val="4"/>
        <w:spacing w:line="520" w:lineRule="exact"/>
        <w:rPr>
          <w:rFonts w:ascii="仿宋_GB2312" w:hAnsi="宋体" w:eastAsia="仿宋_GB2312" w:cs="宋体"/>
          <w:sz w:val="32"/>
          <w:szCs w:val="32"/>
        </w:rPr>
      </w:pPr>
      <w:r>
        <w:rPr>
          <w:rFonts w:hint="eastAsia" w:ascii="仿宋_GB2312" w:hAnsi="宋体" w:eastAsia="仿宋_GB2312" w:cs="宋体"/>
          <w:sz w:val="30"/>
          <w:szCs w:val="30"/>
        </w:rPr>
        <w:t xml:space="preserve">    </w:t>
      </w:r>
      <w:r>
        <w:rPr>
          <w:rFonts w:hint="eastAsia" w:ascii="仿宋_GB2312" w:hAnsi="宋体" w:eastAsia="仿宋_GB2312" w:cs="宋体"/>
          <w:sz w:val="32"/>
          <w:szCs w:val="32"/>
        </w:rPr>
        <w:t>为切实实施民法典，保证国家法律统一正确适用，根据《中华人民共和国民法典》等法律规定，结合审判实际，现决定废止《最高人民法院关于适用〈中华人民共和国民法总则〉诉讼时效制度若干问题的解释》等116件司法解释及相关规范性文件（目录附后）。</w:t>
      </w:r>
    </w:p>
    <w:p>
      <w:pPr>
        <w:pStyle w:val="4"/>
        <w:spacing w:line="520" w:lineRule="exact"/>
        <w:ind w:firstLine="640"/>
        <w:rPr>
          <w:rFonts w:hint="eastAsia" w:ascii="仿宋_GB2312" w:hAnsi="宋体" w:eastAsia="仿宋_GB2312" w:cs="宋体"/>
          <w:sz w:val="32"/>
          <w:szCs w:val="32"/>
        </w:rPr>
      </w:pPr>
      <w:r>
        <w:rPr>
          <w:rFonts w:hint="eastAsia" w:ascii="仿宋_GB2312" w:hAnsi="宋体" w:eastAsia="仿宋_GB2312" w:cs="宋体"/>
          <w:sz w:val="32"/>
          <w:szCs w:val="32"/>
        </w:rPr>
        <w:t>本决定自2021年1月1日起施行。</w:t>
      </w:r>
    </w:p>
    <w:p>
      <w:pPr>
        <w:pStyle w:val="4"/>
        <w:spacing w:line="520" w:lineRule="exact"/>
        <w:ind w:firstLine="640"/>
        <w:rPr>
          <w:rFonts w:hint="eastAsia" w:ascii="仿宋_GB2312" w:hAnsi="宋体" w:eastAsia="仿宋_GB2312" w:cs="宋体"/>
          <w:sz w:val="32"/>
          <w:szCs w:val="32"/>
        </w:rPr>
      </w:pPr>
    </w:p>
    <w:p>
      <w:pPr>
        <w:pStyle w:val="4"/>
        <w:spacing w:line="520" w:lineRule="exact"/>
        <w:ind w:firstLine="640"/>
        <w:rPr>
          <w:rFonts w:hint="eastAsia" w:ascii="仿宋_GB2312" w:hAnsi="宋体" w:eastAsia="仿宋_GB2312" w:cs="宋体"/>
          <w:sz w:val="32"/>
          <w:szCs w:val="32"/>
        </w:rPr>
      </w:pPr>
    </w:p>
    <w:p>
      <w:pPr>
        <w:pStyle w:val="4"/>
        <w:spacing w:line="520" w:lineRule="exact"/>
        <w:ind w:firstLine="640"/>
        <w:rPr>
          <w:rFonts w:hint="eastAsia" w:ascii="仿宋_GB2312" w:hAnsi="宋体" w:eastAsia="仿宋_GB2312" w:cs="宋体"/>
          <w:sz w:val="32"/>
          <w:szCs w:val="32"/>
        </w:rPr>
      </w:pPr>
    </w:p>
    <w:p>
      <w:pPr>
        <w:pStyle w:val="4"/>
        <w:spacing w:line="520" w:lineRule="exact"/>
        <w:ind w:firstLine="640"/>
        <w:rPr>
          <w:rFonts w:hint="eastAsia" w:ascii="仿宋_GB2312" w:hAnsi="宋体" w:eastAsia="仿宋_GB2312" w:cs="宋体"/>
          <w:sz w:val="32"/>
          <w:szCs w:val="32"/>
        </w:rPr>
      </w:pPr>
    </w:p>
    <w:p>
      <w:pPr>
        <w:pStyle w:val="4"/>
        <w:spacing w:line="520" w:lineRule="exact"/>
        <w:ind w:firstLine="640"/>
        <w:rPr>
          <w:rFonts w:hint="eastAsia" w:ascii="仿宋_GB2312" w:hAnsi="宋体" w:eastAsia="仿宋_GB2312" w:cs="宋体"/>
          <w:sz w:val="32"/>
          <w:szCs w:val="32"/>
        </w:rPr>
      </w:pPr>
    </w:p>
    <w:p>
      <w:pPr>
        <w:pStyle w:val="4"/>
        <w:spacing w:line="520" w:lineRule="exact"/>
        <w:ind w:firstLine="640"/>
        <w:rPr>
          <w:rFonts w:hint="eastAsia" w:ascii="仿宋_GB2312" w:hAnsi="宋体" w:eastAsia="仿宋_GB2312" w:cs="宋体"/>
          <w:sz w:val="32"/>
          <w:szCs w:val="32"/>
        </w:rPr>
      </w:pPr>
    </w:p>
    <w:p>
      <w:pPr>
        <w:pStyle w:val="4"/>
        <w:spacing w:line="520" w:lineRule="exact"/>
        <w:ind w:firstLine="640"/>
        <w:rPr>
          <w:rFonts w:hint="eastAsia" w:ascii="仿宋_GB2312" w:hAnsi="宋体" w:eastAsia="仿宋_GB2312" w:cs="宋体"/>
          <w:sz w:val="32"/>
          <w:szCs w:val="32"/>
        </w:rPr>
      </w:pPr>
    </w:p>
    <w:p>
      <w:pPr>
        <w:pStyle w:val="4"/>
        <w:spacing w:line="520" w:lineRule="exact"/>
        <w:ind w:firstLine="640"/>
        <w:rPr>
          <w:rFonts w:hint="eastAsia" w:ascii="仿宋_GB2312" w:hAnsi="宋体" w:eastAsia="仿宋_GB2312" w:cs="宋体"/>
          <w:sz w:val="32"/>
          <w:szCs w:val="32"/>
        </w:rPr>
      </w:pPr>
    </w:p>
    <w:p>
      <w:pPr>
        <w:pStyle w:val="4"/>
        <w:spacing w:line="520" w:lineRule="exact"/>
        <w:ind w:firstLine="640"/>
        <w:rPr>
          <w:rFonts w:hint="eastAsia" w:ascii="仿宋_GB2312" w:hAnsi="宋体" w:eastAsia="仿宋_GB2312" w:cs="宋体"/>
          <w:sz w:val="32"/>
          <w:szCs w:val="32"/>
        </w:rPr>
      </w:pPr>
    </w:p>
    <w:p>
      <w:pPr>
        <w:spacing w:line="520" w:lineRule="exact"/>
        <w:jc w:val="center"/>
        <w:rPr>
          <w:rFonts w:ascii="黑体" w:hAnsi="黑体" w:eastAsia="黑体"/>
          <w:color w:val="000000" w:themeColor="text1"/>
          <w:sz w:val="32"/>
          <w:szCs w:val="32"/>
        </w:rPr>
      </w:pPr>
      <w:r>
        <w:rPr>
          <w:rFonts w:hint="eastAsia" w:ascii="黑体" w:hAnsi="黑体" w:eastAsia="黑体"/>
          <w:color w:val="000000" w:themeColor="text1"/>
          <w:sz w:val="32"/>
          <w:szCs w:val="32"/>
        </w:rPr>
        <w:t>最高人民法院决定废止的部分司法解释</w:t>
      </w:r>
    </w:p>
    <w:p>
      <w:pPr>
        <w:spacing w:line="520" w:lineRule="exact"/>
        <w:jc w:val="center"/>
        <w:rPr>
          <w:rFonts w:ascii="黑体" w:hAnsi="黑体" w:eastAsia="黑体"/>
          <w:color w:val="000000" w:themeColor="text1"/>
          <w:sz w:val="32"/>
          <w:szCs w:val="32"/>
        </w:rPr>
      </w:pPr>
      <w:r>
        <w:rPr>
          <w:rFonts w:hint="eastAsia" w:ascii="黑体" w:hAnsi="黑体" w:eastAsia="黑体"/>
          <w:color w:val="000000" w:themeColor="text1"/>
          <w:sz w:val="32"/>
          <w:szCs w:val="32"/>
        </w:rPr>
        <w:t>及相关规范性文件的目录</w:t>
      </w:r>
    </w:p>
    <w:p>
      <w:pPr>
        <w:rPr>
          <w:rFonts w:hint="eastAsia" w:ascii="仿宋_GB2312" w:hAnsi="宋体" w:eastAsia="仿宋_GB2312" w:cs="宋体"/>
          <w:sz w:val="32"/>
          <w:szCs w:val="32"/>
        </w:rPr>
      </w:pPr>
      <w:bookmarkStart w:id="0" w:name="_GoBack"/>
      <w:bookmarkEnd w:id="0"/>
    </w:p>
    <w:tbl>
      <w:tblPr>
        <w:tblStyle w:val="8"/>
        <w:tblW w:w="0" w:type="auto"/>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656"/>
        <w:gridCol w:w="5593"/>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88" w:hRule="atLeast"/>
        </w:trPr>
        <w:tc>
          <w:tcPr>
            <w:tcW w:w="0" w:type="auto"/>
            <w:shd w:val="clear" w:color="auto" w:fill="FFFFFF" w:themeFill="background1"/>
            <w:noWrap/>
            <w:vAlign w:val="center"/>
          </w:tcPr>
          <w:p>
            <w:pPr>
              <w:widowControl/>
              <w:jc w:val="center"/>
              <w:rPr>
                <w:rFonts w:ascii="黑体" w:hAnsi="黑体" w:eastAsia="黑体" w:cs="宋体"/>
                <w:color w:val="000000" w:themeColor="text1"/>
                <w:kern w:val="0"/>
                <w:sz w:val="22"/>
              </w:rPr>
            </w:pPr>
            <w:r>
              <w:rPr>
                <w:rFonts w:hint="eastAsia" w:ascii="黑体" w:hAnsi="黑体" w:eastAsia="黑体" w:cs="宋体"/>
                <w:color w:val="000000" w:themeColor="text1"/>
                <w:kern w:val="0"/>
                <w:sz w:val="22"/>
              </w:rPr>
              <w:t>序号</w:t>
            </w:r>
          </w:p>
        </w:tc>
        <w:tc>
          <w:tcPr>
            <w:tcW w:w="5593" w:type="dxa"/>
            <w:shd w:val="clear" w:color="auto" w:fill="FFFFFF" w:themeFill="background1"/>
            <w:vAlign w:val="center"/>
          </w:tcPr>
          <w:p>
            <w:pPr>
              <w:widowControl/>
              <w:jc w:val="center"/>
              <w:rPr>
                <w:rFonts w:ascii="黑体" w:hAnsi="黑体" w:eastAsia="黑体" w:cs="宋体"/>
                <w:color w:val="000000" w:themeColor="text1"/>
                <w:kern w:val="0"/>
                <w:sz w:val="22"/>
              </w:rPr>
            </w:pPr>
            <w:r>
              <w:rPr>
                <w:rFonts w:hint="eastAsia" w:ascii="黑体" w:hAnsi="黑体" w:eastAsia="黑体" w:cs="宋体"/>
                <w:color w:val="000000" w:themeColor="text1"/>
                <w:kern w:val="0"/>
                <w:sz w:val="22"/>
              </w:rPr>
              <w:t>标题</w:t>
            </w:r>
          </w:p>
        </w:tc>
        <w:tc>
          <w:tcPr>
            <w:tcW w:w="2177" w:type="dxa"/>
            <w:shd w:val="clear" w:color="auto" w:fill="FFFFFF" w:themeFill="background1"/>
            <w:vAlign w:val="center"/>
          </w:tcPr>
          <w:p>
            <w:pPr>
              <w:widowControl/>
              <w:jc w:val="center"/>
              <w:rPr>
                <w:rFonts w:ascii="黑体" w:hAnsi="黑体" w:eastAsia="黑体" w:cs="宋体"/>
                <w:color w:val="000000" w:themeColor="text1"/>
                <w:kern w:val="0"/>
                <w:sz w:val="22"/>
              </w:rPr>
            </w:pPr>
            <w:r>
              <w:rPr>
                <w:rFonts w:hint="eastAsia" w:ascii="黑体" w:hAnsi="黑体" w:eastAsia="黑体" w:cs="宋体"/>
                <w:color w:val="000000" w:themeColor="text1"/>
                <w:kern w:val="0"/>
                <w:sz w:val="22"/>
              </w:rPr>
              <w:t>发文日期</w:t>
            </w:r>
          </w:p>
          <w:p>
            <w:pPr>
              <w:widowControl/>
              <w:jc w:val="center"/>
              <w:rPr>
                <w:rFonts w:ascii="黑体" w:hAnsi="黑体" w:eastAsia="黑体" w:cs="宋体"/>
                <w:color w:val="000000" w:themeColor="text1"/>
                <w:kern w:val="0"/>
                <w:sz w:val="22"/>
              </w:rPr>
            </w:pPr>
            <w:r>
              <w:rPr>
                <w:rFonts w:hint="eastAsia" w:ascii="黑体" w:hAnsi="黑体" w:eastAsia="黑体" w:cs="宋体"/>
                <w:color w:val="000000" w:themeColor="text1"/>
                <w:kern w:val="0"/>
                <w:sz w:val="22"/>
              </w:rPr>
              <w:t>及文号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最高人民法院关于人民法院司法统计工作的若干规定</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1985年11月21日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0"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最高人民法院印发《处理涉台刑事申诉、民事案件座谈会纪要》的通知</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附一：处理涉台刑事申诉、民事案件座谈会纪要（节录）</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附二：关于人民法院处理涉台民事案件的几个法律问题</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1988年8月5日</w:t>
            </w:r>
          </w:p>
          <w:p>
            <w:pPr>
              <w:widowControl/>
              <w:rPr>
                <w:rFonts w:ascii="仿宋_GB2312" w:hAnsi="宋体" w:eastAsia="仿宋_GB2312" w:cs="宋体"/>
                <w:color w:val="000000" w:themeColor="text1"/>
                <w:spacing w:val="-24"/>
                <w:kern w:val="0"/>
                <w:sz w:val="22"/>
              </w:rPr>
            </w:pPr>
            <w:r>
              <w:rPr>
                <w:rFonts w:hint="eastAsia" w:ascii="仿宋_GB2312" w:hAnsi="宋体" w:eastAsia="仿宋_GB2312" w:cs="宋体"/>
                <w:color w:val="000000" w:themeColor="text1"/>
                <w:spacing w:val="-24"/>
                <w:kern w:val="0"/>
                <w:sz w:val="22"/>
              </w:rPr>
              <w:t>法〔办〕发〔1988〕18号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最高人民法院关于各级人民法院与港方签订有关法律事务协议的须先报经最高人民法院审查批准的通知</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1988年8月25日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高法明电〔1988〕62号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最高人民法院关于学习宣传贯彻《中华人民共和国未成年人保护法》的通知</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1991年12月24日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法〔研〕发〔1991〕44号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最高人民法院关于印发《法官考评委员会暂行组织办法》和《初任审判员助理审判员考试暂行办法》的通知</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br w:type="page"/>
            </w:r>
            <w:r>
              <w:rPr>
                <w:rFonts w:hint="eastAsia" w:ascii="仿宋_GB2312" w:hAnsi="等线" w:eastAsia="仿宋_GB2312" w:cs="宋体"/>
                <w:color w:val="000000" w:themeColor="text1"/>
                <w:kern w:val="0"/>
                <w:sz w:val="22"/>
              </w:rPr>
              <w:t>附：法官考评委员会暂行组织办法</w:t>
            </w:r>
            <w:r>
              <w:rPr>
                <w:rFonts w:hint="eastAsia" w:ascii="仿宋_GB2312" w:hAnsi="等线" w:eastAsia="仿宋_GB2312" w:cs="宋体"/>
                <w:color w:val="000000" w:themeColor="text1"/>
                <w:kern w:val="0"/>
                <w:sz w:val="22"/>
              </w:rPr>
              <w:br w:type="page"/>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初任审判员、助理审判员考试暂行办法</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1996年6月26日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法发〔1996〕20号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w:t>
            </w:r>
          </w:p>
        </w:tc>
        <w:tc>
          <w:tcPr>
            <w:tcW w:w="5593" w:type="dxa"/>
            <w:shd w:val="clear" w:color="auto" w:fill="FFFFFF" w:themeFill="background1"/>
            <w:vAlign w:val="center"/>
          </w:tcPr>
          <w:p>
            <w:pPr>
              <w:widowControl/>
              <w:rPr>
                <w:rFonts w:ascii="仿宋_GB2312" w:eastAsia="仿宋_GB2312"/>
                <w:color w:val="000000" w:themeColor="text1"/>
                <w:sz w:val="22"/>
              </w:rPr>
            </w:pPr>
            <w:r>
              <w:rPr>
                <w:rFonts w:hint="eastAsia" w:ascii="仿宋_GB2312" w:eastAsia="仿宋_GB2312"/>
                <w:color w:val="000000" w:themeColor="text1"/>
                <w:sz w:val="22"/>
              </w:rPr>
              <w:t>最高人民法院关于适用《中华人民共和国民法总则》诉讼时效制度若干问题的解释</w:t>
            </w:r>
          </w:p>
        </w:tc>
        <w:tc>
          <w:tcPr>
            <w:tcW w:w="2177" w:type="dxa"/>
            <w:shd w:val="clear" w:color="auto" w:fill="FFFFFF" w:themeFill="background1"/>
            <w:vAlign w:val="center"/>
          </w:tcPr>
          <w:p>
            <w:pPr>
              <w:widowControl/>
              <w:rPr>
                <w:rFonts w:ascii="仿宋_GB2312" w:eastAsia="仿宋_GB2312"/>
                <w:color w:val="000000" w:themeColor="text1"/>
                <w:sz w:val="22"/>
              </w:rPr>
            </w:pPr>
            <w:r>
              <w:rPr>
                <w:rFonts w:hint="eastAsia" w:ascii="仿宋_GB2312" w:eastAsia="仿宋_GB2312"/>
                <w:color w:val="000000" w:themeColor="text1"/>
                <w:sz w:val="22"/>
              </w:rPr>
              <w:t>2018年7月18日</w:t>
            </w:r>
          </w:p>
          <w:p>
            <w:pPr>
              <w:widowControl/>
              <w:rPr>
                <w:rFonts w:ascii="仿宋_GB2312" w:eastAsia="仿宋_GB2312"/>
                <w:color w:val="000000" w:themeColor="text1"/>
                <w:sz w:val="22"/>
              </w:rPr>
            </w:pPr>
            <w:r>
              <w:rPr>
                <w:rFonts w:hint="eastAsia" w:ascii="仿宋_GB2312" w:eastAsia="仿宋_GB2312"/>
                <w:color w:val="000000" w:themeColor="text1"/>
                <w:sz w:val="22"/>
              </w:rPr>
              <w:t>法释〔2018〕12号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w:t>
            </w:r>
          </w:p>
        </w:tc>
        <w:tc>
          <w:tcPr>
            <w:tcW w:w="5593" w:type="dxa"/>
            <w:shd w:val="clear" w:color="auto" w:fill="FFFFFF" w:themeFill="background1"/>
            <w:vAlign w:val="center"/>
          </w:tcPr>
          <w:p>
            <w:pPr>
              <w:widowControl/>
              <w:rPr>
                <w:rFonts w:ascii="仿宋_GB2312" w:eastAsia="仿宋_GB2312"/>
                <w:color w:val="000000" w:themeColor="text1"/>
                <w:sz w:val="22"/>
              </w:rPr>
            </w:pPr>
            <w:r>
              <w:rPr>
                <w:rFonts w:hint="eastAsia" w:ascii="仿宋_GB2312" w:eastAsia="仿宋_GB2312"/>
                <w:color w:val="000000" w:themeColor="text1"/>
                <w:sz w:val="22"/>
              </w:rPr>
              <w:t>最高人民法院印发《关于贯彻执行〈中华人民共和国民法通则〉若干问题的意见（试行）》的通知</w:t>
            </w:r>
          </w:p>
          <w:p>
            <w:pPr>
              <w:widowControl/>
              <w:rPr>
                <w:rFonts w:ascii="仿宋_GB2312" w:eastAsia="仿宋_GB2312"/>
                <w:color w:val="000000" w:themeColor="text1"/>
                <w:sz w:val="22"/>
              </w:rPr>
            </w:pPr>
            <w:r>
              <w:rPr>
                <w:rFonts w:hint="eastAsia" w:ascii="仿宋_GB2312" w:eastAsia="仿宋_GB2312"/>
                <w:color w:val="000000" w:themeColor="text1"/>
                <w:sz w:val="22"/>
              </w:rPr>
              <w:t>附：最高人民法院关于贯彻执行《中华人民共和国民法通则》若干问题的意见（试行）</w:t>
            </w:r>
          </w:p>
        </w:tc>
        <w:tc>
          <w:tcPr>
            <w:tcW w:w="2177" w:type="dxa"/>
            <w:shd w:val="clear" w:color="auto" w:fill="FFFFFF" w:themeFill="background1"/>
            <w:vAlign w:val="center"/>
          </w:tcPr>
          <w:p>
            <w:pPr>
              <w:widowControl/>
              <w:rPr>
                <w:rFonts w:ascii="仿宋_GB2312" w:eastAsia="仿宋_GB2312"/>
                <w:color w:val="000000" w:themeColor="text1"/>
                <w:sz w:val="22"/>
              </w:rPr>
            </w:pPr>
            <w:r>
              <w:rPr>
                <w:rFonts w:hint="eastAsia" w:ascii="仿宋_GB2312" w:eastAsia="仿宋_GB2312"/>
                <w:color w:val="000000" w:themeColor="text1"/>
                <w:sz w:val="22"/>
              </w:rPr>
              <w:t>1988年4月2日</w:t>
            </w:r>
          </w:p>
          <w:p>
            <w:pPr>
              <w:widowControl/>
              <w:rPr>
                <w:rFonts w:ascii="仿宋_GB2312" w:eastAsia="仿宋_GB2312"/>
                <w:color w:val="000000" w:themeColor="text1"/>
                <w:sz w:val="22"/>
              </w:rPr>
            </w:pPr>
            <w:r>
              <w:rPr>
                <w:rFonts w:hint="eastAsia" w:ascii="仿宋_GB2312" w:hAnsi="宋体" w:eastAsia="仿宋_GB2312" w:cs="宋体"/>
                <w:color w:val="000000" w:themeColor="text1"/>
                <w:spacing w:val="-24"/>
                <w:kern w:val="0"/>
                <w:sz w:val="22"/>
              </w:rPr>
              <w:t>法（办）发〔1988〕6号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8"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最高人民法院关于适用《中华人民共和国物权法》若干问题的解释（一）</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2016年2月22日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法释〔2016〕5号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最高人民法院关于适用《中华人民共和国担保法》若干问题的解释</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2000年12月8日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法释〔2000〕44号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最高人民法院关于国有工业企业以机器设备等财产为抵押物与债权人签订的抵押合同的效力问题的批复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2002年6月18日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法释〔2002〕14号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7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最高人民法院关于审理出口退税托管账户质押贷款案件有关问题的规定</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2004年11月22日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法释〔2004〕18号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最高人民法院关于执行《民事政策法律若干问题的意见》中几个涉及房屋典当问题的函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1985年2月24日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法〔民〕函〔1985〕8号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最高人民法院关于典当房屋被视为绝卖以后确认产权程序问题的批复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1989年7月24日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 xml:space="preserve">〔1989〕法民字第17号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最高人民法院关于私房改造中典当双方都是被改造户的回赎案件应如何处理问题的批复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1990年7月25日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法民〔1990〕6号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最高人民法院关于会计师事务所为企业出具虚假验资证明应如何承担责任问题的批复</w:t>
            </w:r>
          </w:p>
        </w:tc>
        <w:tc>
          <w:tcPr>
            <w:tcW w:w="2177"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 xml:space="preserve">1998年6月26日 </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法释</w:t>
            </w:r>
            <w:r>
              <w:rPr>
                <w:rFonts w:hint="eastAsia" w:ascii="仿宋_GB2312" w:hAnsi="宋体" w:eastAsia="仿宋_GB2312" w:cs="宋体"/>
                <w:color w:val="000000" w:themeColor="text1"/>
                <w:spacing w:val="-24"/>
                <w:kern w:val="0"/>
                <w:sz w:val="22"/>
              </w:rPr>
              <w:t>〔1998〕</w:t>
            </w:r>
            <w:r>
              <w:rPr>
                <w:rFonts w:hint="eastAsia" w:ascii="仿宋_GB2312" w:hAnsi="等线" w:eastAsia="仿宋_GB2312" w:cs="宋体"/>
                <w:color w:val="000000" w:themeColor="text1"/>
                <w:kern w:val="0"/>
                <w:sz w:val="22"/>
              </w:rPr>
              <w:t>13号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最高人民法院关于适用《中华人民共和国合同法》若干问题的解释（一）</w:t>
            </w:r>
          </w:p>
        </w:tc>
        <w:tc>
          <w:tcPr>
            <w:tcW w:w="2177"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1999年12月29日</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法释〔1999〕19号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最高人民法院关于适用《中华人民共和国合同法》若干问题的解释（二）</w:t>
            </w:r>
          </w:p>
        </w:tc>
        <w:tc>
          <w:tcPr>
            <w:tcW w:w="2177"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2009年4月24日</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法释〔2009〕5号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最高人民法院关于单位负责人被追究刑事责任后单位应否承担返还其预收货款的责任问题的批复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1989年1月3日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 xml:space="preserve">法（经）复〔1989〕1号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最高人民法院关于逾期付款违约金应当按照何种标准计算问题的批复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1999年2月12日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法释〔1999〕8号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1"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最高人民法院关于修改《最高人民法院关于逾期付款违约金应当按照何种标准计算问题的批复》的批复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2000年11月15日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法释〔2000〕34号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最高人民法院关于郑立本与青岛市建筑安装工程公司追索赔偿金纠纷一案的复函</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附：山东省高级人民法院关于审理郑立本与青岛市建筑安装工程公司追索赔偿金纠纷一案的请示</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1993年7月13日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〔1993〕民他字第14号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最高人民法院关于建设工程价款优先受偿权问题的批复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2002年6月20日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法释〔2002〕16号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最高人民法院关于审理建设工程施工合同纠纷案件适用法律问题的解释</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2004年10月25日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法释〔2004〕14号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9"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24</w:t>
            </w:r>
          </w:p>
        </w:tc>
        <w:tc>
          <w:tcPr>
            <w:tcW w:w="5593" w:type="dxa"/>
            <w:shd w:val="clear" w:color="auto" w:fill="FFFFFF" w:themeFill="background1"/>
            <w:vAlign w:val="center"/>
          </w:tcPr>
          <w:p>
            <w:pPr>
              <w:widowControl/>
              <w:rPr>
                <w:rFonts w:ascii="仿宋_GB2312" w:hAnsi="宋体" w:eastAsia="仿宋_GB2312" w:cs="宋体"/>
                <w:color w:val="000000" w:themeColor="text1"/>
                <w:kern w:val="0"/>
                <w:sz w:val="24"/>
                <w:szCs w:val="24"/>
              </w:rPr>
            </w:pPr>
            <w:r>
              <w:rPr>
                <w:rFonts w:hint="eastAsia" w:ascii="仿宋_GB2312" w:hAnsi="等线" w:eastAsia="仿宋_GB2312" w:cs="宋体"/>
                <w:color w:val="000000" w:themeColor="text1"/>
                <w:kern w:val="0"/>
                <w:sz w:val="22"/>
              </w:rPr>
              <w:t>最高人民法院关于审理建设工程施工合同纠纷案件适用法律问题的解释（二）</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2018年12月29日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法释〔2018〕20号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最高人民法院关于银行、信用社扣划预付货款收贷应否退还问题的批复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1994年3月9日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法复〔1994〕1号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最高人民法院关于乡政府与其他单位签订的联营协议效力问题的批复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1988年1月9日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 xml:space="preserve">法（经）复〔1988〕3号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最高人民法院关于印发《关于审理联营合同纠纷案件若干问题的解答》的通知</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附：最高人民法院关于审理联营合同纠纷案件若干问题的解答</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1990年11月12日</w:t>
            </w:r>
          </w:p>
          <w:p>
            <w:pPr>
              <w:widowControl/>
              <w:rPr>
                <w:rFonts w:ascii="仿宋_GB2312" w:hAnsi="宋体" w:eastAsia="仿宋_GB2312" w:cs="宋体"/>
                <w:color w:val="000000" w:themeColor="text1"/>
                <w:spacing w:val="-20"/>
                <w:kern w:val="0"/>
                <w:sz w:val="22"/>
              </w:rPr>
            </w:pPr>
            <w:r>
              <w:rPr>
                <w:rFonts w:hint="eastAsia" w:ascii="仿宋_GB2312" w:hAnsi="宋体" w:eastAsia="仿宋_GB2312" w:cs="宋体"/>
                <w:color w:val="000000" w:themeColor="text1"/>
                <w:spacing w:val="-20"/>
                <w:kern w:val="0"/>
                <w:sz w:val="22"/>
              </w:rPr>
              <w:t>法（经）发〔1990〕27号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最高人民法院关于作为保证人的合伙组织被撤销后自行公告期限清理债权债务的，债权人在诉讼时效期间内有权要求合伙人承担保证责任问题的批复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1988年10月18日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法（经）复〔1988〕46号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29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最高人民法院关于审理经济合同纠纷案件有关保证的若干问题的规定</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1994年4月15日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法发〔1994〕8号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最高人民法院关于因法院错判导致债权利息损失扩大保证人应否承担责任问题的批复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2000年8月8日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法释〔2000〕24号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最高人民法院关于涉及担保纠纷案件的司法解释的适用和保证责任方式认定问题的批复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2002年11月23日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 xml:space="preserve">法释〔2002〕38号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最高人民法院关于已承担保证责任的保证人向其他保证人行使追偿权问题的批复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2002年11月23日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法释〔2002〕37号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最高人民法院关于人民法院应当如何认定保证人在保证期间届满后又在催款通知书上签字问题的批复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2004年4月14日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法释〔2004〕4号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最高人民法院关于审理名誉权案件若干问题的解答</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1993年8月7日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法发〔1993〕15号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最高人民法院关于审理名誉权案件若干问题的解释</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1998年8月31日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 xml:space="preserve">法释〔1998〕26号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最高人民法院印发《关于人民法院审理离婚案件如何认定夫妻感情确已破裂的若干具体意见》《关于人民法院审理未办结婚登记而以夫妻名义同居生活案件的若干意见》的通知</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附：最高人民法院关于人民法院审理离婚案件如何认定夫妻感情确已破裂的若干具体意见</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关于人民法院审理未办结婚登记而以夫妻名义同居生活案件的若干意见</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1989年12月13日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法〔民〕发〔1989〕38号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最高人民法院关于人民法院审理离婚案件处理财产分割问题的若干具体意见</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1993年11月3日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法发〔1993〕32号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最高人民法院关于人民法院审理离婚案件处理子女抚养问题的若干具体意见</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1993年11月3日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法发〔1993〕30号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39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最高人民法院印发《关于审理离婚案件中公房使用、承租若干问题的解答》的通知</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br w:type="page"/>
            </w:r>
            <w:r>
              <w:rPr>
                <w:rFonts w:hint="eastAsia" w:ascii="仿宋_GB2312" w:hAnsi="等线" w:eastAsia="仿宋_GB2312" w:cs="宋体"/>
                <w:color w:val="000000" w:themeColor="text1"/>
                <w:kern w:val="0"/>
                <w:sz w:val="22"/>
              </w:rPr>
              <w:t>附：最高人民法院关于审理离婚案件中公房使用、承租若干问题的解答</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1996年2月5日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法发〔1996〕4号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最高人民法院关于适用《中华人民共和国婚姻法》若干问题的解释（一）</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2001年12月24日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法释〔2001〕30号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最高人民法院关于适用《中华人民共和国婚姻法》若干问题的解释（二）</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2003年12月25日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法释〔2003〕19号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5"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最高人民法院关于适用《中华人民共和国婚姻法》若干问题的解释（三）</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2011年8月9日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法释〔2011〕18号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最高人民法院关于适用《中华人民共和国婚姻法》若干问题的解释（二）的补充规定</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2017年2月28日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法释〔2017〕6号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最高人民法院关于审理涉及夫妻债务纠纷案件适用法律有关问题的解释</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2018年1月16日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法释〔2018〕2号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最高人民法院关于违反计划生育政策的超生子女可否列为职工的供养直系亲属等问题的复函</w:t>
            </w:r>
          </w:p>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附：劳动部保险福利司关于违反计划生育政策的超生子女可否列为职工的供养直系亲属等问题的征求意见函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1990年8月13日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〔1990〕法民字第17号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eastAsia="仿宋_GB2312"/>
                <w:color w:val="000000" w:themeColor="text1"/>
                <w:sz w:val="22"/>
              </w:rPr>
            </w:pPr>
            <w:r>
              <w:rPr>
                <w:rFonts w:hint="eastAsia" w:ascii="仿宋_GB2312" w:hAnsi="等线" w:eastAsia="仿宋_GB2312" w:cs="宋体"/>
                <w:kern w:val="0"/>
                <w:sz w:val="22"/>
              </w:rPr>
              <w:t>46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kern w:val="0"/>
                <w:sz w:val="22"/>
              </w:rPr>
              <w:t>最高人民法院关于夫妻离婚后人工授精所生子女的法律地位如何确定的复函</w:t>
            </w:r>
            <w:r>
              <w:rPr>
                <w:rFonts w:hint="eastAsia" w:ascii="仿宋_GB2312" w:hAnsi="等线" w:eastAsia="仿宋_GB2312" w:cs="宋体"/>
                <w:kern w:val="0"/>
                <w:sz w:val="22"/>
              </w:rPr>
              <w:br w:type="textWrapping"/>
            </w:r>
            <w:r>
              <w:rPr>
                <w:rFonts w:hint="eastAsia" w:ascii="仿宋_GB2312" w:hAnsi="等线" w:eastAsia="仿宋_GB2312" w:cs="宋体"/>
                <w:kern w:val="0"/>
                <w:sz w:val="22"/>
              </w:rPr>
              <w:t>附：河北省高级人民法院关于夫妻离婚后人工授精所生子女的法律地位如何确定的请示</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kern w:val="0"/>
                <w:sz w:val="22"/>
              </w:rPr>
              <w:t>1991年7月8日</w:t>
            </w:r>
            <w:r>
              <w:rPr>
                <w:rFonts w:hint="eastAsia" w:ascii="仿宋_GB2312" w:hAnsi="宋体" w:eastAsia="仿宋_GB2312" w:cs="宋体"/>
                <w:color w:val="000000" w:themeColor="text1"/>
                <w:spacing w:val="-24"/>
                <w:kern w:val="0"/>
                <w:sz w:val="22"/>
              </w:rPr>
              <w:t>〔1991〕民他字第12号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spacing w:val="-10"/>
                <w:kern w:val="0"/>
                <w:sz w:val="22"/>
              </w:rPr>
            </w:pPr>
            <w:r>
              <w:rPr>
                <w:rFonts w:hint="eastAsia" w:ascii="仿宋_GB2312" w:hAnsi="等线" w:eastAsia="仿宋_GB2312" w:cs="宋体"/>
                <w:color w:val="000000" w:themeColor="text1"/>
                <w:spacing w:val="-10"/>
                <w:kern w:val="0"/>
                <w:sz w:val="22"/>
              </w:rPr>
              <w:t>最高人民法院关于认真学习宣传和贯彻执行继承法的通知</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1985年6月12日</w:t>
            </w:r>
          </w:p>
          <w:p>
            <w:pPr>
              <w:widowControl/>
              <w:rPr>
                <w:rFonts w:ascii="仿宋_GB2312" w:hAnsi="宋体" w:eastAsia="仿宋_GB2312" w:cs="宋体"/>
                <w:color w:val="000000" w:themeColor="text1"/>
                <w:spacing w:val="-24"/>
                <w:kern w:val="0"/>
                <w:sz w:val="22"/>
              </w:rPr>
            </w:pPr>
            <w:r>
              <w:rPr>
                <w:rFonts w:hint="eastAsia" w:ascii="仿宋_GB2312" w:hAnsi="宋体" w:eastAsia="仿宋_GB2312" w:cs="宋体"/>
                <w:color w:val="000000" w:themeColor="text1"/>
                <w:spacing w:val="-24"/>
                <w:kern w:val="0"/>
                <w:sz w:val="22"/>
              </w:rPr>
              <w:t>法（民）发〔1985〕13号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最高人民法院关于贯彻执行《中华人民共和国继承法》若干问题的意见</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1985年9月11日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 xml:space="preserve">法(民)发〔1985〕22号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49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最高人民法院关于保险金能否作为被保险人遗产的批复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1988年3月24日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〔1987〕民他字第52号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最高人民法院关于被继承人死亡后没有法定继承人分享遗产人能否分得全部遗产的复函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1992年10月11日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 xml:space="preserve">〔1992〕民他字第25号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spacing w:val="-10"/>
                <w:kern w:val="0"/>
                <w:sz w:val="22"/>
              </w:rPr>
              <w:t>最高人民法院关于如何处理农村五保对象遗产问题的批复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2000年7月25日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法释〔2000〕23号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最高人民法院关于刊登侵害他人名誉权小说的出版单位在作者已被判刑后还应否承担民事责任的复函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1992年8月14日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〔1992〕民他字第1号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最高人民法院关于审理中外合资经营合同纠纷案件如何清算合资企业问题的批复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1998年1月15日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 xml:space="preserve"> 法释〔1998〕1号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最高人民法院关于审计（师）事务所执业审计师可以接受清算组的聘任参与企业破产清算的通知</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1993年8月28日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 xml:space="preserve">法〔1993〕72号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最高人民法院关于对企业法人破产还债程序终结的裁定的抗诉应否受理问题的批复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1997年7月31日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法释〔1997〕2号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最高人民法院关于破产清算组在履行职责过程中违约或侵权等民事纠纷案件诉讼管辖问题的批复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2004年6月21日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法释〔2004〕5号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最高人民法院关于信用社违反规定手续退汇给他人造成损失应承担民事责任问题的批复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1988年10月18日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法（经）复〔1988〕45号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最高人民法院关于出借银行账户的当事人是否承担民事责任问题的批复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1991年9月27日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法（经）复〔1991〕5号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59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最高人民法院经济审判庭关于代理发行企业债券的金融机构应否承担企业债券发行人债务责任问题的复函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1994年4月29日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法经〔1994〕103号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最高人民法院关于审理涉及金融资产管理公司收购、管理、处置国有银行不良贷款形成的资产的案件适用法律若干问题的规定</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2001年4月11日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法释〔2001〕12号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最高人民法院关于如何确定证券回购合同履行地问题的批复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1996年7月4日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法复〔1996〕9号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最高人民法院关于审理劳动争议案件适用法律若干问题的解释</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2001年4月16日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 xml:space="preserve">法释〔2001〕14号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最高人民法院关于审理劳动争议案件适用法律若干问题的解释（二）</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2006年8月14日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法释〔2006〕6号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最高人民法院关于审理劳动争议案件适用法律若干问题的解释（三）</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2010年9月13日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法释〔2010〕12号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最高人民法院关于审理劳动争议案件适用法律若干问题的解释（四）</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2013年1月18日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法释〔2013〕4号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最高人民法院关于银行工作人员未按规定办理储户挂失造成储户损失银行是否承担民事责任问题的批复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1990年9月11日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法（民）复〔1990〕13号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最高人民法院关于审理合伙型联营体和个人合伙对外债</w:t>
            </w:r>
            <w:r>
              <w:rPr>
                <w:rFonts w:hint="eastAsia" w:ascii="仿宋_GB2312" w:hAnsi="等线" w:eastAsia="仿宋_GB2312" w:cs="宋体"/>
                <w:color w:val="000000" w:themeColor="text1"/>
                <w:spacing w:val="-10"/>
                <w:kern w:val="0"/>
                <w:sz w:val="22"/>
              </w:rPr>
              <w:t>务纠纷案件应否一并确定合伙内部各方的债务份额的复函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1992年3月18日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法函〔1992〕34号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最高人民法院关于对私营客车保险期满后发生的车祸事故保险公司应否承担保险责任问题的请示的复函</w:t>
            </w:r>
          </w:p>
        </w:tc>
        <w:tc>
          <w:tcPr>
            <w:tcW w:w="2177" w:type="dxa"/>
            <w:shd w:val="clear" w:color="auto" w:fill="FFFFFF" w:themeFill="background1"/>
            <w:vAlign w:val="center"/>
          </w:tcPr>
          <w:p>
            <w:pPr>
              <w:widowControl/>
              <w:rPr>
                <w:rFonts w:hint="eastAsia"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 xml:space="preserve">1993年8月4日 </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 xml:space="preserve">法经〔1993〕161号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69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最高人民法院关于如何适用《中华人民共和国民法通则》第一百三十四条第三款的复函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1993年11月4日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最高人民法院关于企业开办的其他企业被撤销或者歇业后民事责任承担问题的批复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1994年3月30日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法复〔1994〕4号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最高人民法院关于市政府经济技术协作委员会能否作为诉讼主体独立承担民事责任问题的复函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1996年1月8日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法函〔1996〕9号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最高人民法院关于银行以折角核对方法核对印鉴应否承担客户存款被骗取的民事责任问题的复函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1996年3月21日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法函〔1996〕65号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最高人民法院关于金融机构为行政机关批准开办的公司提供注册资金验资报告不实应当承担责任问题的批复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1996年3月27日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法复〔1996〕3号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最高人民法院关于城市街道办事处是否应当独立承担民事责任的批复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1997年7月14日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法释〔1997〕1号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最高人民法院关于验资单位对多个案件债权人损失应如何承担责任的批复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1997年12月31日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法释〔1997〕10号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最高人民法院关于交通事故中的财产损失是否包括被损车辆停运损失问题的批复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1999年2月11日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法释〔1999〕5号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最高人民法院关于被盗机动车辆肇事后由谁承担损害赔偿责任问题的批复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1999年6月25日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法释〔1999〕13号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最高人民法院关于托运人主张货损货差而拒付运费应否支付滞纳金的答复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1992年2月12日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法函〔1992〕16号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79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最高人民法院对在审判工作中有关适用民法通则时效的几个问题的批复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1987年5月22日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 xml:space="preserve">法(研)复〔1987〕18号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最高人民法院关于企业或个人欠国家银行贷款逾期两年未还应当适用民法通则规定的诉讼时效问题的批复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1993年2月22日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法复〔1993〕1号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最高人民法院关于超过诉讼时效期间当事人达成的还款协议是否应当受法律保护问题的批复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1997年4月16日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法复〔1997〕4号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最高人民法院关于审理第一审专利案件聘请专家担任陪审员的复函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1991年6月6日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法（经）函〔1991〕64号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最高人民法院关于在专利侵权诉讼中当事人均拥有专利权应如何处理问题的批复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1993年8月16日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〔93〕经他字第20号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最高人民法院关于对诉前停止侵犯专利权行为适用法律问题的若干规定</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2001年6月7日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法释〔2001〕20号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最高人民法院关于诉前停止侵犯注册商标专用权行为和保全证据适用法律问题的解释</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2002年1月9日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法释〔2002〕2号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最高人民法院关于调整司法解释等文件中引用《中华人民共和国民事诉讼法》条文序号的决定</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2008年12月16日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法释〔2008〕18号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最高人民法院关于行政机关对土地争议的处理决定生效后一方不履行另一方不应以民事侵权向法院起诉的批复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1991年7月24日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〔90〕法民字第2号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最高人民法院关于人民法院应否受理财政、扶贫办等非金融行政机构借款合同纠纷的批复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1993年8月28日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法复〔1993〕7号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89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最高人民法院关于劳动仲裁委员会逾期不作出仲裁裁决或者作出不予受理通知的劳动争议案件，人民法院应否受理的批复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1998年9月2日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w:t>
            </w:r>
            <w:r>
              <w:rPr>
                <w:rFonts w:hint="eastAsia" w:ascii="仿宋_GB2312" w:hAnsi="宋体" w:eastAsia="仿宋_GB2312" w:cs="宋体"/>
                <w:color w:val="000000" w:themeColor="text1"/>
                <w:spacing w:val="-24"/>
                <w:kern w:val="0"/>
                <w:sz w:val="22"/>
              </w:rPr>
              <w:t>〔1998〕</w:t>
            </w:r>
            <w:r>
              <w:rPr>
                <w:rFonts w:hint="eastAsia" w:ascii="仿宋_GB2312" w:hAnsi="宋体" w:eastAsia="仿宋_GB2312" w:cs="宋体"/>
                <w:color w:val="000000" w:themeColor="text1"/>
                <w:kern w:val="0"/>
                <w:sz w:val="22"/>
              </w:rPr>
              <w:t>24号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8" w:hRule="atLeast"/>
        </w:trPr>
        <w:tc>
          <w:tcPr>
            <w:tcW w:w="0" w:type="auto"/>
            <w:shd w:val="clear" w:color="auto" w:fill="FFFFFF" w:themeFill="background1"/>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最高人民法院关于案件级别管辖几个问题的批复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1996年5月7日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法复〔1996〕5号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0" w:type="auto"/>
            <w:shd w:val="clear" w:color="auto" w:fill="FFFFFF" w:themeFill="background1"/>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最高人民法院关于经济合同的名称与内容不一致时如何确定管辖权问题的批复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1996年11月13日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法复〔1996〕16号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0" w:type="auto"/>
            <w:shd w:val="clear" w:color="auto" w:fill="FFFFFF" w:themeFill="background1"/>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最高人民法院经济审判庭关于购销合同的双方当事人在合同中约定了交货地点，但部分货物没有在约定的交货地点交付，如何确定管辖权问题的复函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1995年7月11日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法经〔1995〕206号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最高人民法院关于如何确定委托贷款协议纠纷诉讼主体资格的批复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1996年5月16日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法复〔1996〕6号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最高人民法院关于第一审离婚判决生效后应出具证明书的通知</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1991年10月24日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法〔民〕发〔1991〕33号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最高人民法院关于第二审法院裁定按自动撤回上诉处理的案件第一审法院能否再审问题的批复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1998年8月10日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法释〔1998〕19号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spacing w:val="-10"/>
                <w:kern w:val="0"/>
                <w:sz w:val="22"/>
              </w:rPr>
              <w:t>最高人民法院关于中级人民法院能否适用督促程序的复函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1993年11月9日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〔1993〕法民字第29号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最高人民法院关于适用督促程序若干问题的规定</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2001年1月8日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法释〔2001〕2号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最高人民法院关于人民法院发现已经受理的申请执行仲裁裁决或不服仲裁裁决而起诉的案件不属本院管辖应如何处理问题的批复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1988年1月13日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spacing w:val="-24"/>
                <w:kern w:val="0"/>
                <w:sz w:val="22"/>
              </w:rPr>
              <w:t>法(研)复〔1988〕8号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99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最高人民法院经济审判庭关于信用合作社责任财产范围问题的答复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1991年6月17日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法经〔1991〕67号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最高人民法院关于对因妨害民事诉讼被罚款拘留的人不服决定申请复议的期间如何确定问题的批复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1993年2月23日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〔93〕法民字第7号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9"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101</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最高人民法院关于采取诉前保全措施的法院可否超越其</w:t>
            </w:r>
            <w:r>
              <w:rPr>
                <w:rFonts w:hint="eastAsia" w:ascii="仿宋_GB2312" w:hAnsi="等线" w:eastAsia="仿宋_GB2312" w:cs="宋体"/>
                <w:color w:val="000000" w:themeColor="text1"/>
                <w:spacing w:val="-10"/>
                <w:kern w:val="0"/>
                <w:sz w:val="22"/>
              </w:rPr>
              <w:t>级别管辖权限受理诉前保全申请人提起的诉讼问题的复函</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1995年3月7日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法经〔1995〕64号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102</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最高人民法院关于认真贯彻仲裁法依法执行仲裁裁决的通知</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1995年10月4日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法发〔1995〕21号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103</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最高人民法院关于当事人因对不予执行仲裁裁决的裁定不服而申请再审人民法院不予受理的批复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1996年6月26日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法复〔1996〕8号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104</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最高人民法院关于税务机关是否有义务协助人民法院直接划拨退税款问题的批复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1996年7月21日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法复〔1996〕11号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105</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最高人民法院关于如何理解《关于适用〈中华人民共和国民事诉讼法〉若干问题的意见》第31条第2款的批复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1998年4月17日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法释〔1998〕5号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106</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最高人民法院关于对案外人的财产能否进行保全问题的批复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1998年5月19日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法释〔1998〕10号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107</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最高人民法院关于人民法院执行设定抵押的房屋的规定</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2005年12月14日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法释〔2005〕14号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108</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最高人民法院关于向外国公司送达司法文书能否向其驻华代表机构送达并适用留置送达问题的批复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2002年6月18日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法释〔2002〕15号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0" w:type="auto"/>
            <w:shd w:val="clear" w:color="auto" w:fill="FFFFFF" w:themeFill="background1"/>
            <w:noWrap/>
            <w:vAlign w:val="center"/>
          </w:tcPr>
          <w:p>
            <w:pPr>
              <w:jc w:val="center"/>
              <w:rPr>
                <w:rFonts w:ascii="仿宋_GB2312" w:hAnsi="宋体" w:eastAsia="仿宋_GB2312" w:cs="宋体"/>
                <w:color w:val="000000" w:themeColor="text1"/>
                <w:sz w:val="22"/>
              </w:rPr>
            </w:pPr>
            <w:r>
              <w:rPr>
                <w:rFonts w:hint="eastAsia" w:ascii="仿宋_GB2312" w:eastAsia="仿宋_GB2312"/>
                <w:color w:val="000000" w:themeColor="text1"/>
                <w:sz w:val="22"/>
              </w:rPr>
              <w:t>109</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最高人民法院关于当事人对仲裁协议的效力提出异议由哪一级人民法院管辖问题的批复</w:t>
            </w:r>
          </w:p>
        </w:tc>
        <w:tc>
          <w:tcPr>
            <w:tcW w:w="2177" w:type="dxa"/>
            <w:shd w:val="clear" w:color="auto" w:fill="FFFFFF" w:themeFill="background1"/>
            <w:vAlign w:val="center"/>
          </w:tcPr>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2000年8月8日</w:t>
            </w:r>
          </w:p>
          <w:p>
            <w:pPr>
              <w:widowControl/>
              <w:rPr>
                <w:rFonts w:ascii="仿宋_GB2312" w:hAnsi="宋体" w:eastAsia="仿宋_GB2312" w:cs="宋体"/>
                <w:color w:val="000000" w:themeColor="text1"/>
                <w:kern w:val="0"/>
                <w:sz w:val="22"/>
              </w:rPr>
            </w:pPr>
            <w:r>
              <w:rPr>
                <w:rFonts w:hint="eastAsia" w:ascii="仿宋_GB2312" w:hAnsi="宋体" w:eastAsia="仿宋_GB2312" w:cs="宋体"/>
                <w:color w:val="000000" w:themeColor="text1"/>
                <w:kern w:val="0"/>
                <w:sz w:val="22"/>
              </w:rPr>
              <w:t xml:space="preserve">法释〔2000〕25号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0" w:type="auto"/>
            <w:shd w:val="clear" w:color="auto" w:fill="FFFFFF" w:themeFill="background1"/>
            <w:noWrap/>
            <w:vAlign w:val="center"/>
          </w:tcPr>
          <w:p>
            <w:pPr>
              <w:jc w:val="center"/>
              <w:rPr>
                <w:rFonts w:ascii="仿宋_GB2312" w:eastAsia="仿宋_GB2312"/>
                <w:color w:val="000000" w:themeColor="text1"/>
                <w:sz w:val="22"/>
              </w:rPr>
            </w:pPr>
            <w:r>
              <w:rPr>
                <w:rFonts w:hint="eastAsia" w:ascii="仿宋_GB2312" w:eastAsia="仿宋_GB2312"/>
                <w:color w:val="000000" w:themeColor="text1"/>
                <w:sz w:val="22"/>
              </w:rPr>
              <w:t>110</w:t>
            </w:r>
          </w:p>
        </w:tc>
        <w:tc>
          <w:tcPr>
            <w:tcW w:w="5593"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最高人民法院关于解除劳动合同的劳动争议仲裁申请期限应当如何起算问题的批复</w:t>
            </w:r>
          </w:p>
        </w:tc>
        <w:tc>
          <w:tcPr>
            <w:tcW w:w="2177" w:type="dxa"/>
            <w:shd w:val="clear" w:color="auto" w:fill="FFFFFF" w:themeFill="background1"/>
            <w:vAlign w:val="center"/>
          </w:tcPr>
          <w:p>
            <w:pPr>
              <w:widowControl/>
              <w:rPr>
                <w:rFonts w:hint="eastAsia" w:ascii="仿宋_GB2312" w:hAnsi="等线" w:eastAsia="仿宋_GB2312" w:cs="宋体"/>
                <w:color w:val="000000" w:themeColor="text1"/>
                <w:kern w:val="0"/>
                <w:sz w:val="22"/>
              </w:rPr>
            </w:pPr>
            <w:r>
              <w:rPr>
                <w:rFonts w:hint="eastAsia" w:ascii="仿宋_GB2312" w:hAnsi="等线" w:eastAsia="仿宋_GB2312" w:cs="宋体"/>
                <w:color w:val="000000" w:themeColor="text1"/>
                <w:kern w:val="0"/>
                <w:sz w:val="22"/>
              </w:rPr>
              <w:t>2004年7月26日</w:t>
            </w:r>
          </w:p>
          <w:p>
            <w:pPr>
              <w:widowControl/>
              <w:rPr>
                <w:rFonts w:ascii="仿宋_GB2312" w:hAnsi="宋体" w:eastAsia="仿宋_GB2312" w:cs="宋体"/>
                <w:color w:val="000000" w:themeColor="text1"/>
                <w:kern w:val="0"/>
                <w:sz w:val="22"/>
              </w:rPr>
            </w:pPr>
            <w:r>
              <w:rPr>
                <w:rFonts w:hint="eastAsia" w:ascii="仿宋_GB2312" w:hAnsi="等线" w:eastAsia="仿宋_GB2312" w:cs="宋体"/>
                <w:color w:val="000000" w:themeColor="text1"/>
                <w:kern w:val="0"/>
                <w:sz w:val="22"/>
              </w:rPr>
              <w:t>法释〔2004〕8号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trPr>
        <w:tc>
          <w:tcPr>
            <w:tcW w:w="0" w:type="auto"/>
            <w:shd w:val="clear" w:color="auto" w:fill="FFFFFF" w:themeFill="background1"/>
            <w:noWrap/>
            <w:vAlign w:val="center"/>
          </w:tcPr>
          <w:p>
            <w:pPr>
              <w:jc w:val="center"/>
              <w:rPr>
                <w:rFonts w:ascii="仿宋_GB2312" w:eastAsia="仿宋_GB2312"/>
                <w:color w:val="000000" w:themeColor="text1"/>
                <w:sz w:val="22"/>
              </w:rPr>
            </w:pPr>
            <w:r>
              <w:rPr>
                <w:rFonts w:hint="eastAsia" w:ascii="仿宋_GB2312" w:eastAsia="仿宋_GB2312"/>
                <w:color w:val="000000" w:themeColor="text1"/>
                <w:sz w:val="22"/>
              </w:rPr>
              <w:t>111</w:t>
            </w:r>
          </w:p>
        </w:tc>
        <w:tc>
          <w:tcPr>
            <w:tcW w:w="5593" w:type="dxa"/>
            <w:shd w:val="clear" w:color="auto" w:fill="FFFFFF" w:themeFill="background1"/>
            <w:vAlign w:val="center"/>
          </w:tcPr>
          <w:p>
            <w:pPr>
              <w:rPr>
                <w:rFonts w:hint="eastAsia" w:ascii="仿宋_GB2312" w:hAnsi="等线" w:eastAsia="仿宋_GB2312" w:cs="宋体"/>
                <w:color w:val="000000" w:themeColor="text1"/>
                <w:sz w:val="22"/>
              </w:rPr>
            </w:pPr>
            <w:r>
              <w:rPr>
                <w:rFonts w:hint="eastAsia" w:ascii="仿宋_GB2312" w:hAnsi="等线" w:eastAsia="仿宋_GB2312"/>
                <w:color w:val="000000" w:themeColor="text1"/>
                <w:sz w:val="22"/>
              </w:rPr>
              <w:t>最高人民法院关于当事人持台湾地区有关行政或公证部门确认的离婚协议书向人民法院申请认可人民法院是否受理的复函</w:t>
            </w:r>
          </w:p>
        </w:tc>
        <w:tc>
          <w:tcPr>
            <w:tcW w:w="2177" w:type="dxa"/>
            <w:shd w:val="clear" w:color="auto" w:fill="FFFFFF" w:themeFill="background1"/>
            <w:vAlign w:val="center"/>
          </w:tcPr>
          <w:p>
            <w:pPr>
              <w:rPr>
                <w:rFonts w:ascii="仿宋_GB2312" w:eastAsia="仿宋_GB2312"/>
                <w:color w:val="000000" w:themeColor="text1"/>
                <w:sz w:val="22"/>
              </w:rPr>
            </w:pPr>
            <w:r>
              <w:rPr>
                <w:rFonts w:hint="eastAsia" w:ascii="仿宋_GB2312" w:eastAsia="仿宋_GB2312"/>
                <w:color w:val="000000" w:themeColor="text1"/>
                <w:sz w:val="22"/>
              </w:rPr>
              <w:t>2000年12月26日</w:t>
            </w:r>
          </w:p>
          <w:p>
            <w:pPr>
              <w:widowControl/>
              <w:rPr>
                <w:rFonts w:ascii="仿宋_GB2312" w:hAnsi="宋体" w:eastAsia="仿宋_GB2312" w:cs="宋体"/>
                <w:color w:val="000000" w:themeColor="text1"/>
                <w:sz w:val="22"/>
              </w:rPr>
            </w:pPr>
            <w:r>
              <w:rPr>
                <w:rFonts w:hint="eastAsia" w:ascii="仿宋_GB2312" w:hAnsi="宋体" w:eastAsia="仿宋_GB2312" w:cs="宋体"/>
                <w:color w:val="000000" w:themeColor="text1"/>
                <w:spacing w:val="-24"/>
                <w:kern w:val="0"/>
                <w:sz w:val="22"/>
              </w:rPr>
              <w:t>〔2000〕民他字第29号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0" w:type="auto"/>
            <w:shd w:val="clear" w:color="auto" w:fill="FFFFFF" w:themeFill="background1"/>
            <w:noWrap/>
            <w:vAlign w:val="center"/>
          </w:tcPr>
          <w:p>
            <w:pPr>
              <w:jc w:val="center"/>
              <w:rPr>
                <w:rFonts w:ascii="仿宋_GB2312" w:eastAsia="仿宋_GB2312"/>
                <w:color w:val="000000" w:themeColor="text1"/>
                <w:sz w:val="22"/>
              </w:rPr>
            </w:pPr>
            <w:r>
              <w:rPr>
                <w:rFonts w:hint="eastAsia" w:ascii="仿宋_GB2312" w:eastAsia="仿宋_GB2312"/>
                <w:color w:val="000000" w:themeColor="text1"/>
                <w:sz w:val="22"/>
              </w:rPr>
              <w:t>112</w:t>
            </w:r>
          </w:p>
        </w:tc>
        <w:tc>
          <w:tcPr>
            <w:tcW w:w="5593" w:type="dxa"/>
            <w:shd w:val="clear" w:color="auto" w:fill="FFFFFF" w:themeFill="background1"/>
            <w:vAlign w:val="center"/>
          </w:tcPr>
          <w:p>
            <w:pPr>
              <w:rPr>
                <w:rFonts w:ascii="仿宋_GB2312" w:eastAsia="仿宋_GB2312"/>
                <w:color w:val="000000" w:themeColor="text1"/>
                <w:sz w:val="22"/>
              </w:rPr>
            </w:pPr>
            <w:r>
              <w:rPr>
                <w:rFonts w:hint="eastAsia" w:ascii="仿宋_GB2312" w:hAnsi="Courier New" w:eastAsia="仿宋_GB2312" w:cs="Courier New"/>
                <w:color w:val="000000" w:themeColor="text1"/>
                <w:sz w:val="22"/>
              </w:rPr>
              <w:t>最高人民法院关于印发国家统计局《关于对职工日平均工资计算问题的复函》的通知</w:t>
            </w:r>
          </w:p>
        </w:tc>
        <w:tc>
          <w:tcPr>
            <w:tcW w:w="2177" w:type="dxa"/>
            <w:shd w:val="clear" w:color="auto" w:fill="FFFFFF" w:themeFill="background1"/>
            <w:vAlign w:val="center"/>
          </w:tcPr>
          <w:p>
            <w:pPr>
              <w:rPr>
                <w:rFonts w:ascii="仿宋_GB2312" w:eastAsia="仿宋_GB2312"/>
                <w:color w:val="000000" w:themeColor="text1"/>
                <w:sz w:val="22"/>
              </w:rPr>
            </w:pPr>
            <w:r>
              <w:rPr>
                <w:rFonts w:hint="eastAsia" w:ascii="仿宋_GB2312" w:eastAsia="仿宋_GB2312"/>
                <w:color w:val="000000" w:themeColor="text1"/>
                <w:sz w:val="22"/>
              </w:rPr>
              <w:t>1996年2月13日</w:t>
            </w:r>
          </w:p>
          <w:p>
            <w:pPr>
              <w:widowControl/>
              <w:rPr>
                <w:rFonts w:ascii="仿宋_GB2312" w:eastAsia="仿宋_GB2312"/>
                <w:color w:val="000000" w:themeColor="text1"/>
                <w:sz w:val="22"/>
              </w:rPr>
            </w:pPr>
            <w:r>
              <w:rPr>
                <w:rFonts w:hint="eastAsia" w:ascii="仿宋_GB2312" w:hAnsi="宋体" w:eastAsia="仿宋_GB2312" w:cs="宋体"/>
                <w:color w:val="000000" w:themeColor="text1"/>
                <w:spacing w:val="-24"/>
                <w:kern w:val="0"/>
                <w:sz w:val="22"/>
              </w:rPr>
              <w:t>〔1996〕法赔字第1号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0" w:type="auto"/>
            <w:shd w:val="clear" w:color="auto" w:fill="FFFFFF" w:themeFill="background1"/>
            <w:noWrap/>
            <w:vAlign w:val="center"/>
          </w:tcPr>
          <w:p>
            <w:pPr>
              <w:jc w:val="center"/>
              <w:rPr>
                <w:rFonts w:ascii="仿宋_GB2312" w:eastAsia="仿宋_GB2312"/>
                <w:color w:val="000000" w:themeColor="text1"/>
                <w:sz w:val="22"/>
              </w:rPr>
            </w:pPr>
            <w:r>
              <w:rPr>
                <w:rFonts w:hint="eastAsia" w:ascii="仿宋_GB2312" w:eastAsia="仿宋_GB2312"/>
                <w:color w:val="000000" w:themeColor="text1"/>
                <w:sz w:val="22"/>
              </w:rPr>
              <w:t>113</w:t>
            </w:r>
          </w:p>
        </w:tc>
        <w:tc>
          <w:tcPr>
            <w:tcW w:w="5593" w:type="dxa"/>
            <w:shd w:val="clear" w:color="auto" w:fill="FFFFFF" w:themeFill="background1"/>
            <w:vAlign w:val="center"/>
          </w:tcPr>
          <w:p>
            <w:pPr>
              <w:rPr>
                <w:rFonts w:ascii="仿宋_GB2312" w:hAnsi="宋体" w:eastAsia="仿宋_GB2312" w:cs="宋体"/>
                <w:color w:val="000000" w:themeColor="text1"/>
                <w:sz w:val="22"/>
              </w:rPr>
            </w:pPr>
            <w:r>
              <w:rPr>
                <w:rFonts w:hint="eastAsia" w:ascii="仿宋_GB2312" w:eastAsia="仿宋_GB2312"/>
                <w:color w:val="000000" w:themeColor="text1"/>
                <w:sz w:val="22"/>
              </w:rPr>
              <w:t>最高人民法院关于民事、行政诉讼中司法赔偿若干问题的解释</w:t>
            </w:r>
          </w:p>
        </w:tc>
        <w:tc>
          <w:tcPr>
            <w:tcW w:w="2177" w:type="dxa"/>
            <w:shd w:val="clear" w:color="auto" w:fill="FFFFFF" w:themeFill="background1"/>
            <w:vAlign w:val="center"/>
          </w:tcPr>
          <w:p>
            <w:pPr>
              <w:rPr>
                <w:rFonts w:ascii="仿宋_GB2312" w:eastAsia="仿宋_GB2312"/>
                <w:color w:val="000000" w:themeColor="text1"/>
                <w:sz w:val="22"/>
              </w:rPr>
            </w:pPr>
            <w:r>
              <w:rPr>
                <w:rFonts w:hint="eastAsia" w:ascii="仿宋_GB2312" w:eastAsia="仿宋_GB2312"/>
                <w:color w:val="000000" w:themeColor="text1"/>
                <w:sz w:val="22"/>
              </w:rPr>
              <w:t>2000年9月16日</w:t>
            </w:r>
          </w:p>
          <w:p>
            <w:pPr>
              <w:rPr>
                <w:rFonts w:ascii="仿宋_GB2312" w:hAnsi="宋体" w:eastAsia="仿宋_GB2312" w:cs="宋体"/>
                <w:color w:val="000000" w:themeColor="text1"/>
                <w:sz w:val="22"/>
              </w:rPr>
            </w:pPr>
            <w:r>
              <w:rPr>
                <w:rFonts w:hint="eastAsia" w:ascii="仿宋_GB2312" w:eastAsia="仿宋_GB2312"/>
                <w:color w:val="000000" w:themeColor="text1"/>
                <w:sz w:val="22"/>
              </w:rPr>
              <w:t>法释〔2000〕27号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0" w:type="auto"/>
            <w:shd w:val="clear" w:color="auto" w:fill="FFFFFF" w:themeFill="background1"/>
            <w:noWrap/>
            <w:vAlign w:val="center"/>
          </w:tcPr>
          <w:p>
            <w:pPr>
              <w:jc w:val="center"/>
              <w:rPr>
                <w:rFonts w:ascii="仿宋_GB2312" w:eastAsia="仿宋_GB2312"/>
                <w:color w:val="000000" w:themeColor="text1"/>
                <w:sz w:val="22"/>
              </w:rPr>
            </w:pPr>
            <w:r>
              <w:rPr>
                <w:rFonts w:hint="eastAsia" w:ascii="仿宋_GB2312" w:eastAsia="仿宋_GB2312"/>
                <w:color w:val="000000" w:themeColor="text1"/>
                <w:sz w:val="22"/>
              </w:rPr>
              <w:t>114</w:t>
            </w:r>
          </w:p>
        </w:tc>
        <w:tc>
          <w:tcPr>
            <w:tcW w:w="5593" w:type="dxa"/>
            <w:shd w:val="clear" w:color="auto" w:fill="FFFFFF" w:themeFill="background1"/>
            <w:vAlign w:val="center"/>
          </w:tcPr>
          <w:p>
            <w:pPr>
              <w:rPr>
                <w:rFonts w:ascii="仿宋_GB2312" w:eastAsia="仿宋_GB2312"/>
                <w:color w:val="000000" w:themeColor="text1"/>
                <w:sz w:val="22"/>
              </w:rPr>
            </w:pPr>
            <w:r>
              <w:rPr>
                <w:rFonts w:hint="eastAsia" w:ascii="仿宋_GB2312" w:eastAsia="仿宋_GB2312"/>
                <w:color w:val="000000" w:themeColor="text1"/>
                <w:sz w:val="22"/>
              </w:rPr>
              <w:t>最高人民法院关于印发《马原副院长在全国民事审判工作座谈会上的讲话》和《全国民事审判工作座谈会纪要》的通知</w:t>
            </w:r>
          </w:p>
        </w:tc>
        <w:tc>
          <w:tcPr>
            <w:tcW w:w="2177" w:type="dxa"/>
            <w:shd w:val="clear" w:color="auto" w:fill="FFFFFF" w:themeFill="background1"/>
            <w:vAlign w:val="center"/>
          </w:tcPr>
          <w:p>
            <w:pPr>
              <w:rPr>
                <w:rFonts w:ascii="仿宋_GB2312" w:eastAsia="仿宋_GB2312"/>
                <w:color w:val="000000" w:themeColor="text1"/>
                <w:sz w:val="22"/>
              </w:rPr>
            </w:pPr>
            <w:r>
              <w:rPr>
                <w:rFonts w:hint="eastAsia" w:ascii="仿宋_GB2312" w:eastAsia="仿宋_GB2312"/>
                <w:color w:val="000000" w:themeColor="text1"/>
                <w:sz w:val="22"/>
              </w:rPr>
              <w:t>1993年11月24日</w:t>
            </w:r>
          </w:p>
          <w:p>
            <w:pPr>
              <w:rPr>
                <w:rFonts w:ascii="仿宋_GB2312" w:hAnsi="宋体" w:eastAsia="仿宋_GB2312" w:cs="宋体"/>
                <w:color w:val="000000" w:themeColor="text1"/>
                <w:sz w:val="22"/>
              </w:rPr>
            </w:pPr>
            <w:r>
              <w:rPr>
                <w:rFonts w:hint="eastAsia" w:ascii="仿宋_GB2312" w:eastAsia="仿宋_GB2312"/>
                <w:color w:val="000000" w:themeColor="text1"/>
                <w:sz w:val="22"/>
              </w:rPr>
              <w:t>法发〔1993〕37号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0" w:type="auto"/>
            <w:shd w:val="clear" w:color="auto" w:fill="FFFFFF" w:themeFill="background1"/>
            <w:noWrap/>
            <w:vAlign w:val="center"/>
          </w:tcPr>
          <w:p>
            <w:pPr>
              <w:jc w:val="center"/>
              <w:rPr>
                <w:rFonts w:ascii="仿宋_GB2312" w:eastAsia="仿宋_GB2312"/>
                <w:color w:val="000000" w:themeColor="text1"/>
                <w:sz w:val="22"/>
              </w:rPr>
            </w:pPr>
            <w:r>
              <w:rPr>
                <w:rFonts w:hint="eastAsia" w:ascii="仿宋_GB2312" w:eastAsia="仿宋_GB2312"/>
                <w:color w:val="000000" w:themeColor="text1"/>
                <w:sz w:val="22"/>
              </w:rPr>
              <w:t>115</w:t>
            </w:r>
          </w:p>
        </w:tc>
        <w:tc>
          <w:tcPr>
            <w:tcW w:w="5593" w:type="dxa"/>
            <w:shd w:val="clear" w:color="auto" w:fill="FFFFFF" w:themeFill="background1"/>
            <w:vAlign w:val="center"/>
          </w:tcPr>
          <w:p>
            <w:pPr>
              <w:rPr>
                <w:rFonts w:ascii="仿宋_GB2312" w:hAnsi="宋体" w:eastAsia="仿宋_GB2312" w:cs="宋体"/>
                <w:color w:val="000000" w:themeColor="text1"/>
                <w:sz w:val="22"/>
              </w:rPr>
            </w:pPr>
            <w:r>
              <w:rPr>
                <w:rFonts w:hint="eastAsia" w:ascii="仿宋_GB2312" w:eastAsia="仿宋_GB2312"/>
                <w:color w:val="000000" w:themeColor="text1"/>
                <w:sz w:val="22"/>
              </w:rPr>
              <w:t>最高人民法院对国务院宗教事务局一司关于僧人遗产处理意见的复函</w:t>
            </w:r>
          </w:p>
        </w:tc>
        <w:tc>
          <w:tcPr>
            <w:tcW w:w="2177" w:type="dxa"/>
            <w:shd w:val="clear" w:color="auto" w:fill="FFFFFF" w:themeFill="background1"/>
            <w:vAlign w:val="center"/>
          </w:tcPr>
          <w:p>
            <w:pPr>
              <w:rPr>
                <w:rFonts w:ascii="仿宋_GB2312" w:hAnsi="宋体" w:eastAsia="仿宋_GB2312" w:cs="宋体"/>
                <w:color w:val="000000" w:themeColor="text1"/>
                <w:sz w:val="22"/>
              </w:rPr>
            </w:pPr>
            <w:r>
              <w:rPr>
                <w:rFonts w:hint="eastAsia" w:ascii="仿宋_GB2312" w:eastAsia="仿宋_GB2312"/>
                <w:color w:val="000000" w:themeColor="text1"/>
                <w:sz w:val="22"/>
              </w:rPr>
              <w:t>1994年10月13日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仿宋_GB2312" w:eastAsia="仿宋_GB2312"/>
                <w:color w:val="000000" w:themeColor="text1"/>
                <w:sz w:val="22"/>
              </w:rPr>
            </w:pPr>
            <w:r>
              <w:rPr>
                <w:rFonts w:hint="eastAsia" w:ascii="仿宋_GB2312" w:eastAsia="仿宋_GB2312"/>
                <w:color w:val="000000" w:themeColor="text1"/>
                <w:sz w:val="22"/>
              </w:rPr>
              <w:t>116</w:t>
            </w:r>
          </w:p>
        </w:tc>
        <w:tc>
          <w:tcPr>
            <w:tcW w:w="55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仿宋_GB2312" w:eastAsia="仿宋_GB2312"/>
                <w:color w:val="000000" w:themeColor="text1"/>
                <w:sz w:val="22"/>
              </w:rPr>
            </w:pPr>
            <w:r>
              <w:rPr>
                <w:rFonts w:hint="eastAsia" w:ascii="仿宋_GB2312" w:eastAsia="仿宋_GB2312"/>
                <w:color w:val="000000" w:themeColor="text1"/>
                <w:sz w:val="22"/>
              </w:rPr>
              <w:t>最高人民法院关于人民法院公开审判非涉外案件是否准许外国人旁听或采访问题的批复</w:t>
            </w:r>
          </w:p>
        </w:tc>
        <w:tc>
          <w:tcPr>
            <w:tcW w:w="21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仿宋_GB2312" w:eastAsia="仿宋_GB2312"/>
                <w:color w:val="000000" w:themeColor="text1"/>
                <w:sz w:val="22"/>
              </w:rPr>
            </w:pPr>
            <w:r>
              <w:rPr>
                <w:rFonts w:hint="eastAsia" w:ascii="仿宋_GB2312" w:eastAsia="仿宋_GB2312"/>
                <w:color w:val="000000" w:themeColor="text1"/>
                <w:sz w:val="22"/>
              </w:rPr>
              <w:t>1982年7月5日</w:t>
            </w:r>
          </w:p>
          <w:p>
            <w:pPr>
              <w:widowControl/>
              <w:rPr>
                <w:rFonts w:ascii="仿宋_GB2312" w:eastAsia="仿宋_GB2312"/>
                <w:color w:val="000000" w:themeColor="text1"/>
                <w:sz w:val="22"/>
              </w:rPr>
            </w:pPr>
            <w:r>
              <w:rPr>
                <w:rFonts w:hint="eastAsia" w:ascii="仿宋_GB2312" w:hAnsi="宋体" w:eastAsia="仿宋_GB2312" w:cs="宋体"/>
                <w:color w:val="000000" w:themeColor="text1"/>
                <w:spacing w:val="-24"/>
                <w:kern w:val="0"/>
                <w:sz w:val="22"/>
              </w:rPr>
              <w:t>〔1982〕法研究字第5号</w:t>
            </w:r>
          </w:p>
        </w:tc>
      </w:tr>
    </w:tbl>
    <w:p>
      <w:pPr>
        <w:pStyle w:val="4"/>
        <w:spacing w:line="520" w:lineRule="exact"/>
        <w:ind w:firstLine="640"/>
        <w:rPr>
          <w:rFonts w:hint="eastAsia" w:ascii="仿宋_GB2312" w:hAnsi="宋体" w:eastAsia="仿宋_GB2312" w:cs="宋体"/>
          <w:sz w:val="32"/>
          <w:szCs w:val="32"/>
        </w:rPr>
      </w:pPr>
    </w:p>
    <w:p>
      <w:pPr>
        <w:pStyle w:val="4"/>
        <w:spacing w:line="520" w:lineRule="exact"/>
        <w:rPr>
          <w:rFonts w:ascii="仿宋_GB2312" w:hAnsi="宋体" w:eastAsia="仿宋_GB2312" w:cs="宋体"/>
          <w:sz w:val="30"/>
          <w:szCs w:val="30"/>
        </w:rPr>
      </w:pPr>
    </w:p>
    <w:p>
      <w:pPr>
        <w:pStyle w:val="4"/>
        <w:spacing w:line="520" w:lineRule="exact"/>
        <w:rPr>
          <w:rFonts w:ascii="仿宋_GB2312" w:hAnsi="宋体" w:eastAsia="仿宋_GB2312" w:cs="宋体"/>
          <w:sz w:val="30"/>
          <w:szCs w:val="30"/>
        </w:rPr>
      </w:pPr>
    </w:p>
    <w:p>
      <w:pPr>
        <w:pStyle w:val="4"/>
        <w:spacing w:line="520" w:lineRule="exact"/>
        <w:rPr>
          <w:rFonts w:ascii="仿宋_GB2312" w:hAnsi="宋体" w:eastAsia="仿宋_GB2312" w:cs="宋体"/>
          <w:sz w:val="30"/>
          <w:szCs w:val="30"/>
        </w:rPr>
      </w:pPr>
    </w:p>
    <w:p>
      <w:pPr>
        <w:pStyle w:val="4"/>
        <w:spacing w:line="520" w:lineRule="exact"/>
        <w:rPr>
          <w:rFonts w:ascii="仿宋_GB2312" w:hAnsi="宋体" w:eastAsia="仿宋_GB2312" w:cs="宋体"/>
          <w:sz w:val="30"/>
          <w:szCs w:val="30"/>
        </w:rPr>
      </w:pPr>
    </w:p>
    <w:p>
      <w:pPr>
        <w:pStyle w:val="4"/>
        <w:spacing w:line="520" w:lineRule="exact"/>
        <w:rPr>
          <w:rFonts w:ascii="仿宋_GB2312" w:hAnsi="宋体" w:eastAsia="仿宋_GB2312" w:cs="宋体"/>
          <w:sz w:val="30"/>
          <w:szCs w:val="30"/>
        </w:rPr>
      </w:pPr>
    </w:p>
    <w:p>
      <w:pPr>
        <w:pStyle w:val="4"/>
        <w:spacing w:line="520" w:lineRule="exact"/>
        <w:rPr>
          <w:rFonts w:ascii="仿宋_GB2312" w:hAnsi="宋体" w:eastAsia="仿宋_GB2312" w:cs="宋体"/>
          <w:sz w:val="30"/>
          <w:szCs w:val="30"/>
        </w:rPr>
      </w:pPr>
    </w:p>
    <w:p>
      <w:pPr>
        <w:pStyle w:val="4"/>
        <w:spacing w:line="520" w:lineRule="exact"/>
        <w:rPr>
          <w:rFonts w:ascii="仿宋_GB2312" w:hAnsi="宋体" w:eastAsia="仿宋_GB2312" w:cs="宋体"/>
          <w:sz w:val="30"/>
          <w:szCs w:val="30"/>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等线">
    <w:panose1 w:val="02010600030101010101"/>
    <w:charset w:val="86"/>
    <w:family w:val="roman"/>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w:pict>
        <v:shape id="_x0000_s4097" o:spid="_x0000_s4097" o:spt="202" type="#_x0000_t202" style="position:absolute;left:0pt;margin-left:377.55pt;margin-top:-8.35pt;height:18.7pt;width:37.75pt;mso-position-horizontal-relative:margin;z-index:251659264;mso-width-relative:page;mso-height-relative:page;" filled="f" stroked="f" coordsize="21600,21600">
          <v:path/>
          <v:fill on="f" focussize="0,0"/>
          <v:stroke on="f"/>
          <v:imagedata o:title=""/>
          <o:lock v:ext="edit" aspectratio="f"/>
          <v:textbox inset="0mm,0mm,0mm,0mm">
            <w:txbxContent>
              <w:p>
                <w:pPr>
                  <w:pStyle w:val="6"/>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- 0 -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end"/>
    </w:r>
  </w:p>
  <w:p>
    <w:pPr>
      <w:pStyle w:val="6"/>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3A07"/>
    <w:rsid w:val="00105EA6"/>
    <w:rsid w:val="001066EE"/>
    <w:rsid w:val="00106D59"/>
    <w:rsid w:val="001211C7"/>
    <w:rsid w:val="00125415"/>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6C55"/>
    <w:rsid w:val="002E52C2"/>
    <w:rsid w:val="002E71C4"/>
    <w:rsid w:val="00300D5D"/>
    <w:rsid w:val="00304596"/>
    <w:rsid w:val="00311EB0"/>
    <w:rsid w:val="00313AEE"/>
    <w:rsid w:val="0031621E"/>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90C7E"/>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1146"/>
    <w:rsid w:val="008E70E5"/>
    <w:rsid w:val="008F50DB"/>
    <w:rsid w:val="008F5238"/>
    <w:rsid w:val="008F7723"/>
    <w:rsid w:val="00904BC8"/>
    <w:rsid w:val="00911248"/>
    <w:rsid w:val="00913A4E"/>
    <w:rsid w:val="00925F75"/>
    <w:rsid w:val="0094340F"/>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D4606"/>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 w:val="2EE3142F"/>
    <w:rsid w:val="335C3159"/>
    <w:rsid w:val="34851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kern w:val="44"/>
      <w:sz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Salutation"/>
    <w:basedOn w:val="1"/>
    <w:next w:val="1"/>
    <w:qFormat/>
    <w:uiPriority w:val="0"/>
    <w:pPr>
      <w:jc w:val="center"/>
    </w:pPr>
    <w:rPr>
      <w:rFonts w:ascii="Times New Roman" w:hAnsi="Times New Roman" w:eastAsia="楷体" w:cs="Times New Roman"/>
      <w:sz w:val="32"/>
    </w:rPr>
  </w:style>
  <w:style w:type="paragraph" w:styleId="4">
    <w:name w:val="Plain Text"/>
    <w:basedOn w:val="1"/>
    <w:link w:val="14"/>
    <w:uiPriority w:val="99"/>
    <w:rPr>
      <w:rFonts w:ascii="宋体" w:hAnsi="Courier New" w:cs="Courier New"/>
      <w:szCs w:val="21"/>
    </w:rPr>
  </w:style>
  <w:style w:type="paragraph" w:styleId="5">
    <w:name w:val="Balloon Text"/>
    <w:basedOn w:val="1"/>
    <w:link w:val="13"/>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2"/>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uiPriority w:val="0"/>
    <w:rPr>
      <w:rFonts w:ascii="Times New Roman" w:hAnsi="Times New Roman" w:eastAsia="宋体"/>
      <w:sz w:val="28"/>
    </w:rPr>
  </w:style>
  <w:style w:type="paragraph" w:customStyle="1" w:styleId="11">
    <w:name w:val="默认段落字体 Para Char Char Char Char Char Char Char"/>
    <w:basedOn w:val="1"/>
    <w:qFormat/>
    <w:uiPriority w:val="0"/>
  </w:style>
  <w:style w:type="character" w:customStyle="1" w:styleId="12">
    <w:name w:val="页眉 Char"/>
    <w:basedOn w:val="9"/>
    <w:link w:val="7"/>
    <w:qFormat/>
    <w:uiPriority w:val="0"/>
    <w:rPr>
      <w:kern w:val="2"/>
      <w:sz w:val="18"/>
      <w:szCs w:val="18"/>
    </w:rPr>
  </w:style>
  <w:style w:type="character" w:customStyle="1" w:styleId="13">
    <w:name w:val="批注框文本 Char"/>
    <w:basedOn w:val="9"/>
    <w:link w:val="5"/>
    <w:qFormat/>
    <w:uiPriority w:val="0"/>
    <w:rPr>
      <w:kern w:val="2"/>
      <w:sz w:val="18"/>
      <w:szCs w:val="18"/>
    </w:rPr>
  </w:style>
  <w:style w:type="character" w:customStyle="1" w:styleId="14">
    <w:name w:val="纯文本 Char"/>
    <w:basedOn w:val="9"/>
    <w:link w:val="4"/>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55D3F9-0B0C-4ED7-879D-49D022D2487D}">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36</Words>
  <Characters>207</Characters>
  <Lines>1</Lines>
  <Paragraphs>1</Paragraphs>
  <TotalTime>0</TotalTime>
  <ScaleCrop>false</ScaleCrop>
  <LinksUpToDate>false</LinksUpToDate>
  <CharactersWithSpaces>242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2021-03-02T06:32:00Z</dcterms:created>
  <dc:creator>Lenovo User</dc:creator>
  <cp:lastModifiedBy>爱思思</cp:lastModifiedBy>
  <cp:lastPrinted>2014-04-03T09:04:00Z</cp:lastPrinted>
  <dcterms:modified xsi:type="dcterms:W3CDTF">2021-08-31T09:27:31Z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00394E6644FE4DB998CCC763BEEA6E59</vt:lpwstr>
  </property>
</Properties>
</file>