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rFonts w:hint="eastAsia" w:ascii="宋体" w:hAnsi="宋体" w:eastAsia="宋体" w:cs="宋体"/>
        </w:rPr>
      </w:pPr>
    </w:p>
    <w:p>
      <w:pPr>
        <w:pStyle w:val="15"/>
        <w:rPr>
          <w:rFonts w:hint="eastAsia" w:ascii="宋体" w:hAnsi="宋体" w:eastAsia="宋体" w:cs="宋体"/>
        </w:rPr>
      </w:pPr>
    </w:p>
    <w:p>
      <w:pPr>
        <w:pStyle w:val="10"/>
        <w:rPr>
          <w:rFonts w:hint="eastAsia"/>
        </w:rPr>
      </w:pPr>
      <w:r>
        <w:rPr>
          <w:rFonts w:hint="eastAsia"/>
        </w:rPr>
        <w:t>中华人民共和国最高人民法院</w:t>
      </w:r>
    </w:p>
    <w:p>
      <w:pPr>
        <w:pStyle w:val="10"/>
        <w:rPr>
          <w:rFonts w:hint="eastAsia"/>
        </w:rPr>
      </w:pPr>
      <w:r>
        <w:rPr>
          <w:rFonts w:hint="eastAsia"/>
        </w:rPr>
        <w:t>公</w:t>
      </w:r>
      <w:r>
        <w:rPr>
          <w:rFonts w:hint="eastAsia"/>
          <w:lang w:eastAsia="zh-CN"/>
        </w:rPr>
        <w:t xml:space="preserve">    </w:t>
      </w:r>
      <w:r>
        <w:rPr>
          <w:rFonts w:hint="eastAsia"/>
        </w:rPr>
        <w:t>告</w:t>
      </w:r>
    </w:p>
    <w:p>
      <w:pPr>
        <w:pStyle w:val="15"/>
        <w:rPr>
          <w:rFonts w:hint="eastAsia" w:ascii="宋体" w:hAnsi="宋体" w:eastAsia="宋体" w:cs="宋体"/>
        </w:rPr>
      </w:pPr>
    </w:p>
    <w:p>
      <w:pPr>
        <w:pStyle w:val="15"/>
        <w:rPr>
          <w:rFonts w:hint="eastAsia"/>
        </w:rPr>
      </w:pPr>
      <w:r>
        <w:rPr>
          <w:rFonts w:hint="eastAsia"/>
        </w:rPr>
        <w:t>最高人民法院《关于废止部分司法解释和司法解释性质文件（第十一批）的决定 》已于2014年12月30日由最高人民法院审判委员会第1639次会议通过，现予以公布，自2015年1月19日起施行。</w:t>
      </w:r>
    </w:p>
    <w:p>
      <w:pPr>
        <w:pStyle w:val="15"/>
        <w:rPr>
          <w:rFonts w:hint="eastAsia" w:ascii="宋体" w:hAnsi="宋体" w:eastAsia="宋体" w:cs="宋体"/>
        </w:rPr>
      </w:pPr>
    </w:p>
    <w:p>
      <w:pPr>
        <w:pStyle w:val="15"/>
        <w:rPr>
          <w:rFonts w:hint="eastAsia" w:ascii="宋体" w:hAnsi="宋体" w:eastAsia="宋体" w:cs="宋体"/>
        </w:rPr>
      </w:pPr>
    </w:p>
    <w:p>
      <w:pPr>
        <w:pStyle w:val="13"/>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2015年1月</w:t>
      </w:r>
      <w:bookmarkStart w:id="0" w:name="_GoBack"/>
      <w:bookmarkEnd w:id="0"/>
      <w:r>
        <w:rPr>
          <w:rFonts w:hint="eastAsia"/>
        </w:rPr>
        <w:t>12日</w:t>
      </w:r>
    </w:p>
    <w:p>
      <w:pPr>
        <w:pStyle w:val="15"/>
        <w:rPr>
          <w:rFonts w:hint="eastAsia"/>
        </w:rPr>
      </w:pPr>
    </w:p>
    <w:p>
      <w:pPr>
        <w:pStyle w:val="15"/>
        <w:rPr>
          <w:rFonts w:hint="eastAsia" w:ascii="宋体" w:hAnsi="宋体" w:eastAsia="宋体" w:cs="宋体"/>
        </w:rPr>
      </w:pPr>
    </w:p>
    <w:p>
      <w:pPr>
        <w:pStyle w:val="10"/>
        <w:rPr>
          <w:rFonts w:hint="eastAsia"/>
        </w:rPr>
      </w:pPr>
      <w:r>
        <w:rPr>
          <w:rFonts w:hint="eastAsia"/>
        </w:rPr>
        <w:t>最高人民法院</w:t>
      </w:r>
    </w:p>
    <w:p>
      <w:pPr>
        <w:pStyle w:val="10"/>
        <w:rPr>
          <w:rFonts w:hint="eastAsia"/>
        </w:rPr>
      </w:pPr>
      <w:r>
        <w:rPr>
          <w:rFonts w:hint="eastAsia"/>
        </w:rPr>
        <w:t>关于废止部分司法解释和司法解释性质文件</w:t>
      </w:r>
    </w:p>
    <w:p>
      <w:pPr>
        <w:pStyle w:val="10"/>
        <w:rPr>
          <w:rFonts w:hint="eastAsia"/>
        </w:rPr>
      </w:pPr>
      <w:r>
        <w:rPr>
          <w:rFonts w:hint="eastAsia"/>
        </w:rPr>
        <w:t>（第十一批）的决定</w:t>
      </w:r>
    </w:p>
    <w:p>
      <w:pPr>
        <w:pStyle w:val="15"/>
        <w:rPr>
          <w:rFonts w:hint="eastAsia" w:ascii="宋体" w:hAnsi="宋体" w:eastAsia="宋体" w:cs="宋体"/>
        </w:rPr>
      </w:pPr>
    </w:p>
    <w:p>
      <w:pPr>
        <w:pStyle w:val="22"/>
        <w:rPr>
          <w:rFonts w:hint="eastAsia"/>
        </w:rPr>
      </w:pPr>
      <w:r>
        <w:rPr>
          <w:rFonts w:hint="eastAsia"/>
        </w:rPr>
        <w:t>法释〔2015〕2号</w:t>
      </w:r>
    </w:p>
    <w:p>
      <w:pPr>
        <w:pStyle w:val="15"/>
        <w:rPr>
          <w:rFonts w:hint="eastAsia" w:ascii="宋体" w:hAnsi="宋体" w:eastAsia="宋体" w:cs="宋体"/>
        </w:rPr>
      </w:pPr>
    </w:p>
    <w:p>
      <w:pPr>
        <w:pStyle w:val="15"/>
        <w:rPr>
          <w:rFonts w:hint="eastAsia"/>
        </w:rPr>
      </w:pPr>
      <w:r>
        <w:rPr>
          <w:rFonts w:hint="eastAsia"/>
        </w:rPr>
        <w:t>为适应形势发展变化，保证国家法律统一正确适用，根据经第十一届全国人民代表大会第五次会议《关于修改中华人民共和国刑事诉讼法的决定》第二次修正的《中华人民共和国刑事诉讼法》的规定，结合审判工作实际，最高人民法院对单独发布的有关刑事诉讼的司法解释和司法解释性质文件进行了清理。现决定废止11件司法解释和司法解释性质文件。废止的司法解释和司法解释性质文件从本决定施行之日起不再适用，但过去依据或参照下列司法解释和司法解释性质文件对有关案件作出的判决、裁定仍然有效。</w:t>
      </w:r>
    </w:p>
    <w:p>
      <w:pPr>
        <w:pStyle w:val="15"/>
        <w:rPr>
          <w:rFonts w:hint="eastAsia"/>
        </w:rPr>
      </w:pPr>
      <w:r>
        <w:rPr>
          <w:rFonts w:hint="eastAsia"/>
        </w:rPr>
        <w:br w:type="page"/>
      </w:r>
    </w:p>
    <w:p>
      <w:pPr>
        <w:pStyle w:val="15"/>
        <w:rPr>
          <w:rFonts w:hint="eastAsia" w:ascii="宋体" w:hAnsi="宋体" w:eastAsia="宋体" w:cs="宋体"/>
        </w:rPr>
      </w:pPr>
    </w:p>
    <w:p>
      <w:pPr>
        <w:pStyle w:val="14"/>
        <w:rPr>
          <w:rFonts w:hint="eastAsia" w:ascii="宋体" w:hAnsi="宋体" w:eastAsia="宋体" w:cs="宋体"/>
          <w:lang w:val="en-US" w:eastAsia="zh-CN"/>
        </w:rPr>
      </w:pPr>
      <w:r>
        <w:rPr>
          <w:rFonts w:hint="eastAsia"/>
          <w:lang w:val="en-US" w:eastAsia="zh-CN"/>
        </w:rPr>
        <w:t>附：</w:t>
      </w:r>
    </w:p>
    <w:p>
      <w:pPr>
        <w:pStyle w:val="15"/>
        <w:rPr>
          <w:rFonts w:hint="eastAsia" w:ascii="宋体" w:hAnsi="宋体" w:eastAsia="宋体" w:cs="宋体"/>
        </w:rPr>
      </w:pPr>
    </w:p>
    <w:p>
      <w:pPr>
        <w:pStyle w:val="15"/>
        <w:rPr>
          <w:rFonts w:hint="eastAsia" w:ascii="宋体" w:hAnsi="宋体" w:eastAsia="宋体" w:cs="宋体"/>
        </w:rPr>
      </w:pPr>
    </w:p>
    <w:p>
      <w:pPr>
        <w:pStyle w:val="10"/>
        <w:rPr>
          <w:rFonts w:hint="eastAsia"/>
        </w:rPr>
      </w:pPr>
      <w:r>
        <w:rPr>
          <w:rFonts w:hint="eastAsia"/>
        </w:rPr>
        <w:t>最高人民法院决定废止的部分司法解释和</w:t>
      </w:r>
    </w:p>
    <w:p>
      <w:pPr>
        <w:pStyle w:val="10"/>
        <w:rPr>
          <w:rFonts w:hint="eastAsia"/>
        </w:rPr>
      </w:pPr>
      <w:r>
        <w:rPr>
          <w:rFonts w:hint="eastAsia"/>
        </w:rPr>
        <w:t>司法解释性质文件目录（第十一批）</w:t>
      </w:r>
    </w:p>
    <w:p>
      <w:pPr>
        <w:pStyle w:val="15"/>
        <w:rPr>
          <w:rFonts w:hint="eastAsia"/>
        </w:rPr>
      </w:pPr>
    </w:p>
    <w:tbl>
      <w:tblPr>
        <w:tblStyle w:val="8"/>
        <w:tblW w:w="8844" w:type="dxa"/>
        <w:jc w:val="center"/>
        <w:tblInd w:w="-2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108" w:type="dxa"/>
          <w:bottom w:w="0" w:type="dxa"/>
          <w:right w:w="108" w:type="dxa"/>
        </w:tblCellMar>
      </w:tblPr>
      <w:tblGrid>
        <w:gridCol w:w="1128"/>
        <w:gridCol w:w="2572"/>
        <w:gridCol w:w="2572"/>
        <w:gridCol w:w="257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108" w:type="dxa"/>
            <w:bottom w:w="0" w:type="dxa"/>
            <w:right w:w="108" w:type="dxa"/>
          </w:tblCellMar>
        </w:tblPrEx>
        <w:trPr>
          <w:trHeight w:val="0" w:hRule="atLeast"/>
          <w:jc w:val="center"/>
        </w:trPr>
        <w:tc>
          <w:tcPr>
            <w:tcW w:w="112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7"/>
            </w:pPr>
            <w:r>
              <w:t>序号</w:t>
            </w:r>
            <w:r>
              <w:rPr>
                <w:rFonts w:hint="eastAsia"/>
              </w:rPr>
              <w:t xml:space="preserve">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7"/>
            </w:pPr>
            <w:r>
              <w:rPr>
                <w:rFonts w:hint="eastAsia"/>
              </w:rPr>
              <w:t xml:space="preserve">司法解释和司法解释性质文件名称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7"/>
            </w:pPr>
            <w:r>
              <w:rPr>
                <w:rFonts w:hint="eastAsia"/>
              </w:rPr>
              <w:t xml:space="preserve">发文日期､文号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7"/>
            </w:pPr>
            <w:r>
              <w:rPr>
                <w:rFonts w:hint="eastAsia"/>
              </w:rPr>
              <w:t xml:space="preserve">废止理由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Ex>
        <w:trPr>
          <w:trHeight w:val="0" w:hRule="atLeast"/>
          <w:jc w:val="center"/>
        </w:trPr>
        <w:tc>
          <w:tcPr>
            <w:tcW w:w="112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1"/>
            </w:pPr>
            <w:r>
              <w:rPr>
                <w:rFonts w:hint="eastAsia"/>
              </w:rPr>
              <w:t xml:space="preserve">1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最高人民法院关于如何理解刑事诉讼法第二百一十三条中“交付执行的人民法院”问题的批复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2000年1月3日 </w:t>
            </w:r>
          </w:p>
          <w:p>
            <w:pPr>
              <w:pStyle w:val="18"/>
            </w:pPr>
            <w:r>
              <w:rPr>
                <w:rFonts w:hint="eastAsia"/>
              </w:rPr>
              <w:t xml:space="preserve">法释〔2000〕2号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已被《最高人民法院关于适用&lt;中华人民共和国刑事诉讼法&gt;的解释》的相关内容代替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Ex>
        <w:trPr>
          <w:trHeight w:val="0" w:hRule="atLeast"/>
          <w:jc w:val="center"/>
        </w:trPr>
        <w:tc>
          <w:tcPr>
            <w:tcW w:w="112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1"/>
            </w:pPr>
            <w:r>
              <w:rPr>
                <w:rFonts w:hint="eastAsia"/>
              </w:rPr>
              <w:t xml:space="preserve">2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最高人民法院研究室关于如何理解刑事诉讼法第一百七十条第(三)项规定的案件范围问题的答复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2000年7月25日 </w:t>
            </w:r>
          </w:p>
          <w:p>
            <w:pPr>
              <w:pStyle w:val="18"/>
            </w:pPr>
            <w:r>
              <w:rPr>
                <w:rFonts w:hint="eastAsia"/>
              </w:rPr>
              <w:t xml:space="preserve">法研〔2000〕63号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已被《最高人民法院关于适用&lt;中华人民共和国刑事诉讼法&gt;的解释》修改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Ex>
        <w:trPr>
          <w:trHeight w:val="0" w:hRule="atLeast"/>
          <w:jc w:val="center"/>
        </w:trPr>
        <w:tc>
          <w:tcPr>
            <w:tcW w:w="112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1"/>
            </w:pPr>
            <w:r>
              <w:rPr>
                <w:rFonts w:hint="eastAsia"/>
              </w:rPr>
              <w:t xml:space="preserve">3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最高人民法院关于审理刑事附带民事诉讼案件有关问题的批复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2000年12月1日 </w:t>
            </w:r>
          </w:p>
          <w:p>
            <w:pPr>
              <w:pStyle w:val="18"/>
            </w:pPr>
            <w:r>
              <w:rPr>
                <w:rFonts w:hint="eastAsia"/>
              </w:rPr>
              <w:t xml:space="preserve">法释〔2000〕40号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已被《最高人民法院关于适用&lt;中华人民共和国刑事诉讼法&gt;的解释》修改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Ex>
        <w:trPr>
          <w:trHeight w:val="0" w:hRule="atLeast"/>
          <w:jc w:val="center"/>
        </w:trPr>
        <w:tc>
          <w:tcPr>
            <w:tcW w:w="112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1"/>
            </w:pPr>
            <w:r>
              <w:rPr>
                <w:rFonts w:hint="eastAsia"/>
              </w:rPr>
              <w:t xml:space="preserve">4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最高人民法院关于刑事附带民事诉讼范围问题的规定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2000年12月13日 </w:t>
            </w:r>
          </w:p>
          <w:p>
            <w:pPr>
              <w:pStyle w:val="18"/>
            </w:pPr>
            <w:r>
              <w:rPr>
                <w:rFonts w:hint="eastAsia"/>
              </w:rPr>
              <w:t xml:space="preserve">法释〔2000〕47号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已被《最高人民法院关于适用&lt;中华人民共和国刑事诉讼法&gt;的解释》及相关规定修改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Ex>
        <w:trPr>
          <w:trHeight w:val="0" w:hRule="atLeast"/>
          <w:jc w:val="center"/>
        </w:trPr>
        <w:tc>
          <w:tcPr>
            <w:tcW w:w="112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1"/>
            </w:pPr>
            <w:r>
              <w:rPr>
                <w:rFonts w:hint="eastAsia"/>
              </w:rPr>
              <w:t xml:space="preserve">5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最高人民法院关于审理未成年人刑事案件的若干规定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2001年4月4日 </w:t>
            </w:r>
          </w:p>
          <w:p>
            <w:pPr>
              <w:pStyle w:val="18"/>
            </w:pPr>
            <w:r>
              <w:rPr>
                <w:rFonts w:hint="eastAsia"/>
              </w:rPr>
              <w:t xml:space="preserve">法释〔2001〕9号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已被刑事诉讼法及《最高人民法院关于适用&lt;中华人民共和国刑事诉讼法&gt;的解释》修改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Ex>
        <w:trPr>
          <w:trHeight w:val="0" w:hRule="atLeast"/>
          <w:jc w:val="center"/>
        </w:trPr>
        <w:tc>
          <w:tcPr>
            <w:tcW w:w="112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1"/>
            </w:pPr>
            <w:r>
              <w:rPr>
                <w:rFonts w:hint="eastAsia"/>
              </w:rPr>
              <w:t xml:space="preserve">6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最高人民法院关于人民法院是否受理刑事案件被害人提起精神损害赔偿民事诉讼问题的批复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2002年7月15日 </w:t>
            </w:r>
          </w:p>
          <w:p>
            <w:pPr>
              <w:pStyle w:val="18"/>
            </w:pPr>
            <w:r>
              <w:rPr>
                <w:rFonts w:hint="eastAsia"/>
              </w:rPr>
              <w:t xml:space="preserve">法释〔2002〕17号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已被《最高人民法院关于适用&lt;中华人民共和国刑事诉讼法&gt;的解释》的相关内容代替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Ex>
        <w:trPr>
          <w:trHeight w:val="0" w:hRule="atLeast"/>
          <w:jc w:val="center"/>
        </w:trPr>
        <w:tc>
          <w:tcPr>
            <w:tcW w:w="112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1"/>
            </w:pPr>
            <w:r>
              <w:rPr>
                <w:rFonts w:hint="eastAsia"/>
              </w:rPr>
              <w:t xml:space="preserve">7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最高人民法院关于复核死刑案件若干问题的规定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2007年2月27日 </w:t>
            </w:r>
          </w:p>
          <w:p>
            <w:pPr>
              <w:pStyle w:val="18"/>
            </w:pPr>
            <w:r>
              <w:rPr>
                <w:rFonts w:hint="eastAsia"/>
              </w:rPr>
              <w:t xml:space="preserve">法释〔2007〕4号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已被《最高人民法院关于适用&lt;中华人民共和国刑事诉讼法&gt;的解释》的相关内容代替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Ex>
        <w:trPr>
          <w:trHeight w:val="0" w:hRule="atLeast"/>
          <w:jc w:val="center"/>
        </w:trPr>
        <w:tc>
          <w:tcPr>
            <w:tcW w:w="112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1"/>
            </w:pPr>
            <w:r>
              <w:rPr>
                <w:rFonts w:hint="eastAsia"/>
              </w:rPr>
              <w:t xml:space="preserve">8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最高人民法院关于适用新的《执行死刑命令》样式的通知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2007年8月21日 </w:t>
            </w:r>
          </w:p>
          <w:p>
            <w:pPr>
              <w:pStyle w:val="18"/>
            </w:pPr>
            <w:r>
              <w:rPr>
                <w:rFonts w:hint="eastAsia"/>
              </w:rPr>
              <w:t xml:space="preserve">法发〔2007〕27号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已被新的《执行死刑命令》样式代替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Ex>
        <w:trPr>
          <w:trHeight w:val="0" w:hRule="atLeast"/>
          <w:jc w:val="center"/>
        </w:trPr>
        <w:tc>
          <w:tcPr>
            <w:tcW w:w="112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1"/>
            </w:pPr>
            <w:r>
              <w:rPr>
                <w:rFonts w:hint="eastAsia"/>
              </w:rPr>
              <w:t xml:space="preserve">9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最高人民法院关于适用停止执行死刑程序有关问题的规定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2008年12月15日 </w:t>
            </w:r>
          </w:p>
          <w:p>
            <w:pPr>
              <w:pStyle w:val="18"/>
            </w:pPr>
            <w:r>
              <w:rPr>
                <w:rFonts w:hint="eastAsia"/>
              </w:rPr>
              <w:t xml:space="preserve">法释〔2008〕16号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已被《最高人民法院关于适用&lt;中华人民共和国刑事诉讼法&gt;的解释》的相关内容代替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Ex>
        <w:trPr>
          <w:trHeight w:val="0" w:hRule="atLeast"/>
          <w:jc w:val="center"/>
        </w:trPr>
        <w:tc>
          <w:tcPr>
            <w:tcW w:w="112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1"/>
            </w:pPr>
            <w:r>
              <w:rPr>
                <w:rFonts w:hint="eastAsia"/>
              </w:rPr>
              <w:t xml:space="preserve">10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最高人民法院关于财产刑执行问题的若干规定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2010年2月10日 </w:t>
            </w:r>
          </w:p>
          <w:p>
            <w:pPr>
              <w:pStyle w:val="18"/>
            </w:pPr>
            <w:r>
              <w:rPr>
                <w:rFonts w:hint="eastAsia"/>
              </w:rPr>
              <w:t xml:space="preserve">法释〔2010〕4号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已被《最高人民法院关于刑事裁判涉财产部分执行的若干规定》代替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Ex>
        <w:trPr>
          <w:trHeight w:val="0" w:hRule="atLeast"/>
          <w:jc w:val="center"/>
        </w:trPr>
        <w:tc>
          <w:tcPr>
            <w:tcW w:w="112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1"/>
            </w:pPr>
            <w:r>
              <w:rPr>
                <w:rFonts w:hint="eastAsia"/>
              </w:rPr>
              <w:t xml:space="preserve">11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最高人民法院关于印发《人民法院量刑指导意见(试行)》通知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2010年9月13日 </w:t>
            </w:r>
          </w:p>
          <w:p>
            <w:pPr>
              <w:pStyle w:val="18"/>
            </w:pPr>
            <w:r>
              <w:rPr>
                <w:rFonts w:hint="eastAsia"/>
              </w:rPr>
              <w:t xml:space="preserve">法发〔2010〕36号 </w:t>
            </w:r>
          </w:p>
        </w:tc>
        <w:tc>
          <w:tcPr>
            <w:tcW w:w="257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18"/>
            </w:pPr>
            <w:r>
              <w:rPr>
                <w:rFonts w:hint="eastAsia"/>
              </w:rPr>
              <w:t xml:space="preserve">已被《最高人民法院关于实施量刑规范化工作的通知》代替 </w:t>
            </w:r>
          </w:p>
        </w:tc>
      </w:tr>
    </w:tbl>
    <w:p>
      <w:pPr>
        <w:pStyle w:val="15"/>
        <w:rPr>
          <w:rFonts w:hint="eastAsia" w:ascii="宋体" w:hAnsi="宋体" w:eastAsia="宋体" w:cs="宋体"/>
        </w:rPr>
      </w:pP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E91FAF"/>
    <w:rsid w:val="00323D76"/>
    <w:rsid w:val="008549D4"/>
    <w:rsid w:val="02380A4E"/>
    <w:rsid w:val="02C54CFB"/>
    <w:rsid w:val="042F174E"/>
    <w:rsid w:val="0751543E"/>
    <w:rsid w:val="0BE369DE"/>
    <w:rsid w:val="0F9D48A9"/>
    <w:rsid w:val="0FC66F39"/>
    <w:rsid w:val="135B4974"/>
    <w:rsid w:val="19EF53F7"/>
    <w:rsid w:val="1C547AC8"/>
    <w:rsid w:val="20194FCD"/>
    <w:rsid w:val="211007F7"/>
    <w:rsid w:val="21954E84"/>
    <w:rsid w:val="224D5C1E"/>
    <w:rsid w:val="28B53323"/>
    <w:rsid w:val="2A483D38"/>
    <w:rsid w:val="2A844039"/>
    <w:rsid w:val="2CFE6EE4"/>
    <w:rsid w:val="2D725F92"/>
    <w:rsid w:val="302E782D"/>
    <w:rsid w:val="325C564C"/>
    <w:rsid w:val="3509508E"/>
    <w:rsid w:val="36AE6775"/>
    <w:rsid w:val="38787F7C"/>
    <w:rsid w:val="39191BFA"/>
    <w:rsid w:val="3D717517"/>
    <w:rsid w:val="3FBC61B7"/>
    <w:rsid w:val="4AEF215E"/>
    <w:rsid w:val="4DA15956"/>
    <w:rsid w:val="4E7D2A86"/>
    <w:rsid w:val="501B3EB2"/>
    <w:rsid w:val="5027117E"/>
    <w:rsid w:val="56C00D65"/>
    <w:rsid w:val="61136E1E"/>
    <w:rsid w:val="65586BE5"/>
    <w:rsid w:val="6D800228"/>
    <w:rsid w:val="6DAD6BF0"/>
    <w:rsid w:val="6E1B4105"/>
    <w:rsid w:val="6EB66F23"/>
    <w:rsid w:val="75FA67F7"/>
    <w:rsid w:val="7DE91F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uiPriority w:val="0"/>
    <w:rPr>
      <w:color w:val="2F2F2F"/>
      <w:u w:val="none"/>
    </w:rPr>
  </w:style>
  <w:style w:type="character" w:styleId="7">
    <w:name w:val="Hyperlink"/>
    <w:basedOn w:val="5"/>
    <w:uiPriority w:val="0"/>
    <w:rPr>
      <w:color w:val="2F2F2F"/>
      <w:u w:val="none"/>
    </w:rPr>
  </w:style>
  <w:style w:type="paragraph" w:customStyle="1" w:styleId="9">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10">
    <w:name w:val="标题名"/>
    <w:basedOn w:val="1"/>
    <w:qFormat/>
    <w:uiPriority w:val="0"/>
    <w:pPr>
      <w:spacing w:line="560" w:lineRule="exact"/>
      <w:jc w:val="center"/>
    </w:pPr>
    <w:rPr>
      <w:rFonts w:hint="eastAsia" w:ascii="宋体" w:hAnsi="宋体" w:cs="宋体"/>
      <w:sz w:val="44"/>
      <w:szCs w:val="44"/>
    </w:rPr>
  </w:style>
  <w:style w:type="paragraph" w:customStyle="1" w:styleId="11">
    <w:name w:val="表字居中"/>
    <w:basedOn w:val="1"/>
    <w:qFormat/>
    <w:uiPriority w:val="0"/>
    <w:pPr>
      <w:spacing w:line="560" w:lineRule="exact"/>
      <w:jc w:val="center"/>
    </w:pPr>
    <w:rPr>
      <w:rFonts w:ascii="宋体" w:hAnsi="宋体" w:cs="宋体"/>
      <w:szCs w:val="21"/>
    </w:rPr>
  </w:style>
  <w:style w:type="paragraph" w:customStyle="1" w:styleId="12">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3">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4">
    <w:name w:val="附/附件"/>
    <w:basedOn w:val="1"/>
    <w:qFormat/>
    <w:uiPriority w:val="0"/>
    <w:pPr>
      <w:spacing w:line="560" w:lineRule="exact"/>
      <w:jc w:val="left"/>
    </w:pPr>
    <w:rPr>
      <w:rFonts w:ascii="黑体" w:hAnsi="黑体" w:eastAsia="黑体" w:cs="黑体"/>
      <w:sz w:val="32"/>
      <w:szCs w:val="32"/>
    </w:rPr>
  </w:style>
  <w:style w:type="paragraph" w:customStyle="1" w:styleId="15">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6">
    <w:name w:val="章"/>
    <w:basedOn w:val="1"/>
    <w:qFormat/>
    <w:uiPriority w:val="0"/>
    <w:pPr>
      <w:spacing w:line="560" w:lineRule="exact"/>
      <w:jc w:val="center"/>
    </w:pPr>
    <w:rPr>
      <w:rFonts w:ascii="黑体" w:hAnsi="黑体" w:eastAsia="黑体" w:cs="黑体"/>
      <w:sz w:val="32"/>
      <w:szCs w:val="32"/>
    </w:rPr>
  </w:style>
  <w:style w:type="paragraph" w:customStyle="1" w:styleId="17">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8">
    <w:name w:val="表字"/>
    <w:basedOn w:val="1"/>
    <w:qFormat/>
    <w:uiPriority w:val="0"/>
    <w:pPr>
      <w:spacing w:line="560" w:lineRule="exact"/>
      <w:jc w:val="left"/>
    </w:pPr>
    <w:rPr>
      <w:rFonts w:ascii="宋体" w:hAnsi="宋体" w:cs="宋体"/>
      <w:szCs w:val="21"/>
    </w:rPr>
  </w:style>
  <w:style w:type="paragraph" w:customStyle="1" w:styleId="19">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20">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21">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2">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3">
    <w:name w:val="节"/>
    <w:basedOn w:val="1"/>
    <w:qFormat/>
    <w:uiPriority w:val="0"/>
    <w:pPr>
      <w:spacing w:line="560" w:lineRule="exact"/>
      <w:jc w:val="center"/>
    </w:pPr>
    <w:rPr>
      <w:rFonts w:ascii="宋体" w:hAnsi="宋体" w:cs="宋体"/>
      <w:sz w:val="32"/>
      <w:szCs w:val="32"/>
    </w:rPr>
  </w:style>
  <w:style w:type="paragraph" w:customStyle="1" w:styleId="24">
    <w:name w:val="抬头"/>
    <w:basedOn w:val="15"/>
    <w:uiPriority w:val="0"/>
    <w:pPr>
      <w:ind w:firstLine="0" w:firstLineChars="0"/>
      <w:jc w:val="left"/>
    </w:pPr>
  </w:style>
  <w:style w:type="paragraph" w:customStyle="1" w:styleId="25">
    <w:name w:val="日期文号"/>
    <w:basedOn w:val="15"/>
    <w:qFormat/>
    <w:uiPriority w:val="0"/>
    <w:pPr>
      <w:ind w:right="1260" w:rightChars="600" w:firstLine="0" w:firstLineChars="0"/>
      <w:jc w:val="right"/>
    </w:pPr>
    <w:rPr>
      <w:rFonts w:ascii="楷体_GB2312" w:hAnsi="楷体_GB2312" w:eastAsia="楷体_GB2312" w:cs="楷体_GB2312"/>
    </w:rPr>
  </w:style>
  <w:style w:type="paragraph" w:customStyle="1" w:styleId="26">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7">
    <w:name w:val="表头"/>
    <w:basedOn w:val="1"/>
    <w:qFormat/>
    <w:uiPriority w:val="0"/>
    <w:pPr>
      <w:spacing w:line="560" w:lineRule="exact"/>
      <w:jc w:val="center"/>
    </w:pPr>
    <w:rPr>
      <w:rFonts w:ascii="黑体" w:hAnsi="黑体" w:eastAsia="黑体" w:cs="黑体"/>
      <w:sz w:val="21"/>
      <w:szCs w:val="21"/>
    </w:rPr>
  </w:style>
  <w:style w:type="character" w:customStyle="1" w:styleId="28">
    <w:name w:val="条文"/>
    <w:basedOn w:val="5"/>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2017-11-02T12:37:00Z</dcterms:created>
  <dc:creator>Administrator</dc:creator>
  <cp:lastModifiedBy>Administrator</cp:lastModifiedBy>
  <dcterms:modified xsi:type="dcterms:W3CDTF">2017-11-09T14:23:38Z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