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最高人民法院《关于废止部分司法解释和司法解释性质文件</w:t>
      </w:r>
      <w:r>
        <w:rPr>
          <w:rFonts w:hint="eastAsia"/>
          <w:lang w:eastAsia="zh-CN"/>
        </w:rPr>
        <w:t>（</w:t>
      </w:r>
      <w:r>
        <w:rPr>
          <w:rFonts w:hint="eastAsia"/>
        </w:rPr>
        <w:t>第十二批</w:t>
      </w:r>
      <w:r>
        <w:rPr>
          <w:rFonts w:hint="eastAsia"/>
          <w:lang w:eastAsia="zh-CN"/>
        </w:rPr>
        <w:t>）</w:t>
      </w:r>
      <w:r>
        <w:rPr>
          <w:rFonts w:hint="eastAsia"/>
        </w:rPr>
        <w:t>的决定》已于2017年5月8日由最高人民法院审判委员会第1716次会议通过</w:t>
      </w:r>
      <w:r>
        <w:rPr>
          <w:rFonts w:hint="eastAsia"/>
          <w:lang w:eastAsia="zh-CN"/>
        </w:rPr>
        <w:t>，</w:t>
      </w:r>
      <w:r>
        <w:rPr>
          <w:rFonts w:hint="eastAsia"/>
        </w:rPr>
        <w:t>现予公布</w:t>
      </w:r>
      <w:r>
        <w:rPr>
          <w:rFonts w:hint="eastAsia"/>
          <w:lang w:eastAsia="zh-CN"/>
        </w:rPr>
        <w:t>，</w:t>
      </w:r>
      <w:r>
        <w:rPr>
          <w:rFonts w:hint="eastAsia"/>
        </w:rPr>
        <w:t>自2017年10月1日起施行。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2017年9</w:t>
      </w:r>
      <w:bookmarkStart w:id="0" w:name="_GoBack"/>
      <w:bookmarkEnd w:id="0"/>
      <w:r>
        <w:rPr>
          <w:rFonts w:hint="eastAsia"/>
        </w:rPr>
        <w:t>月22日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关于废止部分司法解释和司法解释</w:t>
      </w:r>
    </w:p>
    <w:p>
      <w:pPr>
        <w:pStyle w:val="7"/>
        <w:rPr>
          <w:rFonts w:hint="eastAsia"/>
        </w:rPr>
      </w:pPr>
      <w:r>
        <w:rPr>
          <w:rFonts w:hint="eastAsia"/>
        </w:rPr>
        <w:t>性质文件</w:t>
      </w:r>
      <w:r>
        <w:rPr>
          <w:rFonts w:hint="eastAsia"/>
          <w:lang w:eastAsia="zh-CN"/>
        </w:rPr>
        <w:t>（</w:t>
      </w:r>
      <w:r>
        <w:rPr>
          <w:rFonts w:hint="eastAsia"/>
        </w:rPr>
        <w:t>第十二批</w:t>
      </w:r>
      <w:r>
        <w:rPr>
          <w:rFonts w:hint="eastAsia"/>
          <w:lang w:eastAsia="zh-CN"/>
        </w:rPr>
        <w:t>）</w:t>
      </w:r>
      <w:r>
        <w:rPr>
          <w:rFonts w:hint="eastAsia"/>
        </w:rPr>
        <w:t>的决定</w:t>
      </w:r>
    </w:p>
    <w:p>
      <w:pPr>
        <w:pStyle w:val="12"/>
        <w:rPr>
          <w:rFonts w:hint="eastAsia" w:ascii="宋体" w:hAnsi="宋体" w:eastAsia="宋体" w:cs="宋体"/>
        </w:rPr>
      </w:pPr>
    </w:p>
    <w:p>
      <w:pPr>
        <w:pStyle w:val="19"/>
        <w:rPr>
          <w:rFonts w:hint="eastAsia"/>
        </w:rPr>
      </w:pPr>
      <w:r>
        <w:rPr>
          <w:rFonts w:hint="eastAsia"/>
        </w:rPr>
        <w:t>法释〔2017〕17号</w:t>
      </w:r>
    </w:p>
    <w:p>
      <w:pPr>
        <w:pStyle w:val="12"/>
        <w:rPr>
          <w:rFonts w:hint="eastAsia" w:ascii="宋体" w:hAnsi="宋体" w:eastAsia="宋体" w:cs="宋体"/>
        </w:rPr>
      </w:pPr>
    </w:p>
    <w:p>
      <w:pPr>
        <w:pStyle w:val="12"/>
        <w:rPr>
          <w:rFonts w:hint="eastAsia"/>
        </w:rPr>
      </w:pPr>
      <w:r>
        <w:rPr>
          <w:rFonts w:hint="eastAsia"/>
        </w:rPr>
        <w:t>为适应形势发展变化，保证国家法律统一正确适用，根据经第十二届全国人民代表大会常务委员会第十一次会议《关于修改中华人民共和国行政诉讼法的决定》修改的《中华人民共和国行政诉讼法》的规定，结合审判工作实际，最高人民法院对1988年至2013年期间单独发布的有关行政诉讼的司法解释和司法解释性质文件进行了清理。现决定废止15件司法解释和司法解释性质文件。废止的司法解释和司法解释性质文件从本决定施行之日起不再适用，但过去依据或参照下列司法解释和司法解释性质文件对有关案件作出的判决、裁定仍然有效。当事人对废止决定公布前的行政行为不服，在决定公布后提起行政诉讼或者进入再审程序的，除相关司法解释和司法解释性质文件与当时有效的法律相抵触外，人民法院可依据相关司法解释和司法解释性质文件作出裁判。</w:t>
      </w:r>
    </w:p>
    <w:p>
      <w:pPr>
        <w:pStyle w:val="12"/>
        <w:rPr>
          <w:rFonts w:hint="eastAsia"/>
        </w:rPr>
      </w:pPr>
      <w:r>
        <w:rPr>
          <w:rFonts w:hint="eastAsia"/>
        </w:rPr>
        <w:br w:type="page"/>
      </w:r>
    </w:p>
    <w:p>
      <w:pPr>
        <w:pStyle w:val="12"/>
        <w:rPr>
          <w:rFonts w:hint="eastAsia" w:ascii="宋体" w:hAnsi="宋体" w:eastAsia="宋体" w:cs="宋体"/>
        </w:rPr>
      </w:pPr>
    </w:p>
    <w:p>
      <w:pPr>
        <w:pStyle w:val="11"/>
        <w:rPr>
          <w:rFonts w:hint="eastAsia"/>
          <w:lang w:eastAsia="zh-CN"/>
        </w:rPr>
      </w:pPr>
      <w:r>
        <w:rPr>
          <w:rFonts w:hint="eastAsia"/>
          <w:lang w:eastAsia="zh-CN"/>
        </w:rP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决定废止的部分司法解释和司法解释</w:t>
      </w:r>
    </w:p>
    <w:p>
      <w:pPr>
        <w:pStyle w:val="7"/>
        <w:rPr>
          <w:rFonts w:hint="eastAsia"/>
        </w:rPr>
      </w:pPr>
      <w:r>
        <w:rPr>
          <w:rFonts w:hint="eastAsia"/>
        </w:rPr>
        <w:t>性质文件目录</w:t>
      </w:r>
      <w:r>
        <w:rPr>
          <w:rFonts w:hint="eastAsia"/>
          <w:lang w:eastAsia="zh-CN"/>
        </w:rPr>
        <w:t>（</w:t>
      </w:r>
      <w:r>
        <w:rPr>
          <w:rFonts w:hint="eastAsia"/>
        </w:rPr>
        <w:t>第十二批</w:t>
      </w:r>
      <w:r>
        <w:rPr>
          <w:rFonts w:hint="eastAsia"/>
          <w:lang w:eastAsia="zh-CN"/>
        </w:rPr>
        <w:t>）</w:t>
      </w:r>
    </w:p>
    <w:p>
      <w:pPr>
        <w:pStyle w:val="12"/>
        <w:rPr>
          <w:rFonts w:hint="eastAsia" w:ascii="宋体" w:hAnsi="宋体" w:eastAsia="宋体" w:cs="宋体"/>
        </w:rPr>
      </w:pPr>
    </w:p>
    <w:tbl>
      <w:tblPr>
        <w:tblStyle w:val="5"/>
        <w:tblW w:w="8844" w:type="dxa"/>
        <w:jc w:val="center"/>
        <w:tblInd w:w="-499"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Layout w:type="fixed"/>
        <w:tblCellMar>
          <w:top w:w="0" w:type="dxa"/>
          <w:left w:w="108" w:type="dxa"/>
          <w:bottom w:w="0" w:type="dxa"/>
          <w:right w:w="108" w:type="dxa"/>
        </w:tblCellMar>
      </w:tblPr>
      <w:tblGrid>
        <w:gridCol w:w="1394"/>
        <w:gridCol w:w="2483"/>
        <w:gridCol w:w="2482"/>
        <w:gridCol w:w="2485"/>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24"/>
              <w:rPr>
                <w:color w:val="auto"/>
              </w:rPr>
            </w:pPr>
            <w:r>
              <w:rPr>
                <w:color w:val="auto"/>
                <w:lang w:val="en-US" w:eastAsia="zh-CN"/>
              </w:rPr>
              <w:t>序号</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24"/>
              <w:rPr>
                <w:color w:val="auto"/>
              </w:rPr>
            </w:pPr>
            <w:r>
              <w:rPr>
                <w:color w:val="auto"/>
                <w:lang w:val="en-US" w:eastAsia="zh-CN"/>
              </w:rPr>
              <w:t>司法解释和司法解释性质文件名称</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24"/>
              <w:rPr>
                <w:color w:val="auto"/>
              </w:rPr>
            </w:pPr>
            <w:r>
              <w:rPr>
                <w:color w:val="auto"/>
                <w:lang w:val="en-US" w:eastAsia="zh-CN"/>
              </w:rPr>
              <w:t>发文日期、文号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24"/>
              <w:rPr>
                <w:color w:val="auto"/>
              </w:rPr>
            </w:pPr>
            <w:r>
              <w:rPr>
                <w:color w:val="auto"/>
                <w:lang w:val="en-US" w:eastAsia="zh-CN"/>
              </w:rPr>
              <w:t>废止理由</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最高人民法院关于药品行政案件管辖问题的答复</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1992年1月2日</w:t>
            </w:r>
            <w:r>
              <w:rPr>
                <w:color w:val="auto"/>
                <w:lang w:val="en-US" w:eastAsia="zh-CN"/>
              </w:rPr>
              <w:br w:type="textWrapping"/>
            </w:r>
            <w:r>
              <w:rPr>
                <w:color w:val="auto"/>
                <w:lang w:val="en-US" w:eastAsia="zh-CN"/>
              </w:rPr>
              <w:t>法行复（1992)1号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与《中华人民共和国药品管理法》相冲突</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2</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最高人民法院关于人民法院审理行政案件对地方性法规的规定与法律和行政法规不一致的应当执行法律和行政法规的复函（节录）</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1993年3月11日</w:t>
            </w:r>
            <w:r>
              <w:rPr>
                <w:color w:val="auto"/>
                <w:lang w:val="en-US" w:eastAsia="zh-CN"/>
              </w:rPr>
              <w:br w:type="textWrapping"/>
            </w:r>
            <w:r>
              <w:rPr>
                <w:color w:val="auto"/>
                <w:lang w:val="en-US" w:eastAsia="zh-CN"/>
              </w:rPr>
              <w:t>法函（1993)16号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与《中华人民共和国渔业法》相冲突</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3</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最高人民法院行政审判庭对广东省高院（1997)粤高法行请字第3号请示问题的答复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1998年2月18曰(1998)行他字第4号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收容审查制度已废止，答复不再适用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4</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最高人民法院行政审判庭关于对雇工引起萆原火灾的，可否追究雇主的连带经济责任的答复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1998年7月7日</w:t>
            </w:r>
            <w:r>
              <w:rPr>
                <w:color w:val="auto"/>
                <w:lang w:val="en-US" w:eastAsia="zh-CN"/>
              </w:rPr>
              <w:br w:type="textWrapping"/>
            </w:r>
            <w:r>
              <w:rPr>
                <w:color w:val="auto"/>
                <w:lang w:val="en-US" w:eastAsia="zh-CN"/>
              </w:rPr>
              <w:t>(1998)法行字第4号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其解释的《草原防火条例》相关内容已修改，答复不再适用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5</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最高人民法院关于人民法院是否受理乡政府申请执行农民承担村提留、乡统筹决定案件的复函</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1998年11月16日</w:t>
            </w:r>
          </w:p>
          <w:p>
            <w:pPr>
              <w:pStyle w:val="15"/>
              <w:rPr>
                <w:color w:val="auto"/>
              </w:rPr>
            </w:pPr>
            <w:r>
              <w:rPr>
                <w:color w:val="auto"/>
              </w:rPr>
              <w:t>法函（1998)117号</w:t>
            </w:r>
          </w:p>
          <w:p>
            <w:pPr>
              <w:pStyle w:val="15"/>
              <w:rPr>
                <w:color w:val="auto"/>
              </w:rPr>
            </w:pPr>
            <w:r>
              <w:rPr>
                <w:color w:val="auto"/>
              </w:rPr>
              <w:t>　</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情况已变化，实际已失效</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6</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最高人民法院行政审判庭关于人民法院受理劳动教养行政案件是否需要复议前置问题的答复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1998年11月19日</w:t>
            </w:r>
          </w:p>
          <w:p>
            <w:pPr>
              <w:pStyle w:val="15"/>
              <w:rPr>
                <w:color w:val="auto"/>
              </w:rPr>
            </w:pPr>
            <w:r>
              <w:rPr>
                <w:color w:val="auto"/>
              </w:rPr>
              <w:t>(1997)法行字第27号</w:t>
            </w:r>
          </w:p>
          <w:p>
            <w:pPr>
              <w:pStyle w:val="15"/>
              <w:rPr>
                <w:color w:val="auto"/>
              </w:rPr>
            </w:pPr>
            <w:r>
              <w:rPr>
                <w:color w:val="auto"/>
              </w:rPr>
              <w:t>　</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劳动教养制度已废止，答复不再适用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7</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最高人民法院行政审判庭对《关于审理</w:t>
            </w:r>
            <w:r>
              <w:rPr>
                <w:color w:val="auto"/>
                <w:lang w:val="en-US" w:eastAsia="zh-CN"/>
              </w:rPr>
              <w:fldChar w:fldCharType="begin"/>
            </w:r>
            <w:r>
              <w:rPr>
                <w:color w:val="auto"/>
                <w:lang w:val="en-US" w:eastAsia="zh-CN"/>
              </w:rPr>
              <w:instrText xml:space="preserve"> HYPERLINK "http://www.dffyw.com/faguixiazai/xzf/200508/20050828194347.htm" </w:instrText>
            </w:r>
            <w:r>
              <w:rPr>
                <w:color w:val="auto"/>
                <w:lang w:val="en-US" w:eastAsia="zh-CN"/>
              </w:rPr>
              <w:fldChar w:fldCharType="separate"/>
            </w:r>
            <w:r>
              <w:rPr>
                <w:rFonts w:ascii="宋体" w:hAnsi="宋体" w:eastAsia="宋体" w:cs="宋体"/>
                <w:color w:val="auto"/>
                <w:szCs w:val="24"/>
                <w:u w:val="none"/>
              </w:rPr>
              <w:t>公证</w:t>
            </w:r>
            <w:r>
              <w:rPr>
                <w:color w:val="auto"/>
                <w:lang w:val="en-US" w:eastAsia="zh-CN"/>
              </w:rPr>
              <w:fldChar w:fldCharType="end"/>
            </w:r>
            <w:r>
              <w:rPr>
                <w:color w:val="auto"/>
                <w:lang w:val="en-US" w:eastAsia="zh-CN"/>
              </w:rPr>
              <w:t>行政案件中适用法规问题的请示》的答复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1999年8月16曰</w:t>
            </w:r>
          </w:p>
          <w:p>
            <w:pPr>
              <w:pStyle w:val="15"/>
              <w:rPr>
                <w:color w:val="auto"/>
              </w:rPr>
            </w:pPr>
            <w:r>
              <w:rPr>
                <w:color w:val="auto"/>
              </w:rPr>
              <w:t>法行（1999)4号</w:t>
            </w:r>
          </w:p>
          <w:p>
            <w:pPr>
              <w:pStyle w:val="15"/>
              <w:rPr>
                <w:color w:val="auto"/>
              </w:rPr>
            </w:pPr>
            <w:r>
              <w:rPr>
                <w:color w:val="auto"/>
              </w:rPr>
              <w:t>　</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与《中华人民共和国</w:t>
            </w:r>
            <w:r>
              <w:rPr>
                <w:color w:val="auto"/>
                <w:lang w:val="en-US" w:eastAsia="zh-CN"/>
              </w:rPr>
              <w:fldChar w:fldCharType="begin"/>
            </w:r>
            <w:r>
              <w:rPr>
                <w:color w:val="auto"/>
                <w:lang w:val="en-US" w:eastAsia="zh-CN"/>
              </w:rPr>
              <w:instrText xml:space="preserve"> HYPERLINK "http://www.dffyw.com/faguixiazai/xzf/200508/20050828194347.htm" </w:instrText>
            </w:r>
            <w:r>
              <w:rPr>
                <w:color w:val="auto"/>
                <w:lang w:val="en-US" w:eastAsia="zh-CN"/>
              </w:rPr>
              <w:fldChar w:fldCharType="separate"/>
            </w:r>
            <w:r>
              <w:rPr>
                <w:rFonts w:ascii="宋体" w:hAnsi="宋体" w:eastAsia="宋体" w:cs="宋体"/>
                <w:color w:val="auto"/>
                <w:szCs w:val="24"/>
                <w:u w:val="none"/>
              </w:rPr>
              <w:t>公证</w:t>
            </w:r>
            <w:r>
              <w:rPr>
                <w:color w:val="auto"/>
                <w:lang w:val="en-US" w:eastAsia="zh-CN"/>
              </w:rPr>
              <w:fldChar w:fldCharType="end"/>
            </w:r>
            <w:r>
              <w:rPr>
                <w:color w:val="auto"/>
                <w:lang w:val="en-US" w:eastAsia="zh-CN"/>
              </w:rPr>
              <w:t>法》相冲突</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8</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最高人民法院行政审判庭关于人民法院审理劳动教养行政案件是否遶循《</w:t>
            </w:r>
            <w:r>
              <w:rPr>
                <w:color w:val="auto"/>
                <w:lang w:val="en-US" w:eastAsia="zh-CN"/>
              </w:rPr>
              <w:fldChar w:fldCharType="begin"/>
            </w:r>
            <w:r>
              <w:rPr>
                <w:color w:val="auto"/>
                <w:lang w:val="en-US" w:eastAsia="zh-CN"/>
              </w:rPr>
              <w:instrText xml:space="preserve"> HYPERLINK "http://www.dffyw.com/faguixiazai/ssf/200311/20031109202059.htm" </w:instrText>
            </w:r>
            <w:r>
              <w:rPr>
                <w:color w:val="auto"/>
                <w:lang w:val="en-US" w:eastAsia="zh-CN"/>
              </w:rPr>
              <w:fldChar w:fldCharType="separate"/>
            </w:r>
            <w:r>
              <w:rPr>
                <w:rFonts w:ascii="宋体" w:hAnsi="宋体" w:eastAsia="宋体" w:cs="宋体"/>
                <w:color w:val="auto"/>
                <w:szCs w:val="24"/>
                <w:u w:val="none"/>
              </w:rPr>
              <w:t>刑事诉讼法</w:t>
            </w:r>
            <w:r>
              <w:rPr>
                <w:color w:val="auto"/>
                <w:lang w:val="en-US" w:eastAsia="zh-CN"/>
              </w:rPr>
              <w:fldChar w:fldCharType="end"/>
            </w:r>
            <w:r>
              <w:rPr>
                <w:color w:val="auto"/>
                <w:lang w:val="en-US" w:eastAsia="zh-CN"/>
              </w:rPr>
              <w:t>》确立的基本原则的请示的答复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1999年10月18日</w:t>
            </w:r>
          </w:p>
          <w:p>
            <w:pPr>
              <w:pStyle w:val="15"/>
              <w:rPr>
                <w:color w:val="auto"/>
              </w:rPr>
            </w:pPr>
            <w:r>
              <w:rPr>
                <w:color w:val="auto"/>
              </w:rPr>
              <w:t>(1998)法行字第16号</w:t>
            </w:r>
          </w:p>
          <w:p>
            <w:pPr>
              <w:pStyle w:val="15"/>
              <w:rPr>
                <w:color w:val="auto"/>
              </w:rPr>
            </w:pPr>
            <w:r>
              <w:rPr>
                <w:color w:val="auto"/>
              </w:rPr>
              <w:t>　</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劳动教养制度已废止，答复不再适用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9</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w:t>
            </w:r>
          </w:p>
          <w:p>
            <w:pPr>
              <w:pStyle w:val="15"/>
              <w:rPr>
                <w:color w:val="auto"/>
              </w:rPr>
            </w:pPr>
            <w:r>
              <w:rPr>
                <w:color w:val="auto"/>
              </w:rPr>
              <w:t>对福建省高级人民法院《关于福建省地方税务局稽查分局是否具有行政主体资格的请示报告》的答复意见</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1999年10月21曰</w:t>
            </w:r>
          </w:p>
          <w:p>
            <w:pPr>
              <w:pStyle w:val="15"/>
              <w:rPr>
                <w:color w:val="auto"/>
              </w:rPr>
            </w:pPr>
            <w:r>
              <w:rPr>
                <w:color w:val="auto"/>
              </w:rPr>
              <w:t>行他（1999)25号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与《中华人民共和国税收征收管理法》《中华人民共和国税收征收管理法实施细则》相冲突</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trHeight w:val="405" w:hRule="atLeast"/>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10</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最高人民法院行政审判庭关于胡家兴与胡家华土地权属纠纷申诉案的请示报告的答复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2000年1月24曰</w:t>
            </w:r>
          </w:p>
          <w:p>
            <w:pPr>
              <w:pStyle w:val="15"/>
              <w:rPr>
                <w:color w:val="auto"/>
              </w:rPr>
            </w:pPr>
            <w:r>
              <w:rPr>
                <w:color w:val="auto"/>
              </w:rPr>
              <w:t>行他（1999)10号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已被《最高人民关于执行〈中华人民共和国</w:t>
            </w:r>
            <w:r>
              <w:rPr>
                <w:color w:val="auto"/>
                <w:lang w:val="en-US" w:eastAsia="zh-CN"/>
              </w:rPr>
              <w:fldChar w:fldCharType="begin"/>
            </w:r>
            <w:r>
              <w:rPr>
                <w:color w:val="auto"/>
                <w:lang w:val="en-US" w:eastAsia="zh-CN"/>
              </w:rPr>
              <w:instrText xml:space="preserve"> HYPERLINK "http://www.dffyw.com/faguixiazai/ssf/200311/20031109195715.htm" </w:instrText>
            </w:r>
            <w:r>
              <w:rPr>
                <w:color w:val="auto"/>
                <w:lang w:val="en-US" w:eastAsia="zh-CN"/>
              </w:rPr>
              <w:fldChar w:fldCharType="separate"/>
            </w:r>
            <w:r>
              <w:rPr>
                <w:rFonts w:ascii="宋体" w:hAnsi="宋体" w:eastAsia="宋体" w:cs="宋体"/>
                <w:color w:val="auto"/>
                <w:szCs w:val="24"/>
                <w:u w:val="none"/>
              </w:rPr>
              <w:t>行政诉讼法</w:t>
            </w:r>
            <w:r>
              <w:rPr>
                <w:color w:val="auto"/>
                <w:lang w:val="en-US" w:eastAsia="zh-CN"/>
              </w:rPr>
              <w:fldChar w:fldCharType="end"/>
            </w:r>
            <w:r>
              <w:rPr>
                <w:color w:val="auto"/>
                <w:lang w:val="en-US" w:eastAsia="zh-CN"/>
              </w:rPr>
              <w:t>〉若干问题的解释》吸收</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11</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最高人民法院行政审判庭关于对保险公司不正当竟争行为如何确定监督检查主体的答复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2000年4月19日</w:t>
            </w:r>
          </w:p>
          <w:p>
            <w:pPr>
              <w:pStyle w:val="15"/>
              <w:rPr>
                <w:color w:val="auto"/>
              </w:rPr>
            </w:pPr>
            <w:r>
              <w:rPr>
                <w:color w:val="auto"/>
              </w:rPr>
              <w:t>法行（2000）1号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已被《最高人民法院关于审理涉及保险公司不正当竞争行为的行政处罚案件时如何确定行政主体问题的复函》代替</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12</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最高人民法院行政审判庭关于人民法院在审理劳动教养行政案件时就有关实体问题能否进行审查的电话答复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2000年12月11日</w:t>
            </w:r>
          </w:p>
          <w:p>
            <w:pPr>
              <w:pStyle w:val="15"/>
              <w:rPr>
                <w:color w:val="auto"/>
              </w:rPr>
            </w:pPr>
            <w:r>
              <w:rPr>
                <w:color w:val="auto"/>
              </w:rPr>
              <w:t>行他（2000）第12号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劳动教养制度已废止，答复不再适用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13</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最高人民法院行政审判庭关于《外商投资企业清算办法》适用中有关清算问题请示的答复</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2000年12月31曰</w:t>
            </w:r>
          </w:p>
          <w:p>
            <w:pPr>
              <w:pStyle w:val="15"/>
              <w:rPr>
                <w:color w:val="auto"/>
              </w:rPr>
            </w:pPr>
            <w:r>
              <w:rPr>
                <w:color w:val="auto"/>
              </w:rPr>
              <w:t>(2000)行他字第23号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已被《中华人民共和国</w:t>
            </w:r>
            <w:r>
              <w:rPr>
                <w:color w:val="auto"/>
                <w:lang w:val="en-US" w:eastAsia="zh-CN"/>
              </w:rPr>
              <w:fldChar w:fldCharType="begin"/>
            </w:r>
            <w:r>
              <w:rPr>
                <w:color w:val="auto"/>
                <w:lang w:val="en-US" w:eastAsia="zh-CN"/>
              </w:rPr>
              <w:instrText xml:space="preserve"> HYPERLINK "http://www.dffyw.com/faguixiazai/msf/200311/20031110211428.htm" </w:instrText>
            </w:r>
            <w:r>
              <w:rPr>
                <w:color w:val="auto"/>
                <w:lang w:val="en-US" w:eastAsia="zh-CN"/>
              </w:rPr>
              <w:fldChar w:fldCharType="separate"/>
            </w:r>
            <w:r>
              <w:rPr>
                <w:rFonts w:ascii="宋体" w:hAnsi="宋体" w:eastAsia="宋体" w:cs="宋体"/>
                <w:color w:val="auto"/>
                <w:szCs w:val="24"/>
                <w:u w:val="none"/>
              </w:rPr>
              <w:t>公司法</w:t>
            </w:r>
            <w:r>
              <w:rPr>
                <w:color w:val="auto"/>
                <w:lang w:val="en-US" w:eastAsia="zh-CN"/>
              </w:rPr>
              <w:fldChar w:fldCharType="end"/>
            </w:r>
            <w:r>
              <w:rPr>
                <w:color w:val="auto"/>
                <w:lang w:val="en-US" w:eastAsia="zh-CN"/>
              </w:rPr>
              <w:t>》的相关内容代替</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14</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最高人民法院关于能否对仅有一次盜窃行为的公民实施劳动教养问题的答复</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2005年7月21日</w:t>
            </w:r>
          </w:p>
          <w:p>
            <w:pPr>
              <w:pStyle w:val="15"/>
              <w:rPr>
                <w:color w:val="auto"/>
              </w:rPr>
            </w:pPr>
            <w:r>
              <w:rPr>
                <w:color w:val="auto"/>
              </w:rPr>
              <w:t>(2005)行他字第8号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劳动教养制度已废止，答复不再适用</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108" w:type="dxa"/>
            <w:bottom w:w="0" w:type="dxa"/>
            <w:right w:w="108" w:type="dxa"/>
          </w:tblCellMar>
        </w:tblPrEx>
        <w:trPr>
          <w:jc w:val="center"/>
        </w:trPr>
        <w:tc>
          <w:tcPr>
            <w:tcW w:w="1394"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8"/>
              <w:rPr>
                <w:color w:val="auto"/>
              </w:rPr>
            </w:pPr>
            <w:r>
              <w:rPr>
                <w:color w:val="auto"/>
                <w:lang w:val="en-US" w:eastAsia="zh-CN"/>
              </w:rPr>
              <w:t>15</w:t>
            </w:r>
          </w:p>
        </w:tc>
        <w:tc>
          <w:tcPr>
            <w:tcW w:w="2483"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rPr>
              <w:t>最高人民法院</w:t>
            </w:r>
          </w:p>
          <w:p>
            <w:pPr>
              <w:pStyle w:val="15"/>
              <w:rPr>
                <w:color w:val="auto"/>
              </w:rPr>
            </w:pPr>
            <w:r>
              <w:rPr>
                <w:color w:val="auto"/>
              </w:rPr>
              <w:t>关于车辆挂靠其他单位经营车辆实际所有人聘用的同机工作中伤亡能否认定为工伤问题的答复</w:t>
            </w:r>
          </w:p>
          <w:p>
            <w:pPr>
              <w:pStyle w:val="15"/>
              <w:rPr>
                <w:color w:val="auto"/>
              </w:rPr>
            </w:pPr>
            <w:r>
              <w:rPr>
                <w:color w:val="auto"/>
              </w:rPr>
              <w:t>　</w:t>
            </w:r>
          </w:p>
        </w:tc>
        <w:tc>
          <w:tcPr>
            <w:tcW w:w="2482"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2007年12月3曰</w:t>
            </w:r>
          </w:p>
          <w:p>
            <w:pPr>
              <w:pStyle w:val="15"/>
              <w:rPr>
                <w:color w:val="auto"/>
              </w:rPr>
            </w:pPr>
            <w:r>
              <w:rPr>
                <w:color w:val="auto"/>
                <w:lang w:val="en-US"/>
              </w:rPr>
              <w:t>（</w:t>
            </w:r>
            <w:r>
              <w:rPr>
                <w:color w:val="auto"/>
              </w:rPr>
              <w:t>2006）行他字第17号</w:t>
            </w:r>
          </w:p>
        </w:tc>
        <w:tc>
          <w:tcPr>
            <w:tcW w:w="2485" w:type="dxa"/>
            <w:tcBorders>
              <w:top w:val="outset" w:color="000000" w:sz="6" w:space="0"/>
              <w:left w:val="outset" w:color="000000" w:sz="6" w:space="0"/>
              <w:bottom w:val="outset" w:color="000000" w:sz="6" w:space="0"/>
              <w:right w:val="outset" w:color="000000" w:sz="6" w:space="0"/>
            </w:tcBorders>
            <w:shd w:val="clear" w:color="auto" w:fill="auto"/>
            <w:vAlign w:val="center"/>
          </w:tcPr>
          <w:p>
            <w:pPr>
              <w:pStyle w:val="15"/>
              <w:rPr>
                <w:color w:val="auto"/>
              </w:rPr>
            </w:pPr>
            <w:r>
              <w:rPr>
                <w:color w:val="auto"/>
                <w:lang w:val="en-US" w:eastAsia="zh-CN"/>
              </w:rPr>
              <w:t>已被《最高人民法院</w:t>
            </w:r>
            <w:r>
              <w:rPr>
                <w:color w:val="auto"/>
                <w:lang w:val="en-US" w:eastAsia="zh-CN"/>
              </w:rPr>
              <w:fldChar w:fldCharType="begin"/>
            </w:r>
            <w:r>
              <w:rPr>
                <w:color w:val="auto"/>
                <w:lang w:val="en-US" w:eastAsia="zh-CN"/>
              </w:rPr>
              <w:instrText xml:space="preserve"> HYPERLINK "http://www.dffyw.com/faguixiazai/xzf/201408/36849.html" </w:instrText>
            </w:r>
            <w:r>
              <w:rPr>
                <w:color w:val="auto"/>
                <w:lang w:val="en-US" w:eastAsia="zh-CN"/>
              </w:rPr>
              <w:fldChar w:fldCharType="separate"/>
            </w:r>
            <w:r>
              <w:rPr>
                <w:rFonts w:ascii="宋体" w:hAnsi="宋体" w:eastAsia="宋体" w:cs="宋体"/>
                <w:color w:val="auto"/>
                <w:szCs w:val="24"/>
                <w:u w:val="none"/>
              </w:rPr>
              <w:t>关于审理工伤保险行政案件若干问题的规定</w:t>
            </w:r>
            <w:r>
              <w:rPr>
                <w:color w:val="auto"/>
                <w:lang w:val="en-US" w:eastAsia="zh-CN"/>
              </w:rPr>
              <w:fldChar w:fldCharType="end"/>
            </w:r>
            <w:r>
              <w:rPr>
                <w:color w:val="auto"/>
                <w:lang w:val="en-US" w:eastAsia="zh-CN"/>
              </w:rPr>
              <w:t>》吸收</w:t>
            </w:r>
          </w:p>
        </w:tc>
      </w:tr>
    </w:tbl>
    <w:p>
      <w:pPr>
        <w:pStyle w:val="12"/>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F7FBA"/>
    <w:rsid w:val="00323D76"/>
    <w:rsid w:val="02380A4E"/>
    <w:rsid w:val="02C54CFB"/>
    <w:rsid w:val="042F174E"/>
    <w:rsid w:val="0751543E"/>
    <w:rsid w:val="0BE369DE"/>
    <w:rsid w:val="0F9D48A9"/>
    <w:rsid w:val="0FC66F39"/>
    <w:rsid w:val="135B4974"/>
    <w:rsid w:val="16EF7FBA"/>
    <w:rsid w:val="19EF53F7"/>
    <w:rsid w:val="1A606788"/>
    <w:rsid w:val="1C547AC8"/>
    <w:rsid w:val="20194FCD"/>
    <w:rsid w:val="211007F7"/>
    <w:rsid w:val="224D5C1E"/>
    <w:rsid w:val="28B53323"/>
    <w:rsid w:val="2A483D38"/>
    <w:rsid w:val="2A844039"/>
    <w:rsid w:val="2CFE6EE4"/>
    <w:rsid w:val="2D725F92"/>
    <w:rsid w:val="300E2AEA"/>
    <w:rsid w:val="302E782D"/>
    <w:rsid w:val="325C564C"/>
    <w:rsid w:val="36AE6775"/>
    <w:rsid w:val="38787F7C"/>
    <w:rsid w:val="39191BFA"/>
    <w:rsid w:val="3D717517"/>
    <w:rsid w:val="3FBC61B7"/>
    <w:rsid w:val="4AEF215E"/>
    <w:rsid w:val="4DA15956"/>
    <w:rsid w:val="4E7D2A86"/>
    <w:rsid w:val="501B3EB2"/>
    <w:rsid w:val="5027117E"/>
    <w:rsid w:val="56C00D65"/>
    <w:rsid w:val="5DEC6C52"/>
    <w:rsid w:val="65586BE5"/>
    <w:rsid w:val="6A462321"/>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2017-11-09T08:55:00Z</dcterms:created>
  <dc:creator>Administrator</dc:creator>
  <cp:lastModifiedBy>Administrator</cp:lastModifiedBy>
  <dcterms:modified xsi:type="dcterms:W3CDTF">2017-11-09T12:05:28Z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