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关于建设工程价款优先受偿权问题的批复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法释〔2002〕16号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2002年6月11日最高人民法院审判委员会第1225次会议通过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2002</w:t>
      </w:r>
      <w:r>
        <w:t>年6月20</w:t>
      </w:r>
      <w:r>
        <w:rPr>
          <w:rFonts w:hint="eastAsia"/>
        </w:rPr>
        <w:t>日最高人民法院公告公布　自</w:t>
      </w:r>
      <w:r>
        <w:t>2002年6月27日起施行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上海市高级人民法院：</w:t>
      </w:r>
    </w:p>
    <w:p>
      <w:pPr>
        <w:pStyle w:val="12"/>
        <w:rPr>
          <w:rStyle w:val="25"/>
          <w:rFonts w:hint="eastAsia"/>
        </w:rPr>
      </w:pPr>
      <w:r>
        <w:t>你院沪高法〔2001〕14号《关于合同法第二百八十六条理解与适用问题的请示》收悉。经研究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人民法院在审理房地产纠纷案件和办理执行案件中</w:t>
      </w:r>
      <w:r>
        <w:rPr>
          <w:rFonts w:hint="eastAsia"/>
        </w:rPr>
        <w:t>，</w:t>
      </w:r>
      <w:r>
        <w:t>应当依照《中华人民共和国合同法》第二百八十六条的规定</w:t>
      </w:r>
      <w:r>
        <w:rPr>
          <w:rFonts w:hint="eastAsia"/>
        </w:rPr>
        <w:t>，</w:t>
      </w:r>
      <w:r>
        <w:t>认定建筑工程的承包人的优先受偿权优于抵押权和其他债权。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二、</w:t>
      </w:r>
      <w:r>
        <w:t>消费者交付购买商品房的全部或者大部分款项后</w:t>
      </w:r>
      <w:r>
        <w:rPr>
          <w:rFonts w:hint="eastAsia"/>
        </w:rPr>
        <w:t>，</w:t>
      </w:r>
      <w:r>
        <w:t>承包人就该商品房享有的工程价款优先受偿权不得</w:t>
      </w:r>
      <w:r>
        <w:rPr>
          <w:rFonts w:hint="eastAsia"/>
        </w:rPr>
        <w:t>对抗买受人。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三、</w:t>
      </w:r>
      <w:r>
        <w:t>建筑工程价款包括承包人为建设工程应当支付的工作人员报酬、材料款等实际支出的费用</w:t>
      </w:r>
      <w:r>
        <w:rPr>
          <w:rFonts w:hint="eastAsia"/>
        </w:rPr>
        <w:t>，</w:t>
      </w:r>
      <w:r>
        <w:t>不包括承包人因发包人违约所造成的损失。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四、</w:t>
      </w:r>
      <w:r>
        <w:t>建设工程承包人行使优先权的期限为6个月</w:t>
      </w:r>
      <w:r>
        <w:rPr>
          <w:rFonts w:hint="eastAsia"/>
        </w:rPr>
        <w:t>，</w:t>
      </w:r>
      <w:r>
        <w:t>自建设工程竣工之日或者建设工程合同约定的竣工之日起计算。</w:t>
      </w:r>
    </w:p>
    <w:p>
      <w:pPr>
        <w:pStyle w:val="12"/>
        <w:rPr>
          <w:rFonts w:hint="eastAsia"/>
        </w:rPr>
      </w:pPr>
      <w:r>
        <w:rPr>
          <w:rStyle w:val="25"/>
        </w:rPr>
        <w:t>五、</w:t>
      </w:r>
      <w:r>
        <w:t>本批复第一条至第三条自公布之日起施行</w:t>
      </w:r>
      <w:r>
        <w:rPr>
          <w:rFonts w:hint="eastAsia"/>
        </w:rPr>
        <w:t>，</w:t>
      </w:r>
      <w:r>
        <w:t>第四条自公布之日起6个月后施行。</w:t>
      </w:r>
    </w:p>
    <w:p>
      <w:pPr>
        <w:pStyle w:val="12"/>
        <w:rPr>
          <w:rFonts w:hint="eastAsia"/>
        </w:rPr>
      </w:pPr>
      <w:r>
        <w:t>此复。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419CE"/>
    <w:rsid w:val="00323D76"/>
    <w:rsid w:val="02380A4E"/>
    <w:rsid w:val="02C54CFB"/>
    <w:rsid w:val="042F174E"/>
    <w:rsid w:val="0751543E"/>
    <w:rsid w:val="0BE369DE"/>
    <w:rsid w:val="0F9D48A9"/>
    <w:rsid w:val="0FC66F39"/>
    <w:rsid w:val="11186636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CC419C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6784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2017-10-30T14:09:00Z</dcterms:created>
  <dc:creator>Administrator</dc:creator>
  <cp:lastModifiedBy>Administrator</cp:lastModifiedBy>
  <dcterms:modified xsi:type="dcterms:W3CDTF">2017-10-31T08:41:15Z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