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i w:val="0"/>
          <w:caps w:val="0"/>
          <w:color w:val="333333"/>
          <w:spacing w:val="0"/>
          <w:kern w:val="0"/>
          <w:sz w:val="32"/>
          <w:szCs w:val="32"/>
          <w:shd w:val="clear" w:fill="FFFFFF"/>
          <w:lang w:val="en-US" w:eastAsia="zh-CN" w:bidi="ar"/>
        </w:rPr>
      </w:pPr>
    </w:p>
    <w:p>
      <w:pPr>
        <w:rPr>
          <w:rFonts w:hint="eastAsia" w:ascii="宋体" w:hAnsi="宋体" w:eastAsia="宋体" w:cs="宋体"/>
          <w:b w:val="0"/>
          <w:bCs/>
          <w:i w:val="0"/>
          <w:caps w:val="0"/>
          <w:color w:val="333333"/>
          <w:spacing w:val="0"/>
          <w:kern w:val="0"/>
          <w:sz w:val="32"/>
          <w:szCs w:val="32"/>
          <w:shd w:val="clear" w:fill="FFFFFF"/>
          <w:lang w:val="en-US" w:eastAsia="zh-CN" w:bidi="ar"/>
        </w:rPr>
      </w:pPr>
    </w:p>
    <w:p>
      <w:pPr>
        <w:jc w:val="center"/>
        <w:rPr>
          <w:rFonts w:hint="eastAsia" w:ascii="宋体" w:hAnsi="宋体" w:eastAsia="宋体" w:cs="宋体"/>
          <w:b w:val="0"/>
          <w:bCs/>
          <w:i w:val="0"/>
          <w:caps w:val="0"/>
          <w:color w:val="333333"/>
          <w:spacing w:val="0"/>
          <w:kern w:val="0"/>
          <w:sz w:val="44"/>
          <w:szCs w:val="44"/>
          <w:shd w:val="clear" w:fill="FFFFFF"/>
          <w:lang w:val="en-US" w:eastAsia="zh-CN" w:bidi="ar"/>
        </w:rPr>
      </w:pPr>
      <w:r>
        <w:rPr>
          <w:rFonts w:hint="eastAsia" w:ascii="宋体" w:hAnsi="宋体" w:eastAsia="宋体" w:cs="宋体"/>
          <w:b w:val="0"/>
          <w:bCs/>
          <w:i w:val="0"/>
          <w:caps w:val="0"/>
          <w:color w:val="333333"/>
          <w:spacing w:val="0"/>
          <w:kern w:val="0"/>
          <w:sz w:val="44"/>
          <w:szCs w:val="44"/>
          <w:shd w:val="clear" w:fill="FFFFFF"/>
          <w:lang w:val="en-US" w:eastAsia="zh-CN" w:bidi="ar"/>
        </w:rPr>
        <w:t>中华人民共和国最高人民法院</w:t>
      </w:r>
    </w:p>
    <w:p>
      <w:pPr>
        <w:jc w:val="center"/>
        <w:rPr>
          <w:rFonts w:hint="eastAsia" w:ascii="宋体" w:hAnsi="宋体" w:eastAsia="宋体" w:cs="宋体"/>
          <w:b w:val="0"/>
          <w:bCs/>
          <w:i w:val="0"/>
          <w:caps w:val="0"/>
          <w:color w:val="333333"/>
          <w:spacing w:val="0"/>
          <w:kern w:val="0"/>
          <w:sz w:val="44"/>
          <w:szCs w:val="44"/>
          <w:shd w:val="clear" w:fill="FFFFFF"/>
          <w:lang w:val="en-US" w:eastAsia="zh-CN" w:bidi="ar"/>
        </w:rPr>
      </w:pPr>
    </w:p>
    <w:p>
      <w:pPr>
        <w:jc w:val="center"/>
        <w:rPr>
          <w:rFonts w:hint="eastAsia" w:ascii="宋体" w:hAnsi="宋体" w:eastAsia="宋体" w:cs="宋体"/>
          <w:b w:val="0"/>
          <w:bCs/>
          <w:i w:val="0"/>
          <w:caps w:val="0"/>
          <w:color w:val="333333"/>
          <w:spacing w:val="0"/>
          <w:kern w:val="0"/>
          <w:sz w:val="44"/>
          <w:szCs w:val="44"/>
          <w:shd w:val="clear" w:fill="FFFFFF"/>
          <w:lang w:val="en-US" w:eastAsia="zh-CN" w:bidi="ar"/>
        </w:rPr>
      </w:pPr>
      <w:r>
        <w:rPr>
          <w:rFonts w:hint="eastAsia" w:ascii="宋体" w:hAnsi="宋体" w:eastAsia="宋体" w:cs="宋体"/>
          <w:b w:val="0"/>
          <w:bCs/>
          <w:i w:val="0"/>
          <w:caps w:val="0"/>
          <w:color w:val="333333"/>
          <w:spacing w:val="0"/>
          <w:kern w:val="0"/>
          <w:sz w:val="44"/>
          <w:szCs w:val="44"/>
          <w:shd w:val="clear" w:fill="FFFFFF"/>
          <w:lang w:val="en-US" w:eastAsia="zh-CN" w:bidi="ar"/>
        </w:rPr>
        <w:t xml:space="preserve">公    </w:t>
      </w:r>
      <w:bookmarkStart w:id="0" w:name="_GoBack"/>
      <w:bookmarkEnd w:id="0"/>
      <w:r>
        <w:rPr>
          <w:rFonts w:hint="eastAsia" w:ascii="宋体" w:hAnsi="宋体" w:eastAsia="宋体" w:cs="宋体"/>
          <w:b w:val="0"/>
          <w:bCs/>
          <w:i w:val="0"/>
          <w:caps w:val="0"/>
          <w:color w:val="333333"/>
          <w:spacing w:val="0"/>
          <w:kern w:val="0"/>
          <w:sz w:val="44"/>
          <w:szCs w:val="44"/>
          <w:shd w:val="clear" w:fill="FFFFFF"/>
          <w:lang w:val="en-US" w:eastAsia="zh-CN" w:bidi="ar"/>
        </w:rPr>
        <w:t>告</w:t>
      </w:r>
    </w:p>
    <w:p>
      <w:pPr>
        <w:jc w:val="center"/>
        <w:rPr>
          <w:rFonts w:hint="eastAsia" w:ascii="宋体" w:hAnsi="宋体" w:eastAsia="宋体" w:cs="宋体"/>
          <w:b w:val="0"/>
          <w:bCs/>
          <w:i w:val="0"/>
          <w:caps w:val="0"/>
          <w:color w:val="333333"/>
          <w:spacing w:val="0"/>
          <w:kern w:val="0"/>
          <w:sz w:val="32"/>
          <w:szCs w:val="32"/>
          <w:shd w:val="clear" w:fill="FFFFFF"/>
          <w:lang w:val="en-US" w:eastAsia="zh-CN" w:bidi="ar"/>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《最高人民法院关于死刑复核及执行程序中保障当事人合法权益的若干规定》已于2019年4月29日由最高人民法院审判委员会第1767次会议通过，现予公布，自2019年9月1日起施行。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2019年8月8日</w:t>
      </w:r>
    </w:p>
    <w:p>
      <w:pPr>
        <w:rPr>
          <w:rFonts w:hint="eastAsia" w:ascii="宋体" w:hAnsi="宋体" w:eastAsia="宋体" w:cs="宋体"/>
          <w:b w:val="0"/>
          <w:bCs/>
          <w:i w:val="0"/>
          <w:caps w:val="0"/>
          <w:color w:val="333333"/>
          <w:spacing w:val="0"/>
          <w:kern w:val="0"/>
          <w:sz w:val="32"/>
          <w:szCs w:val="32"/>
          <w:shd w:val="clear" w:fill="FFFFFF"/>
          <w:lang w:val="en-US" w:eastAsia="zh-CN" w:bidi="ar"/>
        </w:rPr>
        <w:sectPr>
          <w:pgSz w:w="11906" w:h="16838"/>
          <w:pgMar w:top="2098" w:right="1474" w:bottom="1984" w:left="1587" w:header="851" w:footer="992" w:gutter="0"/>
          <w:cols w:space="425" w:num="1"/>
          <w:docGrid w:type="lines" w:linePitch="312" w:charSpace="0"/>
        </w:sectPr>
      </w:pPr>
    </w:p>
    <w:p>
      <w:pPr>
        <w:rPr>
          <w:rFonts w:hint="eastAsia" w:ascii="宋体" w:hAnsi="宋体" w:eastAsia="宋体" w:cs="宋体"/>
          <w:b w:val="0"/>
          <w:bCs/>
          <w:i w:val="0"/>
          <w:caps w:val="0"/>
          <w:color w:val="333333"/>
          <w:spacing w:val="0"/>
          <w:kern w:val="0"/>
          <w:sz w:val="32"/>
          <w:szCs w:val="32"/>
          <w:shd w:val="clear" w:fill="FFFFFF"/>
          <w:lang w:val="en-US" w:eastAsia="zh-CN" w:bidi="ar"/>
        </w:rPr>
      </w:pPr>
    </w:p>
    <w:p>
      <w:pPr>
        <w:rPr>
          <w:rFonts w:hint="eastAsia" w:ascii="宋体" w:hAnsi="宋体" w:eastAsia="宋体" w:cs="宋体"/>
          <w:b w:val="0"/>
          <w:bCs/>
          <w:i w:val="0"/>
          <w:caps w:val="0"/>
          <w:color w:val="333333"/>
          <w:spacing w:val="0"/>
          <w:kern w:val="0"/>
          <w:sz w:val="32"/>
          <w:szCs w:val="32"/>
          <w:shd w:val="clear" w:fill="FFFFFF"/>
          <w:lang w:val="en-US" w:eastAsia="zh-CN" w:bidi="ar"/>
        </w:rPr>
      </w:pPr>
    </w:p>
    <w:p>
      <w:pPr>
        <w:jc w:val="center"/>
        <w:rPr>
          <w:rFonts w:hint="eastAsia" w:ascii="宋体" w:hAnsi="宋体" w:eastAsia="宋体" w:cs="宋体"/>
          <w:b w:val="0"/>
          <w:bCs/>
          <w:i w:val="0"/>
          <w:caps w:val="0"/>
          <w:color w:val="333333"/>
          <w:spacing w:val="0"/>
          <w:kern w:val="0"/>
          <w:sz w:val="44"/>
          <w:szCs w:val="44"/>
          <w:shd w:val="clear" w:fill="FFFFFF"/>
          <w:lang w:val="en-US" w:eastAsia="zh-CN" w:bidi="ar"/>
        </w:rPr>
      </w:pPr>
      <w:r>
        <w:rPr>
          <w:rFonts w:hint="eastAsia" w:ascii="宋体" w:hAnsi="宋体" w:eastAsia="宋体" w:cs="宋体"/>
          <w:b w:val="0"/>
          <w:bCs/>
          <w:i w:val="0"/>
          <w:caps w:val="0"/>
          <w:color w:val="333333"/>
          <w:spacing w:val="0"/>
          <w:kern w:val="0"/>
          <w:sz w:val="44"/>
          <w:szCs w:val="44"/>
          <w:shd w:val="clear" w:fill="FFFFFF"/>
          <w:lang w:val="en-US" w:eastAsia="zh-CN" w:bidi="ar"/>
        </w:rPr>
        <w:t>最高人民法院</w:t>
      </w:r>
    </w:p>
    <w:p>
      <w:pPr>
        <w:jc w:val="center"/>
        <w:rPr>
          <w:rFonts w:hint="eastAsia" w:ascii="宋体" w:hAnsi="宋体" w:eastAsia="宋体" w:cs="宋体"/>
          <w:b w:val="0"/>
          <w:bCs/>
          <w:i w:val="0"/>
          <w:caps w:val="0"/>
          <w:color w:val="333333"/>
          <w:spacing w:val="0"/>
          <w:kern w:val="0"/>
          <w:sz w:val="44"/>
          <w:szCs w:val="44"/>
          <w:shd w:val="clear" w:fill="FFFFFF"/>
          <w:lang w:val="en-US" w:eastAsia="zh-CN" w:bidi="ar"/>
        </w:rPr>
      </w:pPr>
      <w:r>
        <w:rPr>
          <w:rFonts w:hint="eastAsia" w:ascii="宋体" w:hAnsi="宋体" w:eastAsia="宋体" w:cs="宋体"/>
          <w:b w:val="0"/>
          <w:bCs/>
          <w:i w:val="0"/>
          <w:caps w:val="0"/>
          <w:color w:val="333333"/>
          <w:spacing w:val="0"/>
          <w:kern w:val="0"/>
          <w:sz w:val="44"/>
          <w:szCs w:val="44"/>
          <w:shd w:val="clear" w:fill="FFFFFF"/>
          <w:lang w:val="en-US" w:eastAsia="zh-CN" w:bidi="ar"/>
        </w:rPr>
        <w:t>关于死刑复核及执行程序中保障当事人合法权益的若干规定</w:t>
      </w:r>
    </w:p>
    <w:p>
      <w:pPr>
        <w:jc w:val="center"/>
        <w:rPr>
          <w:rFonts w:hint="eastAsia" w:ascii="宋体" w:hAnsi="宋体" w:eastAsia="宋体" w:cs="宋体"/>
          <w:b w:val="0"/>
          <w:bCs/>
          <w:i w:val="0"/>
          <w:caps w:val="0"/>
          <w:color w:val="333333"/>
          <w:spacing w:val="0"/>
          <w:kern w:val="0"/>
          <w:sz w:val="32"/>
          <w:szCs w:val="32"/>
          <w:shd w:val="clear" w:fill="FFFFFF"/>
          <w:lang w:val="en-US" w:eastAsia="zh-CN" w:bidi="ar"/>
        </w:rPr>
      </w:pPr>
    </w:p>
    <w:p>
      <w:pPr>
        <w:pStyle w:val="11"/>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lang w:val="en-US" w:eastAsia="zh-CN"/>
        </w:rPr>
      </w:pPr>
      <w:r>
        <w:rPr>
          <w:rFonts w:hint="eastAsia"/>
          <w:lang w:val="en-US" w:eastAsia="zh-CN"/>
        </w:rPr>
        <w:t>法释〔2019〕12号</w:t>
      </w:r>
    </w:p>
    <w:p>
      <w:pPr>
        <w:jc w:val="center"/>
        <w:rPr>
          <w:rFonts w:hint="eastAsia" w:ascii="宋体" w:hAnsi="宋体" w:eastAsia="宋体" w:cs="宋体"/>
          <w:b w:val="0"/>
          <w:bCs/>
          <w:i w:val="0"/>
          <w:caps w:val="0"/>
          <w:color w:val="333333"/>
          <w:spacing w:val="0"/>
          <w:kern w:val="0"/>
          <w:sz w:val="32"/>
          <w:szCs w:val="32"/>
          <w:shd w:val="clear" w:fill="FFFFFF"/>
          <w:lang w:val="en-US" w:eastAsia="zh-CN" w:bidi="ar"/>
        </w:rPr>
      </w:pPr>
    </w:p>
    <w:p>
      <w:pPr>
        <w:pStyle w:val="10"/>
        <w:bidi w:val="0"/>
        <w:rPr>
          <w:rFonts w:hint="eastAsia"/>
          <w:lang w:val="en-US" w:eastAsia="zh-CN"/>
        </w:rPr>
      </w:pPr>
      <w:r>
        <w:rPr>
          <w:rFonts w:hint="eastAsia"/>
          <w:lang w:val="en-US" w:eastAsia="zh-CN"/>
        </w:rPr>
        <w:t>（2019年4月29日最高人民法院审判委员会第1767次会议通过，自2019年9月1日起施行）</w:t>
      </w:r>
    </w:p>
    <w:p>
      <w:pPr>
        <w:pStyle w:val="10"/>
        <w:bidi w:val="0"/>
        <w:rPr>
          <w:rFonts w:hint="eastAsia" w:ascii="宋体" w:hAnsi="宋体" w:eastAsia="宋体" w:cs="宋体"/>
          <w:lang w:val="en-US" w:eastAsia="zh-CN"/>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为规范死刑复核及执行程序，依法保障当事人合法权益，根据《中华人民共和国刑事诉讼法》和有关法律规定，结合司法实际，制定本规定。</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第一条</w:t>
      </w:r>
      <w:r>
        <w:rPr>
          <w:rFonts w:hint="eastAsia" w:ascii="仿宋_GB2312" w:hAnsi="宋体" w:eastAsia="仿宋_GB2312" w:cs="宋体"/>
          <w:sz w:val="32"/>
          <w:szCs w:val="32"/>
          <w:lang w:val="en-US" w:eastAsia="zh-CN"/>
        </w:rPr>
        <w:t xml:space="preserve">  高级人民法院在向被告人送达依法作出的死刑裁判文书时，应当告知其在最高人民法院复核死刑阶段有权委托辩护律师，并将告知情况记入宣判笔录；被告人提出由其近亲属代为委托辩护律师的，除因客观原因无法通知的以外，高级人民法院应当及时通知其近亲属，并将通知情况记录在案。</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sectPr>
          <w:footerReference r:id="rId4" w:type="default"/>
          <w:headerReference r:id="rId3" w:type="even"/>
          <w:footerReference r:id="rId5" w:type="even"/>
          <w:pgSz w:w="11906" w:h="16838"/>
          <w:pgMar w:top="2098" w:right="1474" w:bottom="1984" w:left="1587" w:header="851" w:footer="992" w:gutter="0"/>
          <w:pgNumType w:fmt="numberInDash" w:start="1"/>
          <w:cols w:space="425" w:num="1"/>
          <w:docGrid w:type="lines" w:linePitch="312" w:charSpace="0"/>
        </w:sectPr>
      </w:pPr>
      <w:r>
        <w:rPr>
          <w:rFonts w:hint="eastAsia" w:ascii="黑体" w:hAnsi="黑体" w:eastAsia="黑体" w:cs="黑体"/>
          <w:sz w:val="32"/>
          <w:szCs w:val="32"/>
          <w:lang w:val="en-US" w:eastAsia="zh-CN"/>
        </w:rPr>
        <w:t>第二条</w:t>
      </w:r>
      <w:r>
        <w:rPr>
          <w:rFonts w:hint="eastAsia" w:ascii="仿宋_GB2312" w:hAnsi="宋体" w:eastAsia="仿宋_GB2312" w:cs="宋体"/>
          <w:sz w:val="32"/>
          <w:szCs w:val="32"/>
          <w:lang w:val="en-US" w:eastAsia="zh-CN"/>
        </w:rPr>
        <w:t xml:space="preserve">  最高人民法院复核死刑案件，辩护律师应当自接受委托或者受指派之日起十日内向最高人民法院提交有关手续，并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自接受委托或者指派之日起一个半月内提交辩护意见。</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第三条</w:t>
      </w:r>
      <w:r>
        <w:rPr>
          <w:rFonts w:hint="eastAsia" w:ascii="仿宋_GB2312" w:hAnsi="宋体" w:eastAsia="仿宋_GB2312" w:cs="宋体"/>
          <w:sz w:val="32"/>
          <w:szCs w:val="32"/>
          <w:lang w:val="en-US" w:eastAsia="zh-CN"/>
        </w:rPr>
        <w:t xml:space="preserve">  辩护律师提交相关手续、辩护意见及证据等材料的，可以经高级人民法院代收并随案移送，也可以寄送至最高人民法院。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第四条</w:t>
      </w:r>
      <w:r>
        <w:rPr>
          <w:rFonts w:hint="eastAsia" w:ascii="仿宋_GB2312" w:hAnsi="宋体" w:eastAsia="仿宋_GB2312" w:cs="宋体"/>
          <w:sz w:val="32"/>
          <w:szCs w:val="32"/>
          <w:lang w:val="en-US" w:eastAsia="zh-CN"/>
        </w:rPr>
        <w:t xml:space="preserve">  最高人民法院复核裁定作出后，律师提交辩护意见及证据材料的，应当接收并出具接收清单；经审查，相关意见及证据材料可能影响死刑复核结果的，应当暂停交付执行或者停止执行，但不再办理接收委托辩护手续。</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第五条</w:t>
      </w:r>
      <w:r>
        <w:rPr>
          <w:rFonts w:hint="eastAsia" w:ascii="仿宋_GB2312" w:hAnsi="宋体" w:eastAsia="仿宋_GB2312" w:cs="宋体"/>
          <w:sz w:val="32"/>
          <w:szCs w:val="32"/>
          <w:lang w:val="en-US" w:eastAsia="zh-CN"/>
        </w:rPr>
        <w:t xml:space="preserve">  最高人民法院复核裁定下发后，受委托进行宣判的人民法院应当在宣判后五日内将裁判文书送达辩护律师。</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对被害人死亡的案件，被害人近亲属申请获取裁判文书的，受委托进行宣判的人民法院应当提供。</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第六条</w:t>
      </w:r>
      <w:r>
        <w:rPr>
          <w:rFonts w:hint="eastAsia" w:ascii="仿宋_GB2312" w:hAnsi="宋体" w:eastAsia="仿宋_GB2312" w:cs="宋体"/>
          <w:sz w:val="32"/>
          <w:szCs w:val="32"/>
          <w:lang w:val="en-US" w:eastAsia="zh-CN"/>
        </w:rPr>
        <w:t xml:space="preserve">  第一审人民法院在执行死刑前，应当告知罪犯可以申请会见其近亲属。</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罪犯申请会见并提供具体联系方式的，人民法院应当通知其近亲属。对经查找确实无法与罪犯近亲属取得联系的，或者其近亲属拒绝会见的，应当告知罪犯。罪犯提出通过录音录像等方式留下遗言的，人民法院可以准许。</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通知会见的相关情况，应当记录在案。</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第七条</w:t>
      </w:r>
      <w:r>
        <w:rPr>
          <w:rFonts w:hint="eastAsia" w:ascii="仿宋_GB2312" w:hAnsi="宋体" w:eastAsia="仿宋_GB2312" w:cs="宋体"/>
          <w:sz w:val="32"/>
          <w:szCs w:val="32"/>
          <w:lang w:val="en-US" w:eastAsia="zh-CN"/>
        </w:rPr>
        <w:t xml:space="preserve">  罪犯近亲属申请会见的，人民法院应当准许，并在执行死刑前及时安排，但罪犯拒绝会见的除外。</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sectPr>
          <w:footerReference r:id="rId6" w:type="default"/>
          <w:footerReference r:id="rId7" w:type="even"/>
          <w:pgSz w:w="11906" w:h="16838"/>
          <w:pgMar w:top="2098" w:right="1474" w:bottom="1984" w:left="1587" w:header="851" w:footer="992" w:gutter="0"/>
          <w:pgNumType w:fmt="numberInDash"/>
          <w:cols w:space="425" w:num="1"/>
          <w:docGrid w:type="lines" w:linePitch="312" w:charSpace="0"/>
        </w:sectPr>
      </w:pPr>
      <w:r>
        <w:rPr>
          <w:rFonts w:hint="eastAsia" w:ascii="仿宋_GB2312" w:hAnsi="宋体" w:eastAsia="仿宋_GB2312" w:cs="宋体"/>
          <w:sz w:val="32"/>
          <w:szCs w:val="32"/>
          <w:lang w:val="en-US" w:eastAsia="zh-CN"/>
        </w:rPr>
        <w:t>罪犯拒绝会见的情况，应当记录在案并及时告知其近亲属，</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必要时应当进行录音录像。</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第八条</w:t>
      </w:r>
      <w:r>
        <w:rPr>
          <w:rFonts w:hint="eastAsia" w:ascii="仿宋_GB2312" w:hAnsi="宋体" w:eastAsia="仿宋_GB2312" w:cs="宋体"/>
          <w:sz w:val="32"/>
          <w:szCs w:val="32"/>
          <w:lang w:val="en-US" w:eastAsia="zh-CN"/>
        </w:rPr>
        <w:t xml:space="preserve">  罪犯提出会见近亲属以外的亲友，经人民法院审查，确有正当理由的，可以在确保会见安全的情况下予以准许。</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第九条</w:t>
      </w:r>
      <w:r>
        <w:rPr>
          <w:rFonts w:hint="eastAsia" w:ascii="仿宋_GB2312" w:hAnsi="宋体" w:eastAsia="仿宋_GB2312" w:cs="宋体"/>
          <w:sz w:val="32"/>
          <w:szCs w:val="32"/>
          <w:lang w:val="en-US" w:eastAsia="zh-CN"/>
        </w:rPr>
        <w:t xml:space="preserve">  罪犯申请会见未成年子女的，应当经未成年子女的监护人同意；会见可能影响未成年人身心健康的，人民法院可以采取视频通话等适当方式安排会见，且监护人应当在场。</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第十条</w:t>
      </w:r>
      <w:r>
        <w:rPr>
          <w:rFonts w:hint="eastAsia" w:ascii="仿宋_GB2312" w:hAnsi="宋体" w:eastAsia="仿宋_GB2312" w:cs="宋体"/>
          <w:sz w:val="32"/>
          <w:szCs w:val="32"/>
          <w:lang w:val="en-US" w:eastAsia="zh-CN"/>
        </w:rPr>
        <w:t xml:space="preserve">  会见由人民法院负责安排，一般在罪犯羁押场所进行。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宋体" w:eastAsia="仿宋_GB2312" w:cs="宋体"/>
          <w:sz w:val="32"/>
          <w:szCs w:val="32"/>
          <w:lang w:val="en-US" w:eastAsia="zh-CN"/>
        </w:rPr>
        <w:t xml:space="preserve">  会见罪犯的人员应当遵守羁押场所的规定。违反规定的，应当予以警告；不听警告的，人民法院可以终止会见。</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实施威胁、侮辱司法工作人员，或者故意扰乱羁押场所秩序，妨碍执行公务等行为，情节严重的，依法追究法律责任。</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宋体" w:eastAsia="仿宋_GB2312" w:cs="宋体"/>
          <w:sz w:val="32"/>
          <w:szCs w:val="32"/>
          <w:lang w:val="en-US" w:eastAsia="zh-CN"/>
        </w:rPr>
        <w:t xml:space="preserve">  会见情况应当记录在案，附卷存档。</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宋体" w:eastAsia="仿宋_GB2312" w:cs="宋体"/>
          <w:sz w:val="32"/>
          <w:szCs w:val="32"/>
          <w:lang w:val="en-US" w:eastAsia="zh-CN"/>
        </w:rPr>
        <w:t xml:space="preserve">  本规定自2019年9月1日起施行。</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最高人民法院以前发布的司法解释和规范性文件，与本规定不一致的，以本规定为准。</w:t>
      </w:r>
    </w:p>
    <w:sectPr>
      <w:footerReference r:id="rId8" w:type="default"/>
      <w:footerReference r:id="rId9" w:type="even"/>
      <w:pgSz w:w="11906" w:h="16838"/>
      <w:pgMar w:top="2098" w:right="1474" w:bottom="198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-137160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8pt;height:144pt;width:144pt;mso-position-horizontal:outside;mso-position-horizontal-relative:margin;mso-wrap-style:none;z-index:251659264;mso-width-relative:page;mso-height-relative:page;" filled="f" stroked="f" coordsize="21600,21600" o:gfxdata="UEsDBAoAAAAAAIdO4kAAAAAAAAAAAAAAAAAEAAAAZHJzL1BLAwQUAAAACACHTuJAu9ReSNUAAAAI&#10;AQAADwAAAGRycy9kb3ducmV2LnhtbE2PQU/DMAyF70j8h8hI3La0Zaqq0nQSE+WIxLoDx6wxbaFx&#10;qiTryr/HnOBm+z09f6/ar3YSC/owOlKQbhMQSJ0zI/UKTm2zKUCEqMnoyREq+MYA+/r2ptKlcVd6&#10;w+UYe8EhFEqtYIhxLqUM3YBWh62bkVj7cN7qyKvvpfH6yuF2klmS5NLqkfjDoGc8DNh9HS9WwaFp&#10;W79g8NM7vjQPn69PO3xelbq/S5NHEBHX+GeGX3xGh5qZzu5CJohJAReJCjZZmoNgOSsKvpx5yPMd&#10;yLqS/wvUP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9ReSNUAAAAI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-91440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7.2pt;height:144pt;width:144pt;mso-position-horizontal:outside;mso-position-horizontal-relative:margin;mso-wrap-style:none;z-index:251662336;mso-width-relative:page;mso-height-relative:page;" filled="f" stroked="f" coordsize="21600,21600" o:gfxdata="UEsDBAoAAAAAAIdO4kAAAAAAAAAAAAAAAAAEAAAAZHJzL1BLAwQUAAAACACHTuJA5rWIV9YAAAAI&#10;AQAADwAAAGRycy9kb3ducmV2LnhtbE2PQU/DMAyF70j8h8hI3La0WzWq0nQSE+WIxLoDx6wxbaFx&#10;qiTryr/HnOBm+z09f6/cL3YUM/owOFKQrhMQSK0zA3UKTk29ykGEqMno0REq+MYA++r2ptSFcVd6&#10;w/kYO8EhFAqtoI9xKqQMbY9Wh7WbkFj7cN7qyKvvpPH6yuF2lJsk2UmrB+IPvZ7w0GP7dbxYBYe6&#10;afyMwY/v+FJvP1+fMnxelLq/S5NHEBGX+GeGX3xGh4qZzu5CJohRAReJClZploFgeZPnfDnz8LDd&#10;gaxK+b9A9QNQSwMEFAAAAAgAh07iQF7QmRUUAgAAEwQAAA4AAABkcnMvZTJvRG9jLnhtbK1TTY7T&#10;MBTeI3EHy3uatKijqmo6KjMqQqqYkQpi7Tp2Y8n2s2y3STkA3IAVG/acq+eYZ6fpIGCF2Dhf/P6/&#10;93lx2xlNjsIHBbai41FJibAcamX3Ff34Yf1qRkmIzNZMgxUVPYlAb5cvXyxaNxcTaEDXwhNMYsO8&#10;dRVtYnTzogi8EYaFEThh0SjBGxbx1++L2rMWsxtdTMrypmjB184DFyHg7X1vpMucX0rB44OUQUSi&#10;K4q9xXz6fO7SWSwXbL73zDWKX9pg/9CFYcpi0WuqexYZOXj1RyqjuIcAMo44mAKkVFzkGXCacfnb&#10;NNuGOZFnQXKCu9IU/l9a/v746ImqKzqlxDKDKzp/+3r+/vP84wuZJnpaF+botXXoF7s30OGah/uA&#10;l2nqTnqTvjgPQTsSfbqSK7pIeAqaTWazEk0cbcMP5i+ew50P8a0AQxKoqMftZVLZcRNi7zq4pGoW&#10;1krrvEFtSVvRm9fTMgdcLZhcW6yRhuibTSh2u+4y2Q7qEw7moVdGcHytsPiGhfjIPEoBG0Z5xwc8&#10;pAYsAhdESQP+89/ukz9uCK2UtCitilrUPiX6ncXNJRUOwA9gNwB7MHeAWh3js3E8QwzwUQ9QejCf&#10;UPOrVANNzHKsVNE4wLvYyxvfDBerVXY6OK/2TR+AunMsbuzW8VQmERnc6hCRzMxxIqhn5cIbKi9v&#10;6fJKkrR//c9ez295+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mtYhX1gAAAAgBAAAPAAAAAAAA&#10;AAEAIAAAACIAAABkcnMvZG93bnJldi54bWxQSwECFAAUAAAACACHTuJAXtCZFRQCAAATBAAADgAA&#10;AAAAAAABACAAAAAlAQAAZHJzL2Uyb0RvYy54bWxQSwUGAAAAAAYABgBZAQAAqw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2816"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3840" behindDoc="0" locked="0" layoutInCell="1" allowOverlap="1">
              <wp:simplePos x="0" y="0"/>
              <wp:positionH relativeFrom="margin">
                <wp:posOffset>22860</wp:posOffset>
              </wp:positionH>
              <wp:positionV relativeFrom="paragraph">
                <wp:posOffset>-99060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8pt;margin-top:-7.8pt;height:144pt;width:144pt;mso-position-horizontal-relative:margin;mso-wrap-style:none;z-index:251683840;mso-width-relative:page;mso-height-relative:page;" filled="f" stroked="f" coordsize="21600,21600" o:gfxdata="UEsDBAoAAAAAAIdO4kAAAAAAAAAAAAAAAAAEAAAAZHJzL1BLAwQUAAAACACHTuJABMkqfNYAAAAJ&#10;AQAADwAAAGRycy9kb3ducmV2LnhtbE2PwU7DMBBE70j8g7VI3FonaSklxKlERTgi0XDo0Y2XJBCv&#10;I9tNw9+znOD2VjOanSl2sx3EhD70jhSkywQEUuNMT62C97pabEGEqMnowREq+MYAu/L6qtC5cRd6&#10;w+kQW8EhFHKtoItxzKUMTYdWh6UbkVj7cN7qyKdvpfH6wuF2kFmSbKTVPfGHTo+477D5Opytgn1V&#10;137C4IcjvlSrz9enNT7PSt3epMkjiIhz/DPDb32uDiV3OrkzmSAGBasNGxUs0jsG1rOHlOHEcJ+t&#10;QZaF/L+g/AFQSwMEFAAAAAgAh07iQI3F45UVAgAAFQQAAA4AAABkcnMvZTJvRG9jLnhtbK1TzY7T&#10;MBC+I/EOlu80aRGrqmq6KrsqQqrYlQri7DpOE8l/st0m5QHgDThx4c5z9Tn47CRdBJwQF2fimflm&#10;5pvPy9tOSXISzjdGF3Q6ySkRmpuy0YeCfni/eTGnxAemSyaNFgU9C09vV8+fLVu7EDNTG1kKRwCi&#10;/aK1Ba1DsIss87wWivmJsULDWRmnWMCvO2SlYy3QlcxmeX6TtcaV1hkuvMftfe+kq4RfVYKHh6ry&#10;IhBZUPQW0unSuY9ntlqyxcExWzd8aIP9QxeKNRpFr1D3LDBydM0fUKrhznhThQk3KjNV1XCRZsA0&#10;0/y3aXY1syLNAnK8vdLk/x8sf3d6dKQpsTvQo5nCji5fv1y+/bh8/0xwB4Ja6xeI21lEhu616RA8&#10;3ntcxrm7yqn4xUQEfmCdr/SKLhAek+az+TyHi8M3/gA/e0q3zoc3wigSjYI67C/Ryk5bH/rQMSRW&#10;02bTSJl2KDVpC3rz8lWeEq4egEuNGnGIvtlohW7fDZPtTXnGYM702vCWbxoU3zIfHpmDGNAwBB4e&#10;cFTSoIgZLEpq4z797T7GY0fwUtJCXAXVUD8l8q3G7gAYRsONxn409FHdGah1iodjeTKR4IIczcoZ&#10;9RGqX8cacDHNUamgYTTvQi9wvBou1usUdLSuOdR9ApRnWdjqneWxTCTS2/UxgMzEcSSoZ2XgDdpL&#10;WxreSRT3r/8p6uk1r3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MkqfNYAAAAJAQAADwAAAAAA&#10;AAABACAAAAAiAAAAZHJzL2Rvd25yZXYueG1sUEsBAhQAFAAAAAgAh07iQI3F45UVAgAAFQQAAA4A&#10;AAAAAAAAAQAgAAAAJQEAAGRycy9lMm9Eb2MueG1sUEsFBgAAAAAGAAYAWQEAAKw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1552" behindDoc="0" locked="0" layoutInCell="1" allowOverlap="1">
              <wp:simplePos x="0" y="0"/>
              <wp:positionH relativeFrom="margin">
                <wp:align>outside</wp:align>
              </wp:positionH>
              <wp:positionV relativeFrom="paragraph">
                <wp:posOffset>-137160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8pt;height:144pt;width:144pt;mso-position-horizontal:outside;mso-position-horizontal-relative:margin;mso-wrap-style:none;z-index:251671552;mso-width-relative:page;mso-height-relative:page;" filled="f" stroked="f" coordsize="21600,21600" o:gfxdata="UEsDBAoAAAAAAIdO4kAAAAAAAAAAAAAAAAAEAAAAZHJzL1BLAwQUAAAACACHTuJAu9ReSNUAAAAI&#10;AQAADwAAAGRycy9kb3ducmV2LnhtbE2PQU/DMAyF70j8h8hI3La0Zaqq0nQSE+WIxLoDx6wxbaFx&#10;qiTryr/HnOBm+z09f6/ar3YSC/owOlKQbhMQSJ0zI/UKTm2zKUCEqMnoyREq+MYA+/r2ptKlcVd6&#10;w+UYe8EhFEqtYIhxLqUM3YBWh62bkVj7cN7qyKvvpfH6yuF2klmS5NLqkfjDoGc8DNh9HS9WwaFp&#10;W79g8NM7vjQPn69PO3xelbq/S5NHEBHX+GeGX3xGh5qZzu5CJohJAReJCjZZmoNgOSsKvpx5yPMd&#10;yLqS/wvUP1BLAwQUAAAACACHTuJA1NWzYBUCAAATBAAADgAAAGRycy9lMm9Eb2MueG1srVNNjtMw&#10;FN4jcQfLe5q0iJmqajoqMypCqpiRCmLtOnZjyfazbLdJOQDcgBUb9pyr5+DZaTpohhVi43zx+//e&#10;5/lNZzQ5CB8U2IqORyUlwnKold1V9NPH1aspJSEyWzMNVlT0KAK9Wbx8MW/dTEygAV0LTzCJDbPW&#10;VbSJ0c2KIvBGGBZG4IRFowRvWMRfvytqz1rMbnQxKcurogVfOw9chIC3d72RLnJ+KQWP91IGEYmu&#10;KPYW8+nzuU1nsZiz2c4z1yh+boP9QxeGKYtFL6nuWGRk79WzVEZxDwFkHHEwBUipuMgz4DTj8sk0&#10;m4Y5kWdBcoK70BT+X1r+4fDgiaorek2JZQZXdPr+7fTj1+nnV3Kd6GldmKHXxqFf7N5Ch2se7gNe&#10;pqk76U364jwE7Uj08UKu6CLhKWg6mU5LNHG0DT+Yv3gMdz7EdwIMSaCiHreXSWWHdYi96+CSqllY&#10;Ka3zBrUlbUWvXr8pc8DFgsm1xRppiL7ZhGK37c6TbaE+4mAeemUEx1cKi69ZiA/MoxSwYZR3vMdD&#10;asAicEaUNOC//O0++eOG0EpJi9KqqEXtU6LfW9xcUuEA/AC2A7B7cwuo1TE+G8czxAAf9QClB/MZ&#10;Nb9MNdDELMdKFY0DvI29vPHNcLFcZqe982rX9AGoO8fi2m4cT2USkcEt9xHJzBwngnpWzryh8vKW&#10;zq8kSfvP/+z1+JY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71F5I1QAAAAgBAAAPAAAAAAAA&#10;AAEAIAAAACIAAABkcnMvZG93bnJldi54bWxQSwECFAAUAAAACACHTuJA1NWzYBUCAAATBAAADgAA&#10;AAAAAAABACAAAAAkAQAAZHJzL2Uyb0RvYy54bWxQSwUGAAAAAAYABgBZAQAAqw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81792" behindDoc="0" locked="0" layoutInCell="1" allowOverlap="1">
              <wp:simplePos x="0" y="0"/>
              <wp:positionH relativeFrom="margin">
                <wp:align>outside</wp:align>
              </wp:positionH>
              <wp:positionV relativeFrom="paragraph">
                <wp:posOffset>-91440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7.2pt;height:144pt;width:144pt;mso-position-horizontal:outside;mso-position-horizontal-relative:margin;mso-wrap-style:none;z-index:251681792;mso-width-relative:page;mso-height-relative:page;" filled="f" stroked="f" coordsize="21600,21600" o:gfxdata="UEsDBAoAAAAAAIdO4kAAAAAAAAAAAAAAAAAEAAAAZHJzL1BLAwQUAAAACACHTuJA5rWIV9YAAAAI&#10;AQAADwAAAGRycy9kb3ducmV2LnhtbE2PQU/DMAyF70j8h8hI3La0WzWq0nQSE+WIxLoDx6wxbaFx&#10;qiTryr/HnOBm+z09f6/cL3YUM/owOFKQrhMQSK0zA3UKTk29ykGEqMno0REq+MYA++r2ptSFcVd6&#10;w/kYO8EhFAqtoI9xKqQMbY9Wh7WbkFj7cN7qyKvvpPH6yuF2lJsk2UmrB+IPvZ7w0GP7dbxYBYe6&#10;afyMwY/v+FJvP1+fMnxelLq/S5NHEBGX+GeGX3xGh4qZzu5CJohRAReJClZploFgeZPnfDnz8LDd&#10;gaxK+b9A9QNQSwMEFAAAAAgAh07iQObJgcoSAgAAEwQAAA4AAABkcnMvZTJvRG9jLnhtbK1TTY7T&#10;MBjdI3EHy3uatIhRVDUdlRkVIVXMSAWxdh2nieQ/2W6TcgC4ASs27DlXz8Gz03QQsEJsnBd//+97&#10;Xtz2SpKjcL41uqTTSU6J0NxUrd6X9MP79YuCEh+Yrpg0WpT0JDy9XT5/tujsXMxMY2QlHEES7eed&#10;LWkTgp1nmeeNUMxPjBUaxto4xQJ+3T6rHOuQXclsluc3WWdcZZ3hwnvc3g9Gukz561rw8FDXXgQi&#10;S4reQjpdOnfxzJYLNt87ZpuWX9pg/9CFYq1G0WuqexYYObj2j1Sq5c54U4cJNyozdd1ykWbANNP8&#10;t2m2DbMizQJyvL3S5P9fWv7u+OhIW5UUi9JMYUXnr1/O336cv38mRaSns34Or62FX+hfmx5rHu89&#10;LuPUfe1U/GIeAjuIPl3JFX0gPAYVs6LIYeKwjT/Inz2FW+fDG2EUiaCkDttLpLLjxofBdXSJ1bRZ&#10;t1KmDUpNupLevHyVp4CrBcmlRo04xNBsRKHf9ZfJdqY6YTBnBmV4y9ctim+YD4/MQQpoGPIODzhq&#10;aVDEXBAljXGf/nYf/bEhWCnpIK2SamifEvlWY3NRhSNwI9iNQB/UnYFWp3g2lieIABfkCGtn1Edo&#10;fhVrwMQ0R6WShhHehUHeeDNcrFbJ6WBdu2+GAOjOsrDRW8tjmUikt6tDAJmJ40jQwMqFNygvbeny&#10;SqK0f/1PXk9vef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rWIV9YAAAAIAQAADwAAAAAAAAAB&#10;ACAAAAAiAAAAZHJzL2Rvd25yZXYueG1sUEsBAhQAFAAAAAgAh07iQObJgcoSAgAAEwQAAA4AAAAA&#10;AAAAAQAgAAAAJQEAAGRycy9lMm9Eb2MueG1sUEsFBgAAAAAGAAYAWQEAAKk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54A86"/>
    <w:rsid w:val="42712F55"/>
    <w:rsid w:val="554E39E5"/>
    <w:rsid w:val="612D6F9C"/>
    <w:rsid w:val="69654A86"/>
    <w:rsid w:val="735C4701"/>
    <w:rsid w:val="7B2D5B59"/>
    <w:rsid w:val="7B57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6"/>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uiPriority w:val="0"/>
    <w:rPr>
      <w:color w:val="0000FF"/>
      <w:u w:val="single"/>
    </w:rPr>
  </w:style>
  <w:style w:type="paragraph" w:customStyle="1" w:styleId="9">
    <w:name w:val="标题名"/>
    <w:basedOn w:val="3"/>
    <w:qFormat/>
    <w:uiPriority w:val="0"/>
    <w:pPr>
      <w:jc w:val="center"/>
    </w:pPr>
    <w:rPr>
      <w:rFonts w:hAnsi="宋体" w:eastAsia="宋体" w:cs="Courier New"/>
      <w:sz w:val="44"/>
      <w:szCs w:val="21"/>
    </w:rPr>
  </w:style>
  <w:style w:type="paragraph" w:customStyle="1" w:styleId="10">
    <w:name w:val="题注信息"/>
    <w:basedOn w:val="3"/>
    <w:qFormat/>
    <w:uiPriority w:val="0"/>
    <w:pPr>
      <w:ind w:leftChars="400" w:right="630" w:rightChars="300"/>
    </w:pPr>
    <w:rPr>
      <w:rFonts w:hAnsi="宋体" w:eastAsia="楷体_GB2312" w:cs="Courier New"/>
      <w:sz w:val="32"/>
      <w:szCs w:val="21"/>
    </w:rPr>
  </w:style>
  <w:style w:type="paragraph" w:customStyle="1" w:styleId="11">
    <w:name w:val="文号"/>
    <w:basedOn w:val="3"/>
    <w:qFormat/>
    <w:uiPriority w:val="0"/>
    <w:pPr>
      <w:jc w:val="center"/>
    </w:pPr>
    <w:rPr>
      <w:rFonts w:hAnsi="宋体" w:eastAsia="楷体_GB2312" w:cs="Courier New"/>
      <w:sz w:val="32"/>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2019-12-24T01:57:00Z</dcterms:created>
  <dc:creator>爱思思</dc:creator>
  <cp:lastModifiedBy>爱思思</cp:lastModifiedBy>
  <dcterms:modified xsi:type="dcterms:W3CDTF">2019-12-24T02:50:31Z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