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关于被盗机动车辆肇事后由谁承担</w:t>
      </w:r>
    </w:p>
    <w:p>
      <w:pPr>
        <w:pStyle w:val="7"/>
        <w:rPr>
          <w:rFonts w:hint="eastAsia"/>
        </w:rPr>
      </w:pPr>
      <w:r>
        <w:t>损害赔偿责任问题的批复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法释〔1999〕13号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1999年6月1</w:t>
      </w:r>
      <w:bookmarkStart w:id="0" w:name="_GoBack"/>
      <w:bookmarkEnd w:id="0"/>
      <w:r>
        <w:t>8日最高人民法院审判委员会第1069次会议通过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1999</w:t>
      </w:r>
      <w:r>
        <w:t>年6月25日最高人民法院公告公布　自1999年7月3日起施行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河南省高级人民法院：</w:t>
      </w:r>
    </w:p>
    <w:p>
      <w:pPr>
        <w:pStyle w:val="12"/>
        <w:rPr>
          <w:rFonts w:hint="eastAsia"/>
        </w:rPr>
      </w:pPr>
      <w:r>
        <w:t>你院《关于被盗机动车辆肇事后肇事人逃跑由谁承担损害赔偿责任的请示》收悉。经研究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使用盗窃的机动车辆肇事</w:t>
      </w:r>
      <w:r>
        <w:rPr>
          <w:rFonts w:hint="eastAsia"/>
        </w:rPr>
        <w:t>，</w:t>
      </w:r>
      <w:r>
        <w:t>造成被害人物质损失的</w:t>
      </w:r>
      <w:r>
        <w:rPr>
          <w:rFonts w:hint="eastAsia"/>
        </w:rPr>
        <w:t>，</w:t>
      </w:r>
      <w:r>
        <w:t>肇事人应当依法承担损害赔偿责任</w:t>
      </w:r>
      <w:r>
        <w:rPr>
          <w:rFonts w:hint="eastAsia"/>
        </w:rPr>
        <w:t>，</w:t>
      </w:r>
      <w:r>
        <w:t>被盗机动车辆的所有人不承担损害赔偿责任。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C784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78B65ED"/>
    <w:rsid w:val="65586BE5"/>
    <w:rsid w:val="698C7842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2017-10-31T05:58:00Z</dcterms:created>
  <dc:creator>Administrator</dc:creator>
  <cp:lastModifiedBy>Administrator</cp:lastModifiedBy>
  <dcterms:modified xsi:type="dcterms:W3CDTF">2017-10-31T07:26:50Z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