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49" w:rsidRDefault="00E26B49">
      <w:pPr>
        <w:spacing w:line="560" w:lineRule="exact"/>
        <w:ind w:firstLineChars="200" w:firstLine="640"/>
        <w:rPr>
          <w:rFonts w:ascii="仿宋_GB2312" w:eastAsia="仿宋_GB2312" w:hAnsi="仿宋_GB2312" w:cs="仿宋_GB2312"/>
          <w:sz w:val="32"/>
          <w:szCs w:val="32"/>
        </w:rPr>
      </w:pPr>
    </w:p>
    <w:p w:rsidR="00E26B49" w:rsidRDefault="00E26B49">
      <w:pPr>
        <w:spacing w:line="560" w:lineRule="exact"/>
        <w:ind w:firstLineChars="200" w:firstLine="640"/>
        <w:rPr>
          <w:rFonts w:ascii="仿宋_GB2312" w:eastAsia="仿宋_GB2312" w:hAnsi="仿宋_GB2312" w:cs="仿宋_GB2312"/>
          <w:sz w:val="32"/>
          <w:szCs w:val="32"/>
        </w:rPr>
      </w:pPr>
    </w:p>
    <w:p w:rsidR="00E26B49" w:rsidRDefault="00194088">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E26B49" w:rsidRDefault="00194088">
      <w:pPr>
        <w:spacing w:line="560" w:lineRule="exact"/>
        <w:ind w:firstLineChars="200" w:firstLine="880"/>
        <w:jc w:val="center"/>
        <w:rPr>
          <w:rFonts w:ascii="宋体" w:hAnsi="宋体" w:cs="宋体"/>
          <w:sz w:val="44"/>
          <w:szCs w:val="44"/>
        </w:rPr>
      </w:pPr>
      <w:r>
        <w:rPr>
          <w:rFonts w:ascii="宋体" w:hAnsi="宋体" w:cs="宋体" w:hint="eastAsia"/>
          <w:sz w:val="44"/>
          <w:szCs w:val="44"/>
        </w:rPr>
        <w:t>关于证</w:t>
      </w:r>
      <w:bookmarkStart w:id="0" w:name="_GoBack"/>
      <w:bookmarkEnd w:id="0"/>
      <w:r>
        <w:rPr>
          <w:rFonts w:ascii="宋体" w:hAnsi="宋体" w:cs="宋体" w:hint="eastAsia"/>
          <w:sz w:val="44"/>
          <w:szCs w:val="44"/>
        </w:rPr>
        <w:t>券纠纷代表人诉讼</w:t>
      </w:r>
    </w:p>
    <w:p w:rsidR="00E26B49" w:rsidRDefault="00194088">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若干问题的规定</w:t>
      </w:r>
    </w:p>
    <w:p w:rsidR="00E26B49" w:rsidRDefault="00E26B49">
      <w:pPr>
        <w:spacing w:line="560" w:lineRule="exact"/>
        <w:ind w:firstLineChars="200" w:firstLine="640"/>
        <w:rPr>
          <w:rFonts w:ascii="仿宋_GB2312" w:eastAsia="仿宋_GB2312" w:hAnsi="仿宋_GB2312" w:cs="仿宋_GB2312"/>
          <w:sz w:val="32"/>
          <w:szCs w:val="32"/>
        </w:rPr>
      </w:pPr>
    </w:p>
    <w:p w:rsidR="00E26B49" w:rsidRDefault="00194088">
      <w:pPr>
        <w:spacing w:line="560" w:lineRule="exact"/>
        <w:ind w:firstLine="640"/>
        <w:jc w:val="center"/>
        <w:rPr>
          <w:rFonts w:ascii="仿宋_GB2312" w:eastAsia="仿宋_GB2312" w:hAnsi="仿宋_GB2312" w:cs="仿宋_GB2312"/>
          <w:sz w:val="32"/>
          <w:szCs w:val="32"/>
        </w:rPr>
      </w:pPr>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号</w:t>
      </w:r>
    </w:p>
    <w:p w:rsidR="00E26B49" w:rsidRDefault="00E26B49">
      <w:pPr>
        <w:spacing w:line="560" w:lineRule="exact"/>
        <w:ind w:firstLineChars="200" w:firstLine="640"/>
        <w:rPr>
          <w:rFonts w:ascii="仿宋_GB2312" w:eastAsia="仿宋_GB2312" w:hAnsi="仿宋_GB2312" w:cs="仿宋_GB2312"/>
          <w:sz w:val="32"/>
          <w:szCs w:val="32"/>
        </w:rPr>
      </w:pPr>
    </w:p>
    <w:p w:rsidR="00E26B49" w:rsidRDefault="00194088">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1808</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日起施行）</w:t>
      </w:r>
    </w:p>
    <w:p w:rsidR="00E26B49" w:rsidRDefault="00E26B49">
      <w:pPr>
        <w:spacing w:line="560" w:lineRule="exact"/>
        <w:ind w:firstLineChars="200" w:firstLine="640"/>
        <w:rPr>
          <w:rFonts w:ascii="仿宋_GB2312" w:eastAsia="仿宋_GB2312" w:hAnsi="仿宋_GB2312" w:cs="仿宋_GB2312"/>
          <w:sz w:val="32"/>
          <w:szCs w:val="32"/>
        </w:rPr>
      </w:pP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进一步完善证券集体诉讼制度，便利投资者提起和参加诉讼，降低投资者维权成本，保护投资者合法权益，有效惩治资本市场违法违规行为，维护资本市场健康稳定发展，根据《中华人民共和国民事诉讼法》《中华人民共和国证券法》等法律的规定，结合证券市场实际和审判实践，制定本规定。</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黑体" w:eastAsia="黑体" w:hAnsi="黑体" w:cs="黑体" w:hint="eastAsia"/>
          <w:sz w:val="32"/>
          <w:szCs w:val="32"/>
        </w:rPr>
        <w:t xml:space="preserve"> </w:t>
      </w:r>
      <w:r>
        <w:rPr>
          <w:rFonts w:ascii="黑体" w:eastAsia="黑体" w:hAnsi="黑体" w:cs="黑体" w:hint="eastAsia"/>
          <w:sz w:val="32"/>
          <w:szCs w:val="32"/>
        </w:rPr>
        <w:t>一般规定</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本规定所指证券纠纷代表人诉讼包括因证券市场虚假陈述、内幕交易、操纵市场等行为引发的普通代表人诉讼和特别代表人诉讼。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普通代</w:t>
      </w:r>
      <w:r>
        <w:rPr>
          <w:rFonts w:ascii="仿宋_GB2312" w:eastAsia="仿宋_GB2312" w:hAnsi="仿宋_GB2312" w:cs="仿宋_GB2312" w:hint="eastAsia"/>
          <w:sz w:val="32"/>
          <w:szCs w:val="32"/>
        </w:rPr>
        <w:t>表人诉讼是依据民事诉讼法第五十三条、第五十四条、证券法第九十五条第一款、第二款规定提起的诉讼；特别代表人</w:t>
      </w:r>
      <w:r>
        <w:rPr>
          <w:rFonts w:ascii="仿宋_GB2312" w:eastAsia="仿宋_GB2312" w:hAnsi="仿宋_GB2312" w:cs="仿宋_GB2312" w:hint="eastAsia"/>
          <w:sz w:val="32"/>
          <w:szCs w:val="32"/>
        </w:rPr>
        <w:lastRenderedPageBreak/>
        <w:t>诉讼是依据证券法第九十五条第三款规定提起的诉讼。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证券纠纷代表人诉讼案件，由省、自治区、直辖市人民政府所在的市、计划单列市和经济特区中级人民法院或者专门人民法院管辖。</w:t>
      </w:r>
      <w:r>
        <w:rPr>
          <w:rFonts w:ascii="仿宋_GB2312" w:eastAsia="仿宋_GB2312" w:hAnsi="仿宋_GB2312" w:cs="仿宋_GB2312" w:hint="eastAsia"/>
          <w:sz w:val="32"/>
          <w:szCs w:val="32"/>
        </w:rPr>
        <w:t xml:space="preserve">  </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对多个被告提起的诉讼，由发行人住所地有管辖权的中级人民法院或者专门人民法院管辖；对发行人以外的主体提起的诉讼，由被告住所地有管辖权的中级人民法院或者专门人民法院管辖。</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特别代表人诉讼案件，由涉诉证券集中交易的证券交易所、国务院</w:t>
      </w:r>
      <w:r>
        <w:rPr>
          <w:rFonts w:ascii="仿宋_GB2312" w:eastAsia="仿宋_GB2312" w:hAnsi="仿宋_GB2312" w:cs="仿宋_GB2312" w:hint="eastAsia"/>
          <w:sz w:val="32"/>
          <w:szCs w:val="32"/>
        </w:rPr>
        <w:t>批准的其他全国性证券交易场所所在地的中级人民法院或者专门人民法院管辖。</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人民法院应当充分发挥多元解纷机制的功能，按照自愿、合法原则，引导和鼓励当事人通过行政调解、行业调解、专业调解等非诉讼方式解决证券纠纷。</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当事人选择通过诉讼方式解决纠纷的，人民法院应当及时立案。案件审理过程中应当着重调解。</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审理证券纠纷代表人诉讼案件，应当依托信息化技术手段开展立案登记、诉讼文书送达、公告和通知、权利登记、执行款项发放等工作，便利当事人行使诉讼权利、履行诉讼义务，提高审判执行的公正性、高效性和透明度。</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黑体" w:eastAsia="黑体" w:hAnsi="黑体" w:cs="黑体" w:hint="eastAsia"/>
          <w:sz w:val="32"/>
          <w:szCs w:val="32"/>
        </w:rPr>
        <w:t xml:space="preserve"> </w:t>
      </w:r>
      <w:r>
        <w:rPr>
          <w:rFonts w:ascii="黑体" w:eastAsia="黑体" w:hAnsi="黑体" w:cs="黑体" w:hint="eastAsia"/>
          <w:sz w:val="32"/>
          <w:szCs w:val="32"/>
        </w:rPr>
        <w:t>普通代表人诉讼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符合以下条件的，人民法院应当适用普通代表人诉讼程序进行审理：</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（一）原告一方人数十人以上，起诉符合民事诉讼法第一百一十九条规定和共同诉讼条件；</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（二）起诉书中确定二至五名拟任代表人且符合本规定第十二条规定的代表人条件；</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（三）原告提交有关行政处罚决定、刑事裁判文书、被告自认</w:t>
      </w:r>
      <w:r>
        <w:rPr>
          <w:rFonts w:ascii="仿宋_GB2312" w:eastAsia="仿宋_GB2312" w:hAnsi="仿宋_GB2312" w:cs="仿宋_GB2312" w:hint="eastAsia"/>
          <w:sz w:val="32"/>
          <w:szCs w:val="32"/>
        </w:rPr>
        <w:t>材料、证券交易所和国务院批准的其他全国性证券交易场所等给予的纪律处分或者采取的自律管理措施等证明证券侵权事实的初步证据。</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不符合前款规定的，人民法院应当适用非代表人诉讼程序进行审理。</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对起诉时当事人人数尚未确定的代表人诉讼，在发出权利登记公告前，人民法院可以通过阅卷、调查、询问和听证等方式对被诉证券侵权行为的性质、侵权事实等进行审查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并在受理后三十日内以裁定的方式确定具有相同诉讼请求的权利人范围。</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当事人对权利人范围有异议的，可以自裁定送达之日起十日内向上一级人民法院申请复议，上一级人民法院应当在十五日内作出复议裁定。</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人民法院应当在权利人范围确定后五日内发出权利登记公告，通知相关权利人在指定期间登记。权利登记公告应当包括以下内容：</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（一）案件情况和诉讼请求；</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（二）被告的基本情况；</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（三）权利人范围及登记期间；</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（四）起诉书中确定的拟任代表人人选姓名或者名称、联系方式等基本信息；</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（五）自愿担任代表人的权利人，向人民法院提交书面申请和相关材料的期限；</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（六）人民法院认为必要的其他事项。</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w:t>
      </w:r>
      <w:r>
        <w:rPr>
          <w:rFonts w:ascii="仿宋_GB2312" w:eastAsia="仿宋_GB2312" w:hAnsi="仿宋_GB2312" w:cs="仿宋_GB2312" w:hint="eastAsia"/>
          <w:sz w:val="32"/>
          <w:szCs w:val="32"/>
        </w:rPr>
        <w:t>告应当以醒目的方式提示，代表人的诉讼权限包括代表原告参加开庭审理，变更、放弃诉讼请求或者承认对方当事人的诉讼请求，与被告达成调解协议，提起或者放弃上诉，申请执行，委托诉讼代理人等，参加登记视为对代表人进行特别授权。</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公告期间为三十日。</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权利人应在公告确定的登记期间向人民法院登记。未按期登记的，可在一审开庭前向人民法院申请补充登记，补充登记前已经完成的诉讼程序对其发生效力。</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权利登记可以依托电子信息平台进行。权利人进行登记时，应当按照权利登记公告要求填写诉讼请求金额、收款方式、电子送达地址等事项，并</w:t>
      </w:r>
      <w:r>
        <w:rPr>
          <w:rFonts w:ascii="仿宋_GB2312" w:eastAsia="仿宋_GB2312" w:hAnsi="仿宋_GB2312" w:cs="仿宋_GB2312" w:hint="eastAsia"/>
          <w:sz w:val="32"/>
          <w:szCs w:val="32"/>
        </w:rPr>
        <w:t>提供身份证明文件、交易记录及投资损失等证据材料。</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人民法院在登记期间届满后十日内对登记的权利人进行审核。不符合权利人范围的投资者，人民法院不确认其原告资格。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权利登记公告前已就同一证券违法事实提起诉讼且符合权利人范围的投资者，申请撤诉并加入代表人诉讼的，人民法院应当予以准许。</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投资者申请撤诉并加入代表人诉讼的，列为代表人诉讼的原告，已经收取的诉讼费予以退还；不申请撤诉的，人民法院不准许其加入代表人诉讼，原诉讼继续进行。</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人民法院应当将审核通过的权利人列入代表人诉讼原告名单，并</w:t>
      </w:r>
      <w:r>
        <w:rPr>
          <w:rFonts w:ascii="仿宋_GB2312" w:eastAsia="仿宋_GB2312" w:hAnsi="仿宋_GB2312" w:cs="仿宋_GB2312" w:hint="eastAsia"/>
          <w:sz w:val="32"/>
          <w:szCs w:val="32"/>
        </w:rPr>
        <w:t>通知全体原告。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代表人应当符合以下条件：</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（一）自愿担任代表人；</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（二）拥有相当比例的利益诉求份额；</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（三）本人或者其委托诉讼代理人具备一定的诉讼能力和专业经验；</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（四）能忠实、勤勉地履行维护全体原告利益的职责。</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法律、行政法规或者国务院证券监督管理机构的规定设立的投资者保护机构作为原告参与诉讼，或者接受投资者的委托指派工作人员或委派诉讼代理人参与案件审理活动的，人民法院可以指定该机构为代表人，或者在被代理的当事人中指定代表人。</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申请担任代表人的原告存在与被告有关联关系等可能影响其履行职责情形的，人民法院对其申请不予准许。</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在起诉时当事人人数确定的代表人诉讼，应当在起诉前确定获得特别授权的代表人，并在起诉书中就代表人的推</w:t>
      </w:r>
      <w:r>
        <w:rPr>
          <w:rFonts w:ascii="仿宋_GB2312" w:eastAsia="仿宋_GB2312" w:hAnsi="仿宋_GB2312" w:cs="仿宋_GB2312" w:hint="eastAsia"/>
          <w:sz w:val="32"/>
          <w:szCs w:val="32"/>
        </w:rPr>
        <w:lastRenderedPageBreak/>
        <w:t>选情况作出专项说明。</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起诉时当事人人数尚未确定的代表人诉讼，应当在起诉书中就拟任代表人人选及条件作出说明。在登记期间向人民法院登记的权利人对拟任代表人人选均没有提出异议，并且登记的权利人无人申请担任代表人的，人民法院可以认定由该二至五名人选作为代表人。</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在登记期间向人民法院登记的权利人对拟任</w:t>
      </w:r>
      <w:r>
        <w:rPr>
          <w:rFonts w:ascii="仿宋_GB2312" w:eastAsia="仿宋_GB2312" w:hAnsi="仿宋_GB2312" w:cs="仿宋_GB2312" w:hint="eastAsia"/>
          <w:sz w:val="32"/>
          <w:szCs w:val="32"/>
        </w:rPr>
        <w:t>代表人的人选提出异议，或者申请担任代表人的，人民法院应当自原告范围审核完毕后十日内在自愿担任代表人的原告中组织推选。</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代表人的推选实行一人一票，每位代表人的得票数应当不少于参与投票人数的</w:t>
      </w:r>
      <w:r>
        <w:rPr>
          <w:rFonts w:ascii="仿宋_GB2312" w:eastAsia="仿宋_GB2312" w:hAnsi="仿宋_GB2312" w:cs="仿宋_GB2312" w:hint="eastAsia"/>
          <w:sz w:val="32"/>
          <w:szCs w:val="32"/>
        </w:rPr>
        <w:t>50 %</w:t>
      </w:r>
      <w:r>
        <w:rPr>
          <w:rFonts w:ascii="仿宋_GB2312" w:eastAsia="仿宋_GB2312" w:hAnsi="仿宋_GB2312" w:cs="仿宋_GB2312" w:hint="eastAsia"/>
          <w:sz w:val="32"/>
          <w:szCs w:val="32"/>
        </w:rPr>
        <w:t>。代表人人数为二至五名，按得票数排名确定，通过投票产生二名以上代表人的，为推选成功。首次推选不出的，人民法院应当即时组织原告在得票数前五名的候选人中进行二次推选。</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依据前条规定推选不出代表人的，由人民法院指定。</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人民法院指定代表人的，应当将投票情况、诉讼能力、利益诉求份额等作为考量因素，并征得被指定代表人的同意。</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代表人确定后，人民法院应当进行公告。</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原告可以自公告之日起十日内向人民法院申请撤回权利登记，并可以另行起诉。</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代表人因丧失诉讼行为能力或者其他事由影响案件审理或者可能损害原告利益的，人民法院依原告申请，可以决定撤销代表人资格。代表人不足二人时，人民法院应当补充指定代表人。</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代表人与被告达成调解协议草案的，应当向人民法院提交制作调解书的申请书及调解协议草案。申请书应当包括</w:t>
      </w:r>
      <w:r>
        <w:rPr>
          <w:rFonts w:ascii="仿宋_GB2312" w:eastAsia="仿宋_GB2312" w:hAnsi="仿宋_GB2312" w:cs="仿宋_GB2312" w:hint="eastAsia"/>
          <w:sz w:val="32"/>
          <w:szCs w:val="32"/>
        </w:rPr>
        <w:t>以下内容：</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（一）原告的诉讼请求、案件事实以及审理进展等基本情况；</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（二）代表人和委托诉讼代理人参加诉讼活动的情况；</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（三）调解协议草案对原告的有利因素和不利影响；</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（四）对诉讼费以及合理的公告费、通知费、律师费等费用的分摊及理由；</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（五）需要特别说明的其他事项。</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人民法院经初步审查，认为调解协议草案不存在违反法律、行政法规的强制性规定、违背公序良俗以及损害他人合法权益等情形的，应当自收到申请书后十日内向全体原告发出通知。通知应当包括以下内容：</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（一）调解协议草案；</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（二）代表人请求人民法院制作</w:t>
      </w:r>
      <w:r>
        <w:rPr>
          <w:rFonts w:ascii="仿宋_GB2312" w:eastAsia="仿宋_GB2312" w:hAnsi="仿宋_GB2312" w:cs="仿宋_GB2312" w:hint="eastAsia"/>
          <w:sz w:val="32"/>
          <w:szCs w:val="32"/>
        </w:rPr>
        <w:t>调解书的申请书；</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（三）对调解协议草案发表意见的权利以及方式、程序和期限；</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（四）原告有异议时，召开听证会的时间、地点及报名方式；</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（五）人民法院认为需要通知的其他事项。</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调解协议草案有异议的原告，有权出席听证会或者以书面方式向人民法院提交异议的具体内容及理由。异议人未出席听证会的，人民法院应当在听证会上公开其异议的内容及理由，代表人及其委托诉讼代理人、被告应当进行解释。</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代表人和被告可以根据听证会的情况，对调解协议草案进行修改。人民法院应当将修改后的调解协议草案通知所有原告，并对修改的内容作</w:t>
      </w:r>
      <w:r>
        <w:rPr>
          <w:rFonts w:ascii="仿宋_GB2312" w:eastAsia="仿宋_GB2312" w:hAnsi="仿宋_GB2312" w:cs="仿宋_GB2312" w:hint="eastAsia"/>
          <w:sz w:val="32"/>
          <w:szCs w:val="32"/>
        </w:rPr>
        <w:t>出重点提示。人民法院可以根据案件的具体情况，决定是否再次召开听证会。</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人民法院应当综合考虑当事人赞成和反对意见、本案所涉法律和事实情况、调解协议草案的合法性、适当性和可行性等因素，决定是否制作调解书。</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人民法院准备制作调解书的，应当通知提出异议的原告，告知其可以在收到通知后十日内向人民法院提交退出调解的申请。未在上述期间内提交退出申请的原告，视为接受。</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申请退出的期间届满后，人民法院应当在十日内制作调解书。调解书经代表人和被告签收后，对被代表的原告发生效力。人民法院对申请退出原告的诉讼继续审理</w:t>
      </w:r>
      <w:r>
        <w:rPr>
          <w:rFonts w:ascii="仿宋_GB2312" w:eastAsia="仿宋_GB2312" w:hAnsi="仿宋_GB2312" w:cs="仿宋_GB2312" w:hint="eastAsia"/>
          <w:sz w:val="32"/>
          <w:szCs w:val="32"/>
        </w:rPr>
        <w:t>，并依法作出相应判决。</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代表人变更或者放弃诉讼请求、承认对方当事人诉讼请求、决定撤诉的，应当向人民法院提交书面申请，并通知全体原告。人民法院收到申请后，应当根据原告所提异议情况，依法裁定是否准许。</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对于代表人依据前款规定提交的书面申请，原告自收到通知之日起十日内未提出异议的，人民法院可以裁定准许。</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除代表人诉讼案件外，人民法院还受理其他基于同一证券违法事实发生的非代表人诉讼案件的，原则上代表人诉讼案件先行审理，非代表人诉讼案件中止审理。但非代表人诉讼案件具有典型性且先行审理有利于及时解决纠纷的除外。</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可以依当事人的申请，委托双方认可或者随机抽取的专业机构对投资损失数额、证券侵权行为以外其他风险因素导致的损失扣除比例等进行核定。当事人虽未申请但案件审理确有需要的，人民法院可以通过随机抽取的方式委托专业机构对有关事项进行核定。</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对专业机构的核定意见，人民法院应当组织双方当事人质证。</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代表人请求败诉的被告赔偿合理的公告费、通知费、律师费等费用的，人民法院应当予以支持。</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判决被告承担民事赔偿责任的，可以在判决主文中确定赔偿总额和损害赔偿计算方法，并将每个原告的姓名、应获赔偿金额等以列表方式作为民事判决书的附件。</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当事人对计算方法、赔偿金额等有异议的，可以向人民法院申请复核。确有错误的，人民法院裁定补正。</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一审判决送达后，代表人决定放弃上诉的，应当在上诉期间届满前通知全体原告。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原告自收到通知之日起十五日内未上诉，被告在上诉期间内</w:t>
      </w:r>
      <w:r>
        <w:rPr>
          <w:rFonts w:ascii="仿宋_GB2312" w:eastAsia="仿宋_GB2312" w:hAnsi="仿宋_GB2312" w:cs="仿宋_GB2312" w:hint="eastAsia"/>
          <w:sz w:val="32"/>
          <w:szCs w:val="32"/>
        </w:rPr>
        <w:lastRenderedPageBreak/>
        <w:t>亦未上诉的，一审判决</w:t>
      </w:r>
      <w:r>
        <w:rPr>
          <w:rFonts w:ascii="仿宋_GB2312" w:eastAsia="仿宋_GB2312" w:hAnsi="仿宋_GB2312" w:cs="仿宋_GB2312" w:hint="eastAsia"/>
          <w:sz w:val="32"/>
          <w:szCs w:val="32"/>
        </w:rPr>
        <w:t>在全体原告与被告之间生效。</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自收到通知之日起十五日内上诉的，应当同时提交上诉状，人民法院收到上诉状后，对上诉的原告按上诉处理。被告在上诉期间内未上诉的，一审判决在未上诉的原告与被告之间生效，二审裁判的效力不及于未上诉的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一审判决送达后，代表人决定上诉的，应当在上诉期间届满前通知全体原告。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原告自收到通知之日起十五日内决定放弃上诉的，应当通知一审法院。被告在上诉期间内未上诉的，一审判决在放弃上诉的原告与被告之间生效，二审裁判的效力不及于放弃上诉的原告。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符合权利人范围但未</w:t>
      </w:r>
      <w:r>
        <w:rPr>
          <w:rFonts w:ascii="仿宋_GB2312" w:eastAsia="仿宋_GB2312" w:hAnsi="仿宋_GB2312" w:cs="仿宋_GB2312" w:hint="eastAsia"/>
          <w:sz w:val="32"/>
          <w:szCs w:val="32"/>
        </w:rPr>
        <w:t>参加登记的投资者提起诉讼，且主张的事实和理由与代表人诉讼生效判决、裁定所认定的案件基本事实和法律适用相同的，人民法院审查具体诉讼请求后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裁定适用已经生效的判决、裁定。适用已经生效裁判的裁定中应当明确被告赔偿的金额，裁定一经作出立即生效。</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代表人诉讼调解结案的，人民法院对后续涉及同一证券违法事实的案件可以引导当事人先行调解。</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履行或者执行生效法律文书所得财产，人民法院在进行分配时，可以通知证券登记结算机构等协助执行义务人依法协助执行。</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人民法院应当编制分配方案并通知全体原告，分配方案应当包括原告范</w:t>
      </w:r>
      <w:r>
        <w:rPr>
          <w:rFonts w:ascii="仿宋_GB2312" w:eastAsia="仿宋_GB2312" w:hAnsi="仿宋_GB2312" w:cs="仿宋_GB2312" w:hint="eastAsia"/>
          <w:sz w:val="32"/>
          <w:szCs w:val="32"/>
        </w:rPr>
        <w:t>围、债权总额、扣除项目及金额、分配的基准及方法、</w:t>
      </w:r>
      <w:r>
        <w:rPr>
          <w:rFonts w:ascii="仿宋_GB2312" w:eastAsia="仿宋_GB2312" w:hAnsi="仿宋_GB2312" w:cs="仿宋_GB2312" w:hint="eastAsia"/>
          <w:sz w:val="32"/>
          <w:szCs w:val="32"/>
        </w:rPr>
        <w:lastRenderedPageBreak/>
        <w:t>分配金额的受领期间等内容。</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原告对分配方案有异议的，可以依据民事诉讼法第二百二十五条的规定提出执行异议。</w:t>
      </w:r>
    </w:p>
    <w:p w:rsidR="00E26B49" w:rsidRDefault="00194088">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t>三、</w:t>
      </w:r>
      <w:r>
        <w:rPr>
          <w:rFonts w:ascii="黑体" w:eastAsia="黑体" w:hAnsi="黑体" w:cs="黑体" w:hint="eastAsia"/>
          <w:sz w:val="32"/>
          <w:szCs w:val="32"/>
        </w:rPr>
        <w:t xml:space="preserve"> </w:t>
      </w:r>
      <w:r>
        <w:rPr>
          <w:rFonts w:ascii="黑体" w:eastAsia="黑体" w:hAnsi="黑体" w:cs="黑体" w:hint="eastAsia"/>
          <w:sz w:val="32"/>
          <w:szCs w:val="32"/>
        </w:rPr>
        <w:t>特别代表人诉讼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已经根据民事诉讼法第五十四条第一款、证券法第九十五条第二款的规定发布权利登记公告的，投资者保护机构在公告期间受五十名以上权利人的特别授权，可以作为代表人参加诉讼。先受理的人民法院不具有特别代表人诉讼管辖权的，应当将案件及时移送有管辖权的人民法院。</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不同意加入特别代表人诉讼的权利人可以提交退出声明，原</w:t>
      </w:r>
      <w:r>
        <w:rPr>
          <w:rFonts w:ascii="仿宋_GB2312" w:eastAsia="仿宋_GB2312" w:hAnsi="仿宋_GB2312" w:cs="仿宋_GB2312" w:hint="eastAsia"/>
          <w:sz w:val="32"/>
          <w:szCs w:val="32"/>
        </w:rPr>
        <w:t>诉讼继续进行。</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范围确定后，人民法院应当发出权利登记公告。权利登记公告除本规定第七条的内容外，还应当包括投资者保护机构基本情况、对投资者保护机构的特别授权、投资者声明退出的权利及期间、未声明退出的法律后果等。</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投资者明确表示不愿意参加诉讼的，应当在公告期间届满后十五日内向人民法院声明退出。未声明退出的，视为同意参加该代表人诉讼。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对于声明退出的投资者，人民法院不再将其登记为特别代表人诉讼的原告，该投资者可以另行起诉。</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投资者保护机构依据公告确定的权利人范围向证券登记结算机构调取的权利人名单，人民法院应当予以登记，</w:t>
      </w:r>
      <w:r>
        <w:rPr>
          <w:rFonts w:ascii="仿宋_GB2312" w:eastAsia="仿宋_GB2312" w:hAnsi="仿宋_GB2312" w:cs="仿宋_GB2312" w:hint="eastAsia"/>
          <w:sz w:val="32"/>
          <w:szCs w:val="32"/>
        </w:rPr>
        <w:lastRenderedPageBreak/>
        <w:t>列入代表人诉讼原告名单，并通知全体原告。</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诉讼过程中由于声明退出等原因导致明示授权投资者的数量不足五十名的，不影响投资者保护机构的代表人资格。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针对同一代表人诉讼，原则上应当由一个投资者保护机构作为代表人参加诉讼。两个以上的投资者保护机构分别受五十名以上投资者委托，且均决定作为代表人参加诉讼的，应当协商处理；协商不成的，由人民法院指定其中一个作为代表人参加诉讼。</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投资者保</w:t>
      </w:r>
      <w:r>
        <w:rPr>
          <w:rFonts w:ascii="仿宋_GB2312" w:eastAsia="仿宋_GB2312" w:hAnsi="仿宋_GB2312" w:cs="仿宋_GB2312" w:hint="eastAsia"/>
          <w:sz w:val="32"/>
          <w:szCs w:val="32"/>
        </w:rPr>
        <w:t>护机构应当采取必要措施，保障被代表的投资者持续了解案件审理的进展情况，回应投资者的诉求。对投资者提出的意见和建议不予采纳的，应当对投资者做好解释工作。</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特别代表人诉讼案件不预交案件受理费。败诉或者部分败诉的原告申请减交或者免交诉讼费的，人民法院应当依照《诉讼费用交纳办法》的规定，视原告的经济状况和案件的审理情况决定是否准许。</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投资者保护机构作为代表人在诉讼中申请财产保全的，人民法院可以不要求提供担保。</w:t>
      </w:r>
    </w:p>
    <w:p w:rsidR="00E26B49" w:rsidRDefault="00194088">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人民法院审理特别代表人诉讼案件，本部分没有规定的，适用普通代表人诉</w:t>
      </w:r>
      <w:r>
        <w:rPr>
          <w:rFonts w:ascii="仿宋_GB2312" w:eastAsia="仿宋_GB2312" w:hAnsi="仿宋_GB2312" w:cs="仿宋_GB2312" w:hint="eastAsia"/>
          <w:sz w:val="32"/>
          <w:szCs w:val="32"/>
        </w:rPr>
        <w:t>讼中关于起诉时当事人人数尚未确定的代表人诉讼的相关规定。</w:t>
      </w:r>
    </w:p>
    <w:p w:rsidR="00E26B49" w:rsidRDefault="00194088">
      <w:pPr>
        <w:spacing w:line="560" w:lineRule="exact"/>
        <w:ind w:firstLineChars="200" w:firstLine="640"/>
        <w:rPr>
          <w:rFonts w:ascii="黑体" w:eastAsia="黑体" w:hAnsi="黑体" w:cs="黑体"/>
          <w:sz w:val="32"/>
          <w:szCs w:val="32"/>
        </w:rPr>
      </w:pPr>
      <w:r>
        <w:rPr>
          <w:rFonts w:ascii="黑体" w:eastAsia="黑体" w:hAnsi="黑体" w:cs="黑体" w:hint="eastAsia"/>
          <w:sz w:val="32"/>
          <w:szCs w:val="32"/>
        </w:rPr>
        <w:lastRenderedPageBreak/>
        <w:t>四、</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E26B49" w:rsidRDefault="00194088">
      <w:pPr>
        <w:spacing w:line="560" w:lineRule="exact"/>
        <w:ind w:firstLineChars="200" w:firstLine="640"/>
      </w:pPr>
      <w:r>
        <w:rPr>
          <w:rFonts w:ascii="黑体" w:eastAsia="黑体" w:hAnsi="黑体" w:cs="黑体" w:hint="eastAsia"/>
          <w:sz w:val="32"/>
          <w:szCs w:val="32"/>
        </w:rPr>
        <w:t>第四十二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日起施行。</w:t>
      </w:r>
    </w:p>
    <w:p w:rsidR="00E26B49" w:rsidRDefault="00E26B49"/>
    <w:sectPr w:rsidR="00E26B49">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088" w:rsidRDefault="00194088">
      <w:r>
        <w:separator/>
      </w:r>
    </w:p>
  </w:endnote>
  <w:endnote w:type="continuationSeparator" w:id="0">
    <w:p w:rsidR="00194088" w:rsidRDefault="0019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B49" w:rsidRDefault="00194088">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26B49" w:rsidRDefault="00194088">
                          <w:pPr>
                            <w:pStyle w:val="a3"/>
                          </w:pPr>
                          <w:r>
                            <w:rPr>
                              <w:rFonts w:hint="eastAsia"/>
                            </w:rPr>
                            <w:fldChar w:fldCharType="begin"/>
                          </w:r>
                          <w:r>
                            <w:rPr>
                              <w:rFonts w:hint="eastAsia"/>
                            </w:rPr>
                            <w:instrText xml:space="preserve"> PAGE  \* MERGEFORMAT </w:instrText>
                          </w:r>
                          <w:r>
                            <w:rPr>
                              <w:rFonts w:hint="eastAsia"/>
                            </w:rPr>
                            <w:fldChar w:fldCharType="separate"/>
                          </w:r>
                          <w:r w:rsidR="00212A48">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26B49" w:rsidRDefault="00194088">
                    <w:pPr>
                      <w:pStyle w:val="a3"/>
                    </w:pPr>
                    <w:r>
                      <w:rPr>
                        <w:rFonts w:hint="eastAsia"/>
                      </w:rPr>
                      <w:fldChar w:fldCharType="begin"/>
                    </w:r>
                    <w:r>
                      <w:rPr>
                        <w:rFonts w:hint="eastAsia"/>
                      </w:rPr>
                      <w:instrText xml:space="preserve"> PAGE  \* MERGEFORMAT </w:instrText>
                    </w:r>
                    <w:r>
                      <w:rPr>
                        <w:rFonts w:hint="eastAsia"/>
                      </w:rPr>
                      <w:fldChar w:fldCharType="separate"/>
                    </w:r>
                    <w:r w:rsidR="00212A48">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B49" w:rsidRDefault="00194088">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26B49" w:rsidRDefault="00194088">
                          <w:pPr>
                            <w:pStyle w:val="a3"/>
                          </w:pPr>
                          <w:r>
                            <w:rPr>
                              <w:rFonts w:hint="eastAsia"/>
                            </w:rPr>
                            <w:fldChar w:fldCharType="begin"/>
                          </w:r>
                          <w:r>
                            <w:rPr>
                              <w:rFonts w:hint="eastAsia"/>
                            </w:rPr>
                            <w:instrText xml:space="preserve"> PAGE  \* MERGEFORMAT </w:instrText>
                          </w:r>
                          <w:r>
                            <w:rPr>
                              <w:rFonts w:hint="eastAsia"/>
                            </w:rPr>
                            <w:fldChar w:fldCharType="separate"/>
                          </w:r>
                          <w:r w:rsidR="00212A48">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E26B49" w:rsidRDefault="00194088">
                    <w:pPr>
                      <w:pStyle w:val="a3"/>
                    </w:pPr>
                    <w:r>
                      <w:rPr>
                        <w:rFonts w:hint="eastAsia"/>
                      </w:rPr>
                      <w:fldChar w:fldCharType="begin"/>
                    </w:r>
                    <w:r>
                      <w:rPr>
                        <w:rFonts w:hint="eastAsia"/>
                      </w:rPr>
                      <w:instrText xml:space="preserve"> PAGE  \* MERGEFORMAT </w:instrText>
                    </w:r>
                    <w:r>
                      <w:rPr>
                        <w:rFonts w:hint="eastAsia"/>
                      </w:rPr>
                      <w:fldChar w:fldCharType="separate"/>
                    </w:r>
                    <w:r w:rsidR="00212A48">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088" w:rsidRDefault="00194088">
      <w:r>
        <w:separator/>
      </w:r>
    </w:p>
  </w:footnote>
  <w:footnote w:type="continuationSeparator" w:id="0">
    <w:p w:rsidR="00194088" w:rsidRDefault="00194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194088"/>
    <w:rsid w:val="00212A48"/>
    <w:rsid w:val="00E26B49"/>
    <w:rsid w:val="0FAB2259"/>
    <w:rsid w:val="1E8D6747"/>
    <w:rsid w:val="20A12E8F"/>
    <w:rsid w:val="2D853024"/>
    <w:rsid w:val="4CB85E28"/>
    <w:rsid w:val="7E224C5D"/>
    <w:rsid w:val="7F62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4F44A9-1950-4EBD-B681-795AA423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2021-02-24T02:10:00Z</dcterms:created>
  <dcterms:modified xsi:type="dcterms:W3CDTF">2021-02-24T02:10:00Z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