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关于诉讼代理人查阅民事案件材料的规定</w:t>
      </w:r>
    </w:p>
    <w:p>
      <w:pPr>
        <w:pStyle w:val="12"/>
        <w:rPr>
          <w:rFonts w:hint="eastAsia" w:ascii="宋体" w:hAnsi="宋体" w:eastAsia="宋体" w:cs="宋体"/>
        </w:rPr>
      </w:pPr>
    </w:p>
    <w:p>
      <w:pPr>
        <w:pStyle w:val="19"/>
        <w:rPr>
          <w:rFonts w:hint="eastAsia"/>
        </w:rPr>
      </w:pPr>
      <w:r>
        <w:t>法释〔2002〕39号</w:t>
      </w:r>
    </w:p>
    <w:p>
      <w:pPr>
        <w:pStyle w:val="12"/>
        <w:rPr>
          <w:rFonts w:hint="eastAsia" w:ascii="宋体" w:hAnsi="宋体" w:eastAsia="宋体" w:cs="宋体"/>
        </w:rPr>
      </w:pPr>
    </w:p>
    <w:p>
      <w:pPr>
        <w:pStyle w:val="17"/>
        <w:rPr>
          <w:rFonts w:hint="eastAsia"/>
          <w:lang w:eastAsia="zh-CN"/>
        </w:rPr>
      </w:pPr>
      <w:r>
        <w:rPr>
          <w:rFonts w:hint="eastAsia"/>
          <w:lang w:eastAsia="zh-CN"/>
        </w:rPr>
        <w:t>（</w:t>
      </w:r>
      <w:r>
        <w:t>2002年11月4日最高人民法院审判委员会第1254次会议通过</w:t>
      </w:r>
      <w:r>
        <w:rPr>
          <w:rFonts w:hint="eastAsia"/>
          <w:lang w:eastAsia="zh-CN"/>
        </w:rPr>
        <w:t>　</w:t>
      </w:r>
      <w:r>
        <w:rPr>
          <w:rFonts w:hint="eastAsia"/>
        </w:rPr>
        <w:t>2002</w:t>
      </w:r>
      <w:r>
        <w:t>年11月15日最高人民法院公告公布　自2002年12月7日起施行</w:t>
      </w:r>
      <w:r>
        <w:rPr>
          <w:rFonts w:hint="eastAsia"/>
          <w:lang w:eastAsia="zh-CN"/>
        </w:rPr>
        <w:t>）</w:t>
      </w:r>
    </w:p>
    <w:p>
      <w:pPr>
        <w:pStyle w:val="12"/>
        <w:rPr>
          <w:rFonts w:hint="eastAsia" w:ascii="宋体" w:hAnsi="宋体" w:eastAsia="宋体" w:cs="宋体"/>
        </w:rPr>
      </w:pPr>
    </w:p>
    <w:p>
      <w:pPr>
        <w:pStyle w:val="12"/>
        <w:rPr>
          <w:rStyle w:val="25"/>
          <w:rFonts w:hint="eastAsia"/>
        </w:rPr>
      </w:pPr>
      <w:r>
        <w:t>为保障代理民事诉讼的律师和其他诉讼代理人依法行使查阅所代理案件有关材料的权利</w:t>
      </w:r>
      <w:r>
        <w:rPr>
          <w:rFonts w:hint="eastAsia"/>
        </w:rPr>
        <w:t>，</w:t>
      </w:r>
      <w:r>
        <w:t>保证诉讼活动的顺利进行</w:t>
      </w:r>
      <w:r>
        <w:rPr>
          <w:rFonts w:hint="eastAsia"/>
        </w:rPr>
        <w:t>，</w:t>
      </w:r>
      <w:r>
        <w:t>根据《中华人民共和国民事诉讼法》第六十一条的规定</w:t>
      </w:r>
      <w:r>
        <w:rPr>
          <w:rFonts w:hint="eastAsia"/>
        </w:rPr>
        <w:t>，</w:t>
      </w:r>
      <w:r>
        <w:t>现对诉讼代理人查阅代理案</w:t>
      </w:r>
      <w:r>
        <w:rPr>
          <w:rFonts w:hint="eastAsia"/>
        </w:rPr>
        <w:t>件有关材料的范围和办法作如下规定：</w:t>
      </w:r>
    </w:p>
    <w:p>
      <w:pPr>
        <w:pStyle w:val="12"/>
        <w:rPr>
          <w:rFonts w:hint="eastAsia"/>
        </w:rPr>
      </w:pPr>
      <w:r>
        <w:rPr>
          <w:rStyle w:val="25"/>
        </w:rPr>
        <w:t>第一条</w:t>
      </w:r>
      <w:r>
        <w:t>　代理民事诉讼的律师和其他诉讼代理人有权查阅所代理案件的有关材料。但是</w:t>
      </w:r>
      <w:r>
        <w:rPr>
          <w:rFonts w:hint="eastAsia"/>
        </w:rPr>
        <w:t>，</w:t>
      </w:r>
      <w:r>
        <w:t>诉讼代理人查阅案件材料不得影响案件的审理。</w:t>
      </w:r>
    </w:p>
    <w:p>
      <w:pPr>
        <w:pStyle w:val="12"/>
        <w:rPr>
          <w:rStyle w:val="25"/>
          <w:rFonts w:hint="eastAsia"/>
        </w:rPr>
      </w:pPr>
      <w:r>
        <w:t>诉讼代理人为了申请再审的需要</w:t>
      </w:r>
      <w:r>
        <w:rPr>
          <w:rFonts w:hint="eastAsia"/>
        </w:rPr>
        <w:t>，</w:t>
      </w:r>
      <w:r>
        <w:t>可以查阅已经审理终结的所代理案件有关材料。</w:t>
      </w:r>
    </w:p>
    <w:p>
      <w:pPr>
        <w:pStyle w:val="12"/>
        <w:rPr>
          <w:rStyle w:val="25"/>
          <w:rFonts w:hint="eastAsia"/>
        </w:rPr>
      </w:pPr>
      <w:r>
        <w:rPr>
          <w:rStyle w:val="25"/>
        </w:rPr>
        <w:t>第二条</w:t>
      </w:r>
      <w:r>
        <w:t>　人民法院应当为诉讼代理人阅卷提供便利条件</w:t>
      </w:r>
      <w:r>
        <w:rPr>
          <w:rFonts w:hint="eastAsia"/>
        </w:rPr>
        <w:t>，</w:t>
      </w:r>
      <w:r>
        <w:t>安排阅卷场所。必要时</w:t>
      </w:r>
      <w:r>
        <w:rPr>
          <w:rFonts w:hint="eastAsia"/>
        </w:rPr>
        <w:t>，</w:t>
      </w:r>
      <w:r>
        <w:t>该案件的书记员或者法院其他工作人员应当在场。</w:t>
      </w:r>
    </w:p>
    <w:p>
      <w:pPr>
        <w:pStyle w:val="12"/>
        <w:rPr>
          <w:rStyle w:val="25"/>
          <w:rFonts w:hint="eastAsia"/>
        </w:rPr>
      </w:pPr>
      <w:r>
        <w:rPr>
          <w:rStyle w:val="25"/>
        </w:rPr>
        <w:t>第三条</w:t>
      </w:r>
      <w:r>
        <w:t>　诉讼代理人在诉讼过程中需要查阅案件有关材料的</w:t>
      </w:r>
      <w:r>
        <w:rPr>
          <w:rFonts w:hint="eastAsia"/>
        </w:rPr>
        <w:t>，</w:t>
      </w:r>
      <w:r>
        <w:t>应当提前与该案件的书</w:t>
      </w:r>
      <w:r>
        <w:rPr>
          <w:rFonts w:hint="eastAsia"/>
        </w:rPr>
        <w:t>记员或者审判人员联系；查阅已经审理终结的案件有关材料的，应当与人民法院有关部门工作人员联系。</w:t>
      </w:r>
    </w:p>
    <w:p>
      <w:pPr>
        <w:pStyle w:val="12"/>
        <w:rPr>
          <w:rStyle w:val="25"/>
          <w:rFonts w:hint="eastAsia"/>
        </w:rPr>
      </w:pPr>
      <w:r>
        <w:rPr>
          <w:rStyle w:val="25"/>
        </w:rPr>
        <w:t>第四条</w:t>
      </w:r>
      <w:r>
        <w:t>　诉讼代理人查阅案件有关材料应当出示律师证或者身份证等有效证件。查阅案件有关材料应当填写查阅案件有关材料阅卷单。</w:t>
      </w:r>
    </w:p>
    <w:p>
      <w:pPr>
        <w:pStyle w:val="12"/>
        <w:rPr>
          <w:rFonts w:hint="eastAsia"/>
        </w:rPr>
      </w:pPr>
      <w:r>
        <w:rPr>
          <w:rStyle w:val="25"/>
        </w:rPr>
        <w:t>第五条</w:t>
      </w:r>
      <w:r>
        <w:t>　诉讼代理人在诉讼中查阅案件材料限于案件审判卷和执行卷的正卷</w:t>
      </w:r>
      <w:r>
        <w:rPr>
          <w:rFonts w:hint="eastAsia"/>
        </w:rPr>
        <w:t>，</w:t>
      </w:r>
      <w:r>
        <w:t>包括起诉书、答辩书、庭审笔录及各种证据材料等。</w:t>
      </w:r>
    </w:p>
    <w:p>
      <w:pPr>
        <w:pStyle w:val="12"/>
        <w:rPr>
          <w:rStyle w:val="25"/>
          <w:rFonts w:hint="eastAsia"/>
        </w:rPr>
      </w:pPr>
      <w:r>
        <w:t>案件审理终结后</w:t>
      </w:r>
      <w:r>
        <w:rPr>
          <w:rFonts w:hint="eastAsia"/>
        </w:rPr>
        <w:t>，</w:t>
      </w:r>
      <w:r>
        <w:t>可以查阅案件审判卷的正卷。</w:t>
      </w:r>
    </w:p>
    <w:p>
      <w:pPr>
        <w:pStyle w:val="12"/>
        <w:rPr>
          <w:rFonts w:hint="eastAsia"/>
        </w:rPr>
      </w:pPr>
      <w:r>
        <w:rPr>
          <w:rStyle w:val="25"/>
        </w:rPr>
        <w:t>第六条</w:t>
      </w:r>
      <w:r>
        <w:t>　诉讼代理人查阅案件有关材料后</w:t>
      </w:r>
      <w:r>
        <w:rPr>
          <w:rFonts w:hint="eastAsia"/>
        </w:rPr>
        <w:t>，</w:t>
      </w:r>
      <w:r>
        <w:t>应当及时将查</w:t>
      </w:r>
      <w:r>
        <w:rPr>
          <w:rFonts w:hint="eastAsia"/>
        </w:rPr>
        <w:t>阅的全部案件材料交回书记员或者其他负责保管案卷的工作人员。</w:t>
      </w:r>
    </w:p>
    <w:p>
      <w:pPr>
        <w:pStyle w:val="12"/>
        <w:rPr>
          <w:rFonts w:hint="eastAsia"/>
        </w:rPr>
      </w:pPr>
      <w:r>
        <w:t>书记员或者法院其他工作人员对诉讼代理人交回的案件材料应当当面清查</w:t>
      </w:r>
      <w:r>
        <w:rPr>
          <w:rFonts w:hint="eastAsia"/>
        </w:rPr>
        <w:t>，</w:t>
      </w:r>
      <w:r>
        <w:t>认为无误后在阅卷单上签注。阅卷单应当附卷。</w:t>
      </w:r>
    </w:p>
    <w:p>
      <w:pPr>
        <w:pStyle w:val="12"/>
        <w:rPr>
          <w:rStyle w:val="25"/>
          <w:rFonts w:hint="eastAsia"/>
        </w:rPr>
      </w:pPr>
      <w:r>
        <w:t>诉讼代理人不得将查阅的案件材料携出法院指定的阅卷场所。</w:t>
      </w:r>
    </w:p>
    <w:p>
      <w:pPr>
        <w:pStyle w:val="12"/>
        <w:rPr>
          <w:rFonts w:hint="eastAsia"/>
        </w:rPr>
      </w:pPr>
      <w:r>
        <w:rPr>
          <w:rStyle w:val="25"/>
        </w:rPr>
        <w:t>第七条</w:t>
      </w:r>
      <w:r>
        <w:t>　诉讼代理人查阅案件材料可以摘抄或者复印。涉及国家秘密的案件材料</w:t>
      </w:r>
      <w:r>
        <w:rPr>
          <w:rFonts w:hint="eastAsia"/>
        </w:rPr>
        <w:t>，</w:t>
      </w:r>
      <w:r>
        <w:t>依照国家有关规定办理。</w:t>
      </w:r>
    </w:p>
    <w:p>
      <w:pPr>
        <w:pStyle w:val="12"/>
        <w:rPr>
          <w:rFonts w:hint="eastAsia"/>
        </w:rPr>
      </w:pPr>
      <w:r>
        <w:t>复印案件材料应当经案卷保管人员的同意。复印已经审理终结的案件有关材料</w:t>
      </w:r>
      <w:r>
        <w:rPr>
          <w:rFonts w:hint="eastAsia"/>
        </w:rPr>
        <w:t>，</w:t>
      </w:r>
      <w:r>
        <w:t>诉讼代理人可以要求案卷管理部门在复印材料上盖章确认。</w:t>
      </w:r>
    </w:p>
    <w:p>
      <w:pPr>
        <w:pStyle w:val="12"/>
        <w:rPr>
          <w:rStyle w:val="25"/>
          <w:rFonts w:hint="eastAsia"/>
        </w:rPr>
      </w:pPr>
      <w:r>
        <w:t>复印案</w:t>
      </w:r>
      <w:r>
        <w:rPr>
          <w:rFonts w:hint="eastAsia"/>
        </w:rPr>
        <w:t>件材料可以收取必要的费用。</w:t>
      </w:r>
    </w:p>
    <w:p>
      <w:pPr>
        <w:pStyle w:val="12"/>
        <w:rPr>
          <w:rStyle w:val="25"/>
          <w:rFonts w:hint="eastAsia"/>
        </w:rPr>
      </w:pPr>
      <w:r>
        <w:rPr>
          <w:rStyle w:val="25"/>
        </w:rPr>
        <w:t>第八条</w:t>
      </w:r>
      <w:r>
        <w:t>　查阅案件材料中涉及国家秘密、商业秘密和个人隐私的</w:t>
      </w:r>
      <w:r>
        <w:rPr>
          <w:rFonts w:hint="eastAsia"/>
        </w:rPr>
        <w:t>，</w:t>
      </w:r>
      <w:r>
        <w:t>诉讼代理人应当保密。</w:t>
      </w:r>
    </w:p>
    <w:p>
      <w:pPr>
        <w:pStyle w:val="12"/>
        <w:rPr>
          <w:rFonts w:hint="eastAsia"/>
        </w:rPr>
      </w:pPr>
      <w:r>
        <w:rPr>
          <w:rStyle w:val="25"/>
        </w:rPr>
        <w:t>第九条</w:t>
      </w:r>
      <w:r>
        <w:t>　诉讼代理人查阅案件材料时不得涂改、损毁、抽取案件材料。</w:t>
      </w:r>
    </w:p>
    <w:p>
      <w:pPr>
        <w:pStyle w:val="12"/>
        <w:rPr>
          <w:rStyle w:val="25"/>
          <w:rFonts w:hint="eastAsia"/>
        </w:rPr>
      </w:pPr>
      <w:r>
        <w:t>人民法院对修改、损毁、抽取案卷材料的诉讼代理人</w:t>
      </w:r>
      <w:r>
        <w:rPr>
          <w:rFonts w:hint="eastAsia"/>
        </w:rPr>
        <w:t>，</w:t>
      </w:r>
      <w:r>
        <w:t>可以参照民事诉讼法第一百零二条第一款第</w:t>
      </w:r>
      <w:r>
        <w:rPr>
          <w:rFonts w:hint="eastAsia"/>
          <w:lang w:eastAsia="zh-CN"/>
        </w:rPr>
        <w:t>（</w:t>
      </w:r>
      <w:r>
        <w:t>一</w:t>
      </w:r>
      <w:r>
        <w:rPr>
          <w:rFonts w:hint="eastAsia"/>
          <w:lang w:eastAsia="zh-CN"/>
        </w:rPr>
        <w:t>）</w:t>
      </w:r>
      <w:r>
        <w:t>项的规定处理。</w:t>
      </w:r>
    </w:p>
    <w:p>
      <w:pPr>
        <w:pStyle w:val="12"/>
        <w:rPr>
          <w:rStyle w:val="25"/>
          <w:rFonts w:hint="eastAsia"/>
        </w:rPr>
      </w:pPr>
      <w:r>
        <w:rPr>
          <w:rStyle w:val="25"/>
        </w:rPr>
        <w:t>第十条</w:t>
      </w:r>
      <w:r>
        <w:t>　民事案件的当事人查阅案件有关材料的</w:t>
      </w:r>
      <w:r>
        <w:rPr>
          <w:rFonts w:hint="eastAsia"/>
        </w:rPr>
        <w:t>，</w:t>
      </w:r>
      <w:r>
        <w:t>参照本规定执行。</w:t>
      </w:r>
    </w:p>
    <w:p>
      <w:pPr>
        <w:pStyle w:val="12"/>
      </w:pPr>
      <w:r>
        <w:rPr>
          <w:rStyle w:val="25"/>
        </w:rPr>
        <w:t>第十一条</w:t>
      </w:r>
      <w:r>
        <w:t>　本规定自公布之日起施行。</w:t>
      </w:r>
    </w:p>
    <w:p>
      <w:pPr>
        <w:pStyle w:val="12"/>
      </w:pPr>
      <w:r>
        <w:br w:type="page"/>
      </w:r>
    </w:p>
    <w:p>
      <w:pPr>
        <w:pStyle w:val="12"/>
        <w:rPr>
          <w:rFonts w:hint="eastAsia" w:ascii="宋体" w:hAnsi="宋体" w:eastAsia="宋体" w:cs="宋体"/>
        </w:rPr>
      </w:pPr>
    </w:p>
    <w:p>
      <w:pPr>
        <w:pStyle w:val="11"/>
        <w:rPr>
          <w:rFonts w:hint="eastAsia"/>
        </w:rPr>
      </w:pPr>
      <w:r>
        <w:t>附：阅卷单格式</w:t>
      </w:r>
    </w:p>
    <w:p>
      <w:pPr>
        <w:pStyle w:val="12"/>
        <w:rPr>
          <w:rFonts w:hint="eastAsia" w:ascii="宋体" w:hAnsi="宋体" w:eastAsia="宋体" w:cs="宋体"/>
        </w:rPr>
      </w:pPr>
      <w:bookmarkStart w:id="0" w:name="_GoBack"/>
      <w:bookmarkEnd w:id="0"/>
    </w:p>
    <w:p>
      <w:pPr>
        <w:pStyle w:val="1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rPr>
      </w:pPr>
      <w:r>
        <w:t>××××人民法院</w:t>
      </w:r>
    </w:p>
    <w:p>
      <w:pPr>
        <w:pStyle w:val="1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pPr>
      <w:r>
        <w:t>阅　卷　单</w:t>
      </w:r>
    </w:p>
    <w:p>
      <w:pPr>
        <w:pStyle w:val="12"/>
        <w:rPr>
          <w:rFonts w:hint="eastAsia" w:ascii="宋体" w:hAnsi="宋体" w:eastAsia="宋体" w:cs="宋体"/>
        </w:rPr>
      </w:pPr>
    </w:p>
    <w:tbl>
      <w:tblPr>
        <w:tblStyle w:val="5"/>
        <w:tblW w:w="884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22"/>
        <w:gridCol w:w="4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422" w:type="dxa"/>
            <w:shd w:val="clear" w:color="auto" w:fill="auto"/>
            <w:vAlign w:val="center"/>
          </w:tcPr>
          <w:p>
            <w:pPr>
              <w:pStyle w:val="15"/>
            </w:pPr>
            <w:r>
              <w:t>阅卷人</w:t>
            </w:r>
            <w:r>
              <w:rPr>
                <w:rFonts w:hint="eastAsia"/>
                <w:lang w:eastAsia="zh-CN"/>
              </w:rPr>
              <w:t>（</w:t>
            </w:r>
            <w:r>
              <w:t>代理人或者当事人</w:t>
            </w:r>
            <w:r>
              <w:rPr>
                <w:rFonts w:hint="eastAsia"/>
                <w:lang w:eastAsia="zh-CN"/>
              </w:rPr>
              <w:t>）</w:t>
            </w:r>
          </w:p>
        </w:tc>
        <w:tc>
          <w:tcPr>
            <w:tcW w:w="4422" w:type="dxa"/>
            <w:shd w:val="clear" w:color="auto" w:fill="auto"/>
            <w:vAlign w:val="center"/>
          </w:tcPr>
          <w:p>
            <w:pPr>
              <w:pStyle w:val="12"/>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422" w:type="dxa"/>
            <w:shd w:val="clear" w:color="auto" w:fill="auto"/>
            <w:vAlign w:val="center"/>
          </w:tcPr>
          <w:p>
            <w:pPr>
              <w:pStyle w:val="15"/>
              <w:rPr>
                <w:rFonts w:hint="eastAsia"/>
              </w:rPr>
            </w:pPr>
            <w:r>
              <w:t>证件名称及其编号</w:t>
            </w:r>
          </w:p>
        </w:tc>
        <w:tc>
          <w:tcPr>
            <w:tcW w:w="4422" w:type="dxa"/>
            <w:shd w:val="clear" w:color="auto" w:fill="auto"/>
            <w:vAlign w:val="center"/>
          </w:tcPr>
          <w:p>
            <w:pPr>
              <w:pStyle w:val="1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422" w:type="dxa"/>
            <w:shd w:val="clear" w:color="auto" w:fill="auto"/>
            <w:vAlign w:val="center"/>
          </w:tcPr>
          <w:p>
            <w:pPr>
              <w:pStyle w:val="15"/>
              <w:rPr>
                <w:rFonts w:hint="eastAsia"/>
              </w:rPr>
            </w:pPr>
            <w:r>
              <w:t>案件名称、案由、案号</w:t>
            </w:r>
          </w:p>
        </w:tc>
        <w:tc>
          <w:tcPr>
            <w:tcW w:w="4422" w:type="dxa"/>
            <w:shd w:val="clear" w:color="auto" w:fill="auto"/>
            <w:vAlign w:val="center"/>
          </w:tcPr>
          <w:p>
            <w:pPr>
              <w:pStyle w:val="1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422" w:type="dxa"/>
            <w:shd w:val="clear" w:color="auto" w:fill="auto"/>
            <w:vAlign w:val="center"/>
          </w:tcPr>
          <w:p>
            <w:pPr>
              <w:pStyle w:val="15"/>
              <w:rPr>
                <w:rFonts w:hint="eastAsia"/>
              </w:rPr>
            </w:pPr>
            <w:r>
              <w:t>借阅册数</w:t>
            </w:r>
          </w:p>
        </w:tc>
        <w:tc>
          <w:tcPr>
            <w:tcW w:w="4422" w:type="dxa"/>
            <w:shd w:val="clear" w:color="auto" w:fill="auto"/>
            <w:vAlign w:val="center"/>
          </w:tcPr>
          <w:p>
            <w:pPr>
              <w:pStyle w:val="1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422" w:type="dxa"/>
            <w:shd w:val="clear" w:color="auto" w:fill="auto"/>
            <w:vAlign w:val="center"/>
          </w:tcPr>
          <w:p>
            <w:pPr>
              <w:pStyle w:val="15"/>
              <w:rPr>
                <w:rFonts w:hint="eastAsia"/>
              </w:rPr>
            </w:pPr>
            <w:r>
              <w:t>归还册数</w:t>
            </w:r>
          </w:p>
        </w:tc>
        <w:tc>
          <w:tcPr>
            <w:tcW w:w="4422" w:type="dxa"/>
            <w:shd w:val="clear" w:color="auto" w:fill="auto"/>
            <w:vAlign w:val="center"/>
          </w:tcPr>
          <w:p>
            <w:pPr>
              <w:pStyle w:val="1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422" w:type="dxa"/>
            <w:shd w:val="clear" w:color="auto" w:fill="auto"/>
            <w:vAlign w:val="center"/>
          </w:tcPr>
          <w:p>
            <w:pPr>
              <w:pStyle w:val="15"/>
              <w:rPr>
                <w:rFonts w:hint="eastAsia"/>
              </w:rPr>
            </w:pPr>
            <w:r>
              <w:t>阅卷时间</w:t>
            </w:r>
          </w:p>
        </w:tc>
        <w:tc>
          <w:tcPr>
            <w:tcW w:w="4422" w:type="dxa"/>
            <w:shd w:val="clear" w:color="auto" w:fill="auto"/>
            <w:vAlign w:val="center"/>
          </w:tcPr>
          <w:p>
            <w:pPr>
              <w:pStyle w:val="1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422" w:type="dxa"/>
            <w:shd w:val="clear" w:color="auto" w:fill="auto"/>
            <w:vAlign w:val="center"/>
          </w:tcPr>
          <w:p>
            <w:pPr>
              <w:pStyle w:val="15"/>
              <w:rPr>
                <w:rFonts w:hint="eastAsia"/>
              </w:rPr>
            </w:pPr>
            <w:r>
              <w:t>法院工作人员签注</w:t>
            </w:r>
          </w:p>
        </w:tc>
        <w:tc>
          <w:tcPr>
            <w:tcW w:w="4422" w:type="dxa"/>
            <w:shd w:val="clear" w:color="auto" w:fill="auto"/>
            <w:vAlign w:val="center"/>
          </w:tcPr>
          <w:p>
            <w:pPr>
              <w:pStyle w:val="12"/>
            </w:pPr>
          </w:p>
        </w:tc>
      </w:tr>
    </w:tbl>
    <w:p>
      <w:pPr>
        <w:pStyle w:val="15"/>
        <w:rPr>
          <w:rFonts w:hint="eastAsia"/>
        </w:rPr>
      </w:pPr>
      <w:r>
        <w:t>注：案卷归还时的状况</w:t>
      </w:r>
      <w:r>
        <w:rPr>
          <w:rFonts w:hint="eastAsia"/>
          <w:lang w:eastAsia="zh-CN"/>
        </w:rPr>
        <w:t>（</w:t>
      </w:r>
      <w:r>
        <w:t>完好无误或者缺损等</w:t>
      </w:r>
      <w:r>
        <w:rPr>
          <w:rFonts w:hint="eastAsia"/>
          <w:lang w:eastAsia="zh-CN"/>
        </w:rPr>
        <w:t>）</w:t>
      </w:r>
      <w:r>
        <w:t>应当由收卷人在签注中写明。</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BF620A"/>
    <w:rsid w:val="00323D76"/>
    <w:rsid w:val="02380A4E"/>
    <w:rsid w:val="02C54CFB"/>
    <w:rsid w:val="042F174E"/>
    <w:rsid w:val="0751543E"/>
    <w:rsid w:val="0BE369DE"/>
    <w:rsid w:val="0F9D48A9"/>
    <w:rsid w:val="0FC66F39"/>
    <w:rsid w:val="135B4974"/>
    <w:rsid w:val="19EF53F7"/>
    <w:rsid w:val="1C547AC8"/>
    <w:rsid w:val="20194FCD"/>
    <w:rsid w:val="211007F7"/>
    <w:rsid w:val="224D5C1E"/>
    <w:rsid w:val="28690805"/>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65586BE5"/>
    <w:rsid w:val="6D800228"/>
    <w:rsid w:val="6DAD6BF0"/>
    <w:rsid w:val="6E1B4105"/>
    <w:rsid w:val="6EB66F23"/>
    <w:rsid w:val="6EBF620A"/>
    <w:rsid w:val="74701C6F"/>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2017-11-01T01:45:00Z</dcterms:created>
  <dc:creator>Administrator</dc:creator>
  <cp:lastModifiedBy>Administrator</cp:lastModifiedBy>
  <dcterms:modified xsi:type="dcterms:W3CDTF">2017-11-01T07:04:21Z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