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中华人民共和国最高人民法院</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公</w:t>
      </w:r>
      <w:r>
        <w:rPr>
          <w:rFonts w:hint="eastAsia"/>
          <w:lang w:eastAsia="zh-CN"/>
        </w:rPr>
        <w:t xml:space="preserve">    </w:t>
      </w:r>
      <w:r>
        <w:rPr>
          <w:rFonts w:hint="eastAsia"/>
        </w:rPr>
        <w:t>告</w:t>
      </w: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《最高人民法院关于适用〈中华人民共和国人民陪审员法〉若干问题的解释》（已于2019年2月18日最高人民法院审判委员会第1761次会议通过，现予公布，自2019年5月1日起施行）。</w:t>
      </w: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spacing w:line="520" w:lineRule="exact"/>
        <w:jc w:val="right"/>
        <w:rPr>
          <w:rFonts w:ascii="仿宋_GB2312" w:hAnsi="宋体" w:eastAsia="仿宋_GB2312" w:cs="宋体"/>
          <w:sz w:val="32"/>
          <w:szCs w:val="32"/>
        </w:rPr>
      </w:pPr>
      <w:r>
        <w:rPr>
          <w:rFonts w:hint="eastAsia" w:ascii="仿宋_GB2312" w:hAnsi="宋体" w:eastAsia="仿宋_GB2312" w:cs="宋体"/>
          <w:sz w:val="32"/>
          <w:szCs w:val="32"/>
        </w:rPr>
        <w:t>2019年</w:t>
      </w:r>
      <w:r>
        <w:rPr>
          <w:rFonts w:hint="eastAsia" w:ascii="仿宋_GB2312" w:hAnsi="宋体" w:eastAsia="仿宋_GB2312" w:cs="宋体"/>
          <w:sz w:val="32"/>
          <w:szCs w:val="32"/>
          <w:lang w:val="en-US" w:eastAsia="zh-CN"/>
        </w:rPr>
        <w:t>4</w:t>
      </w:r>
      <w:r>
        <w:rPr>
          <w:rFonts w:hint="eastAsia" w:ascii="仿宋_GB2312" w:hAnsi="宋体" w:eastAsia="仿宋_GB2312" w:cs="宋体"/>
          <w:sz w:val="32"/>
          <w:szCs w:val="32"/>
        </w:rPr>
        <w:t>月</w:t>
      </w:r>
      <w:r>
        <w:rPr>
          <w:rFonts w:hint="eastAsia" w:ascii="仿宋_GB2312" w:hAnsi="宋体" w:eastAsia="仿宋_GB2312" w:cs="宋体"/>
          <w:sz w:val="32"/>
          <w:szCs w:val="32"/>
          <w:lang w:val="en-US" w:eastAsia="zh-CN"/>
        </w:rPr>
        <w:t>24</w:t>
      </w:r>
      <w:r>
        <w:rPr>
          <w:rFonts w:hint="eastAsia" w:ascii="仿宋_GB2312" w:hAnsi="宋体" w:eastAsia="仿宋_GB2312" w:cs="宋体"/>
          <w:sz w:val="32"/>
          <w:szCs w:val="32"/>
        </w:rPr>
        <w:t>日</w:t>
      </w:r>
    </w:p>
    <w:p>
      <w:pPr>
        <w:pStyle w:val="2"/>
        <w:spacing w:line="520" w:lineRule="exact"/>
        <w:rPr>
          <w:rFonts w:ascii="仿宋_GB2312" w:hAnsi="宋体" w:eastAsia="仿宋_GB2312" w:cs="宋体"/>
          <w:sz w:val="30"/>
          <w:szCs w:val="30"/>
        </w:rPr>
      </w:pPr>
    </w:p>
    <w:p>
      <w:pPr>
        <w:pStyle w:val="2"/>
        <w:spacing w:line="520" w:lineRule="exact"/>
        <w:rPr>
          <w:rFonts w:hint="eastAsia" w:ascii="宋体" w:hAnsi="宋体" w:eastAsia="宋体" w:cs="宋体"/>
          <w:sz w:val="32"/>
          <w:szCs w:val="32"/>
        </w:rPr>
        <w:sectPr>
          <w:footerReference r:id="rId4" w:type="default"/>
          <w:headerReference r:id="rId3" w:type="even"/>
          <w:footerReference r:id="rId5" w:type="even"/>
          <w:pgSz w:w="11906" w:h="16838"/>
          <w:pgMar w:top="2098" w:right="1474" w:bottom="1984" w:left="1587" w:header="851" w:footer="992" w:gutter="0"/>
          <w:pgNumType w:fmt="numberInDash" w:start="1"/>
          <w:cols w:space="425" w:num="1"/>
          <w:docGrid w:type="lines" w:linePitch="312" w:charSpace="0"/>
        </w:sectPr>
      </w:pPr>
    </w:p>
    <w:p>
      <w:pPr>
        <w:pStyle w:val="2"/>
        <w:spacing w:line="520" w:lineRule="exact"/>
        <w:rPr>
          <w:rFonts w:hint="eastAsia" w:ascii="宋体" w:hAnsi="宋体" w:eastAsia="宋体" w:cs="宋体"/>
          <w:sz w:val="32"/>
          <w:szCs w:val="32"/>
        </w:rPr>
      </w:pPr>
    </w:p>
    <w:p>
      <w:pPr>
        <w:pStyle w:val="2"/>
        <w:spacing w:line="520" w:lineRule="exact"/>
        <w:rPr>
          <w:rFonts w:hint="eastAsia" w:ascii="宋体" w:hAnsi="宋体" w:eastAsia="宋体" w:cs="宋体"/>
          <w:sz w:val="32"/>
          <w:szCs w:val="32"/>
        </w:rPr>
      </w:pPr>
    </w:p>
    <w:p>
      <w:pPr>
        <w:pStyle w:val="9"/>
        <w:bidi w:val="0"/>
        <w:rPr>
          <w:rFonts w:hint="eastAsia"/>
        </w:rPr>
      </w:pPr>
      <w:r>
        <w:rPr>
          <w:rFonts w:hint="eastAsia"/>
        </w:rPr>
        <w:t>最高人民法院关于适用</w:t>
      </w:r>
    </w:p>
    <w:p>
      <w:pPr>
        <w:pStyle w:val="9"/>
        <w:bidi w:val="0"/>
        <w:rPr>
          <w:rFonts w:hint="eastAsia"/>
        </w:rPr>
      </w:pPr>
      <w:r>
        <w:rPr>
          <w:rFonts w:hint="eastAsia"/>
        </w:rPr>
        <w:t>《中华人民共和国人民陪审员法》若干问题的解释</w:t>
      </w:r>
    </w:p>
    <w:p>
      <w:pPr>
        <w:pStyle w:val="2"/>
        <w:spacing w:line="520" w:lineRule="exact"/>
        <w:rPr>
          <w:rFonts w:hint="eastAsia" w:ascii="宋体" w:hAnsi="宋体" w:eastAsia="宋体" w:cs="宋体"/>
          <w:sz w:val="32"/>
          <w:szCs w:val="32"/>
        </w:rPr>
      </w:pPr>
    </w:p>
    <w:p>
      <w:pPr>
        <w:pStyle w:val="11"/>
        <w:bidi w:val="0"/>
      </w:pPr>
      <w:r>
        <w:rPr>
          <w:rFonts w:hint="eastAsia"/>
        </w:rPr>
        <w:t>法释〔2019〕5号</w:t>
      </w:r>
    </w:p>
    <w:p>
      <w:pPr>
        <w:pStyle w:val="2"/>
        <w:spacing w:line="520" w:lineRule="exact"/>
        <w:rPr>
          <w:rFonts w:hint="eastAsia" w:ascii="宋体" w:hAnsi="宋体" w:eastAsia="宋体" w:cs="宋体"/>
          <w:sz w:val="32"/>
          <w:szCs w:val="32"/>
        </w:rPr>
      </w:pPr>
    </w:p>
    <w:p>
      <w:pPr>
        <w:pStyle w:val="10"/>
        <w:bidi w:val="0"/>
        <w:rPr>
          <w:rFonts w:hint="eastAsia"/>
        </w:rPr>
      </w:pPr>
      <w:r>
        <w:rPr>
          <w:rFonts w:hint="eastAsia"/>
        </w:rPr>
        <w:t>（2019年2月18日最高人民法院审判委员会第1761次会议通过，自2019年5月1日起施行）</w:t>
      </w:r>
    </w:p>
    <w:p>
      <w:pPr>
        <w:pStyle w:val="2"/>
        <w:spacing w:line="520" w:lineRule="exact"/>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bookmarkStart w:id="0" w:name="_GoBack"/>
      <w:r>
        <w:rPr>
          <w:rFonts w:hint="eastAsia" w:ascii="仿宋_GB2312" w:hAnsi="宋体" w:eastAsia="仿宋_GB2312" w:cs="宋体"/>
          <w:sz w:val="32"/>
          <w:szCs w:val="32"/>
        </w:rPr>
        <w:t>为依法保障和规范人民陪审员参加审判活动，根据《中华人民共和国人民陪审员法》等法律的规定，结合审判实际，制定本解释。</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第一条</w:t>
      </w:r>
      <w:r>
        <w:rPr>
          <w:rFonts w:hint="eastAsia" w:ascii="仿宋_GB2312" w:hAnsi="宋体" w:eastAsia="仿宋_GB2312" w:cs="宋体"/>
          <w:sz w:val="32"/>
          <w:szCs w:val="32"/>
        </w:rPr>
        <w:t xml:space="preserve"> 根据人民陪审员法第十五条、第十六条的规定，人民法院决定由人民陪审员和法官组成合议庭审判的，合议庭成员确定后，应当及时告知当事人。</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第二条</w:t>
      </w:r>
      <w:r>
        <w:rPr>
          <w:rFonts w:hint="eastAsia" w:ascii="仿宋_GB2312" w:hAnsi="宋体" w:eastAsia="仿宋_GB2312" w:cs="宋体"/>
          <w:sz w:val="32"/>
          <w:szCs w:val="32"/>
        </w:rPr>
        <w:t xml:space="preserve"> 对于人民陪审员法第十五条、第十六条规定之外的第一审普通程序案件，人民法院应当告知刑事案件被告人、民事案件原告和被告、行政案件原告，在收到通知五日内有权申请由人民陪审员参加合议庭审判案件。</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人民法院接到当事人在规定期限内提交的申请后，经审查决定由人民陪审员和法官组成合议庭审判的，合议庭成员确定后，应当及时告知当事人。</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第三条</w:t>
      </w:r>
      <w:r>
        <w:rPr>
          <w:rFonts w:hint="eastAsia" w:ascii="仿宋_GB2312" w:hAnsi="宋体" w:eastAsia="仿宋_GB2312" w:cs="宋体"/>
          <w:sz w:val="32"/>
          <w:szCs w:val="32"/>
        </w:rPr>
        <w:t xml:space="preserve">  人民法院应当在开庭七日前从人民陪审员名单中随机抽取确定人民陪审员。</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人民法院可以根据案件审判需要，从人民陪审员名单中随机抽取一定数量的候补人民陪审员，并确定递补顺序，一并告知当事人。</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因案件类型需要具有相应专业知识的人民陪审员参加合议庭审判的，可以根据具体案情，在符合专业需求的人民陪审员名单中随机抽取确定。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第四条</w:t>
      </w:r>
      <w:r>
        <w:rPr>
          <w:rFonts w:hint="eastAsia" w:ascii="仿宋_GB2312" w:hAnsi="宋体" w:eastAsia="仿宋_GB2312" w:cs="宋体"/>
          <w:sz w:val="32"/>
          <w:szCs w:val="32"/>
        </w:rPr>
        <w:t>人民陪审员确定后，人民法院应当将参审案件案由、当事人姓名或名称、开庭地点、开庭时间等事项告知参审人民陪审员及候补人民陪审员。</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必要时，人民法院可以将参加审判活动的时间、地点等事项书面通知人民陪审员所在单位。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第五条 </w:t>
      </w:r>
      <w:r>
        <w:rPr>
          <w:rFonts w:hint="eastAsia" w:ascii="仿宋_GB2312" w:hAnsi="宋体" w:eastAsia="仿宋_GB2312" w:cs="宋体"/>
          <w:sz w:val="32"/>
          <w:szCs w:val="32"/>
        </w:rPr>
        <w:t>人民陪审员不参加下列案件的审理：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（一）依照民事诉讼法适用特别程序、督促程序、公示催告程序审理的案件；</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（二）申请承认外国法院离婚判决的案件；</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（三）裁定不予受理或者不需要开庭审理的案件。</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第六条  </w:t>
      </w:r>
      <w:r>
        <w:rPr>
          <w:rFonts w:hint="eastAsia" w:ascii="仿宋_GB2312" w:hAnsi="宋体" w:eastAsia="仿宋_GB2312" w:cs="宋体"/>
          <w:sz w:val="32"/>
          <w:szCs w:val="32"/>
        </w:rPr>
        <w:t>人民陪审员不得参与审理由其以人民调解员身份先行调解的案件。</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第七条 </w:t>
      </w:r>
      <w:r>
        <w:rPr>
          <w:rFonts w:hint="eastAsia" w:ascii="仿宋_GB2312" w:hAnsi="宋体" w:eastAsia="仿宋_GB2312" w:cs="宋体"/>
          <w:sz w:val="32"/>
          <w:szCs w:val="32"/>
        </w:rPr>
        <w:t>当事人依法有权申请人民陪审员回避。人民陪审员的回避，适用审判人员回避的法律规定。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人民陪审员回避事由经审查成立的，人民法院应当及时确定递补人选。</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第八条  </w:t>
      </w:r>
      <w:r>
        <w:rPr>
          <w:rFonts w:hint="eastAsia" w:ascii="仿宋_GB2312" w:hAnsi="宋体" w:eastAsia="仿宋_GB2312" w:cs="宋体"/>
          <w:sz w:val="32"/>
          <w:szCs w:val="32"/>
        </w:rPr>
        <w:t>人民法院应当在开庭前，将相关权利和义务告知人民陪审员，并为其阅卷提供便利条件。</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第九条 </w:t>
      </w:r>
      <w:r>
        <w:rPr>
          <w:rFonts w:hint="eastAsia" w:ascii="仿宋_GB2312" w:hAnsi="宋体" w:eastAsia="仿宋_GB2312" w:cs="宋体"/>
          <w:sz w:val="32"/>
          <w:szCs w:val="32"/>
        </w:rPr>
        <w:t>七人合议庭开庭前，应当制作事实认定问题清单，根据案件具体情况，区分事实认定问题与法律适用问题，对争议事实问题逐项列举，供人民陪审员在庭审时参考。事实认定问题和法律适用问题难以区分的，视为事实认定问题。</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第十条 </w:t>
      </w:r>
      <w:r>
        <w:rPr>
          <w:rFonts w:hint="eastAsia" w:ascii="仿宋_GB2312" w:hAnsi="宋体" w:eastAsia="仿宋_GB2312" w:cs="宋体"/>
          <w:sz w:val="32"/>
          <w:szCs w:val="32"/>
        </w:rPr>
        <w:t>案件审判过程中，人民陪审员依法有权参加案件调查和调解工作。</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第十一条 </w:t>
      </w:r>
      <w:r>
        <w:rPr>
          <w:rFonts w:hint="eastAsia" w:ascii="仿宋_GB2312" w:hAnsi="宋体" w:eastAsia="仿宋_GB2312" w:cs="宋体"/>
          <w:sz w:val="32"/>
          <w:szCs w:val="32"/>
        </w:rPr>
        <w:t>庭审过程中，人民陪审员依法有权向诉讼参加人发问，审判长应当提示人民陪审员围绕案件争议焦点进行发问。</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第十二条</w:t>
      </w:r>
      <w:r>
        <w:rPr>
          <w:rFonts w:hint="eastAsia" w:ascii="仿宋_GB2312" w:hAnsi="宋体" w:eastAsia="仿宋_GB2312" w:cs="宋体"/>
          <w:sz w:val="32"/>
          <w:szCs w:val="32"/>
        </w:rPr>
        <w:t xml:space="preserve"> 合议庭评议案件时，先由承办法官介绍案件涉及的相关法律、证据规则，然后由人民陪审员和法官依次发表意见，审判长最后发表意见并总结合议庭意见。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第十三条 </w:t>
      </w:r>
      <w:r>
        <w:rPr>
          <w:rFonts w:hint="eastAsia" w:ascii="仿宋_GB2312" w:hAnsi="宋体" w:eastAsia="仿宋_GB2312" w:cs="宋体"/>
          <w:sz w:val="32"/>
          <w:szCs w:val="32"/>
        </w:rPr>
        <w:t>七人合议庭评议时，审判长应当归纳和介绍需要通过评议讨论决定的案件事实认定问题，并列出案件事实问题清单。</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人民陪审员全程参加合议庭评议，对于事实认定问题，由人民陪审员和法官在共同评议的基础上进行表决。对于法律适用问题，人民陪审员不参加表决，但可以发表意见，并记录在卷。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第十四条 </w:t>
      </w:r>
      <w:r>
        <w:rPr>
          <w:rFonts w:hint="eastAsia" w:ascii="仿宋_GB2312" w:hAnsi="宋体" w:eastAsia="仿宋_GB2312" w:cs="宋体"/>
          <w:sz w:val="32"/>
          <w:szCs w:val="32"/>
        </w:rPr>
        <w:t>人民陪审员应当认真阅读评议笔录，确认无误后签名。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第十五条 </w:t>
      </w:r>
      <w:r>
        <w:rPr>
          <w:rFonts w:hint="eastAsia" w:ascii="仿宋_GB2312" w:hAnsi="宋体" w:eastAsia="仿宋_GB2312" w:cs="宋体"/>
          <w:sz w:val="32"/>
          <w:szCs w:val="32"/>
        </w:rPr>
        <w:t>人民陪审员列席审判委员会讨论其参加审理的案件时，可以发表意见。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第十六条 </w:t>
      </w:r>
      <w:r>
        <w:rPr>
          <w:rFonts w:hint="eastAsia" w:ascii="仿宋_GB2312" w:hAnsi="宋体" w:eastAsia="仿宋_GB2312" w:cs="宋体"/>
          <w:sz w:val="32"/>
          <w:szCs w:val="32"/>
        </w:rPr>
        <w:t>案件审结后，人民法院应将裁判文书副本及时送交参加该案审判的人民陪审员。</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第十七条</w:t>
      </w:r>
      <w:r>
        <w:rPr>
          <w:rFonts w:hint="eastAsia" w:ascii="仿宋_GB2312" w:hAnsi="宋体" w:eastAsia="仿宋_GB2312" w:cs="宋体"/>
          <w:sz w:val="32"/>
          <w:szCs w:val="32"/>
        </w:rPr>
        <w:t xml:space="preserve"> 中级、基层人民法院应当保障人民陪审员均衡参审，结合本院实际情况，一般在不超过30件的范围内合理确定每名人民陪审员年度参加审判案件的数量上限，报高级人民法院备案，并向社会公告。</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第十八条</w:t>
      </w:r>
      <w:r>
        <w:rPr>
          <w:rFonts w:hint="eastAsia" w:ascii="仿宋_GB2312" w:hAnsi="宋体" w:eastAsia="仿宋_GB2312" w:cs="宋体"/>
          <w:sz w:val="32"/>
          <w:szCs w:val="32"/>
        </w:rPr>
        <w:t xml:space="preserve">  人民法院应当依法规范和保障人民陪审员参加审判活动，不得安排人民陪审员从事与履行法定审判职责无关的工作。</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第十九条 </w:t>
      </w:r>
      <w:r>
        <w:rPr>
          <w:rFonts w:hint="eastAsia" w:ascii="仿宋_GB2312" w:hAnsi="宋体" w:eastAsia="仿宋_GB2312" w:cs="宋体"/>
          <w:sz w:val="32"/>
          <w:szCs w:val="32"/>
        </w:rPr>
        <w:t>本解释自2019年5月1日起施行。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本解释公布施行后，最高人民法院于2010年1月12日发布的《最高人民法院关于人民陪审员参加审判活动若干问题的规定》同时废止。最高人民法院以前发布的司法解释与本解释不一致的，不再适用。</w:t>
      </w:r>
    </w:p>
    <w:bookmarkEnd w:id="0"/>
    <w:sectPr>
      <w:footerReference r:id="rId6" w:type="default"/>
      <w:footerReference r:id="rId7"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9264" behindDoc="0" locked="0" layoutInCell="1" allowOverlap="1">
              <wp:simplePos x="0" y="0"/>
              <wp:positionH relativeFrom="margin">
                <wp:posOffset>4822190</wp:posOffset>
              </wp:positionH>
              <wp:positionV relativeFrom="paragraph">
                <wp:posOffset>-91440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0</w:t>
                          </w:r>
                          <w:r>
                            <w:rPr>
                              <w:rStyle w:val="8"/>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79.7pt;margin-top:-7.2pt;height:144pt;width:144pt;mso-position-horizontal-relative:margin;mso-wrap-style:none;z-index:251659264;mso-width-relative:page;mso-height-relative:page;" filled="f" stroked="f" coordsize="21600,21600" o:gfxdata="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8cQ529gAAAAMAQAADwAAAAAAAAABACAAAAAiAAAAZHJzL2Rvd25y&#10;ZXYueG1sUEsBAhQAFAAAAAgAh07iQHrnkk/FAQAAawMAAA4AAAAAAAAAAQAgAAAAJwEAAGRycy9l&#10;Mm9Eb2MueG1sUEsFBgAAAAAGAAYAWQEAAF4FAAAAAA==&#10;">
              <v:fill on="f" focussize="0,0"/>
              <v:stroke on="f"/>
              <v:imagedata o:title=""/>
              <o:lock v:ext="edit" aspectratio="f"/>
              <v:textbox inset="0mm,0mm,0mm,0mm" style="mso-fit-shape-to-text:t;">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0</w:t>
                    </w:r>
                    <w:r>
                      <w:rPr>
                        <w:rStyle w:val="8"/>
                        <w:rFonts w:hint="eastAsia" w:ascii="宋体" w:hAnsi="宋体" w:eastAsia="宋体" w:cs="宋体"/>
                        <w:sz w:val="28"/>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1837" w:y="-191"/>
      <w:rPr>
        <w:rStyle w:val="8"/>
      </w:rPr>
    </w:pPr>
    <w:r>
      <w:rPr>
        <w:rStyle w:val="8"/>
        <w:rFonts w:hint="eastAsia" w:asciiTheme="minorEastAsia" w:hAnsiTheme="minorEastAsia" w:eastAsiaTheme="minorEastAsia" w:cstheme="minorEastAsia"/>
        <w:sz w:val="28"/>
        <w:szCs w:val="28"/>
      </w:rPr>
      <w:fldChar w:fldCharType="begin"/>
    </w:r>
    <w:r>
      <w:rPr>
        <w:rStyle w:val="8"/>
        <w:rFonts w:hint="eastAsia" w:asciiTheme="minorEastAsia" w:hAnsiTheme="minorEastAsia" w:eastAsiaTheme="minorEastAsia" w:cstheme="minorEastAsia"/>
        <w:sz w:val="28"/>
        <w:szCs w:val="28"/>
      </w:rPr>
      <w:instrText xml:space="preserve">PAGE  </w:instrText>
    </w:r>
    <w:r>
      <w:rPr>
        <w:rStyle w:val="8"/>
        <w:rFonts w:hint="eastAsia" w:asciiTheme="minorEastAsia" w:hAnsiTheme="minorEastAsia" w:eastAsiaTheme="minorEastAsia" w:cstheme="minorEastAsia"/>
        <w:sz w:val="28"/>
        <w:szCs w:val="28"/>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55"/>
    <w:rsid w:val="000051BA"/>
    <w:rsid w:val="00007DC9"/>
    <w:rsid w:val="00022FF2"/>
    <w:rsid w:val="000246CF"/>
    <w:rsid w:val="00026B55"/>
    <w:rsid w:val="000300E0"/>
    <w:rsid w:val="0004157A"/>
    <w:rsid w:val="00041639"/>
    <w:rsid w:val="00046FD0"/>
    <w:rsid w:val="00060A39"/>
    <w:rsid w:val="00060B3A"/>
    <w:rsid w:val="00070A8B"/>
    <w:rsid w:val="000720A0"/>
    <w:rsid w:val="00072E51"/>
    <w:rsid w:val="000831A5"/>
    <w:rsid w:val="00092662"/>
    <w:rsid w:val="00093500"/>
    <w:rsid w:val="00094871"/>
    <w:rsid w:val="000A67EC"/>
    <w:rsid w:val="000B1F15"/>
    <w:rsid w:val="000B47FF"/>
    <w:rsid w:val="000D7352"/>
    <w:rsid w:val="000E5187"/>
    <w:rsid w:val="000E56CF"/>
    <w:rsid w:val="000E6D88"/>
    <w:rsid w:val="000F150B"/>
    <w:rsid w:val="000F2196"/>
    <w:rsid w:val="000F2D91"/>
    <w:rsid w:val="00106D59"/>
    <w:rsid w:val="001211C7"/>
    <w:rsid w:val="00125415"/>
    <w:rsid w:val="00141FB6"/>
    <w:rsid w:val="00156266"/>
    <w:rsid w:val="00162880"/>
    <w:rsid w:val="0016489F"/>
    <w:rsid w:val="0016665A"/>
    <w:rsid w:val="00170A71"/>
    <w:rsid w:val="001A7520"/>
    <w:rsid w:val="001B131A"/>
    <w:rsid w:val="001B153F"/>
    <w:rsid w:val="001B6523"/>
    <w:rsid w:val="001D4E14"/>
    <w:rsid w:val="001D5662"/>
    <w:rsid w:val="001E1AB1"/>
    <w:rsid w:val="002064F7"/>
    <w:rsid w:val="00206B2B"/>
    <w:rsid w:val="0021638E"/>
    <w:rsid w:val="0023259F"/>
    <w:rsid w:val="00233F94"/>
    <w:rsid w:val="00235183"/>
    <w:rsid w:val="00241E35"/>
    <w:rsid w:val="002428F9"/>
    <w:rsid w:val="002671B1"/>
    <w:rsid w:val="00271C80"/>
    <w:rsid w:val="00277543"/>
    <w:rsid w:val="00281EEF"/>
    <w:rsid w:val="0028710F"/>
    <w:rsid w:val="002A0E27"/>
    <w:rsid w:val="002A0E47"/>
    <w:rsid w:val="002A1765"/>
    <w:rsid w:val="002A1BB0"/>
    <w:rsid w:val="002A7E25"/>
    <w:rsid w:val="002B5E8C"/>
    <w:rsid w:val="002C11D2"/>
    <w:rsid w:val="002D6C55"/>
    <w:rsid w:val="002E52C2"/>
    <w:rsid w:val="00313AEE"/>
    <w:rsid w:val="0031621E"/>
    <w:rsid w:val="00327650"/>
    <w:rsid w:val="00334544"/>
    <w:rsid w:val="003370AB"/>
    <w:rsid w:val="003407E4"/>
    <w:rsid w:val="00342C41"/>
    <w:rsid w:val="00344576"/>
    <w:rsid w:val="00356973"/>
    <w:rsid w:val="00356AAC"/>
    <w:rsid w:val="00357579"/>
    <w:rsid w:val="00357968"/>
    <w:rsid w:val="00374592"/>
    <w:rsid w:val="00384827"/>
    <w:rsid w:val="003854B1"/>
    <w:rsid w:val="003871CA"/>
    <w:rsid w:val="003902DE"/>
    <w:rsid w:val="00390825"/>
    <w:rsid w:val="00394561"/>
    <w:rsid w:val="00395336"/>
    <w:rsid w:val="003D7E4C"/>
    <w:rsid w:val="003E737D"/>
    <w:rsid w:val="003F534F"/>
    <w:rsid w:val="00422EA0"/>
    <w:rsid w:val="00424C9C"/>
    <w:rsid w:val="00431DB2"/>
    <w:rsid w:val="00432CA7"/>
    <w:rsid w:val="004358E6"/>
    <w:rsid w:val="00440B14"/>
    <w:rsid w:val="00447D9F"/>
    <w:rsid w:val="00454D12"/>
    <w:rsid w:val="00463561"/>
    <w:rsid w:val="004724D5"/>
    <w:rsid w:val="00473BA4"/>
    <w:rsid w:val="004745A3"/>
    <w:rsid w:val="0048272B"/>
    <w:rsid w:val="004A69A0"/>
    <w:rsid w:val="004B0465"/>
    <w:rsid w:val="004B2619"/>
    <w:rsid w:val="004B7D8C"/>
    <w:rsid w:val="004C1EAA"/>
    <w:rsid w:val="004C4DF7"/>
    <w:rsid w:val="004C569C"/>
    <w:rsid w:val="004F5158"/>
    <w:rsid w:val="00506C84"/>
    <w:rsid w:val="005142A1"/>
    <w:rsid w:val="00517CAB"/>
    <w:rsid w:val="0053713F"/>
    <w:rsid w:val="005433C2"/>
    <w:rsid w:val="005502F2"/>
    <w:rsid w:val="00562083"/>
    <w:rsid w:val="0058350A"/>
    <w:rsid w:val="00594376"/>
    <w:rsid w:val="005A56F6"/>
    <w:rsid w:val="005A6C12"/>
    <w:rsid w:val="005C1972"/>
    <w:rsid w:val="005D3469"/>
    <w:rsid w:val="005E2A4A"/>
    <w:rsid w:val="005F1B3D"/>
    <w:rsid w:val="00602816"/>
    <w:rsid w:val="00604ACB"/>
    <w:rsid w:val="00606C5B"/>
    <w:rsid w:val="006171AA"/>
    <w:rsid w:val="006178C3"/>
    <w:rsid w:val="00621BAF"/>
    <w:rsid w:val="0062410E"/>
    <w:rsid w:val="00626CE8"/>
    <w:rsid w:val="00661621"/>
    <w:rsid w:val="006711F4"/>
    <w:rsid w:val="0068140B"/>
    <w:rsid w:val="00685825"/>
    <w:rsid w:val="006B086F"/>
    <w:rsid w:val="006E1FF4"/>
    <w:rsid w:val="006E7630"/>
    <w:rsid w:val="006F0A7E"/>
    <w:rsid w:val="006F6FC3"/>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A7FD3"/>
    <w:rsid w:val="007C01D1"/>
    <w:rsid w:val="007C5705"/>
    <w:rsid w:val="007D13B8"/>
    <w:rsid w:val="007D77CE"/>
    <w:rsid w:val="00802CDC"/>
    <w:rsid w:val="00805E1D"/>
    <w:rsid w:val="00823C1E"/>
    <w:rsid w:val="00826D77"/>
    <w:rsid w:val="0083338D"/>
    <w:rsid w:val="008701AB"/>
    <w:rsid w:val="0087139A"/>
    <w:rsid w:val="00877798"/>
    <w:rsid w:val="008802DB"/>
    <w:rsid w:val="00890F76"/>
    <w:rsid w:val="0089274E"/>
    <w:rsid w:val="008A08FA"/>
    <w:rsid w:val="008E70E5"/>
    <w:rsid w:val="008F50DB"/>
    <w:rsid w:val="008F5238"/>
    <w:rsid w:val="008F7723"/>
    <w:rsid w:val="00904BC8"/>
    <w:rsid w:val="00913A4E"/>
    <w:rsid w:val="00925F75"/>
    <w:rsid w:val="0097410F"/>
    <w:rsid w:val="00974280"/>
    <w:rsid w:val="00974393"/>
    <w:rsid w:val="0097704C"/>
    <w:rsid w:val="00986E71"/>
    <w:rsid w:val="009942EB"/>
    <w:rsid w:val="009A1862"/>
    <w:rsid w:val="009A78E1"/>
    <w:rsid w:val="009B548C"/>
    <w:rsid w:val="009D18B6"/>
    <w:rsid w:val="009E6F62"/>
    <w:rsid w:val="009E7F86"/>
    <w:rsid w:val="009F1030"/>
    <w:rsid w:val="009F1B6D"/>
    <w:rsid w:val="00A02039"/>
    <w:rsid w:val="00A04BD7"/>
    <w:rsid w:val="00A20EDD"/>
    <w:rsid w:val="00A212C7"/>
    <w:rsid w:val="00A23406"/>
    <w:rsid w:val="00A35D41"/>
    <w:rsid w:val="00A40953"/>
    <w:rsid w:val="00A459E3"/>
    <w:rsid w:val="00A571FE"/>
    <w:rsid w:val="00A636AF"/>
    <w:rsid w:val="00AA03DB"/>
    <w:rsid w:val="00AA164E"/>
    <w:rsid w:val="00AA3B2D"/>
    <w:rsid w:val="00AA7268"/>
    <w:rsid w:val="00AB0D6D"/>
    <w:rsid w:val="00AB68DD"/>
    <w:rsid w:val="00AC2B0B"/>
    <w:rsid w:val="00AD35D8"/>
    <w:rsid w:val="00AF6D19"/>
    <w:rsid w:val="00B018B8"/>
    <w:rsid w:val="00B1436F"/>
    <w:rsid w:val="00B17FDC"/>
    <w:rsid w:val="00B22148"/>
    <w:rsid w:val="00B25C4D"/>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F2167"/>
    <w:rsid w:val="00BF6AB5"/>
    <w:rsid w:val="00C03182"/>
    <w:rsid w:val="00C10C97"/>
    <w:rsid w:val="00C41CE2"/>
    <w:rsid w:val="00C452E4"/>
    <w:rsid w:val="00C53D36"/>
    <w:rsid w:val="00C57E0D"/>
    <w:rsid w:val="00C636EE"/>
    <w:rsid w:val="00C73C73"/>
    <w:rsid w:val="00C75F27"/>
    <w:rsid w:val="00C76A21"/>
    <w:rsid w:val="00C85BE4"/>
    <w:rsid w:val="00CA3B61"/>
    <w:rsid w:val="00CB05CD"/>
    <w:rsid w:val="00CB268F"/>
    <w:rsid w:val="00CD046D"/>
    <w:rsid w:val="00CD15F8"/>
    <w:rsid w:val="00CF0128"/>
    <w:rsid w:val="00CF0812"/>
    <w:rsid w:val="00CF41FE"/>
    <w:rsid w:val="00CF4321"/>
    <w:rsid w:val="00CF5E94"/>
    <w:rsid w:val="00CF7BE1"/>
    <w:rsid w:val="00D07F94"/>
    <w:rsid w:val="00D16B69"/>
    <w:rsid w:val="00D21DEB"/>
    <w:rsid w:val="00D3514F"/>
    <w:rsid w:val="00D6266A"/>
    <w:rsid w:val="00D91F48"/>
    <w:rsid w:val="00D97443"/>
    <w:rsid w:val="00DB1764"/>
    <w:rsid w:val="00DB2440"/>
    <w:rsid w:val="00DB3C8A"/>
    <w:rsid w:val="00DB5F18"/>
    <w:rsid w:val="00DC5F89"/>
    <w:rsid w:val="00DD0C51"/>
    <w:rsid w:val="00E06E17"/>
    <w:rsid w:val="00E11578"/>
    <w:rsid w:val="00E25C09"/>
    <w:rsid w:val="00E35402"/>
    <w:rsid w:val="00E379EC"/>
    <w:rsid w:val="00E42DA2"/>
    <w:rsid w:val="00E47E0D"/>
    <w:rsid w:val="00E526C3"/>
    <w:rsid w:val="00E56A87"/>
    <w:rsid w:val="00E56E52"/>
    <w:rsid w:val="00E854B0"/>
    <w:rsid w:val="00E9403C"/>
    <w:rsid w:val="00E956E5"/>
    <w:rsid w:val="00E95DF8"/>
    <w:rsid w:val="00E97496"/>
    <w:rsid w:val="00EB642C"/>
    <w:rsid w:val="00EB67B5"/>
    <w:rsid w:val="00EB6A82"/>
    <w:rsid w:val="00EE1F86"/>
    <w:rsid w:val="00EE4190"/>
    <w:rsid w:val="00F01156"/>
    <w:rsid w:val="00F11389"/>
    <w:rsid w:val="00F11CAA"/>
    <w:rsid w:val="00F14865"/>
    <w:rsid w:val="00F3114F"/>
    <w:rsid w:val="00F3147A"/>
    <w:rsid w:val="00F31FF1"/>
    <w:rsid w:val="00F347B6"/>
    <w:rsid w:val="00F37571"/>
    <w:rsid w:val="00F44A15"/>
    <w:rsid w:val="00F4779A"/>
    <w:rsid w:val="00F70562"/>
    <w:rsid w:val="00F744B5"/>
    <w:rsid w:val="00F845F5"/>
    <w:rsid w:val="00F865EA"/>
    <w:rsid w:val="00F90AF4"/>
    <w:rsid w:val="00FA21BD"/>
    <w:rsid w:val="00FB46C7"/>
    <w:rsid w:val="00FC2B5F"/>
    <w:rsid w:val="00FD0009"/>
    <w:rsid w:val="00FD51B5"/>
    <w:rsid w:val="00FF690A"/>
    <w:rsid w:val="22FF7C6A"/>
    <w:rsid w:val="23C00BB2"/>
    <w:rsid w:val="52251F63"/>
    <w:rsid w:val="7A1B7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5"/>
    <w:qFormat/>
    <w:uiPriority w:val="99"/>
    <w:rPr>
      <w:rFonts w:ascii="宋体" w:hAnsi="Courier New" w:cs="Courier New"/>
      <w:szCs w:val="21"/>
    </w:rPr>
  </w:style>
  <w:style w:type="paragraph" w:styleId="3">
    <w:name w:val="Balloon Text"/>
    <w:basedOn w:val="1"/>
    <w:link w:val="14"/>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标题名"/>
    <w:basedOn w:val="2"/>
    <w:uiPriority w:val="0"/>
    <w:pPr>
      <w:jc w:val="center"/>
    </w:pPr>
    <w:rPr>
      <w:rFonts w:hAnsi="宋体"/>
      <w:sz w:val="44"/>
    </w:rPr>
  </w:style>
  <w:style w:type="paragraph" w:customStyle="1" w:styleId="10">
    <w:name w:val="题注信息"/>
    <w:basedOn w:val="2"/>
    <w:uiPriority w:val="0"/>
    <w:pPr>
      <w:ind w:leftChars="400" w:right="630" w:rightChars="300"/>
    </w:pPr>
    <w:rPr>
      <w:rFonts w:hAnsi="宋体" w:eastAsia="楷体_GB2312"/>
      <w:sz w:val="32"/>
    </w:rPr>
  </w:style>
  <w:style w:type="paragraph" w:customStyle="1" w:styleId="11">
    <w:name w:val="文号"/>
    <w:basedOn w:val="2"/>
    <w:qFormat/>
    <w:uiPriority w:val="0"/>
    <w:pPr>
      <w:jc w:val="center"/>
    </w:pPr>
    <w:rPr>
      <w:rFonts w:hAnsi="宋体" w:eastAsia="楷体_GB2312"/>
      <w:sz w:val="32"/>
    </w:rPr>
  </w:style>
  <w:style w:type="paragraph" w:customStyle="1" w:styleId="12">
    <w:name w:val="默认段落字体 Para Char Char Char Char Char Char Char"/>
    <w:basedOn w:val="1"/>
    <w:uiPriority w:val="0"/>
  </w:style>
  <w:style w:type="character" w:customStyle="1" w:styleId="13">
    <w:name w:val="页眉 Char"/>
    <w:basedOn w:val="7"/>
    <w:link w:val="5"/>
    <w:uiPriority w:val="0"/>
    <w:rPr>
      <w:kern w:val="2"/>
      <w:sz w:val="18"/>
      <w:szCs w:val="18"/>
    </w:rPr>
  </w:style>
  <w:style w:type="character" w:customStyle="1" w:styleId="14">
    <w:name w:val="批注框文本 Char"/>
    <w:basedOn w:val="7"/>
    <w:link w:val="3"/>
    <w:uiPriority w:val="0"/>
    <w:rPr>
      <w:kern w:val="2"/>
      <w:sz w:val="18"/>
      <w:szCs w:val="18"/>
    </w:rPr>
  </w:style>
  <w:style w:type="character" w:customStyle="1" w:styleId="15">
    <w:name w:val="纯文本 Char"/>
    <w:basedOn w:val="7"/>
    <w:link w:val="2"/>
    <w:uiPriority w:val="99"/>
    <w:rPr>
      <w:rFonts w:ascii="宋体" w:hAnsi="Courier New" w:cs="Courier New"/>
      <w:kern w:val="2"/>
      <w:sz w:val="21"/>
      <w:szCs w:val="21"/>
    </w:rPr>
  </w:style>
  <w:style w:type="paragraph" w:customStyle="1" w:styleId="16">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A0059-2D52-4DBD-A422-F1E407C3AE4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6</Pages>
  <Words>332</Words>
  <Characters>1896</Characters>
  <Lines>15</Lines>
  <Paragraphs>4</Paragraphs>
  <TotalTime>2</TotalTime>
  <ScaleCrop>false</ScaleCrop>
  <LinksUpToDate>false</LinksUpToDate>
  <CharactersWithSpaces>2224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2019-04-19T02:33:00Z</dcterms:created>
  <dc:creator>Lenovo User</dc:creator>
  <cp:lastModifiedBy>爱思思</cp:lastModifiedBy>
  <cp:lastPrinted>2014-04-03T09:04:00Z</cp:lastPrinted>
  <dcterms:modified xsi:type="dcterms:W3CDTF">2019-08-01T03:26:49Z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