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E3E" w:rsidRDefault="00654E3E">
      <w:pPr>
        <w:spacing w:line="560" w:lineRule="exact"/>
        <w:ind w:firstLineChars="200" w:firstLine="640"/>
        <w:rPr>
          <w:rFonts w:ascii="仿宋_GB2312" w:eastAsia="仿宋_GB2312" w:hAnsi="仿宋_GB2312" w:cs="仿宋_GB2312"/>
          <w:sz w:val="32"/>
          <w:szCs w:val="32"/>
        </w:rPr>
      </w:pPr>
    </w:p>
    <w:p w:rsidR="00654E3E" w:rsidRDefault="00654E3E">
      <w:pPr>
        <w:spacing w:line="560" w:lineRule="exact"/>
        <w:ind w:firstLineChars="200" w:firstLine="640"/>
        <w:rPr>
          <w:rFonts w:ascii="仿宋_GB2312" w:eastAsia="仿宋_GB2312" w:hAnsi="仿宋_GB2312" w:cs="仿宋_GB2312"/>
          <w:sz w:val="32"/>
          <w:szCs w:val="32"/>
        </w:rPr>
      </w:pPr>
    </w:p>
    <w:p w:rsidR="00654E3E" w:rsidRDefault="006312BD">
      <w:pPr>
        <w:spacing w:line="560" w:lineRule="exact"/>
        <w:ind w:firstLineChars="200" w:firstLine="880"/>
        <w:jc w:val="center"/>
        <w:rPr>
          <w:rFonts w:ascii="宋体" w:hAnsi="宋体" w:cs="宋体"/>
          <w:sz w:val="44"/>
          <w:szCs w:val="44"/>
        </w:rPr>
      </w:pPr>
      <w:r>
        <w:rPr>
          <w:rFonts w:ascii="宋体" w:hAnsi="宋体" w:cs="宋体" w:hint="eastAsia"/>
          <w:sz w:val="44"/>
          <w:szCs w:val="44"/>
        </w:rPr>
        <w:t>最高人民法院</w:t>
      </w:r>
    </w:p>
    <w:p w:rsidR="00654E3E" w:rsidRDefault="006312BD">
      <w:pPr>
        <w:spacing w:line="560" w:lineRule="exact"/>
        <w:ind w:firstLineChars="200" w:firstLine="880"/>
        <w:jc w:val="center"/>
        <w:rPr>
          <w:rFonts w:ascii="宋体" w:hAnsi="宋体" w:cs="宋体"/>
          <w:sz w:val="44"/>
          <w:szCs w:val="44"/>
        </w:rPr>
      </w:pPr>
      <w:r>
        <w:rPr>
          <w:rFonts w:ascii="宋体" w:hAnsi="宋体" w:cs="宋体" w:hint="eastAsia"/>
          <w:sz w:val="44"/>
          <w:szCs w:val="44"/>
        </w:rPr>
        <w:t>关于适用《中华人民共和国外商投资法》</w:t>
      </w:r>
    </w:p>
    <w:p w:rsidR="00654E3E" w:rsidRDefault="006312BD">
      <w:pPr>
        <w:spacing w:line="560" w:lineRule="exact"/>
        <w:ind w:firstLineChars="200" w:firstLine="880"/>
        <w:jc w:val="center"/>
        <w:rPr>
          <w:rFonts w:ascii="宋体" w:hAnsi="宋体" w:cs="宋体"/>
          <w:sz w:val="32"/>
          <w:szCs w:val="32"/>
        </w:rPr>
      </w:pPr>
      <w:r>
        <w:rPr>
          <w:rFonts w:ascii="宋体" w:hAnsi="宋体" w:cs="宋体" w:hint="eastAsia"/>
          <w:sz w:val="44"/>
          <w:szCs w:val="44"/>
        </w:rPr>
        <w:t>若干</w:t>
      </w:r>
      <w:bookmarkStart w:id="0" w:name="_GoBack"/>
      <w:bookmarkEnd w:id="0"/>
      <w:r>
        <w:rPr>
          <w:rFonts w:ascii="宋体" w:hAnsi="宋体" w:cs="宋体" w:hint="eastAsia"/>
          <w:sz w:val="44"/>
          <w:szCs w:val="44"/>
        </w:rPr>
        <w:t>问题的解释</w:t>
      </w:r>
    </w:p>
    <w:p w:rsidR="00654E3E" w:rsidRDefault="00654E3E">
      <w:pPr>
        <w:spacing w:line="560" w:lineRule="exact"/>
        <w:ind w:firstLineChars="200" w:firstLine="640"/>
        <w:rPr>
          <w:rFonts w:ascii="仿宋_GB2312" w:eastAsia="仿宋_GB2312" w:hAnsi="仿宋_GB2312" w:cs="仿宋_GB2312"/>
          <w:sz w:val="32"/>
          <w:szCs w:val="32"/>
        </w:rPr>
      </w:pPr>
    </w:p>
    <w:p w:rsidR="00654E3E" w:rsidRDefault="006312BD">
      <w:pPr>
        <w:spacing w:line="560" w:lineRule="exact"/>
        <w:ind w:firstLine="640"/>
        <w:jc w:val="center"/>
        <w:rPr>
          <w:rFonts w:ascii="仿宋_GB2312" w:eastAsia="仿宋_GB2312" w:hAnsi="仿宋_GB2312" w:cs="仿宋_GB2312"/>
          <w:sz w:val="32"/>
          <w:szCs w:val="32"/>
        </w:rPr>
      </w:pPr>
      <w:r>
        <w:rPr>
          <w:rFonts w:ascii="仿宋_GB2312" w:eastAsia="楷体_GB2312" w:hAnsi="仿宋_GB2312" w:cs="仿宋_GB2312" w:hint="eastAsia"/>
          <w:sz w:val="32"/>
          <w:szCs w:val="32"/>
        </w:rPr>
        <w:t>法释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2019</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号</w:t>
      </w:r>
    </w:p>
    <w:p w:rsidR="00654E3E" w:rsidRDefault="00654E3E">
      <w:pPr>
        <w:spacing w:line="560" w:lineRule="exact"/>
        <w:ind w:firstLineChars="200" w:firstLine="640"/>
        <w:rPr>
          <w:rFonts w:ascii="仿宋_GB2312" w:eastAsia="仿宋_GB2312" w:hAnsi="仿宋_GB2312" w:cs="仿宋_GB2312"/>
          <w:sz w:val="32"/>
          <w:szCs w:val="32"/>
        </w:rPr>
      </w:pPr>
    </w:p>
    <w:p w:rsidR="00654E3E" w:rsidRDefault="006312BD">
      <w:pPr>
        <w:spacing w:line="560" w:lineRule="exact"/>
        <w:ind w:leftChars="300" w:left="630" w:rightChars="300" w:right="630"/>
        <w:rPr>
          <w:rFonts w:ascii="仿宋_GB2312" w:eastAsia="仿宋_GB2312" w:hAnsi="仿宋_GB2312" w:cs="仿宋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16</w:t>
      </w:r>
      <w:r>
        <w:rPr>
          <w:rFonts w:ascii="楷体_GB2312" w:eastAsia="楷体_GB2312" w:hAnsi="楷体_GB2312" w:cs="楷体_GB2312" w:hint="eastAsia"/>
          <w:sz w:val="32"/>
          <w:szCs w:val="32"/>
        </w:rPr>
        <w:t>日最高人民法院审判委员会第</w:t>
      </w:r>
      <w:r>
        <w:rPr>
          <w:rFonts w:ascii="楷体_GB2312" w:eastAsia="楷体_GB2312" w:hAnsi="楷体_GB2312" w:cs="楷体_GB2312" w:hint="eastAsia"/>
          <w:sz w:val="32"/>
          <w:szCs w:val="32"/>
        </w:rPr>
        <w:t>1787</w:t>
      </w:r>
      <w:r>
        <w:rPr>
          <w:rFonts w:ascii="楷体_GB2312" w:eastAsia="楷体_GB2312" w:hAnsi="楷体_GB2312" w:cs="楷体_GB2312" w:hint="eastAsia"/>
          <w:sz w:val="32"/>
          <w:szCs w:val="32"/>
        </w:rPr>
        <w:t>次会议通过，自</w:t>
      </w:r>
      <w:r>
        <w:rPr>
          <w:rFonts w:ascii="楷体_GB2312" w:eastAsia="楷体_GB2312" w:hAnsi="楷体_GB2312" w:cs="楷体_GB2312" w:hint="eastAsia"/>
          <w:sz w:val="32"/>
          <w:szCs w:val="32"/>
        </w:rPr>
        <w:t>2020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日起施行）</w:t>
      </w:r>
    </w:p>
    <w:p w:rsidR="00654E3E" w:rsidRDefault="00654E3E">
      <w:pPr>
        <w:spacing w:line="560" w:lineRule="exact"/>
        <w:ind w:firstLineChars="200" w:firstLine="640"/>
        <w:rPr>
          <w:rFonts w:ascii="仿宋_GB2312" w:eastAsia="仿宋_GB2312" w:hAnsi="仿宋_GB2312" w:cs="仿宋_GB2312"/>
          <w:sz w:val="32"/>
          <w:szCs w:val="32"/>
        </w:rPr>
      </w:pPr>
    </w:p>
    <w:p w:rsidR="00654E3E" w:rsidRDefault="006312B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为正确适用《中华人民共和国外商投资法》，依法平等保护中外投资者合法权益，营造稳定、公平、透明的法治化营商环境，结合审判实践，就人民法院审理平等主体之间的投资合同纠纷案件适用法律问题作出如下解释。</w:t>
      </w:r>
    </w:p>
    <w:p w:rsidR="00654E3E" w:rsidRDefault="006312B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解释所称投资合同，是指外国投资者即外国的自然人、企业或者其他组织因直接或者间接在中国境内进行投资而形成的相关协议，包括设立外商投资企业合同、股份转让合同、股权转让合同、财产份额或者其他类似权益转让合同、新</w:t>
      </w:r>
      <w:r>
        <w:rPr>
          <w:rFonts w:ascii="仿宋_GB2312" w:eastAsia="仿宋_GB2312" w:hAnsi="仿宋_GB2312" w:cs="仿宋_GB2312" w:hint="eastAsia"/>
          <w:sz w:val="32"/>
          <w:szCs w:val="32"/>
        </w:rPr>
        <w:t>建项目合同等协议。</w:t>
      </w:r>
    </w:p>
    <w:p w:rsidR="00654E3E" w:rsidRDefault="006312B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外国投资者因赠与、财产分割、企业合并、企业分立等方式取得相应权益所产生的合同纠纷，适用本解释。</w:t>
      </w:r>
    </w:p>
    <w:p w:rsidR="00654E3E" w:rsidRDefault="006312B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对外商投资法第四条所指的外商投资准入负面清单之外的领域形成的投资合同，当事人以合同未经有关行政主管部门批准、登记为由主张合同无效或者未生效的，人民法院不予支持。</w:t>
      </w:r>
    </w:p>
    <w:p w:rsidR="00654E3E" w:rsidRDefault="006312B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前款规定的投资合同签订于外商投资法施行前，但人民法院在外商投资法施行时尚未作出生效裁判的，适用前款规定认定合同的效力。</w:t>
      </w:r>
    </w:p>
    <w:p w:rsidR="00654E3E" w:rsidRDefault="006312B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外国投资者投资外商投资准入负面清单规定禁止投资的领域，当事人主张投资合同无效的，人民法院应予支</w:t>
      </w:r>
      <w:r>
        <w:rPr>
          <w:rFonts w:ascii="仿宋_GB2312" w:eastAsia="仿宋_GB2312" w:hAnsi="仿宋_GB2312" w:cs="仿宋_GB2312" w:hint="eastAsia"/>
          <w:sz w:val="32"/>
          <w:szCs w:val="32"/>
        </w:rPr>
        <w:t>持。</w:t>
      </w:r>
    </w:p>
    <w:p w:rsidR="00654E3E" w:rsidRDefault="006312B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外国投资者投资外商投资准入负面清单规定限制投资的领域，当事人以违反限制性准入特别管理措施为由，主张投资合同无效的，人民法院应予支持。</w:t>
      </w:r>
    </w:p>
    <w:p w:rsidR="00654E3E" w:rsidRDefault="006312B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人民法院作出生效裁判前，当事人采取必要措施满足准入特别管理措施的要求，当事人主张前款规定的投资合同有效的，应予支持。</w:t>
      </w:r>
    </w:p>
    <w:p w:rsidR="00654E3E" w:rsidRDefault="006312B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在生效裁判作出前，因外商投资准入负面清单调整，外国投资者投资不再属于禁止或者限制投资的领域，当事人主张投资合同有效的，人民法院应予支持。</w:t>
      </w:r>
    </w:p>
    <w:p w:rsidR="00654E3E" w:rsidRDefault="006312B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人民法院审理香港特别行政区、澳门特别行政区投资者、定居在国外的中国公民在内地、台湾地区投资者在大陆投资产生的相关纠纷案件，可以参照适用本解释。</w:t>
      </w:r>
    </w:p>
    <w:p w:rsidR="00654E3E" w:rsidRDefault="006312B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本解释自</w:t>
      </w:r>
      <w:r>
        <w:rPr>
          <w:rFonts w:ascii="仿宋_GB2312" w:eastAsia="仿宋_GB2312" w:hAnsi="仿宋_GB2312" w:cs="仿宋_GB2312" w:hint="eastAsia"/>
          <w:sz w:val="32"/>
          <w:szCs w:val="32"/>
        </w:rPr>
        <w:t>2020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654E3E" w:rsidRDefault="006312BD">
      <w:r>
        <w:rPr>
          <w:rFonts w:ascii="仿宋_GB2312" w:eastAsia="仿宋_GB2312" w:hAnsi="仿宋_GB2312" w:cs="仿宋_GB2312" w:hint="eastAsia"/>
          <w:sz w:val="32"/>
          <w:szCs w:val="32"/>
        </w:rPr>
        <w:lastRenderedPageBreak/>
        <w:t>本解释施行前本院作出的有关司法解释与本解释不一致的，以本解释为准。</w:t>
      </w:r>
    </w:p>
    <w:p w:rsidR="00654E3E" w:rsidRDefault="00654E3E"/>
    <w:sectPr w:rsidR="00654E3E">
      <w:footerReference w:type="even" r:id="rId7"/>
      <w:footerReference w:type="default" r:id="rId8"/>
      <w:pgSz w:w="11906" w:h="16838"/>
      <w:pgMar w:top="2098" w:right="1474" w:bottom="1984" w:left="1587" w:header="851" w:footer="992" w:gutter="0"/>
      <w:pgNumType w:fmt="numberInDash"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2BD" w:rsidRDefault="006312BD">
      <w:r>
        <w:separator/>
      </w:r>
    </w:p>
  </w:endnote>
  <w:endnote w:type="continuationSeparator" w:id="0">
    <w:p w:rsidR="006312BD" w:rsidRDefault="00631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E3E" w:rsidRDefault="006312BD">
    <w:pPr>
      <w:pStyle w:val="a3"/>
    </w:pPr>
    <w:r>
      <w:rPr>
        <w:noProof/>
        <w:sz w:val="1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54E3E" w:rsidRDefault="006312BD">
                          <w:pPr>
                            <w:pStyle w:val="a3"/>
                          </w:pPr>
                          <w:r>
                            <w:rPr>
                              <w:rFonts w:hint="eastAsia"/>
                            </w:rPr>
                            <w:fldChar w:fldCharType="begin"/>
                          </w:r>
                          <w:r>
                            <w:rPr>
                              <w:rFonts w:hint="eastAsia"/>
                            </w:rPr>
                            <w:instrText xml:space="preserve"> PAGE  \* MERGEFORMAT </w:instrText>
                          </w:r>
                          <w:r>
                            <w:rPr>
                              <w:rFonts w:hint="eastAsia"/>
                            </w:rPr>
                            <w:fldChar w:fldCharType="separate"/>
                          </w:r>
                          <w:r w:rsidR="002B66EB">
                            <w:rPr>
                              <w:noProof/>
                            </w:rPr>
                            <w:t>- 2 -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654E3E" w:rsidRDefault="006312BD">
                    <w:pPr>
                      <w:pStyle w:val="a3"/>
                    </w:pPr>
                    <w:r>
                      <w:rPr>
                        <w:rFonts w:hint="eastAsia"/>
                      </w:rPr>
                      <w:fldChar w:fldCharType="begin"/>
                    </w:r>
                    <w:r>
                      <w:rPr>
                        <w:rFonts w:hint="eastAsia"/>
                      </w:rPr>
                      <w:instrText xml:space="preserve"> PAGE  \* MERGEFORMAT </w:instrText>
                    </w:r>
                    <w:r>
                      <w:rPr>
                        <w:rFonts w:hint="eastAsia"/>
                      </w:rPr>
                      <w:fldChar w:fldCharType="separate"/>
                    </w:r>
                    <w:r w:rsidR="002B66EB">
                      <w:rPr>
                        <w:noProof/>
                      </w:rPr>
                      <w:t>- 2 -</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E3E" w:rsidRDefault="006312BD">
    <w:pPr>
      <w:pStyle w:val="a3"/>
    </w:pPr>
    <w:r>
      <w:rPr>
        <w:noProof/>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54E3E" w:rsidRDefault="006312BD">
                          <w:pPr>
                            <w:pStyle w:val="a3"/>
                          </w:pPr>
                          <w:r>
                            <w:rPr>
                              <w:rFonts w:hint="eastAsia"/>
                            </w:rPr>
                            <w:fldChar w:fldCharType="begin"/>
                          </w:r>
                          <w:r>
                            <w:rPr>
                              <w:rFonts w:hint="eastAsia"/>
                            </w:rPr>
                            <w:instrText xml:space="preserve"> PAGE  \* MERGEFORMAT </w:instrText>
                          </w:r>
                          <w:r>
                            <w:rPr>
                              <w:rFonts w:hint="eastAsia"/>
                            </w:rPr>
                            <w:fldChar w:fldCharType="separate"/>
                          </w:r>
                          <w:r w:rsidR="002B66EB">
                            <w:rPr>
                              <w:noProof/>
                            </w:rP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rsidR="00654E3E" w:rsidRDefault="006312BD">
                    <w:pPr>
                      <w:pStyle w:val="a3"/>
                    </w:pPr>
                    <w:r>
                      <w:rPr>
                        <w:rFonts w:hint="eastAsia"/>
                      </w:rPr>
                      <w:fldChar w:fldCharType="begin"/>
                    </w:r>
                    <w:r>
                      <w:rPr>
                        <w:rFonts w:hint="eastAsia"/>
                      </w:rPr>
                      <w:instrText xml:space="preserve"> PAGE  \* MERGEFORMAT </w:instrText>
                    </w:r>
                    <w:r>
                      <w:rPr>
                        <w:rFonts w:hint="eastAsia"/>
                      </w:rPr>
                      <w:fldChar w:fldCharType="separate"/>
                    </w:r>
                    <w:r w:rsidR="002B66EB">
                      <w:rPr>
                        <w:noProof/>
                      </w:rPr>
                      <w:t>- 1 -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2BD" w:rsidRDefault="006312BD">
      <w:r>
        <w:separator/>
      </w:r>
    </w:p>
  </w:footnote>
  <w:footnote w:type="continuationSeparator" w:id="0">
    <w:p w:rsidR="006312BD" w:rsidRDefault="006312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B85E28"/>
    <w:rsid w:val="002B66EB"/>
    <w:rsid w:val="006312BD"/>
    <w:rsid w:val="00654E3E"/>
    <w:rsid w:val="0CA66799"/>
    <w:rsid w:val="1E8D6747"/>
    <w:rsid w:val="2D853024"/>
    <w:rsid w:val="4CB85E28"/>
    <w:rsid w:val="69FD13C6"/>
    <w:rsid w:val="7E224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E5D2349-A443-4C18-81CC-81A644E2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rFonts w:ascii="宋体" w:hAnsi="宋体"/>
      <w:sz w:val="2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梁姝</cp:lastModifiedBy>
  <cp:revision>2</cp:revision>
  <dcterms:created xsi:type="dcterms:W3CDTF">2021-02-24T02:04:00Z</dcterms:created>
  <dcterms:modified xsi:type="dcterms:W3CDTF">2021-02-24T02:04:00Z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