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</w:p>
    <w:p>
      <w:pPr>
        <w:pStyle w:val="7"/>
      </w:pPr>
    </w:p>
    <w:p>
      <w:pPr>
        <w:pStyle w:val="10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10"/>
      </w:pPr>
      <w:r>
        <w:rPr>
          <w:rFonts w:hint="eastAsia"/>
        </w:rPr>
        <w:t>公    告</w:t>
      </w:r>
    </w:p>
    <w:p>
      <w:pPr>
        <w:pStyle w:val="7"/>
      </w:pPr>
    </w:p>
    <w:p>
      <w:pPr>
        <w:pStyle w:val="7"/>
        <w:rPr>
          <w:rFonts w:hint="eastAsia"/>
          <w:lang w:eastAsia="zh-CN"/>
        </w:rPr>
      </w:pPr>
      <w:r>
        <w:t>《最高人民法院关于适用〈中华人民共和国民法总则〉诉讼时效制度若干问题的解释》已于2018年7月2日由最高人民法院审判委员会第1744次会议通过，现予公布，自2018年7月23日起施行。</w:t>
      </w:r>
    </w:p>
    <w:p>
      <w:pPr>
        <w:pStyle w:val="7"/>
      </w:pPr>
    </w:p>
    <w:p>
      <w:pPr>
        <w:pStyle w:val="7"/>
      </w:pPr>
    </w:p>
    <w:p>
      <w:pPr>
        <w:pStyle w:val="13"/>
      </w:pPr>
      <w:r>
        <w:t>2018年7月18日</w:t>
      </w:r>
    </w:p>
    <w:p>
      <w:pPr>
        <w:pStyle w:val="7"/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0"/>
          <w:cols w:space="720" w:num="1"/>
          <w:rtlGutter w:val="0"/>
          <w:docGrid w:type="lines" w:linePitch="312" w:charSpace="0"/>
        </w:sectPr>
      </w:pPr>
    </w:p>
    <w:p>
      <w:pPr>
        <w:pStyle w:val="7"/>
      </w:pPr>
    </w:p>
    <w:p>
      <w:pPr>
        <w:pStyle w:val="7"/>
      </w:pPr>
    </w:p>
    <w:p>
      <w:pPr>
        <w:pStyle w:val="10"/>
      </w:pPr>
      <w:r>
        <w:t>最高人民法院</w:t>
      </w:r>
    </w:p>
    <w:p>
      <w:pPr>
        <w:pStyle w:val="10"/>
      </w:pPr>
      <w:r>
        <w:t>关于适用《中华人民共和国民法总则》</w:t>
      </w:r>
    </w:p>
    <w:p>
      <w:pPr>
        <w:pStyle w:val="10"/>
      </w:pPr>
      <w:r>
        <w:t>诉讼时效制度若干问题的解释</w:t>
      </w:r>
    </w:p>
    <w:p>
      <w:pPr>
        <w:pStyle w:val="7"/>
      </w:pPr>
    </w:p>
    <w:p>
      <w:pPr>
        <w:pStyle w:val="19"/>
      </w:pPr>
      <w:r>
        <w:t>法释〔2018〕12号</w:t>
      </w:r>
    </w:p>
    <w:p>
      <w:pPr>
        <w:pStyle w:val="7"/>
      </w:pPr>
    </w:p>
    <w:p>
      <w:pPr>
        <w:pStyle w:val="12"/>
        <w:rPr>
          <w:rFonts w:hint="eastAsia" w:eastAsia="楷体_GB2312"/>
          <w:lang w:eastAsia="zh-CN"/>
        </w:rPr>
      </w:pPr>
      <w:r>
        <w:rPr>
          <w:rFonts w:hint="eastAsia"/>
          <w:lang w:eastAsia="zh-CN"/>
        </w:rPr>
        <w:t>（</w:t>
      </w:r>
      <w:r>
        <w:t>2018年7月2日最高人民法院审判委员会第1744次会议通过，自2018年7月23日起施行</w:t>
      </w:r>
      <w:r>
        <w:rPr>
          <w:rFonts w:hint="eastAsia"/>
          <w:lang w:eastAsia="zh-CN"/>
        </w:rPr>
        <w:t>）</w:t>
      </w:r>
    </w:p>
    <w:p>
      <w:pPr>
        <w:pStyle w:val="7"/>
      </w:pPr>
    </w:p>
    <w:p>
      <w:pPr>
        <w:pStyle w:val="7"/>
        <w:rPr>
          <w:rStyle w:val="25"/>
        </w:rPr>
      </w:pPr>
      <w:r>
        <w:t>为正确适用《中华人民共和国民法总则》关于诉讼时效制度的规定，保护当事人的合法权益，结合审判实践，制定本解释。</w:t>
      </w:r>
    </w:p>
    <w:p>
      <w:pPr>
        <w:pStyle w:val="7"/>
        <w:rPr>
          <w:rStyle w:val="25"/>
        </w:rPr>
      </w:pPr>
      <w:r>
        <w:rPr>
          <w:rStyle w:val="25"/>
        </w:rPr>
        <w:t>第一条</w:t>
      </w:r>
      <w:r>
        <w:t>　民法总则施行后诉讼时效期间开始计算的，应当适用民法总则第一百八十八条关于三年诉讼时效期间的规定。当事人主张适用民法通则关于二年或者一年诉讼时效期间规定的，人民法院不予支持。</w:t>
      </w:r>
    </w:p>
    <w:p>
      <w:pPr>
        <w:pStyle w:val="7"/>
        <w:rPr>
          <w:rStyle w:val="25"/>
        </w:rPr>
      </w:pPr>
      <w:r>
        <w:rPr>
          <w:rStyle w:val="25"/>
        </w:rPr>
        <w:t>第二条</w:t>
      </w:r>
      <w:r>
        <w:t>　民法总则施行之日，诉讼时效期间尚未满民法通则规定的二年或者一年，当事人主张适用民法总则关于三年诉讼时效期间规定的，人民法院应予支持。</w:t>
      </w:r>
    </w:p>
    <w:p>
      <w:pPr>
        <w:pStyle w:val="7"/>
        <w:rPr>
          <w:rStyle w:val="25"/>
        </w:rPr>
      </w:pPr>
      <w:r>
        <w:rPr>
          <w:rStyle w:val="25"/>
        </w:rPr>
        <w:t>第三条</w:t>
      </w:r>
      <w:r>
        <w:t>　民法总则施行前，民法通则规定的二年或者一年诉讼时效期间已经届满，当事人主张适用民法总则关于三年诉讼时效期间规定的，人民法院不予支持。</w:t>
      </w:r>
    </w:p>
    <w:p>
      <w:pPr>
        <w:pStyle w:val="7"/>
        <w:rPr>
          <w:rStyle w:val="25"/>
        </w:rPr>
      </w:pPr>
      <w:r>
        <w:rPr>
          <w:rStyle w:val="25"/>
        </w:rPr>
        <w:t>第四条</w:t>
      </w:r>
      <w:r>
        <w:t>　民法总则施行之日，中止时效的原因尚未消除的，应当适用民法总则关于诉讼时效中止的规定。</w:t>
      </w:r>
    </w:p>
    <w:p>
      <w:pPr>
        <w:pStyle w:val="7"/>
      </w:pPr>
      <w:r>
        <w:rPr>
          <w:rStyle w:val="25"/>
        </w:rPr>
        <w:t>第五条</w:t>
      </w:r>
      <w:r>
        <w:t>　本解释自2018年7月23日起施行。</w:t>
      </w:r>
    </w:p>
    <w:p>
      <w:pPr>
        <w:pStyle w:val="7"/>
        <w:rPr>
          <w:rFonts w:hint="eastAsia"/>
        </w:rPr>
      </w:pPr>
      <w:r>
        <w:t>本解释施行后，案件尚在一审或者二审阶段的，适用本解释；本解释施行前已经终审，当事人申请再审或者按照审判监督程序决定再审的案件，不适用本解释。</w:t>
      </w:r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572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rFonts w:hint="eastAsia" w:ascii="宋体" w:hAnsi="宋体" w:cs="宋体"/>
        <w:sz w:val="28"/>
        <w:szCs w:val="28"/>
        <w:lang w:eastAsia="zh-CN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ePyQ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572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 w:cs="宋体"/>
        <w:sz w:val="28"/>
        <w:szCs w:val="28"/>
        <w:lang w:eastAsia="zh-CN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80"/>
    <w:rsid w:val="00323D76"/>
    <w:rsid w:val="004F0080"/>
    <w:rsid w:val="0072125E"/>
    <w:rsid w:val="02380A4E"/>
    <w:rsid w:val="02C54CFB"/>
    <w:rsid w:val="042F174E"/>
    <w:rsid w:val="0751543E"/>
    <w:rsid w:val="0BE369DE"/>
    <w:rsid w:val="0F9D48A9"/>
    <w:rsid w:val="0FC66F39"/>
    <w:rsid w:val="135B4974"/>
    <w:rsid w:val="151A1D2F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0F227C"/>
    <w:rsid w:val="302E782D"/>
    <w:rsid w:val="325C564C"/>
    <w:rsid w:val="36AE6775"/>
    <w:rsid w:val="38787F7C"/>
    <w:rsid w:val="39191BFA"/>
    <w:rsid w:val="3C5C08F2"/>
    <w:rsid w:val="3D717517"/>
    <w:rsid w:val="3EA41154"/>
    <w:rsid w:val="3FBC61B7"/>
    <w:rsid w:val="4AEF215E"/>
    <w:rsid w:val="4DA15956"/>
    <w:rsid w:val="4E7D2A86"/>
    <w:rsid w:val="501B3EB2"/>
    <w:rsid w:val="5027117E"/>
    <w:rsid w:val="56C00D65"/>
    <w:rsid w:val="65586BE5"/>
    <w:rsid w:val="66953540"/>
    <w:rsid w:val="6D800228"/>
    <w:rsid w:val="6DAD6BF0"/>
    <w:rsid w:val="6E1B4105"/>
    <w:rsid w:val="6EB66F23"/>
    <w:rsid w:val="75FA67F7"/>
    <w:rsid w:val="7FA34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7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8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9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11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2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3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6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7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7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0851;&#20110;&#36866;&#29992;&#12298;&#20013;&#21326;&#20154;&#27665;&#20849;&#21644;&#22269;&#20210;&#35009;&#27861;&#12299;&#33509;&#24178;&#38382;&#39064;&#30340;&#35299;&#3732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关于适用《中华人民共和国仲裁法》若干问题的解释.wpt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2018-12-27T10:05:00Z</dcterms:created>
  <dc:creator> 麦莫瑞文化传播有限公司</dc:creator>
  <cp:lastModifiedBy> 麦莫瑞文化传播有限公司</cp:lastModifiedBy>
  <dcterms:modified xsi:type="dcterms:W3CDTF">2018-12-27T10:33:49Z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