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关于适用督促程序若干问题的规定</w:t>
      </w:r>
    </w:p>
    <w:p>
      <w:pPr>
        <w:pStyle w:val="12"/>
        <w:rPr>
          <w:rFonts w:hint="eastAsia" w:ascii="宋体" w:hAnsi="宋体" w:eastAsia="宋体" w:cs="宋体"/>
        </w:rPr>
      </w:pPr>
    </w:p>
    <w:p>
      <w:pPr>
        <w:pStyle w:val="19"/>
        <w:rPr>
          <w:rFonts w:hint="eastAsia"/>
        </w:rPr>
      </w:pPr>
      <w:r>
        <w:t>法释〔2001〕2号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2000年11月13日最高人民法院审判委员会第1137次会议通过</w:t>
      </w:r>
      <w:r>
        <w:rPr>
          <w:rFonts w:hint="eastAsia"/>
          <w:lang w:eastAsia="zh-CN"/>
        </w:rPr>
        <w:t>　</w:t>
      </w:r>
      <w:r>
        <w:rPr>
          <w:rFonts w:hint="eastAsia"/>
        </w:rPr>
        <w:t>2001</w:t>
      </w:r>
      <w:r>
        <w:t>年1月8日最高人民法院公告公布　自2001年1月21日起施行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为了在审判工作中正确适用督促程序</w:t>
      </w:r>
      <w:r>
        <w:rPr>
          <w:rFonts w:hint="eastAsia"/>
        </w:rPr>
        <w:t>，</w:t>
      </w:r>
      <w:r>
        <w:t>根据《中华人民共和国民事诉讼法》有关规定</w:t>
      </w:r>
      <w:r>
        <w:rPr>
          <w:rFonts w:hint="eastAsia"/>
        </w:rPr>
        <w:t>，</w:t>
      </w:r>
      <w:r>
        <w:t>现对适用督促程序处理案件的若干问题规定如下：</w:t>
      </w:r>
    </w:p>
    <w:p>
      <w:pPr>
        <w:pStyle w:val="12"/>
        <w:rPr>
          <w:rStyle w:val="25"/>
          <w:rFonts w:hint="eastAsia"/>
        </w:rPr>
      </w:pPr>
      <w:r>
        <w:rPr>
          <w:rStyle w:val="25"/>
        </w:rPr>
        <w:t>第一条</w:t>
      </w:r>
      <w:r>
        <w:t>　基层人民法院受理债权人依法申请支付令的案件</w:t>
      </w:r>
      <w:r>
        <w:rPr>
          <w:rFonts w:hint="eastAsia"/>
        </w:rPr>
        <w:t>，</w:t>
      </w:r>
      <w:r>
        <w:t>不受争议金额的限制。</w:t>
      </w:r>
    </w:p>
    <w:p>
      <w:pPr>
        <w:pStyle w:val="12"/>
        <w:rPr>
          <w:rStyle w:val="25"/>
          <w:rFonts w:hint="eastAsia"/>
        </w:rPr>
      </w:pPr>
      <w:r>
        <w:rPr>
          <w:rStyle w:val="25"/>
        </w:rPr>
        <w:t>第二条</w:t>
      </w:r>
      <w:r>
        <w:t>　共同债务人住所地、经常居住地不在同一基层人民法院辖区</w:t>
      </w:r>
      <w:r>
        <w:rPr>
          <w:rFonts w:hint="eastAsia"/>
        </w:rPr>
        <w:t>，</w:t>
      </w:r>
      <w:r>
        <w:t>各有关人民法院都有管辖权的</w:t>
      </w:r>
      <w:r>
        <w:rPr>
          <w:rFonts w:hint="eastAsia"/>
        </w:rPr>
        <w:t>，</w:t>
      </w:r>
      <w:r>
        <w:t>债权人可以向其中任何一个基层人民法院申请支付令；债权人向两个以上有管辖权的人民法院申请支付令的</w:t>
      </w:r>
      <w:r>
        <w:rPr>
          <w:rFonts w:hint="eastAsia"/>
        </w:rPr>
        <w:t>，</w:t>
      </w:r>
      <w:r>
        <w:t>由最先立案的人民法院管辖。</w:t>
      </w:r>
    </w:p>
    <w:p>
      <w:pPr>
        <w:pStyle w:val="12"/>
        <w:rPr>
          <w:rStyle w:val="25"/>
          <w:rFonts w:hint="eastAsia"/>
        </w:rPr>
      </w:pPr>
      <w:r>
        <w:rPr>
          <w:rStyle w:val="25"/>
        </w:rPr>
        <w:t>第三条</w:t>
      </w:r>
      <w:r>
        <w:t>　人民法院收到债权人的书面申请后</w:t>
      </w:r>
      <w:r>
        <w:rPr>
          <w:rFonts w:hint="eastAsia"/>
        </w:rPr>
        <w:t>，</w:t>
      </w:r>
      <w:r>
        <w:t>认为申请书不符合要求的</w:t>
      </w:r>
      <w:r>
        <w:rPr>
          <w:rFonts w:hint="eastAsia"/>
        </w:rPr>
        <w:t>，</w:t>
      </w:r>
      <w:r>
        <w:t>人民法院可以通知债权人限期补正。补正期间不计入民事诉讼法第一百九十条规定的期限。</w:t>
      </w:r>
    </w:p>
    <w:p>
      <w:pPr>
        <w:pStyle w:val="12"/>
        <w:rPr>
          <w:rStyle w:val="25"/>
          <w:rFonts w:hint="eastAsia"/>
        </w:rPr>
      </w:pPr>
      <w:r>
        <w:rPr>
          <w:rStyle w:val="25"/>
        </w:rPr>
        <w:t>第四条</w:t>
      </w:r>
      <w:r>
        <w:t>　对设有担保的债务案件主债务人发出的支付令</w:t>
      </w:r>
      <w:r>
        <w:rPr>
          <w:rFonts w:hint="eastAsia"/>
        </w:rPr>
        <w:t>，</w:t>
      </w:r>
      <w:r>
        <w:t>对担保人没有拘束力。债权人就担保关系单独提起诉讼的</w:t>
      </w:r>
      <w:r>
        <w:rPr>
          <w:rFonts w:hint="eastAsia"/>
        </w:rPr>
        <w:t>，</w:t>
      </w:r>
      <w:r>
        <w:t>支付令自行失效。</w:t>
      </w:r>
    </w:p>
    <w:p>
      <w:pPr>
        <w:pStyle w:val="12"/>
        <w:rPr>
          <w:rFonts w:hint="eastAsia"/>
        </w:rPr>
      </w:pPr>
      <w:r>
        <w:rPr>
          <w:rStyle w:val="25"/>
        </w:rPr>
        <w:t>第五条</w:t>
      </w:r>
      <w:r>
        <w:t>　人民法院受理债权人的支付令申请后</w:t>
      </w:r>
      <w:r>
        <w:rPr>
          <w:rFonts w:hint="eastAsia"/>
        </w:rPr>
        <w:t>，</w:t>
      </w:r>
      <w:r>
        <w:t>经审理</w:t>
      </w:r>
      <w:r>
        <w:rPr>
          <w:rFonts w:hint="eastAsia"/>
        </w:rPr>
        <w:t>，</w:t>
      </w:r>
      <w:r>
        <w:t>有下列情况之一的</w:t>
      </w:r>
      <w:r>
        <w:rPr>
          <w:rFonts w:hint="eastAsia"/>
        </w:rPr>
        <w:t>，</w:t>
      </w:r>
      <w:r>
        <w:t>应当裁定驳回申请：</w:t>
      </w:r>
    </w:p>
    <w:p>
      <w:pPr>
        <w:pStyle w:val="12"/>
        <w:rPr>
          <w:rFonts w:hint="eastAsia"/>
        </w:rPr>
      </w:pPr>
      <w:r>
        <w:rPr>
          <w:rFonts w:hint="eastAsia"/>
          <w:lang w:eastAsia="zh-CN"/>
        </w:rPr>
        <w:t>（</w:t>
      </w:r>
      <w:r>
        <w:t>一</w:t>
      </w:r>
      <w:r>
        <w:rPr>
          <w:rFonts w:hint="eastAsia"/>
          <w:lang w:eastAsia="zh-CN"/>
        </w:rPr>
        <w:t>）</w:t>
      </w:r>
      <w:r>
        <w:t>当事人不适格；</w:t>
      </w:r>
    </w:p>
    <w:p>
      <w:pPr>
        <w:pStyle w:val="12"/>
        <w:rPr>
          <w:rFonts w:hint="eastAsia"/>
        </w:rPr>
      </w:pPr>
      <w:r>
        <w:rPr>
          <w:rFonts w:hint="eastAsia"/>
          <w:lang w:eastAsia="zh-CN"/>
        </w:rPr>
        <w:t>（</w:t>
      </w:r>
      <w:r>
        <w:t>二</w:t>
      </w:r>
      <w:r>
        <w:rPr>
          <w:rFonts w:hint="eastAsia"/>
          <w:lang w:eastAsia="zh-CN"/>
        </w:rPr>
        <w:t>）</w:t>
      </w:r>
      <w:r>
        <w:t>给付金钱或者汇票、本票、支票以及股票、债券、国库券、可转让的存款单等有价证券的证明文件没有约定逾期给付利息或者违约金、赔偿金</w:t>
      </w:r>
      <w:r>
        <w:rPr>
          <w:rFonts w:hint="eastAsia"/>
        </w:rPr>
        <w:t>，</w:t>
      </w:r>
      <w:r>
        <w:t>债权人坚持要求给付利息或者违约金、赔偿金；</w:t>
      </w:r>
    </w:p>
    <w:p>
      <w:pPr>
        <w:pStyle w:val="12"/>
        <w:rPr>
          <w:rFonts w:hint="eastAsia"/>
        </w:rPr>
      </w:pPr>
      <w:r>
        <w:rPr>
          <w:rFonts w:hint="eastAsia"/>
          <w:lang w:eastAsia="zh-CN"/>
        </w:rPr>
        <w:t>（</w:t>
      </w:r>
      <w:r>
        <w:t>三</w:t>
      </w:r>
      <w:r>
        <w:rPr>
          <w:rFonts w:hint="eastAsia"/>
          <w:lang w:eastAsia="zh-CN"/>
        </w:rPr>
        <w:t>）</w:t>
      </w:r>
      <w:r>
        <w:t>债权人要求给付的金钱或者汇票、本票、支票以及股票、债券、国库券、可转让的</w:t>
      </w:r>
      <w:r>
        <w:rPr>
          <w:rFonts w:hint="eastAsia"/>
        </w:rPr>
        <w:t>存款单等有价证券属于违法所得；</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债权人申请支付令之前已向人民法院申请诉前保全，或者申请支付令同时又要求诉前保全。</w:t>
      </w:r>
    </w:p>
    <w:p>
      <w:pPr>
        <w:pStyle w:val="12"/>
        <w:rPr>
          <w:rStyle w:val="25"/>
          <w:rFonts w:hint="eastAsia"/>
        </w:rPr>
      </w:pPr>
      <w:r>
        <w:rPr>
          <w:rStyle w:val="25"/>
        </w:rPr>
        <w:t>第六条</w:t>
      </w:r>
      <w:r>
        <w:t>　人民法院受理支付令申请后</w:t>
      </w:r>
      <w:r>
        <w:rPr>
          <w:rFonts w:hint="eastAsia"/>
        </w:rPr>
        <w:t>，</w:t>
      </w:r>
      <w:r>
        <w:t>债权人就同一债权关系又提起诉讼</w:t>
      </w:r>
      <w:r>
        <w:rPr>
          <w:rFonts w:hint="eastAsia"/>
        </w:rPr>
        <w:t>，</w:t>
      </w:r>
      <w:r>
        <w:t>或者人民法院发出支付令之日起30日内无法送达债务人的</w:t>
      </w:r>
      <w:r>
        <w:rPr>
          <w:rFonts w:hint="eastAsia"/>
        </w:rPr>
        <w:t>，</w:t>
      </w:r>
      <w:r>
        <w:t>应当裁定终结督促程序。</w:t>
      </w:r>
    </w:p>
    <w:p>
      <w:pPr>
        <w:pStyle w:val="12"/>
        <w:rPr>
          <w:rStyle w:val="25"/>
          <w:rFonts w:hint="eastAsia"/>
        </w:rPr>
      </w:pPr>
      <w:r>
        <w:rPr>
          <w:rStyle w:val="25"/>
        </w:rPr>
        <w:t>第七条</w:t>
      </w:r>
      <w:r>
        <w:t>　债务人对债权债务关系没有异议</w:t>
      </w:r>
      <w:r>
        <w:rPr>
          <w:rFonts w:hint="eastAsia"/>
        </w:rPr>
        <w:t>，</w:t>
      </w:r>
      <w:r>
        <w:t>但对清偿能力、清偿期限、清偿方式等提出不同意见的</w:t>
      </w:r>
      <w:r>
        <w:rPr>
          <w:rFonts w:hint="eastAsia"/>
        </w:rPr>
        <w:t>，</w:t>
      </w:r>
      <w:r>
        <w:t>不影响支付令的效力。</w:t>
      </w:r>
    </w:p>
    <w:p>
      <w:pPr>
        <w:pStyle w:val="12"/>
        <w:rPr>
          <w:rStyle w:val="25"/>
          <w:rFonts w:hint="eastAsia"/>
        </w:rPr>
      </w:pPr>
      <w:r>
        <w:rPr>
          <w:rStyle w:val="25"/>
        </w:rPr>
        <w:t>第八条</w:t>
      </w:r>
      <w:r>
        <w:t>　债权人基于同一债权债务关系</w:t>
      </w:r>
      <w:r>
        <w:rPr>
          <w:rFonts w:hint="eastAsia"/>
        </w:rPr>
        <w:t>，</w:t>
      </w:r>
      <w:r>
        <w:t>向债务人提出多项支付请</w:t>
      </w:r>
      <w:r>
        <w:rPr>
          <w:rFonts w:hint="eastAsia"/>
        </w:rPr>
        <w:t>求，债务人仅就其中一项或几项请求提出异议的，不影响其他各项请求的效力。</w:t>
      </w:r>
    </w:p>
    <w:p>
      <w:pPr>
        <w:pStyle w:val="12"/>
        <w:rPr>
          <w:rStyle w:val="25"/>
          <w:rFonts w:hint="eastAsia"/>
        </w:rPr>
      </w:pPr>
      <w:r>
        <w:rPr>
          <w:rStyle w:val="25"/>
        </w:rPr>
        <w:t>第九条</w:t>
      </w:r>
      <w:r>
        <w:t>　债权人基于同一债权债务关系</w:t>
      </w:r>
      <w:r>
        <w:rPr>
          <w:rFonts w:hint="eastAsia"/>
        </w:rPr>
        <w:t>，</w:t>
      </w:r>
      <w:r>
        <w:t>就可分之债向多个债务人提出支付请求</w:t>
      </w:r>
      <w:r>
        <w:rPr>
          <w:rFonts w:hint="eastAsia"/>
        </w:rPr>
        <w:t>，</w:t>
      </w:r>
      <w:r>
        <w:t>多个债务人中的1人或几人提出异议的</w:t>
      </w:r>
      <w:r>
        <w:rPr>
          <w:rFonts w:hint="eastAsia"/>
        </w:rPr>
        <w:t>，</w:t>
      </w:r>
      <w:r>
        <w:t>不影响其他请求的效力。</w:t>
      </w:r>
    </w:p>
    <w:p>
      <w:pPr>
        <w:pStyle w:val="12"/>
        <w:rPr>
          <w:rStyle w:val="25"/>
          <w:rFonts w:hint="eastAsia"/>
        </w:rPr>
      </w:pPr>
      <w:r>
        <w:rPr>
          <w:rStyle w:val="25"/>
        </w:rPr>
        <w:t>第十条</w:t>
      </w:r>
      <w:r>
        <w:t>　人民法院作出终结督促程序前</w:t>
      </w:r>
      <w:r>
        <w:rPr>
          <w:rFonts w:hint="eastAsia"/>
        </w:rPr>
        <w:t>，</w:t>
      </w:r>
      <w:r>
        <w:t>债务人请求撤回异议的</w:t>
      </w:r>
      <w:r>
        <w:rPr>
          <w:rFonts w:hint="eastAsia"/>
        </w:rPr>
        <w:t>，</w:t>
      </w:r>
      <w:r>
        <w:t>应当准许。</w:t>
      </w:r>
    </w:p>
    <w:p>
      <w:pPr>
        <w:pStyle w:val="12"/>
        <w:rPr>
          <w:rStyle w:val="25"/>
          <w:rFonts w:hint="eastAsia"/>
        </w:rPr>
      </w:pPr>
      <w:r>
        <w:rPr>
          <w:rStyle w:val="25"/>
        </w:rPr>
        <w:t>第十一条</w:t>
      </w:r>
      <w:r>
        <w:t>　人民法院院长对本院已发生法律效力的支付令</w:t>
      </w:r>
      <w:r>
        <w:rPr>
          <w:rFonts w:hint="eastAsia"/>
        </w:rPr>
        <w:t>，</w:t>
      </w:r>
      <w:r>
        <w:t>发现确有错误</w:t>
      </w:r>
      <w:r>
        <w:rPr>
          <w:rFonts w:hint="eastAsia"/>
        </w:rPr>
        <w:t>，</w:t>
      </w:r>
      <w:r>
        <w:t>认为需要撤销的</w:t>
      </w:r>
      <w:r>
        <w:rPr>
          <w:rFonts w:hint="eastAsia"/>
        </w:rPr>
        <w:t>，</w:t>
      </w:r>
      <w:r>
        <w:t>应当提交审判委员会讨论决定后</w:t>
      </w:r>
      <w:r>
        <w:rPr>
          <w:rFonts w:hint="eastAsia"/>
        </w:rPr>
        <w:t>，</w:t>
      </w:r>
      <w:r>
        <w:t>裁定撤销支付令</w:t>
      </w:r>
      <w:r>
        <w:rPr>
          <w:rFonts w:hint="eastAsia"/>
        </w:rPr>
        <w:t>，</w:t>
      </w:r>
      <w:r>
        <w:t>驳回债权人的申请。</w:t>
      </w:r>
    </w:p>
    <w:p>
      <w:pPr>
        <w:pStyle w:val="12"/>
        <w:rPr>
          <w:rFonts w:hint="eastAsia"/>
        </w:rPr>
      </w:pPr>
      <w:r>
        <w:rPr>
          <w:rStyle w:val="25"/>
        </w:rPr>
        <w:t>第十二条</w:t>
      </w:r>
      <w:r>
        <w:t>　最高人民法院有关适用督促程序的其他司法解释与本规定不一致的</w:t>
      </w:r>
      <w:r>
        <w:rPr>
          <w:rFonts w:hint="eastAsia"/>
        </w:rPr>
        <w:t>，</w:t>
      </w:r>
      <w:r>
        <w:t>以本规定为准。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965D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4965DB"/>
    <w:rsid w:val="325C564C"/>
    <w:rsid w:val="36AE6775"/>
    <w:rsid w:val="38787F7C"/>
    <w:rsid w:val="39191BFA"/>
    <w:rsid w:val="3D717517"/>
    <w:rsid w:val="3FBC61B7"/>
    <w:rsid w:val="48982349"/>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2017-11-01T01:51:00Z</dcterms:created>
  <dc:creator>Administrator</dc:creator>
  <cp:lastModifiedBy>Administrator</cp:lastModifiedBy>
  <dcterms:modified xsi:type="dcterms:W3CDTF">2017-11-01T05:08:33Z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