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2"/>
        <w:rPr>
          <w:rFonts w:hint="eastAsia" w:ascii="宋体" w:hAnsi="宋体" w:eastAsia="宋体" w:cs="宋体"/>
        </w:rPr>
      </w:pP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7"/>
        <w:rPr>
          <w:rFonts w:hint="eastAsia"/>
        </w:rPr>
      </w:pPr>
      <w:r>
        <w:t>最高人民法院</w:t>
      </w:r>
    </w:p>
    <w:p>
      <w:pPr>
        <w:pStyle w:val="7"/>
        <w:rPr>
          <w:rFonts w:hint="eastAsia"/>
        </w:rPr>
      </w:pPr>
      <w:r>
        <w:t>对在审判工作中有关适用民法通则</w:t>
      </w:r>
    </w:p>
    <w:p>
      <w:pPr>
        <w:pStyle w:val="7"/>
        <w:rPr>
          <w:rFonts w:hint="eastAsia"/>
        </w:rPr>
      </w:pPr>
      <w:r>
        <w:t>时效的几个问题的批复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2"/>
        <w:rPr>
          <w:rFonts w:hint="eastAsia"/>
        </w:rPr>
      </w:pPr>
      <w:r>
        <w:rPr>
          <w:rFonts w:hint="eastAsia"/>
        </w:rPr>
        <w:t>1987</w:t>
      </w:r>
      <w:r>
        <w:t>年5月22日</w:t>
      </w:r>
      <w:r>
        <w:rPr>
          <w:rFonts w:hint="eastAsia"/>
          <w:lang w:val="en-US" w:eastAsia="zh-CN"/>
        </w:rPr>
        <w:t xml:space="preserve">      </w:t>
      </w:r>
      <w:r>
        <w:t>法</w:t>
      </w:r>
      <w:r>
        <w:rPr>
          <w:rFonts w:hint="eastAsia"/>
          <w:lang w:eastAsia="zh-CN"/>
        </w:rPr>
        <w:t>（</w:t>
      </w:r>
      <w:r>
        <w:t>研</w:t>
      </w:r>
      <w:r>
        <w:rPr>
          <w:rFonts w:hint="eastAsia"/>
          <w:lang w:eastAsia="zh-CN"/>
        </w:rPr>
        <w:t>）</w:t>
      </w:r>
      <w:r>
        <w:t>复</w:t>
      </w:r>
      <w:bookmarkStart w:id="0" w:name="_GoBack"/>
      <w:bookmarkEnd w:id="0"/>
      <w:r>
        <w:t>〔1987〕18号</w:t>
      </w:r>
    </w:p>
    <w:p>
      <w:pPr>
        <w:pStyle w:val="12"/>
        <w:rPr>
          <w:rFonts w:hint="eastAsia" w:ascii="宋体" w:hAnsi="宋体" w:eastAsia="宋体" w:cs="宋体"/>
        </w:rPr>
      </w:pPr>
    </w:p>
    <w:p>
      <w:pPr>
        <w:pStyle w:val="21"/>
        <w:rPr>
          <w:rFonts w:hint="eastAsia"/>
        </w:rPr>
      </w:pPr>
      <w:r>
        <w:t>上海市高级人民法院：</w:t>
      </w:r>
    </w:p>
    <w:p>
      <w:pPr>
        <w:pStyle w:val="12"/>
        <w:rPr>
          <w:rStyle w:val="25"/>
          <w:rFonts w:hint="eastAsia"/>
        </w:rPr>
      </w:pPr>
      <w:r>
        <w:t>你院〔86〕沪高法办字168号《关于民法通则施行后几个问题的请示报告》收悉。经征求全国人民代表大会常务委员会法制工作委员会的意见</w:t>
      </w:r>
      <w:r>
        <w:rPr>
          <w:rFonts w:hint="eastAsia"/>
        </w:rPr>
        <w:t>，</w:t>
      </w:r>
      <w:r>
        <w:t>现答复如下：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一、</w:t>
      </w:r>
      <w:r>
        <w:t>人民法院审理民法通则施行前发生的民事案件</w:t>
      </w:r>
      <w:r>
        <w:rPr>
          <w:rFonts w:hint="eastAsia"/>
        </w:rPr>
        <w:t>，</w:t>
      </w:r>
      <w:r>
        <w:t>无论是已经受理尚未审结</w:t>
      </w:r>
      <w:r>
        <w:rPr>
          <w:rFonts w:hint="eastAsia"/>
        </w:rPr>
        <w:t>，</w:t>
      </w:r>
      <w:r>
        <w:t>还是今后受理的</w:t>
      </w:r>
      <w:r>
        <w:rPr>
          <w:rFonts w:hint="eastAsia"/>
        </w:rPr>
        <w:t>，</w:t>
      </w:r>
      <w:r>
        <w:t>凡民法通则施行前法律、政策已有规定的</w:t>
      </w:r>
      <w:r>
        <w:rPr>
          <w:rFonts w:hint="eastAsia"/>
        </w:rPr>
        <w:t>，</w:t>
      </w:r>
      <w:r>
        <w:t>则适用原来的法律、政策；民法通则施行前法律、政策没有规定的</w:t>
      </w:r>
      <w:r>
        <w:rPr>
          <w:rFonts w:hint="eastAsia"/>
        </w:rPr>
        <w:t>，</w:t>
      </w:r>
      <w:r>
        <w:t>可以参照民法通则的规定。</w:t>
      </w:r>
    </w:p>
    <w:p>
      <w:pPr>
        <w:pStyle w:val="12"/>
        <w:rPr>
          <w:rStyle w:val="25"/>
          <w:rFonts w:hint="eastAsia"/>
        </w:rPr>
      </w:pPr>
      <w:r>
        <w:rPr>
          <w:rStyle w:val="25"/>
        </w:rPr>
        <w:t>二、</w:t>
      </w:r>
      <w:r>
        <w:t>民法通则施行前已经发生法律效力的判决</w:t>
      </w:r>
      <w:r>
        <w:rPr>
          <w:rFonts w:hint="eastAsia"/>
        </w:rPr>
        <w:t>，</w:t>
      </w:r>
      <w:r>
        <w:t>当事人提出申诉或者按审判监督程序决定</w:t>
      </w:r>
      <w:r>
        <w:rPr>
          <w:rFonts w:hint="eastAsia"/>
        </w:rPr>
        <w:t>再审的案件，仍应依照原来的法律、政策处理。</w:t>
      </w:r>
    </w:p>
    <w:p>
      <w:pPr>
        <w:pStyle w:val="12"/>
        <w:rPr>
          <w:rFonts w:hint="eastAsia"/>
        </w:rPr>
      </w:pPr>
      <w:r>
        <w:rPr>
          <w:rStyle w:val="25"/>
        </w:rPr>
        <w:t>三、</w:t>
      </w:r>
      <w:r>
        <w:t>民法通则施行前民事权利被侵害尚未处理的</w:t>
      </w:r>
      <w:r>
        <w:rPr>
          <w:rFonts w:hint="eastAsia"/>
        </w:rPr>
        <w:t>，</w:t>
      </w:r>
      <w:r>
        <w:t>无论被侵害人知道与否</w:t>
      </w:r>
      <w:r>
        <w:rPr>
          <w:rFonts w:hint="eastAsia"/>
        </w:rPr>
        <w:t>，</w:t>
      </w:r>
      <w:r>
        <w:t>向人民法院请求保护民事权利的诉讼时效期间</w:t>
      </w:r>
      <w:r>
        <w:rPr>
          <w:rFonts w:hint="eastAsia"/>
        </w:rPr>
        <w:t>，</w:t>
      </w:r>
      <w:r>
        <w:t>分别为民法通则第一百三十五条规定的2年或第一百三十六条规定的1年。诉讼时效期间自民法通则施行之日起计算。</w:t>
      </w:r>
    </w:p>
    <w:p>
      <w:pPr>
        <w:pStyle w:val="12"/>
        <w:rPr>
          <w:rFonts w:hint="eastAsia"/>
        </w:rPr>
      </w:pPr>
      <w:r>
        <w:t>民法通则施行前民事权利被侵害尚未处理的</w:t>
      </w:r>
      <w:r>
        <w:rPr>
          <w:rFonts w:hint="eastAsia"/>
        </w:rPr>
        <w:t>，</w:t>
      </w:r>
      <w:r>
        <w:t>无论是否超过20年</w:t>
      </w:r>
      <w:r>
        <w:rPr>
          <w:rFonts w:hint="eastAsia"/>
        </w:rPr>
        <w:t>，</w:t>
      </w:r>
      <w:r>
        <w:t>向人民法院请求保护民事权利的诉讼时效期间</w:t>
      </w:r>
      <w:r>
        <w:rPr>
          <w:rFonts w:hint="eastAsia"/>
        </w:rPr>
        <w:t>，</w:t>
      </w:r>
      <w:r>
        <w:t>分别为民法通则第一百三十五条规定的2年或第一百三十六条规定的1年。诉讼时效期间自民法通则施行之日起计算。</w:t>
      </w:r>
    </w:p>
    <w:p>
      <w:pPr>
        <w:pStyle w:val="12"/>
        <w:rPr>
          <w:rFonts w:hint="eastAsia"/>
        </w:rPr>
      </w:pPr>
      <w:r>
        <w:t>对于上述诉讼时效期</w:t>
      </w:r>
      <w:r>
        <w:rPr>
          <w:rFonts w:hint="eastAsia"/>
        </w:rPr>
        <w:t>间，有特殊情况的，人民法院可以延长。</w:t>
      </w:r>
    </w:p>
    <w:sectPr>
      <w:footerReference r:id="rId3" w:type="default"/>
      <w:footerReference r:id="rId4" w:type="even"/>
      <w:pgSz w:w="11906" w:h="16838"/>
      <w:pgMar w:top="2098" w:right="1474" w:bottom="1984" w:left="1587" w:header="851" w:footer="1587" w:gutter="0"/>
      <w:pgNumType w:fmt="decimal" w:start="1"/>
      <w:cols w:space="720" w:num="1"/>
      <w:rtlGutter w:val="0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华文楷体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仿宋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宋体-方正超大字符集">
    <w:altName w:val="宋体"/>
    <w:panose1 w:val="03000509000000000000"/>
    <w:charset w:val="86"/>
    <w:family w:val="script"/>
    <w:pitch w:val="default"/>
    <w:sig w:usb0="00000000" w:usb1="00000000" w:usb2="00000010" w:usb3="00000000" w:csb0="00040000" w:csb1="00000000"/>
  </w:font>
  <w:font w:name="MS Mincho">
    <w:panose1 w:val="02020609040205080304"/>
    <w:charset w:val="80"/>
    <w:family w:val="modern"/>
    <w:pitch w:val="default"/>
    <w:sig w:usb0="E00002FF" w:usb1="6AC7FDFB" w:usb2="00000012" w:usb3="00000000" w:csb0="400200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4" name="文本框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0" w:leftChars="0" w:right="210" w:rightChars="10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8240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0" w:leftChars="0" w:right="210" w:rightChars="10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1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tabs>
        <w:tab w:val="center" w:pos="4153"/>
        <w:tab w:val="right" w:pos="8306"/>
      </w:tabs>
      <w:rPr>
        <w:rFonts w:hint="eastAsia" w:ascii="宋体" w:hAnsi="宋体" w:eastAsia="宋体" w:cs="宋体"/>
        <w:sz w:val="28"/>
        <w:szCs w:val="28"/>
      </w:rPr>
    </w:pPr>
    <w:r>
      <w:rPr>
        <w:sz w:val="28"/>
      </w:rPr>
      <mc:AlternateContent>
        <mc:Choice Requires="wps">
          <w:drawing>
            <wp:anchor distT="0" distB="0" distL="114300" distR="114300" simplePos="0" relativeHeight="251659264" behindDoc="0" locked="0" layoutInCell="1" allowOverlap="1">
              <wp:simplePos x="0" y="0"/>
              <wp:positionH relativeFrom="margin">
                <wp:align>outside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5" name="文本框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2"/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 w:val="0"/>
                            <w:spacing w:line="240" w:lineRule="auto"/>
                            <w:ind w:left="210" w:leftChars="100" w:right="0" w:rightChars="0" w:firstLine="0" w:firstLineChars="0"/>
                            <w:jc w:val="both"/>
                            <w:textAlignment w:val="auto"/>
                            <w:outlineLvl w:val="9"/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</w:pP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－ 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t>2</w:t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eastAsia="zh-CN"/>
                            </w:rPr>
                            <w:fldChar w:fldCharType="end"/>
                          </w:r>
                          <w:r>
                            <w:rPr>
                              <w:rFonts w:hint="eastAsia" w:ascii="宋体" w:hAnsi="宋体" w:eastAsia="宋体" w:cs="宋体"/>
                              <w:sz w:val="28"/>
                              <w:szCs w:val="28"/>
                              <w:lang w:val="en-US" w:eastAsia="zh-CN"/>
                            </w:rPr>
                            <w:t xml:space="preserve"> －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outside;mso-position-horizontal-relative:margin;mso-wrap-style:none;z-index:25165926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keepNext w:val="0"/>
                      <w:keepLines w:val="0"/>
                      <w:pageBreakBefore w:val="0"/>
                      <w:widowControl w:val="0"/>
                      <w:kinsoku/>
                      <w:wordWrap/>
                      <w:overflowPunct/>
                      <w:topLinePunct w:val="0"/>
                      <w:autoSpaceDE/>
                      <w:autoSpaceDN/>
                      <w:bidi w:val="0"/>
                      <w:adjustRightInd/>
                      <w:snapToGrid w:val="0"/>
                      <w:spacing w:line="240" w:lineRule="auto"/>
                      <w:ind w:left="210" w:leftChars="100" w:right="0" w:rightChars="0" w:firstLine="0" w:firstLineChars="0"/>
                      <w:jc w:val="both"/>
                      <w:textAlignment w:val="auto"/>
                      <w:outlineLvl w:val="9"/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</w:pP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－ 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begin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t>2</w:t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eastAsia="zh-CN"/>
                      </w:rPr>
                      <w:fldChar w:fldCharType="end"/>
                    </w:r>
                    <w:r>
                      <w:rPr>
                        <w:rFonts w:hint="eastAsia" w:ascii="宋体" w:hAnsi="宋体" w:eastAsia="宋体" w:cs="宋体"/>
                        <w:sz w:val="28"/>
                        <w:szCs w:val="28"/>
                        <w:lang w:val="en-US" w:eastAsia="zh-CN"/>
                      </w:rPr>
                      <w:t xml:space="preserve"> －</w:t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bordersDoNotSurroundHeader w:val="1"/>
  <w:bordersDoNotSurroundFooter w:val="1"/>
  <w:attachedTemplate r:id="rId1"/>
  <w:documentProtection w:enforcement="0"/>
  <w:defaultTabStop w:val="420"/>
  <w:hyphenationZone w:val="360"/>
  <w:evenAndOddHeaders w:val="1"/>
  <w:drawingGridVerticalSpacing w:val="156"/>
  <w:displayHorizontalDrawingGridEvery w:val="0"/>
  <w:displayVerticalDrawingGridEvery w:val="2"/>
  <w:characterSpacingControl w:val="compressPunctuation"/>
  <w:hdrShapeDefaults>
    <o:shapelayout v:ext="edit">
      <o:idmap v:ext="edit" data="3,4"/>
    </o:shapelayout>
  </w:hdrShapeDefaults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86374D6"/>
    <w:rsid w:val="00323D76"/>
    <w:rsid w:val="02380A4E"/>
    <w:rsid w:val="02C54CFB"/>
    <w:rsid w:val="042F174E"/>
    <w:rsid w:val="0751543E"/>
    <w:rsid w:val="0BE369DE"/>
    <w:rsid w:val="0F9D48A9"/>
    <w:rsid w:val="0FC66F39"/>
    <w:rsid w:val="135B4974"/>
    <w:rsid w:val="186374D6"/>
    <w:rsid w:val="19EF53F7"/>
    <w:rsid w:val="1C547AC8"/>
    <w:rsid w:val="20194FCD"/>
    <w:rsid w:val="211007F7"/>
    <w:rsid w:val="224D5C1E"/>
    <w:rsid w:val="28B53323"/>
    <w:rsid w:val="2A483D38"/>
    <w:rsid w:val="2A844039"/>
    <w:rsid w:val="2CFE6EE4"/>
    <w:rsid w:val="2D725F92"/>
    <w:rsid w:val="302E782D"/>
    <w:rsid w:val="325C564C"/>
    <w:rsid w:val="32B73624"/>
    <w:rsid w:val="36AE6775"/>
    <w:rsid w:val="38787F7C"/>
    <w:rsid w:val="39191BFA"/>
    <w:rsid w:val="3D717517"/>
    <w:rsid w:val="3FBC61B7"/>
    <w:rsid w:val="4AEF215E"/>
    <w:rsid w:val="4DA15956"/>
    <w:rsid w:val="4E7D2A86"/>
    <w:rsid w:val="501B3EB2"/>
    <w:rsid w:val="5027117E"/>
    <w:rsid w:val="56C00D65"/>
    <w:rsid w:val="65586BE5"/>
    <w:rsid w:val="6D800228"/>
    <w:rsid w:val="6DAD6BF0"/>
    <w:rsid w:val="6E1B4105"/>
    <w:rsid w:val="6EB66F23"/>
    <w:rsid w:val="75FA67F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Calibri" w:hAnsi="Calibri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customStyle="1" w:styleId="6">
    <w:name w:val="目录"/>
    <w:basedOn w:val="1"/>
    <w:qFormat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7">
    <w:name w:val="标题名"/>
    <w:basedOn w:val="1"/>
    <w:uiPriority w:val="0"/>
    <w:pPr>
      <w:spacing w:line="560" w:lineRule="exact"/>
      <w:jc w:val="center"/>
    </w:pPr>
    <w:rPr>
      <w:rFonts w:hint="eastAsia" w:ascii="宋体" w:hAnsi="宋体" w:cs="宋体"/>
      <w:sz w:val="44"/>
      <w:szCs w:val="44"/>
    </w:rPr>
  </w:style>
  <w:style w:type="paragraph" w:customStyle="1" w:styleId="8">
    <w:name w:val="表字居中"/>
    <w:basedOn w:val="1"/>
    <w:uiPriority w:val="0"/>
    <w:pPr>
      <w:spacing w:line="560" w:lineRule="exact"/>
      <w:jc w:val="center"/>
    </w:pPr>
    <w:rPr>
      <w:rFonts w:ascii="宋体" w:hAnsi="宋体" w:cs="宋体"/>
      <w:szCs w:val="21"/>
    </w:rPr>
  </w:style>
  <w:style w:type="paragraph" w:customStyle="1" w:styleId="9">
    <w:name w:val="一、"/>
    <w:basedOn w:val="1"/>
    <w:uiPriority w:val="0"/>
    <w:pPr>
      <w:spacing w:line="560" w:lineRule="exact"/>
      <w:ind w:firstLine="420" w:firstLineChars="200"/>
    </w:pPr>
    <w:rPr>
      <w:rFonts w:ascii="黑体" w:hAnsi="黑体" w:eastAsia="黑体" w:cs="黑体"/>
      <w:sz w:val="32"/>
      <w:szCs w:val="32"/>
    </w:rPr>
  </w:style>
  <w:style w:type="paragraph" w:customStyle="1" w:styleId="10">
    <w:name w:val="落款"/>
    <w:basedOn w:val="1"/>
    <w:uiPriority w:val="0"/>
    <w:pPr>
      <w:spacing w:line="560" w:lineRule="exact"/>
      <w:ind w:right="630" w:rightChars="300"/>
      <w:jc w:val="righ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1">
    <w:name w:val="附/附件"/>
    <w:basedOn w:val="1"/>
    <w:uiPriority w:val="0"/>
    <w:pPr>
      <w:spacing w:line="560" w:lineRule="exact"/>
      <w:jc w:val="left"/>
    </w:pPr>
    <w:rPr>
      <w:rFonts w:ascii="黑体" w:hAnsi="黑体" w:eastAsia="黑体" w:cs="黑体"/>
      <w:sz w:val="32"/>
      <w:szCs w:val="32"/>
    </w:rPr>
  </w:style>
  <w:style w:type="paragraph" w:customStyle="1" w:styleId="12">
    <w:name w:val="正文字体"/>
    <w:basedOn w:val="1"/>
    <w:uiPriority w:val="0"/>
    <w:pPr>
      <w:spacing w:line="560" w:lineRule="exact"/>
      <w:ind w:firstLine="640" w:firstLineChars="200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13">
    <w:name w:val="章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32"/>
      <w:szCs w:val="32"/>
    </w:rPr>
  </w:style>
  <w:style w:type="paragraph" w:customStyle="1" w:styleId="14">
    <w:name w:val="（一）"/>
    <w:basedOn w:val="1"/>
    <w:uiPriority w:val="0"/>
    <w:pPr>
      <w:spacing w:line="560" w:lineRule="exact"/>
      <w:ind w:firstLine="420" w:firstLineChars="20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5">
    <w:name w:val="表字"/>
    <w:basedOn w:val="1"/>
    <w:uiPriority w:val="0"/>
    <w:pPr>
      <w:spacing w:line="560" w:lineRule="exact"/>
      <w:jc w:val="left"/>
    </w:pPr>
    <w:rPr>
      <w:rFonts w:ascii="宋体" w:hAnsi="宋体" w:cs="宋体"/>
      <w:szCs w:val="21"/>
    </w:rPr>
  </w:style>
  <w:style w:type="paragraph" w:customStyle="1" w:styleId="16">
    <w:name w:val="修改废止公布内容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7">
    <w:name w:val="正式公布内容"/>
    <w:basedOn w:val="1"/>
    <w:uiPriority w:val="0"/>
    <w:pPr>
      <w:spacing w:line="560" w:lineRule="exact"/>
      <w:ind w:left="630" w:leftChars="300" w:right="630" w:rightChars="300" w:firstLine="0" w:firstLineChars="0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8">
    <w:name w:val="目录内容"/>
    <w:basedOn w:val="1"/>
    <w:uiPriority w:val="0"/>
    <w:pPr>
      <w:spacing w:line="560" w:lineRule="exact"/>
      <w:jc w:val="left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19">
    <w:name w:val="文号居中"/>
    <w:basedOn w:val="1"/>
    <w:uiPriority w:val="0"/>
    <w:pPr>
      <w:spacing w:line="560" w:lineRule="exact"/>
      <w:jc w:val="center"/>
    </w:pPr>
    <w:rPr>
      <w:rFonts w:ascii="楷体_GB2312" w:hAnsi="楷体_GB2312" w:eastAsia="楷体_GB2312" w:cs="楷体_GB2312"/>
      <w:sz w:val="32"/>
      <w:szCs w:val="32"/>
    </w:rPr>
  </w:style>
  <w:style w:type="paragraph" w:customStyle="1" w:styleId="20">
    <w:name w:val="节"/>
    <w:basedOn w:val="1"/>
    <w:uiPriority w:val="0"/>
    <w:pPr>
      <w:spacing w:line="560" w:lineRule="exact"/>
      <w:jc w:val="center"/>
    </w:pPr>
    <w:rPr>
      <w:rFonts w:ascii="宋体" w:hAnsi="宋体" w:cs="宋体"/>
      <w:sz w:val="32"/>
      <w:szCs w:val="32"/>
    </w:rPr>
  </w:style>
  <w:style w:type="paragraph" w:customStyle="1" w:styleId="21">
    <w:name w:val="抬头"/>
    <w:basedOn w:val="12"/>
    <w:uiPriority w:val="0"/>
    <w:pPr>
      <w:ind w:firstLine="0" w:firstLineChars="0"/>
      <w:jc w:val="left"/>
    </w:pPr>
  </w:style>
  <w:style w:type="paragraph" w:customStyle="1" w:styleId="22">
    <w:name w:val="日期文号"/>
    <w:basedOn w:val="12"/>
    <w:uiPriority w:val="0"/>
    <w:pPr>
      <w:ind w:right="1260" w:rightChars="600" w:firstLine="0" w:firstLineChars="0"/>
      <w:jc w:val="right"/>
    </w:pPr>
    <w:rPr>
      <w:rFonts w:ascii="楷体_GB2312" w:hAnsi="楷体_GB2312" w:eastAsia="楷体_GB2312" w:cs="楷体_GB2312"/>
    </w:rPr>
  </w:style>
  <w:style w:type="paragraph" w:customStyle="1" w:styleId="23">
    <w:name w:val="附件1"/>
    <w:basedOn w:val="1"/>
    <w:uiPriority w:val="0"/>
    <w:pPr>
      <w:spacing w:line="560" w:lineRule="exact"/>
      <w:jc w:val="left"/>
    </w:pPr>
    <w:rPr>
      <w:rFonts w:ascii="仿宋_GB2312" w:hAnsi="仿宋_GB2312" w:eastAsia="仿宋_GB2312" w:cs="仿宋_GB2312"/>
      <w:sz w:val="32"/>
      <w:szCs w:val="32"/>
    </w:rPr>
  </w:style>
  <w:style w:type="paragraph" w:customStyle="1" w:styleId="24">
    <w:name w:val="表头"/>
    <w:basedOn w:val="1"/>
    <w:uiPriority w:val="0"/>
    <w:pPr>
      <w:spacing w:line="560" w:lineRule="exact"/>
      <w:jc w:val="center"/>
    </w:pPr>
    <w:rPr>
      <w:rFonts w:ascii="黑体" w:hAnsi="黑体" w:eastAsia="黑体" w:cs="黑体"/>
      <w:sz w:val="21"/>
      <w:szCs w:val="21"/>
    </w:rPr>
  </w:style>
  <w:style w:type="character" w:customStyle="1" w:styleId="25">
    <w:name w:val="条文"/>
    <w:basedOn w:val="4"/>
    <w:uiPriority w:val="0"/>
    <w:rPr>
      <w:rFonts w:ascii="黑体" w:hAnsi="黑体" w:eastAsia="黑体" w:cs="黑体"/>
      <w:sz w:val="32"/>
      <w:szCs w:val="32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dministrator\AppData\Roaming\Kingsoft\office6\templates\wps\zh_CN\&#27169;&#26495;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模板.dotx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Office_10.1.0.6930_F1E327BC-269C-435d-A152-05C5408002CA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2017-10-31T06:02:00Z</dcterms:created>
  <dc:creator>Administrator</dc:creator>
  <cp:lastModifiedBy>Administrator</cp:lastModifiedBy>
  <dcterms:modified xsi:type="dcterms:W3CDTF">2017-10-31T07:28:22Z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2052-10.1.0.6930</vt:lpwstr>
  </property>
</Properties>
</file>