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C397CF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24" w:name="_GoBack"/>
      <w:bookmarkEnd w:id="24"/>
      <w:bookmarkStart w:id="0" w:name="中华人民共和国印花税法"/>
      <w:bookmarkEnd w:id="0"/>
      <w:r>
        <w:rPr>
          <w:rFonts w:hint="eastAsia" w:ascii="方正小标宋简体" w:hAnsi="方正小标宋简体" w:eastAsia="方正小标宋简体" w:cs="方正小标宋简体"/>
          <w:color w:val="333333"/>
          <w:sz w:val="44"/>
          <w:szCs w:val="44"/>
          <w:shd w:val="clear" w:color="auto" w:fill="FFFFFF"/>
        </w:rPr>
        <w:t>中华人民共和国印花税法</w:t>
      </w:r>
    </w:p>
    <w:p w14:paraId="024F996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（2021年6月10日第十三届全国人民代表大会常务委员会第二十九次会议通过）</w:t>
      </w:r>
    </w:p>
    <w:p w14:paraId="1F71176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在中华人民共和国境内书立应税凭证、进行证券交易的单位和个人，为印花税的纳税人，应当依照本法规定缴纳印花税。</w:t>
      </w:r>
    </w:p>
    <w:p w14:paraId="1A78221B">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在中华人民共和国境外书立在境内使用的应税凭证的单位和个人，应当依照本法规定缴纳印花税。</w:t>
      </w:r>
    </w:p>
    <w:p w14:paraId="4CBF3040">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本法所称应税凭证，是指本法所附《印花税税目税率表》列明的合同、产权转移书据和营业账簿。</w:t>
      </w:r>
    </w:p>
    <w:p w14:paraId="5D068D02">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本法所称证券交易，是指转让在依法设立的证券交易所、国务院批准的其他全国性证券交易场所交易的股票和以股票为基础的存托凭证。</w:t>
      </w:r>
    </w:p>
    <w:p w14:paraId="2461E525">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证券交易印花税对证券交易的出让方征收，不对受让方征收。</w:t>
      </w:r>
    </w:p>
    <w:p w14:paraId="649E7EEC">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印花税的税目、税率，依照本法所附《印花税税目税率表》执行。</w:t>
      </w:r>
    </w:p>
    <w:p w14:paraId="7772E074">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印花税的计税依据如下：</w:t>
      </w:r>
    </w:p>
    <w:p w14:paraId="04A2766B">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（一）应税合同的计税依据，为合同所列的金额，不包括列明的增值税税款；</w:t>
      </w:r>
    </w:p>
    <w:p w14:paraId="2AB77B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（二）应税产权转移书据的计税依据，为产权转移书据所列的金额，不包括列明的增值税税款；</w:t>
      </w:r>
    </w:p>
    <w:p w14:paraId="0439A216">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（三）应税营业账簿的计税依据，为账簿记载的实收资本（股本）、资本公积合计金额；</w:t>
      </w:r>
    </w:p>
    <w:p w14:paraId="745E8E77">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（四）证券交易的计税依据，为成交金额。</w:t>
      </w:r>
    </w:p>
    <w:p w14:paraId="4EFD8651">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应税合同、产权转移书据未列明金额的，印花税的计税依据按照实际结算的金额确定。</w:t>
      </w:r>
    </w:p>
    <w:p w14:paraId="40A7799D">
      <w:pPr>
        <w:ind w:firstLine="632" w:firstLineChars="200"/>
        <w:rPr>
          <w:rFonts w:ascii="Times New Roman" w:hAnsi="Times New Roman" w:cs="仿宋_GB2312"/>
          <w:sz w:val="32"/>
          <w:szCs w:val="32"/>
        </w:rPr>
      </w:pPr>
      <w:r>
        <w:rPr>
          <w:rFonts w:hint="eastAsia" w:ascii="Times New Roman" w:hAnsi="Times New Roman" w:cs="仿宋_GB2312"/>
          <w:sz w:val="32"/>
          <w:szCs w:val="32"/>
        </w:rPr>
        <w:t>计税依据按照前款规定仍不能确定的，按照书立合同、产权转移书据时的市场价格确定；依法应当执行政府定价或者政府指导价的，按照国家有关规定确定。</w:t>
      </w:r>
    </w:p>
    <w:p w14:paraId="2847113C">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证券交易无转让价格的，按照办理过户登记手续时该证券前一个交易日收盘价计算确定计税依据；无收盘价的，按照证券面值计算确定计税依据。</w:t>
      </w:r>
    </w:p>
    <w:p w14:paraId="6D5C0895">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印花税的应纳税额按照计税依据乘以适用税率计算。</w:t>
      </w:r>
    </w:p>
    <w:p w14:paraId="64C588C9">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同一应税凭证载有两个以上税目事项并分别列明金额的，按照各自适用的税目税率分别计算应纳税额；未分别列明金额的，从高适用税率。</w:t>
      </w:r>
    </w:p>
    <w:p w14:paraId="0CDD5F96">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同一应税凭证由两方以上当事人书立的，按照各自涉及的金额分别计算应纳税额。</w:t>
      </w:r>
    </w:p>
    <w:p w14:paraId="64171E80">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已缴纳印花税的营业账簿，以后年度记载的实收资本（股本）、资本公积合计金额比已缴纳印花税的实收资本（股本）、资本公积合计金额增加的，按照增加部分计算应纳税额。</w:t>
      </w:r>
    </w:p>
    <w:p w14:paraId="60165837">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下列凭证免征印花税：</w:t>
      </w:r>
    </w:p>
    <w:p w14:paraId="6A5DAD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（一）应税凭证的副本或者抄本；</w:t>
      </w:r>
    </w:p>
    <w:p w14:paraId="60AE228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（二）依照法律规定应当予以免税的外国驻华使馆、领事馆和国际组织驻华代表机构为获得馆舍书立的应税凭证；</w:t>
      </w:r>
    </w:p>
    <w:p w14:paraId="21D72CB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（三）中国人民解放军、中国人民武装警察部队书立的应税凭证；</w:t>
      </w:r>
    </w:p>
    <w:p w14:paraId="7DB9F5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（四）农民、家庭农场、农民专业合作社、农村集体经济组织、村民委员会购买农业生产资料或者销售农产品书立的买卖合同和农业保险合同；</w:t>
      </w:r>
    </w:p>
    <w:p w14:paraId="1DF3D004">
      <w:pPr>
        <w:ind w:firstLine="632" w:firstLineChars="200"/>
        <w:rPr>
          <w:rFonts w:ascii="Times New Roman" w:hAnsi="Times New Roman" w:cs="仿宋_GB2312"/>
          <w:sz w:val="32"/>
          <w:szCs w:val="32"/>
        </w:rPr>
      </w:pPr>
      <w:r>
        <w:rPr>
          <w:rFonts w:hint="eastAsia" w:ascii="Times New Roman" w:hAnsi="Times New Roman" w:cs="仿宋_GB2312"/>
          <w:sz w:val="32"/>
          <w:szCs w:val="32"/>
        </w:rPr>
        <w:t>（五）无息或者贴息借款合同、国际金融组织向中国提供优惠贷款书立的借款合同；</w:t>
      </w:r>
    </w:p>
    <w:p w14:paraId="2476EBF2">
      <w:pPr>
        <w:ind w:firstLine="632" w:firstLineChars="200"/>
        <w:rPr>
          <w:rFonts w:ascii="Times New Roman" w:hAnsi="Times New Roman" w:cs="仿宋_GB2312"/>
          <w:sz w:val="32"/>
          <w:szCs w:val="32"/>
        </w:rPr>
      </w:pPr>
      <w:r>
        <w:rPr>
          <w:rFonts w:hint="eastAsia" w:ascii="Times New Roman" w:hAnsi="Times New Roman" w:cs="仿宋_GB2312"/>
          <w:sz w:val="32"/>
          <w:szCs w:val="32"/>
        </w:rPr>
        <w:t>（六）财产所有权人将财产赠与政府、学校、社会福利机构、慈善组织书立的产权转移书据；</w:t>
      </w:r>
    </w:p>
    <w:p w14:paraId="654455F1">
      <w:pPr>
        <w:ind w:firstLine="632" w:firstLineChars="200"/>
        <w:rPr>
          <w:rFonts w:ascii="Times New Roman" w:hAnsi="Times New Roman" w:cs="仿宋_GB2312"/>
          <w:sz w:val="32"/>
          <w:szCs w:val="32"/>
        </w:rPr>
      </w:pPr>
      <w:r>
        <w:rPr>
          <w:rFonts w:hint="eastAsia" w:ascii="Times New Roman" w:hAnsi="Times New Roman" w:cs="仿宋_GB2312"/>
          <w:sz w:val="32"/>
          <w:szCs w:val="32"/>
        </w:rPr>
        <w:t>（七）非营利性医疗卫生机构采购药品或者卫生材料书立的买卖合同；</w:t>
      </w:r>
    </w:p>
    <w:p w14:paraId="01A09BC0">
      <w:pPr>
        <w:ind w:firstLine="632" w:firstLineChars="200"/>
        <w:rPr>
          <w:rFonts w:ascii="Times New Roman" w:hAnsi="Times New Roman" w:cs="仿宋_GB2312"/>
          <w:sz w:val="32"/>
          <w:szCs w:val="32"/>
        </w:rPr>
      </w:pPr>
      <w:r>
        <w:rPr>
          <w:rFonts w:hint="eastAsia" w:ascii="Times New Roman" w:hAnsi="Times New Roman" w:cs="仿宋_GB2312"/>
          <w:sz w:val="32"/>
          <w:szCs w:val="32"/>
        </w:rPr>
        <w:t>（八）个人与电子商务经营者订立的电子订单。</w:t>
      </w:r>
    </w:p>
    <w:p w14:paraId="00F01200">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根据国民经济和社会发展的需要，国务院对居民住房需求保障、企业改制重组、破产、支持小型微型企业发展等情形可以规定减征或者免征印花税，报全国人民代表大会常务委员会备案。</w:t>
      </w:r>
    </w:p>
    <w:p w14:paraId="044A3ED1">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纳税人为单位的，应当向其机构所在地的主管税务机关申报缴纳印花税；纳税人为个人的，应当向应税凭证书立地或者纳税人居住地的主管税务机关申报缴纳印花税。</w:t>
      </w:r>
    </w:p>
    <w:p w14:paraId="54497B02">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不动产产权发生转移的，纳税人应当向不动产所在地的主管税务机关申报缴纳印花税。</w:t>
      </w:r>
    </w:p>
    <w:p w14:paraId="5613E86D">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纳税人为境外单位或者个人，在境内有代理人的，以其境内代理人为扣缴义务人；在境内没有代理人的，由纳税人自行申报缴纳印花税，具体办法由国务院税务主管部门规定。</w:t>
      </w:r>
    </w:p>
    <w:p w14:paraId="03A1D628">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证券登记结算机构为证券交易印花税的扣缴义务人，应当向其机构所在地的主管税务机关申报解缴税款以及银行结算的利息。</w:t>
      </w:r>
    </w:p>
    <w:p w14:paraId="763118BE">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印花税的纳税义务发生时间为纳税人书立应税凭证或者完成证券交易的当日。</w:t>
      </w:r>
    </w:p>
    <w:p w14:paraId="072C7501">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证券交易印花税扣缴义务发生时间为证券交易完成的当日。</w:t>
      </w:r>
    </w:p>
    <w:p w14:paraId="781F88E3">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印花税按季、按年或者按次计征。实行按季、按年计征的，纳税人应当自季度、年度终了之日起十五日内申报缴纳税款；实行按次计征的，纳税人应当自纳税义务发生之日起十五日内申报缴纳税款。</w:t>
      </w:r>
    </w:p>
    <w:p w14:paraId="23D578B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证券交易印花税按周解缴。证券交易印花税扣缴义务人应当自每周终了之日起五日内申报解缴税款以及银行结算的利息。</w:t>
      </w:r>
    </w:p>
    <w:p w14:paraId="3048BEE6">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印花税可以采用粘贴印花税票或者由税务机关依法开具其他完税凭证的方式缴纳。</w:t>
      </w:r>
    </w:p>
    <w:p w14:paraId="71FFAC2A">
      <w:pPr>
        <w:ind w:firstLine="632" w:firstLineChars="200"/>
        <w:rPr>
          <w:rFonts w:ascii="Times New Roman" w:hAnsi="Times New Roman" w:cs="仿宋_GB2312"/>
          <w:sz w:val="32"/>
          <w:szCs w:val="32"/>
        </w:rPr>
      </w:pPr>
      <w:r>
        <w:rPr>
          <w:rFonts w:hint="eastAsia" w:ascii="Times New Roman" w:hAnsi="Times New Roman" w:cs="仿宋_GB2312"/>
          <w:sz w:val="32"/>
          <w:szCs w:val="32"/>
        </w:rPr>
        <w:t>印花税票粘贴在应税凭证上的，由纳税人在每枚税票的骑缝处盖戳注销或者画销。</w:t>
      </w:r>
    </w:p>
    <w:p w14:paraId="779A6A26">
      <w:pPr>
        <w:ind w:firstLine="632" w:firstLineChars="200"/>
        <w:rPr>
          <w:rFonts w:ascii="Times New Roman" w:hAnsi="Times New Roman" w:cs="仿宋_GB2312"/>
          <w:sz w:val="32"/>
          <w:szCs w:val="32"/>
        </w:rPr>
      </w:pPr>
      <w:r>
        <w:rPr>
          <w:rFonts w:hint="eastAsia" w:ascii="Times New Roman" w:hAnsi="Times New Roman" w:cs="仿宋_GB2312"/>
          <w:sz w:val="32"/>
          <w:szCs w:val="32"/>
        </w:rPr>
        <w:t>印花税票由国务院税务主管部门监制。</w:t>
      </w:r>
    </w:p>
    <w:p w14:paraId="75CC7FA0">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印花税由税务机关依照本法和《中华人民共和国税收征收管理法》的规定征收管理。</w:t>
      </w:r>
    </w:p>
    <w:p w14:paraId="15E9DEC9">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纳税人、扣缴义务人和税务机关及其工作人员违反本法规定的，依照《中华人民共和国税收征收管理法》和有关法律、行政法规的规定追究法律责任。</w:t>
      </w:r>
    </w:p>
    <w:p w14:paraId="7742744D">
      <w:pPr>
        <w:ind w:firstLine="632" w:firstLineChars="200"/>
        <w:rPr>
          <w:rFonts w:hint="eastAsia"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本法自2022年7月1日起施行。1988年8月6日国务院发布的《中华人民共和国印花税暂行条例》同时废止。</w:t>
      </w:r>
    </w:p>
    <w:p w14:paraId="12E07A2C">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22" w:name="附："/>
      <w:bookmarkEnd w:id="22"/>
      <w:r>
        <w:rPr>
          <w:rFonts w:hint="eastAsia" w:ascii="Times New Roman" w:hAnsi="Times New Roman" w:eastAsia="黑体" w:cs="黑体"/>
          <w:sz w:val="32"/>
          <w:lang w:val="en-US" w:eastAsia="zh-CN"/>
        </w:rPr>
        <w:t>附：</w:t>
      </w:r>
    </w:p>
    <w:p w14:paraId="17014EBE">
      <w:pPr>
        <w:numPr>
          <w:ilvl w:val="0"/>
          <w:numId w:val="0"/>
        </w:numPr>
        <w:ind w:left="0" w:leftChars="0" w:firstLine="0" w:firstLineChars="0"/>
        <w:rPr>
          <w:rFonts w:hint="eastAsia" w:asciiTheme="minorEastAsia" w:hAnsiTheme="minorEastAsia" w:eastAsiaTheme="minorEastAsia" w:cstheme="minorEastAsia"/>
          <w:sz w:val="32"/>
          <w:lang w:val="en-US" w:eastAsia="zh-CN"/>
        </w:rPr>
      </w:pPr>
      <w:bookmarkStart w:id="23" w:name="印花税税目税率表"/>
      <w:bookmarkEnd w:id="23"/>
    </w:p>
    <w:p w14:paraId="36F9A80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印花税税目税率表</w:t>
      </w:r>
    </w:p>
    <w:p w14:paraId="36798F4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宋体" w:hAnsi="宋体" w:eastAsia="宋体" w:cs="宋体"/>
          <w:sz w:val="32"/>
          <w:szCs w:val="32"/>
          <w:lang w:val="en-US" w:eastAsia="zh-CN"/>
        </w:rPr>
      </w:pPr>
    </w:p>
    <w:tbl>
      <w:tblPr>
        <w:tblStyle w:val="6"/>
        <w:tblW w:w="532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343"/>
        <w:gridCol w:w="1860"/>
        <w:gridCol w:w="2699"/>
        <w:gridCol w:w="3540"/>
      </w:tblGrid>
      <w:tr w14:paraId="60B2FC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96" w:type="pct"/>
            <w:gridSpan w:val="2"/>
            <w:noWrap w:val="0"/>
            <w:tcMar>
              <w:top w:w="15" w:type="dxa"/>
              <w:left w:w="15" w:type="dxa"/>
              <w:bottom w:w="15" w:type="dxa"/>
              <w:right w:w="15" w:type="dxa"/>
            </w:tcMar>
            <w:vAlign w:val="center"/>
          </w:tcPr>
          <w:p w14:paraId="088C8A9A">
            <w:pPr>
              <w:widowControl/>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税　　目</w:t>
            </w:r>
          </w:p>
        </w:tc>
        <w:tc>
          <w:tcPr>
            <w:tcW w:w="1429" w:type="pct"/>
            <w:noWrap w:val="0"/>
            <w:tcMar>
              <w:top w:w="15" w:type="dxa"/>
              <w:left w:w="15" w:type="dxa"/>
              <w:bottom w:w="15" w:type="dxa"/>
              <w:right w:w="15" w:type="dxa"/>
            </w:tcMar>
            <w:vAlign w:val="center"/>
          </w:tcPr>
          <w:p w14:paraId="38B61B48">
            <w:pPr>
              <w:widowControl/>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税　　率</w:t>
            </w:r>
          </w:p>
        </w:tc>
        <w:tc>
          <w:tcPr>
            <w:tcW w:w="1874" w:type="pct"/>
            <w:noWrap w:val="0"/>
            <w:tcMar>
              <w:top w:w="15" w:type="dxa"/>
              <w:left w:w="15" w:type="dxa"/>
              <w:bottom w:w="15" w:type="dxa"/>
              <w:right w:w="15" w:type="dxa"/>
            </w:tcMar>
            <w:vAlign w:val="center"/>
          </w:tcPr>
          <w:p w14:paraId="00E5BD54">
            <w:pPr>
              <w:widowControl/>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备　　注</w:t>
            </w:r>
          </w:p>
        </w:tc>
      </w:tr>
      <w:tr w14:paraId="0206E7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restart"/>
            <w:noWrap w:val="0"/>
            <w:tcMar>
              <w:top w:w="15" w:type="dxa"/>
              <w:left w:w="15" w:type="dxa"/>
              <w:bottom w:w="15" w:type="dxa"/>
              <w:right w:w="15" w:type="dxa"/>
            </w:tcMar>
            <w:vAlign w:val="center"/>
          </w:tcPr>
          <w:p w14:paraId="1A27B916">
            <w:pPr>
              <w:widowControl/>
              <w:jc w:val="center"/>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合同（指书面合同）</w:t>
            </w:r>
          </w:p>
        </w:tc>
        <w:tc>
          <w:tcPr>
            <w:tcW w:w="984" w:type="pct"/>
            <w:noWrap w:val="0"/>
            <w:tcMar>
              <w:top w:w="15" w:type="dxa"/>
              <w:left w:w="15" w:type="dxa"/>
              <w:bottom w:w="15" w:type="dxa"/>
              <w:right w:w="15" w:type="dxa"/>
            </w:tcMar>
            <w:vAlign w:val="center"/>
          </w:tcPr>
          <w:p w14:paraId="2B1A5687">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借款合同</w:t>
            </w:r>
          </w:p>
        </w:tc>
        <w:tc>
          <w:tcPr>
            <w:tcW w:w="1429" w:type="pct"/>
            <w:noWrap w:val="0"/>
            <w:tcMar>
              <w:top w:w="15" w:type="dxa"/>
              <w:left w:w="15" w:type="dxa"/>
              <w:bottom w:w="15" w:type="dxa"/>
              <w:right w:w="15" w:type="dxa"/>
            </w:tcMar>
            <w:vAlign w:val="center"/>
          </w:tcPr>
          <w:p w14:paraId="4934043F">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借款金额的万分之零点五</w:t>
            </w:r>
          </w:p>
        </w:tc>
        <w:tc>
          <w:tcPr>
            <w:tcW w:w="1874" w:type="pct"/>
            <w:noWrap w:val="0"/>
            <w:tcMar>
              <w:top w:w="15" w:type="dxa"/>
              <w:left w:w="15" w:type="dxa"/>
              <w:bottom w:w="15" w:type="dxa"/>
              <w:right w:w="15" w:type="dxa"/>
            </w:tcMar>
            <w:vAlign w:val="center"/>
          </w:tcPr>
          <w:p w14:paraId="46CA3457">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指银行业金融机构、经国务院银行业监督管理机构批准设立的其他金融机构与借款人（不包括同业拆借）的借款合同</w:t>
            </w:r>
          </w:p>
        </w:tc>
      </w:tr>
      <w:tr w14:paraId="1E3ECE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1D18F9E4">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37DAC40D">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融资租赁合同</w:t>
            </w:r>
          </w:p>
        </w:tc>
        <w:tc>
          <w:tcPr>
            <w:tcW w:w="1429" w:type="pct"/>
            <w:noWrap w:val="0"/>
            <w:tcMar>
              <w:top w:w="15" w:type="dxa"/>
              <w:left w:w="15" w:type="dxa"/>
              <w:bottom w:w="15" w:type="dxa"/>
              <w:right w:w="15" w:type="dxa"/>
            </w:tcMar>
            <w:vAlign w:val="center"/>
          </w:tcPr>
          <w:p w14:paraId="696C59BB">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租金的万分之零点五</w:t>
            </w:r>
          </w:p>
        </w:tc>
        <w:tc>
          <w:tcPr>
            <w:tcW w:w="1874" w:type="pct"/>
            <w:noWrap w:val="0"/>
            <w:tcMar>
              <w:top w:w="15" w:type="dxa"/>
              <w:left w:w="15" w:type="dxa"/>
              <w:bottom w:w="15" w:type="dxa"/>
              <w:right w:w="15" w:type="dxa"/>
            </w:tcMar>
            <w:vAlign w:val="center"/>
          </w:tcPr>
          <w:p w14:paraId="3F6732BB">
            <w:pPr>
              <w:widowControl/>
              <w:jc w:val="left"/>
              <w:rPr>
                <w:rFonts w:hint="eastAsia" w:ascii="仿宋_GB2312" w:hAnsi="仿宋_GB2312" w:eastAsia="仿宋_GB2312" w:cs="仿宋_GB2312"/>
                <w:color w:val="000000"/>
                <w:kern w:val="0"/>
                <w:sz w:val="28"/>
                <w:szCs w:val="28"/>
              </w:rPr>
            </w:pPr>
          </w:p>
        </w:tc>
      </w:tr>
      <w:tr w14:paraId="244690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228AC4E0">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3F6FF0EA">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买卖合同</w:t>
            </w:r>
          </w:p>
        </w:tc>
        <w:tc>
          <w:tcPr>
            <w:tcW w:w="1429" w:type="pct"/>
            <w:noWrap w:val="0"/>
            <w:tcMar>
              <w:top w:w="15" w:type="dxa"/>
              <w:left w:w="15" w:type="dxa"/>
              <w:bottom w:w="15" w:type="dxa"/>
              <w:right w:w="15" w:type="dxa"/>
            </w:tcMar>
            <w:vAlign w:val="center"/>
          </w:tcPr>
          <w:p w14:paraId="370226E3">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价款的万分之三</w:t>
            </w:r>
          </w:p>
        </w:tc>
        <w:tc>
          <w:tcPr>
            <w:tcW w:w="1874" w:type="pct"/>
            <w:noWrap w:val="0"/>
            <w:tcMar>
              <w:top w:w="15" w:type="dxa"/>
              <w:left w:w="15" w:type="dxa"/>
              <w:bottom w:w="15" w:type="dxa"/>
              <w:right w:w="15" w:type="dxa"/>
            </w:tcMar>
            <w:vAlign w:val="center"/>
          </w:tcPr>
          <w:p w14:paraId="7D071F77">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指动产买卖合同（不包括个人书立的动产买卖合同）</w:t>
            </w:r>
          </w:p>
        </w:tc>
      </w:tr>
      <w:tr w14:paraId="7B52AE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0DAA7C06">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1EBDAE7F">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承揽合同</w:t>
            </w:r>
          </w:p>
        </w:tc>
        <w:tc>
          <w:tcPr>
            <w:tcW w:w="1429" w:type="pct"/>
            <w:noWrap w:val="0"/>
            <w:tcMar>
              <w:top w:w="15" w:type="dxa"/>
              <w:left w:w="15" w:type="dxa"/>
              <w:bottom w:w="15" w:type="dxa"/>
              <w:right w:w="15" w:type="dxa"/>
            </w:tcMar>
            <w:vAlign w:val="center"/>
          </w:tcPr>
          <w:p w14:paraId="57CC73FD">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报酬的万分之三</w:t>
            </w:r>
          </w:p>
        </w:tc>
        <w:tc>
          <w:tcPr>
            <w:tcW w:w="1874" w:type="pct"/>
            <w:noWrap w:val="0"/>
            <w:tcMar>
              <w:top w:w="15" w:type="dxa"/>
              <w:left w:w="15" w:type="dxa"/>
              <w:bottom w:w="15" w:type="dxa"/>
              <w:right w:w="15" w:type="dxa"/>
            </w:tcMar>
            <w:vAlign w:val="center"/>
          </w:tcPr>
          <w:p w14:paraId="608F420B">
            <w:pPr>
              <w:widowControl/>
              <w:jc w:val="left"/>
              <w:rPr>
                <w:rFonts w:hint="eastAsia" w:ascii="仿宋_GB2312" w:hAnsi="仿宋_GB2312" w:eastAsia="仿宋_GB2312" w:cs="仿宋_GB2312"/>
                <w:color w:val="000000"/>
                <w:kern w:val="0"/>
                <w:sz w:val="28"/>
                <w:szCs w:val="28"/>
              </w:rPr>
            </w:pPr>
          </w:p>
        </w:tc>
      </w:tr>
      <w:tr w14:paraId="359E35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5342824A">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7CAADB4F">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建设工程合同</w:t>
            </w:r>
          </w:p>
        </w:tc>
        <w:tc>
          <w:tcPr>
            <w:tcW w:w="1429" w:type="pct"/>
            <w:noWrap w:val="0"/>
            <w:tcMar>
              <w:top w:w="15" w:type="dxa"/>
              <w:left w:w="15" w:type="dxa"/>
              <w:bottom w:w="15" w:type="dxa"/>
              <w:right w:w="15" w:type="dxa"/>
            </w:tcMar>
            <w:vAlign w:val="center"/>
          </w:tcPr>
          <w:p w14:paraId="302B7FB7">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价款的万分之三</w:t>
            </w:r>
          </w:p>
        </w:tc>
        <w:tc>
          <w:tcPr>
            <w:tcW w:w="1874" w:type="pct"/>
            <w:noWrap w:val="0"/>
            <w:tcMar>
              <w:top w:w="15" w:type="dxa"/>
              <w:left w:w="15" w:type="dxa"/>
              <w:bottom w:w="15" w:type="dxa"/>
              <w:right w:w="15" w:type="dxa"/>
            </w:tcMar>
            <w:vAlign w:val="center"/>
          </w:tcPr>
          <w:p w14:paraId="134E00DC">
            <w:pPr>
              <w:widowControl/>
              <w:jc w:val="left"/>
              <w:rPr>
                <w:rFonts w:hint="eastAsia" w:ascii="仿宋_GB2312" w:hAnsi="仿宋_GB2312" w:eastAsia="仿宋_GB2312" w:cs="仿宋_GB2312"/>
                <w:color w:val="000000"/>
                <w:kern w:val="0"/>
                <w:sz w:val="28"/>
                <w:szCs w:val="28"/>
              </w:rPr>
            </w:pPr>
          </w:p>
        </w:tc>
      </w:tr>
      <w:tr w14:paraId="742A91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219B03C9">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6E378D8F">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运输合同</w:t>
            </w:r>
          </w:p>
        </w:tc>
        <w:tc>
          <w:tcPr>
            <w:tcW w:w="1429" w:type="pct"/>
            <w:noWrap w:val="0"/>
            <w:tcMar>
              <w:top w:w="15" w:type="dxa"/>
              <w:left w:w="15" w:type="dxa"/>
              <w:bottom w:w="15" w:type="dxa"/>
              <w:right w:w="15" w:type="dxa"/>
            </w:tcMar>
            <w:vAlign w:val="center"/>
          </w:tcPr>
          <w:p w14:paraId="6CFBFE7B">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运输费用的万分之三</w:t>
            </w:r>
          </w:p>
        </w:tc>
        <w:tc>
          <w:tcPr>
            <w:tcW w:w="1874" w:type="pct"/>
            <w:noWrap w:val="0"/>
            <w:tcMar>
              <w:top w:w="15" w:type="dxa"/>
              <w:left w:w="15" w:type="dxa"/>
              <w:bottom w:w="15" w:type="dxa"/>
              <w:right w:w="15" w:type="dxa"/>
            </w:tcMar>
            <w:vAlign w:val="center"/>
          </w:tcPr>
          <w:p w14:paraId="6D7D75FA">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指货运合同和多式联运合同（不包括管道运输合同）</w:t>
            </w:r>
          </w:p>
        </w:tc>
      </w:tr>
      <w:tr w14:paraId="3F9EEC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0CE71BBE">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1F98D87C">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技术合同</w:t>
            </w:r>
          </w:p>
        </w:tc>
        <w:tc>
          <w:tcPr>
            <w:tcW w:w="1429" w:type="pct"/>
            <w:noWrap w:val="0"/>
            <w:tcMar>
              <w:top w:w="15" w:type="dxa"/>
              <w:left w:w="15" w:type="dxa"/>
              <w:bottom w:w="15" w:type="dxa"/>
              <w:right w:w="15" w:type="dxa"/>
            </w:tcMar>
            <w:vAlign w:val="center"/>
          </w:tcPr>
          <w:p w14:paraId="38596C43">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价款、报酬或者使用费的万分之三</w:t>
            </w:r>
          </w:p>
        </w:tc>
        <w:tc>
          <w:tcPr>
            <w:tcW w:w="1874" w:type="pct"/>
            <w:noWrap w:val="0"/>
            <w:tcMar>
              <w:top w:w="15" w:type="dxa"/>
              <w:left w:w="15" w:type="dxa"/>
              <w:bottom w:w="15" w:type="dxa"/>
              <w:right w:w="15" w:type="dxa"/>
            </w:tcMar>
            <w:vAlign w:val="center"/>
          </w:tcPr>
          <w:p w14:paraId="7156EE83">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不包括专利权、专有技术使用权转让书据</w:t>
            </w:r>
          </w:p>
        </w:tc>
      </w:tr>
      <w:tr w14:paraId="3A7FB3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76EB37E4">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14620710">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租赁合同</w:t>
            </w:r>
          </w:p>
        </w:tc>
        <w:tc>
          <w:tcPr>
            <w:tcW w:w="1429" w:type="pct"/>
            <w:noWrap w:val="0"/>
            <w:tcMar>
              <w:top w:w="15" w:type="dxa"/>
              <w:left w:w="15" w:type="dxa"/>
              <w:bottom w:w="15" w:type="dxa"/>
              <w:right w:w="15" w:type="dxa"/>
            </w:tcMar>
            <w:vAlign w:val="center"/>
          </w:tcPr>
          <w:p w14:paraId="17EE55D0">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租金的千分之一</w:t>
            </w:r>
          </w:p>
        </w:tc>
        <w:tc>
          <w:tcPr>
            <w:tcW w:w="1874" w:type="pct"/>
            <w:noWrap w:val="0"/>
            <w:tcMar>
              <w:top w:w="15" w:type="dxa"/>
              <w:left w:w="15" w:type="dxa"/>
              <w:bottom w:w="15" w:type="dxa"/>
              <w:right w:w="15" w:type="dxa"/>
            </w:tcMar>
            <w:vAlign w:val="center"/>
          </w:tcPr>
          <w:p w14:paraId="34BA4E37">
            <w:pPr>
              <w:widowControl/>
              <w:jc w:val="left"/>
              <w:rPr>
                <w:rFonts w:hint="eastAsia" w:ascii="仿宋_GB2312" w:hAnsi="仿宋_GB2312" w:eastAsia="仿宋_GB2312" w:cs="仿宋_GB2312"/>
                <w:color w:val="000000"/>
                <w:kern w:val="0"/>
                <w:sz w:val="28"/>
                <w:szCs w:val="28"/>
              </w:rPr>
            </w:pPr>
          </w:p>
        </w:tc>
      </w:tr>
      <w:tr w14:paraId="339FE8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229BADA2">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6CEF1C34">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保管合同</w:t>
            </w:r>
          </w:p>
        </w:tc>
        <w:tc>
          <w:tcPr>
            <w:tcW w:w="1429" w:type="pct"/>
            <w:noWrap w:val="0"/>
            <w:tcMar>
              <w:top w:w="15" w:type="dxa"/>
              <w:left w:w="15" w:type="dxa"/>
              <w:bottom w:w="15" w:type="dxa"/>
              <w:right w:w="15" w:type="dxa"/>
            </w:tcMar>
            <w:vAlign w:val="center"/>
          </w:tcPr>
          <w:p w14:paraId="44D1874F">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保管费的千分之一</w:t>
            </w:r>
          </w:p>
        </w:tc>
        <w:tc>
          <w:tcPr>
            <w:tcW w:w="1874" w:type="pct"/>
            <w:noWrap w:val="0"/>
            <w:tcMar>
              <w:top w:w="15" w:type="dxa"/>
              <w:left w:w="15" w:type="dxa"/>
              <w:bottom w:w="15" w:type="dxa"/>
              <w:right w:w="15" w:type="dxa"/>
            </w:tcMar>
            <w:vAlign w:val="center"/>
          </w:tcPr>
          <w:p w14:paraId="0A49E018">
            <w:pPr>
              <w:widowControl/>
              <w:jc w:val="left"/>
              <w:rPr>
                <w:rFonts w:hint="eastAsia" w:ascii="仿宋_GB2312" w:hAnsi="仿宋_GB2312" w:eastAsia="仿宋_GB2312" w:cs="仿宋_GB2312"/>
                <w:color w:val="000000"/>
                <w:kern w:val="0"/>
                <w:sz w:val="28"/>
                <w:szCs w:val="28"/>
              </w:rPr>
            </w:pPr>
          </w:p>
        </w:tc>
      </w:tr>
      <w:tr w14:paraId="4DB8FA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65BC2A79">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0BA73F67">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仓储合同</w:t>
            </w:r>
          </w:p>
        </w:tc>
        <w:tc>
          <w:tcPr>
            <w:tcW w:w="1429" w:type="pct"/>
            <w:noWrap w:val="0"/>
            <w:tcMar>
              <w:top w:w="15" w:type="dxa"/>
              <w:left w:w="15" w:type="dxa"/>
              <w:bottom w:w="15" w:type="dxa"/>
              <w:right w:w="15" w:type="dxa"/>
            </w:tcMar>
            <w:vAlign w:val="center"/>
          </w:tcPr>
          <w:p w14:paraId="1104C489">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仓储费的千分之一</w:t>
            </w:r>
          </w:p>
        </w:tc>
        <w:tc>
          <w:tcPr>
            <w:tcW w:w="1874" w:type="pct"/>
            <w:noWrap w:val="0"/>
            <w:tcMar>
              <w:top w:w="15" w:type="dxa"/>
              <w:left w:w="15" w:type="dxa"/>
              <w:bottom w:w="15" w:type="dxa"/>
              <w:right w:w="15" w:type="dxa"/>
            </w:tcMar>
            <w:vAlign w:val="center"/>
          </w:tcPr>
          <w:p w14:paraId="70A7CB55">
            <w:pPr>
              <w:widowControl/>
              <w:jc w:val="left"/>
              <w:rPr>
                <w:rFonts w:hint="eastAsia" w:ascii="仿宋_GB2312" w:hAnsi="仿宋_GB2312" w:eastAsia="仿宋_GB2312" w:cs="仿宋_GB2312"/>
                <w:color w:val="000000"/>
                <w:kern w:val="0"/>
                <w:sz w:val="28"/>
                <w:szCs w:val="28"/>
              </w:rPr>
            </w:pPr>
          </w:p>
        </w:tc>
      </w:tr>
      <w:tr w14:paraId="3DD947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446F4E1D">
            <w:pPr>
              <w:widowControl/>
              <w:jc w:val="center"/>
              <w:rPr>
                <w:rFonts w:hint="eastAsia" w:ascii="仿宋_GB2312" w:hAnsi="仿宋_GB2312" w:eastAsia="仿宋_GB2312" w:cs="仿宋_GB2312"/>
                <w:color w:val="000000"/>
                <w:kern w:val="0"/>
                <w:sz w:val="28"/>
                <w:szCs w:val="28"/>
              </w:rPr>
            </w:pPr>
          </w:p>
        </w:tc>
        <w:tc>
          <w:tcPr>
            <w:tcW w:w="984" w:type="pct"/>
            <w:noWrap w:val="0"/>
            <w:tcMar>
              <w:top w:w="15" w:type="dxa"/>
              <w:left w:w="15" w:type="dxa"/>
              <w:bottom w:w="15" w:type="dxa"/>
              <w:right w:w="15" w:type="dxa"/>
            </w:tcMar>
            <w:vAlign w:val="center"/>
          </w:tcPr>
          <w:p w14:paraId="18FE347E">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财产保险合同</w:t>
            </w:r>
          </w:p>
        </w:tc>
        <w:tc>
          <w:tcPr>
            <w:tcW w:w="1429" w:type="pct"/>
            <w:noWrap w:val="0"/>
            <w:tcMar>
              <w:top w:w="15" w:type="dxa"/>
              <w:left w:w="15" w:type="dxa"/>
              <w:bottom w:w="15" w:type="dxa"/>
              <w:right w:w="15" w:type="dxa"/>
            </w:tcMar>
            <w:vAlign w:val="center"/>
          </w:tcPr>
          <w:p w14:paraId="68F32E8D">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保险费的千分之一</w:t>
            </w:r>
          </w:p>
        </w:tc>
        <w:tc>
          <w:tcPr>
            <w:tcW w:w="1874" w:type="pct"/>
            <w:noWrap w:val="0"/>
            <w:tcMar>
              <w:top w:w="15" w:type="dxa"/>
              <w:left w:w="15" w:type="dxa"/>
              <w:bottom w:w="15" w:type="dxa"/>
              <w:right w:w="15" w:type="dxa"/>
            </w:tcMar>
            <w:vAlign w:val="center"/>
          </w:tcPr>
          <w:p w14:paraId="13BCC26E">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不包括再保险合同</w:t>
            </w:r>
          </w:p>
        </w:tc>
      </w:tr>
      <w:tr w14:paraId="18B12D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restart"/>
            <w:noWrap w:val="0"/>
            <w:tcMar>
              <w:top w:w="15" w:type="dxa"/>
              <w:left w:w="15" w:type="dxa"/>
              <w:bottom w:w="15" w:type="dxa"/>
              <w:right w:w="15" w:type="dxa"/>
            </w:tcMar>
            <w:vAlign w:val="center"/>
          </w:tcPr>
          <w:p w14:paraId="6EA2E76F">
            <w:pPr>
              <w:widowControl/>
              <w:jc w:val="center"/>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产权转移书据</w:t>
            </w:r>
          </w:p>
        </w:tc>
        <w:tc>
          <w:tcPr>
            <w:tcW w:w="984" w:type="pct"/>
            <w:noWrap w:val="0"/>
            <w:tcMar>
              <w:top w:w="15" w:type="dxa"/>
              <w:left w:w="15" w:type="dxa"/>
              <w:bottom w:w="15" w:type="dxa"/>
              <w:right w:w="15" w:type="dxa"/>
            </w:tcMar>
            <w:vAlign w:val="center"/>
          </w:tcPr>
          <w:p w14:paraId="2E416505">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土地使用权出让书据</w:t>
            </w:r>
          </w:p>
        </w:tc>
        <w:tc>
          <w:tcPr>
            <w:tcW w:w="1429" w:type="pct"/>
            <w:noWrap w:val="0"/>
            <w:tcMar>
              <w:top w:w="15" w:type="dxa"/>
              <w:left w:w="15" w:type="dxa"/>
              <w:bottom w:w="15" w:type="dxa"/>
              <w:right w:w="15" w:type="dxa"/>
            </w:tcMar>
            <w:vAlign w:val="center"/>
          </w:tcPr>
          <w:p w14:paraId="45BD63B3">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价款的万分之五</w:t>
            </w:r>
          </w:p>
        </w:tc>
        <w:tc>
          <w:tcPr>
            <w:tcW w:w="1874" w:type="pct"/>
            <w:vMerge w:val="restart"/>
            <w:noWrap w:val="0"/>
            <w:tcMar>
              <w:top w:w="15" w:type="dxa"/>
              <w:left w:w="15" w:type="dxa"/>
              <w:bottom w:w="15" w:type="dxa"/>
              <w:right w:w="15" w:type="dxa"/>
            </w:tcMar>
            <w:vAlign w:val="center"/>
          </w:tcPr>
          <w:p w14:paraId="02EF4CD9">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转让包括买卖（出售）、继承、赠与、互换、分割</w:t>
            </w:r>
          </w:p>
        </w:tc>
      </w:tr>
      <w:tr w14:paraId="7FF1F7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49836C7A">
            <w:pPr>
              <w:rPr>
                <w:rFonts w:hint="eastAsia" w:ascii="仿宋_GB2312" w:hAnsi="仿宋_GB2312" w:eastAsia="仿宋_GB2312" w:cs="仿宋_GB2312"/>
                <w:b w:val="0"/>
                <w:bCs w:val="0"/>
                <w:i w:val="0"/>
                <w:iCs w:val="0"/>
                <w:smallCaps w:val="0"/>
                <w:color w:val="000000"/>
                <w:kern w:val="0"/>
                <w:sz w:val="24"/>
              </w:rPr>
            </w:pPr>
          </w:p>
        </w:tc>
        <w:tc>
          <w:tcPr>
            <w:tcW w:w="984" w:type="pct"/>
            <w:noWrap w:val="0"/>
            <w:tcMar>
              <w:top w:w="15" w:type="dxa"/>
              <w:left w:w="15" w:type="dxa"/>
              <w:bottom w:w="15" w:type="dxa"/>
              <w:right w:w="15" w:type="dxa"/>
            </w:tcMar>
            <w:vAlign w:val="center"/>
          </w:tcPr>
          <w:p w14:paraId="1E62641B">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土地使用权、房屋等建筑物和构筑物所有权转让书据（不包括土地承包经营权和土地经营权转移）</w:t>
            </w:r>
          </w:p>
        </w:tc>
        <w:tc>
          <w:tcPr>
            <w:tcW w:w="1429" w:type="pct"/>
            <w:noWrap w:val="0"/>
            <w:tcMar>
              <w:top w:w="15" w:type="dxa"/>
              <w:left w:w="15" w:type="dxa"/>
              <w:bottom w:w="15" w:type="dxa"/>
              <w:right w:w="15" w:type="dxa"/>
            </w:tcMar>
            <w:vAlign w:val="center"/>
          </w:tcPr>
          <w:p w14:paraId="1C2EB948">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价款的万分之五</w:t>
            </w:r>
          </w:p>
        </w:tc>
        <w:tc>
          <w:tcPr>
            <w:tcW w:w="1874" w:type="pct"/>
            <w:vMerge w:val="continue"/>
            <w:vAlign w:val="center"/>
          </w:tcPr>
          <w:p w14:paraId="7C29B53A">
            <w:pPr>
              <w:widowControl/>
              <w:jc w:val="left"/>
              <w:rPr>
                <w:rFonts w:hint="eastAsia" w:ascii="仿宋_GB2312" w:hAnsi="仿宋_GB2312" w:eastAsia="仿宋_GB2312" w:cs="仿宋_GB2312"/>
                <w:color w:val="000000"/>
                <w:kern w:val="0"/>
                <w:sz w:val="28"/>
                <w:szCs w:val="28"/>
              </w:rPr>
            </w:pPr>
          </w:p>
        </w:tc>
      </w:tr>
      <w:tr w14:paraId="1C4B3C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317696FC">
            <w:pPr>
              <w:rPr>
                <w:rFonts w:hint="eastAsia" w:ascii="仿宋_GB2312" w:hAnsi="仿宋_GB2312" w:eastAsia="仿宋_GB2312" w:cs="仿宋_GB2312"/>
                <w:b w:val="0"/>
                <w:bCs w:val="0"/>
                <w:i w:val="0"/>
                <w:iCs w:val="0"/>
                <w:smallCaps w:val="0"/>
                <w:color w:val="000000"/>
                <w:kern w:val="0"/>
                <w:sz w:val="24"/>
              </w:rPr>
            </w:pPr>
          </w:p>
        </w:tc>
        <w:tc>
          <w:tcPr>
            <w:tcW w:w="984" w:type="pct"/>
            <w:noWrap w:val="0"/>
            <w:tcMar>
              <w:top w:w="15" w:type="dxa"/>
              <w:left w:w="15" w:type="dxa"/>
              <w:bottom w:w="15" w:type="dxa"/>
              <w:right w:w="15" w:type="dxa"/>
            </w:tcMar>
            <w:vAlign w:val="center"/>
          </w:tcPr>
          <w:p w14:paraId="661F10E2">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股权转让书据（不包括应缴纳证券交易印花税的）</w:t>
            </w:r>
          </w:p>
        </w:tc>
        <w:tc>
          <w:tcPr>
            <w:tcW w:w="1429" w:type="pct"/>
            <w:noWrap w:val="0"/>
            <w:tcMar>
              <w:top w:w="15" w:type="dxa"/>
              <w:left w:w="15" w:type="dxa"/>
              <w:bottom w:w="15" w:type="dxa"/>
              <w:right w:w="15" w:type="dxa"/>
            </w:tcMar>
            <w:vAlign w:val="center"/>
          </w:tcPr>
          <w:p w14:paraId="16B4F0CD">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价款的万分之五</w:t>
            </w:r>
          </w:p>
        </w:tc>
        <w:tc>
          <w:tcPr>
            <w:tcW w:w="1874" w:type="pct"/>
            <w:vMerge w:val="continue"/>
            <w:vAlign w:val="center"/>
          </w:tcPr>
          <w:p w14:paraId="65F8F443">
            <w:pPr>
              <w:widowControl/>
              <w:jc w:val="left"/>
              <w:rPr>
                <w:rFonts w:hint="eastAsia" w:ascii="仿宋_GB2312" w:hAnsi="仿宋_GB2312" w:eastAsia="仿宋_GB2312" w:cs="仿宋_GB2312"/>
                <w:color w:val="000000"/>
                <w:kern w:val="0"/>
                <w:sz w:val="28"/>
                <w:szCs w:val="28"/>
              </w:rPr>
            </w:pPr>
          </w:p>
        </w:tc>
      </w:tr>
      <w:tr w14:paraId="556FAA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11" w:type="pct"/>
            <w:vMerge w:val="continue"/>
            <w:vAlign w:val="center"/>
          </w:tcPr>
          <w:p w14:paraId="599EA5D5">
            <w:pPr>
              <w:rPr>
                <w:rFonts w:hint="eastAsia" w:ascii="仿宋_GB2312" w:hAnsi="仿宋_GB2312" w:eastAsia="仿宋_GB2312" w:cs="仿宋_GB2312"/>
                <w:b w:val="0"/>
                <w:bCs w:val="0"/>
                <w:i w:val="0"/>
                <w:iCs w:val="0"/>
                <w:smallCaps w:val="0"/>
                <w:color w:val="000000"/>
                <w:kern w:val="0"/>
                <w:sz w:val="24"/>
              </w:rPr>
            </w:pPr>
          </w:p>
        </w:tc>
        <w:tc>
          <w:tcPr>
            <w:tcW w:w="984" w:type="pct"/>
            <w:noWrap w:val="0"/>
            <w:tcMar>
              <w:top w:w="15" w:type="dxa"/>
              <w:left w:w="15" w:type="dxa"/>
              <w:bottom w:w="15" w:type="dxa"/>
              <w:right w:w="15" w:type="dxa"/>
            </w:tcMar>
            <w:vAlign w:val="center"/>
          </w:tcPr>
          <w:p w14:paraId="19ADFF71">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商标专用权、著作权、专利权、专有技术使用权转让书据</w:t>
            </w:r>
          </w:p>
        </w:tc>
        <w:tc>
          <w:tcPr>
            <w:tcW w:w="1429" w:type="pct"/>
            <w:noWrap w:val="0"/>
            <w:tcMar>
              <w:top w:w="15" w:type="dxa"/>
              <w:left w:w="15" w:type="dxa"/>
              <w:bottom w:w="15" w:type="dxa"/>
              <w:right w:w="15" w:type="dxa"/>
            </w:tcMar>
            <w:vAlign w:val="center"/>
          </w:tcPr>
          <w:p w14:paraId="60334814">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价款的万分之三</w:t>
            </w:r>
          </w:p>
        </w:tc>
        <w:tc>
          <w:tcPr>
            <w:tcW w:w="1874" w:type="pct"/>
            <w:vMerge w:val="continue"/>
            <w:vAlign w:val="center"/>
          </w:tcPr>
          <w:p w14:paraId="550BB420">
            <w:pPr>
              <w:widowControl/>
              <w:jc w:val="left"/>
              <w:rPr>
                <w:rFonts w:hint="eastAsia" w:ascii="仿宋_GB2312" w:hAnsi="仿宋_GB2312" w:eastAsia="仿宋_GB2312" w:cs="仿宋_GB2312"/>
                <w:color w:val="000000"/>
                <w:kern w:val="0"/>
                <w:sz w:val="28"/>
                <w:szCs w:val="28"/>
              </w:rPr>
            </w:pPr>
          </w:p>
        </w:tc>
      </w:tr>
      <w:tr w14:paraId="2916BB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96" w:type="pct"/>
            <w:gridSpan w:val="2"/>
            <w:noWrap w:val="0"/>
            <w:tcMar>
              <w:top w:w="15" w:type="dxa"/>
              <w:left w:w="15" w:type="dxa"/>
              <w:bottom w:w="15" w:type="dxa"/>
              <w:right w:w="15" w:type="dxa"/>
            </w:tcMar>
            <w:vAlign w:val="center"/>
          </w:tcPr>
          <w:p w14:paraId="567026BB">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营业账簿</w:t>
            </w:r>
          </w:p>
        </w:tc>
        <w:tc>
          <w:tcPr>
            <w:tcW w:w="1429" w:type="pct"/>
            <w:noWrap w:val="0"/>
            <w:tcMar>
              <w:top w:w="15" w:type="dxa"/>
              <w:left w:w="15" w:type="dxa"/>
              <w:bottom w:w="15" w:type="dxa"/>
              <w:right w:w="15" w:type="dxa"/>
            </w:tcMar>
            <w:vAlign w:val="center"/>
          </w:tcPr>
          <w:p w14:paraId="66B99DAC">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实收资本（股本）、资本公积合计金额的万分之二点五</w:t>
            </w:r>
          </w:p>
        </w:tc>
        <w:tc>
          <w:tcPr>
            <w:tcW w:w="1874" w:type="pct"/>
            <w:noWrap w:val="0"/>
            <w:tcMar>
              <w:top w:w="15" w:type="dxa"/>
              <w:left w:w="15" w:type="dxa"/>
              <w:bottom w:w="15" w:type="dxa"/>
              <w:right w:w="15" w:type="dxa"/>
            </w:tcMar>
            <w:vAlign w:val="center"/>
          </w:tcPr>
          <w:p w14:paraId="4503FC55">
            <w:pPr>
              <w:widowControl/>
              <w:jc w:val="left"/>
              <w:rPr>
                <w:rFonts w:hint="eastAsia" w:ascii="仿宋_GB2312" w:hAnsi="仿宋_GB2312" w:eastAsia="仿宋_GB2312" w:cs="仿宋_GB2312"/>
                <w:color w:val="000000"/>
                <w:kern w:val="0"/>
                <w:sz w:val="28"/>
                <w:szCs w:val="28"/>
              </w:rPr>
            </w:pPr>
          </w:p>
        </w:tc>
      </w:tr>
      <w:tr w14:paraId="058B0E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96" w:type="pct"/>
            <w:gridSpan w:val="2"/>
            <w:noWrap w:val="0"/>
            <w:tcMar>
              <w:top w:w="15" w:type="dxa"/>
              <w:left w:w="15" w:type="dxa"/>
              <w:bottom w:w="15" w:type="dxa"/>
              <w:right w:w="15" w:type="dxa"/>
            </w:tcMar>
            <w:vAlign w:val="center"/>
          </w:tcPr>
          <w:p w14:paraId="4425CE17">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证券交易</w:t>
            </w:r>
          </w:p>
        </w:tc>
        <w:tc>
          <w:tcPr>
            <w:tcW w:w="1429" w:type="pct"/>
            <w:noWrap w:val="0"/>
            <w:tcMar>
              <w:top w:w="15" w:type="dxa"/>
              <w:left w:w="15" w:type="dxa"/>
              <w:bottom w:w="15" w:type="dxa"/>
              <w:right w:w="15" w:type="dxa"/>
            </w:tcMar>
            <w:vAlign w:val="center"/>
          </w:tcPr>
          <w:p w14:paraId="01DBB916">
            <w:pPr>
              <w:widowControl/>
              <w:jc w:val="left"/>
              <w:rPr>
                <w:rFonts w:hint="eastAsia" w:ascii="仿宋_GB2312" w:hAnsi="仿宋_GB2312" w:eastAsia="仿宋_GB2312" w:cs="仿宋_GB2312"/>
                <w:color w:val="000000"/>
                <w:kern w:val="0"/>
                <w:sz w:val="28"/>
                <w:szCs w:val="28"/>
              </w:rPr>
            </w:pPr>
            <w:r>
              <w:rPr>
                <w:rFonts w:hint="eastAsia" w:ascii="仿宋_GB2312" w:hAnsi="仿宋_GB2312" w:eastAsia="仿宋_GB2312" w:cs="仿宋_GB2312"/>
                <w:color w:val="000000"/>
                <w:kern w:val="0"/>
                <w:sz w:val="28"/>
                <w:szCs w:val="28"/>
              </w:rPr>
              <w:t>成交金额的千分之一</w:t>
            </w:r>
          </w:p>
        </w:tc>
        <w:tc>
          <w:tcPr>
            <w:tcW w:w="1874" w:type="pct"/>
            <w:noWrap w:val="0"/>
            <w:tcMar>
              <w:top w:w="15" w:type="dxa"/>
              <w:left w:w="15" w:type="dxa"/>
              <w:bottom w:w="15" w:type="dxa"/>
              <w:right w:w="15" w:type="dxa"/>
            </w:tcMar>
            <w:vAlign w:val="center"/>
          </w:tcPr>
          <w:p w14:paraId="4E8E3875">
            <w:pPr>
              <w:widowControl/>
              <w:jc w:val="left"/>
              <w:rPr>
                <w:rFonts w:hint="eastAsia" w:ascii="仿宋_GB2312" w:hAnsi="仿宋_GB2312" w:eastAsia="仿宋_GB2312" w:cs="仿宋_GB2312"/>
                <w:color w:val="000000"/>
                <w:kern w:val="0"/>
                <w:sz w:val="28"/>
                <w:szCs w:val="28"/>
              </w:rPr>
            </w:pPr>
          </w:p>
        </w:tc>
      </w:tr>
    </w:tbl>
    <w:p w14:paraId="0E621BEB">
      <w:pPr>
        <w:rPr>
          <w:rFonts w:hint="eastAsia" w:ascii="方正小标宋简体" w:hAnsi="方正小标宋简体" w:eastAsia="方正小标宋简体" w:cs="方正小标宋简体"/>
          <w:sz w:val="44"/>
          <w:szCs w:val="44"/>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2A5AE0"/>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2035</Words>
  <Characters>2045</Characters>
  <Lines>87</Lines>
  <Paragraphs>24</Paragraphs>
  <TotalTime>1</TotalTime>
  <ScaleCrop>false</ScaleCrop>
  <LinksUpToDate>false</LinksUpToDate>
  <CharactersWithSpaces>2065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2025-08-25T01:40:02Z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